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56185" w14:textId="77777777" w:rsidR="00406AE9" w:rsidRPr="00406AE9" w:rsidRDefault="00406AE9" w:rsidP="00406AE9">
      <w:pPr>
        <w:jc w:val="center"/>
        <w:rPr>
          <w:b/>
          <w:bCs/>
          <w:i/>
          <w:iCs/>
          <w:sz w:val="30"/>
          <w:u w:val="single"/>
        </w:rPr>
      </w:pPr>
      <w:r w:rsidRPr="00406AE9">
        <w:rPr>
          <w:b/>
          <w:bCs/>
          <w:i/>
          <w:iCs/>
          <w:sz w:val="30"/>
          <w:u w:val="single"/>
        </w:rPr>
        <w:t>Original Research Article</w:t>
      </w:r>
    </w:p>
    <w:p w14:paraId="5720DFF1" w14:textId="77777777" w:rsidR="00B60331" w:rsidRPr="00406AE9" w:rsidRDefault="00AD5676">
      <w:pPr>
        <w:jc w:val="center"/>
      </w:pPr>
      <w:r w:rsidRPr="00406AE9">
        <w:rPr>
          <w:b/>
          <w:sz w:val="30"/>
        </w:rPr>
        <w:t>Do Stocks and Mutual Funds Boost Capital Market Inclusion in Indonesia?</w:t>
      </w:r>
    </w:p>
    <w:p w14:paraId="25ECF241" w14:textId="77777777" w:rsidR="00FC2A8B" w:rsidRDefault="00FC2A8B" w:rsidP="0007497A">
      <w:pPr>
        <w:spacing w:after="80"/>
        <w:jc w:val="center"/>
        <w:rPr>
          <w:b/>
          <w:sz w:val="22"/>
        </w:rPr>
      </w:pPr>
    </w:p>
    <w:p w14:paraId="5A7E8810" w14:textId="73267895" w:rsidR="00B60331" w:rsidRPr="00406AE9" w:rsidRDefault="00210001" w:rsidP="0007497A">
      <w:pPr>
        <w:spacing w:after="80"/>
        <w:jc w:val="center"/>
        <w:rPr>
          <w:b/>
          <w:sz w:val="22"/>
        </w:rPr>
      </w:pPr>
      <w:r w:rsidRPr="00406AE9">
        <w:rPr>
          <w:b/>
          <w:sz w:val="22"/>
        </w:rPr>
        <w:t>ABSTRACT</w:t>
      </w:r>
    </w:p>
    <w:p w14:paraId="4336C3D3" w14:textId="77777777" w:rsidR="00872F46" w:rsidRPr="00406AE9" w:rsidRDefault="00872F46" w:rsidP="0007497A">
      <w:pPr>
        <w:spacing w:after="80"/>
        <w:jc w:val="center"/>
        <w:rPr>
          <w:b/>
          <w:sz w:val="22"/>
        </w:rPr>
      </w:pPr>
    </w:p>
    <w:p w14:paraId="270352B7" w14:textId="77777777" w:rsidR="00872F46" w:rsidRPr="00406AE9" w:rsidRDefault="00872F46" w:rsidP="00AD5676">
      <w:pPr>
        <w:spacing w:before="100" w:beforeAutospacing="1" w:after="100" w:afterAutospacing="1" w:line="240" w:lineRule="auto"/>
        <w:rPr>
          <w:b/>
          <w:sz w:val="22"/>
        </w:rPr>
      </w:pPr>
      <w:r w:rsidRPr="00406AE9">
        <w:rPr>
          <w:rFonts w:cs="Times New Roman"/>
          <w:sz w:val="24"/>
          <w:szCs w:val="24"/>
          <w:lang w:val="en-GB" w:eastAsia="en-GB"/>
        </w:rPr>
        <w:t xml:space="preserve">This study examines whether stocks and mutual funds contribute to capital market inclusion in Indonesia by </w:t>
      </w:r>
      <w:proofErr w:type="spellStart"/>
      <w:r w:rsidRPr="00406AE9">
        <w:rPr>
          <w:rFonts w:cs="Times New Roman"/>
          <w:sz w:val="24"/>
          <w:szCs w:val="24"/>
          <w:lang w:val="en-GB" w:eastAsia="en-GB"/>
        </w:rPr>
        <w:t>analyzing</w:t>
      </w:r>
      <w:proofErr w:type="spellEnd"/>
      <w:r w:rsidRPr="00406AE9">
        <w:rPr>
          <w:rFonts w:cs="Times New Roman"/>
          <w:sz w:val="24"/>
          <w:szCs w:val="24"/>
          <w:lang w:val="en-GB" w:eastAsia="en-GB"/>
        </w:rPr>
        <w:t xml:space="preserve"> the factors that influence investment preferences among individuals with financial asset portfolios. Primary data were collected from 200 respondents who were involved in or familiar with financial assets, particularly stocks and mutual funds. The study applies binary logit and ordered logit models to assess the influence of age, risk tolerance, financial literacy, financial access, digital financial services, and regulation on investment preference and the tendency to choose stocks or mutual funds. The binary logit results indicate that age, risk tolerance, and financial literacy significantly affect investment preference. The ordered logit results show that risk tolerance and financial literacy significantly increase the tendency to choose stocks, while financial access and regulation significantly influence mutual fund participation. Digital financial services do not show a statistically significant effect in the reported models. The findings suggest that investor capability, access to financial products, and confidence in regulation are important factors in supporting broader participation in the Indonesian capital market. The study highlights the need for financial education, accessible investment products, and supportive regulatory frameworks to strengthen capital market inclusion. These results provide practical insights for policymakers, financial institutions, and community organizations seeking to improve public participation in stocks and mutual funds.</w:t>
      </w:r>
    </w:p>
    <w:p w14:paraId="458900E2" w14:textId="77777777" w:rsidR="007274C0" w:rsidRPr="00406AE9" w:rsidRDefault="007274C0" w:rsidP="007274C0">
      <w:pPr>
        <w:spacing w:after="60"/>
        <w:jc w:val="both"/>
      </w:pPr>
      <w:r w:rsidRPr="00406AE9">
        <w:rPr>
          <w:b/>
        </w:rPr>
        <w:t xml:space="preserve">Keywords: </w:t>
      </w:r>
      <w:r w:rsidRPr="00406AE9">
        <w:t>Capital market inclusion; financial literacy; stocks; mutual funds; digital financial services; regulation.</w:t>
      </w:r>
    </w:p>
    <w:p w14:paraId="33F3C61A" w14:textId="77777777" w:rsidR="007274C0" w:rsidRPr="00406AE9" w:rsidRDefault="007274C0" w:rsidP="0007497A">
      <w:pPr>
        <w:spacing w:after="80"/>
        <w:jc w:val="center"/>
        <w:rPr>
          <w:b/>
          <w:sz w:val="22"/>
        </w:rPr>
      </w:pPr>
    </w:p>
    <w:p w14:paraId="2A03B1C8" w14:textId="77777777" w:rsidR="007274C0" w:rsidRPr="00406AE9" w:rsidRDefault="007274C0" w:rsidP="0007497A">
      <w:pPr>
        <w:spacing w:after="80"/>
        <w:jc w:val="center"/>
      </w:pPr>
    </w:p>
    <w:p w14:paraId="6AC8136E" w14:textId="77777777" w:rsidR="00B60331" w:rsidRPr="00406AE9" w:rsidRDefault="00AD5676">
      <w:pPr>
        <w:pStyle w:val="Heading1"/>
      </w:pPr>
      <w:r w:rsidRPr="00406AE9">
        <w:rPr>
          <w:rFonts w:ascii="Times New Roman" w:eastAsia="Times New Roman" w:hAnsi="Times New Roman"/>
        </w:rPr>
        <w:t>1. Introduction</w:t>
      </w:r>
    </w:p>
    <w:p w14:paraId="189E51A2" w14:textId="77777777" w:rsidR="00B60331" w:rsidRPr="00406AE9" w:rsidRDefault="00AD5676">
      <w:pPr>
        <w:jc w:val="both"/>
      </w:pPr>
      <w:r w:rsidRPr="00406AE9">
        <w:t>In recent decades, the capital market in Indonesia has experienced significant growth. However, public participation in the capital market remains relatively low compared to other Southeast Asian countries (Saksono, 2018). Several factors contribute to this low participation, including limited investment knowledge, constrained access to financial products, and distrust in market stability (Nasution &amp; Kusuma, 2017). As a country with a large population and a growing economy, Indonesia needs stronger capital market inclusion to support sustainable economic growth (Hadi &amp; Santoso, 2020). Previous literature highlights the relationship between financial literacy and market participation, emphasizing that higher financial literacy is associated with increased investment activity (Lusardi &amp; Mitchell, 2014).</w:t>
      </w:r>
    </w:p>
    <w:p w14:paraId="0CAE7245" w14:textId="77777777" w:rsidR="00D27528" w:rsidRPr="00406AE9" w:rsidRDefault="00000000">
      <w:r w:rsidRPr="00406AE9">
        <w:t>International evidence shows that capital market participation is not determined only by income or product availability; it is also shaped by awareness of financial assets, knowledge of risk diversification, and the ability to understand basic market concepts (Guiso &amp; Jappelli, 2005; van Rooij et al., 2011). This evidence is relevant to Indonesia because stocks and mutual funds require investors to evaluate risk, return, diversification, and transaction procedures before participating in the capital market.</w:t>
      </w:r>
    </w:p>
    <w:p w14:paraId="1B62804F" w14:textId="77777777" w:rsidR="00D27528" w:rsidRPr="00406AE9" w:rsidRDefault="00000000">
      <w:r w:rsidRPr="00406AE9">
        <w:t>Financial literacy is therefore commonly treated as a form of human capital that supports household financial decision-making, although its effect depends on whether individuals can translate knowledge into actual participation opportunities (Jappelli &amp; Padula, 2013; Lusardi &amp; Mitchell, 2014). In the context of this study, this suggests that educational interventions may be more effective when they are combined with accessible investment products and institutional support.</w:t>
      </w:r>
    </w:p>
    <w:p w14:paraId="2CE115DE" w14:textId="77777777" w:rsidR="00B60331" w:rsidRPr="00406AE9" w:rsidRDefault="00AD5676">
      <w:pPr>
        <w:jc w:val="both"/>
      </w:pPr>
      <w:r w:rsidRPr="00406AE9">
        <w:t xml:space="preserve">The primary objective of this research is to examine whether stocks and mutual funds contribute to greater capital market inclusion in Indonesia. By investigating the factors that influence individuals’ decisions to invest in these financial </w:t>
      </w:r>
      <w:r w:rsidRPr="00406AE9">
        <w:lastRenderedPageBreak/>
        <w:t>instruments, the study provides insights into how broader participation in the capital market can be encouraged. Understanding these dynamics is important for policymakers and financial institutions that seek to develop strategies for increasing market inclusivity and economic participation (Rahman &amp; Mahadi, 2021). This study hypothesizes that increased access to and knowledge about stocks and mutual funds positively affect capital market inclusion in Indonesia.</w:t>
      </w:r>
    </w:p>
    <w:p w14:paraId="52109DD8" w14:textId="77777777" w:rsidR="00B60331" w:rsidRPr="00406AE9" w:rsidRDefault="00AD5676">
      <w:pPr>
        <w:jc w:val="both"/>
      </w:pPr>
      <w:r w:rsidRPr="00406AE9">
        <w:t xml:space="preserve">Despite Indonesia’s substantial economic growth and capital market expansion, the level of public participation in stocks and mutual funds remains limited. This lack of engagement is a pressing issue because these instruments have the potential to enhance personal wealth and support broader economic development (Saksono, 2018). Previous studies have identified financial literacy, financial access, perceived risk, and trust as important barriers to investment participation (Hidayat &amp; Abduh, 2012; Susanto &amp; </w:t>
      </w:r>
      <w:proofErr w:type="spellStart"/>
      <w:r w:rsidRPr="00406AE9">
        <w:t>Handayani</w:t>
      </w:r>
      <w:proofErr w:type="spellEnd"/>
      <w:r w:rsidRPr="00406AE9">
        <w:t>, 2020). However, there remains a gap in understanding how these factors interact in the Indonesian capital market context. Therefore, this research provides empirical evidence on the determinants of participation in stocks and mutual funds.</w:t>
      </w:r>
    </w:p>
    <w:p w14:paraId="62844A26" w14:textId="77777777" w:rsidR="00D27528" w:rsidRPr="00406AE9" w:rsidRDefault="00000000">
      <w:r w:rsidRPr="00406AE9">
        <w:t>The distinction between direct stockholding and mutual fund participation is also important because mutual funds can reduce entry barriers through diversification and professional portfolio management, while stock investment generally requires stronger risk-bearing capacity and market knowledge (Campbell, 2006; Khorana et al., 2005). Accordingly, examining both instruments provides a more balanced understanding of how different financial products may contribute to capital market inclusion.</w:t>
      </w:r>
    </w:p>
    <w:p w14:paraId="081D761D" w14:textId="77777777" w:rsidR="00B60331" w:rsidRPr="00406AE9" w:rsidRDefault="00AD5676">
      <w:pPr>
        <w:pStyle w:val="Heading1"/>
      </w:pPr>
      <w:r w:rsidRPr="00406AE9">
        <w:rPr>
          <w:rFonts w:ascii="Times New Roman" w:eastAsia="Times New Roman" w:hAnsi="Times New Roman"/>
        </w:rPr>
        <w:t>2. Literature Review</w:t>
      </w:r>
    </w:p>
    <w:p w14:paraId="6D48F5FF" w14:textId="77777777" w:rsidR="00B60331" w:rsidRPr="00406AE9" w:rsidRDefault="00AD5676">
      <w:pPr>
        <w:jc w:val="both"/>
      </w:pPr>
      <w:r w:rsidRPr="00406AE9">
        <w:t>Stocks and mutual funds are fundamental components of the capital market, offering diverse investment opportunities for individual and institutional investors. Stocks represent ownership in a company and provide potential capital gains and dividends, while mutual funds pool resources from multiple investors to invest in a diversified portfolio of assets (Reilly &amp; Brown, 2012). Accessibility and perceived risk associated with these instruments significantly influence investor participation, particularly in emerging markets such as Indonesia (Al-Tamimi &amp; Bin Kalli, 2009).</w:t>
      </w:r>
    </w:p>
    <w:p w14:paraId="23123212" w14:textId="77777777" w:rsidR="00B60331" w:rsidRPr="00406AE9" w:rsidRDefault="00AD5676">
      <w:pPr>
        <w:jc w:val="both"/>
      </w:pPr>
      <w:r w:rsidRPr="00406AE9">
        <w:t>Several barriers hinder broader market inclusion in Indonesia. These barriers include limited financial literacy, inadequate access to financial services, and cultural attitudes toward investment risk (Nasution &amp; Kusuma, 2017). Regulatory and infrastructural challenges further complicate market participation, especially for retail investors who lack resources and knowledge to navigate the capital market (</w:t>
      </w:r>
      <w:proofErr w:type="spellStart"/>
      <w:r w:rsidRPr="00406AE9">
        <w:t>Suhartono</w:t>
      </w:r>
      <w:proofErr w:type="spellEnd"/>
      <w:r w:rsidRPr="00406AE9">
        <w:t xml:space="preserve"> et al., 2020). Higher levels of financial literacy are strongly associated with greater participation in financial markets because financial literacy enables individuals to make informed investment decisions (Lusardi &amp; Mitchell, 2014).</w:t>
      </w:r>
    </w:p>
    <w:p w14:paraId="0C17AEE4" w14:textId="77777777" w:rsidR="00B60331" w:rsidRPr="00406AE9" w:rsidRDefault="00AD5676">
      <w:pPr>
        <w:jc w:val="both"/>
      </w:pPr>
      <w:r w:rsidRPr="00406AE9">
        <w:t>Financial institutions play an important role in facilitating market inclusion by providing access to investment products and financial education (Beck et al., 2009). Banks, brokerage firms, and investment companies can bridge the knowledge gap and offer services that meet the needs of novice investors. Their involvement is essential for creating an inclusive financial ecosystem where individuals feel confident and capable of making investment decisions (Allen et al., 2012). Effective regulatory frameworks also foster a conducive environment for participation by enhancing transparency, protecting investors, and promoting trust in the market (La Porta et al., 2006; OJK, 2019).</w:t>
      </w:r>
    </w:p>
    <w:p w14:paraId="039D05D9" w14:textId="77777777" w:rsidR="00B60331" w:rsidRPr="00406AE9" w:rsidRDefault="00AD5676">
      <w:pPr>
        <w:jc w:val="both"/>
      </w:pPr>
      <w:r w:rsidRPr="00406AE9">
        <w:t>Empirical studies in emerging economies provide valuable insights into the factors that drive investor participation. The literature emphasizes financial literacy, accessibility, institutional support, and digital financial services as important determinants of financial inclusion (</w:t>
      </w:r>
      <w:proofErr w:type="spellStart"/>
      <w:r w:rsidRPr="00406AE9">
        <w:t>Demirgüç</w:t>
      </w:r>
      <w:proofErr w:type="spellEnd"/>
      <w:r w:rsidRPr="00406AE9">
        <w:t>-Kunt et al., 2013). Studies focusing on Indonesia suggest that community-based financial education and digital services can improve market participation (Sari &amp; Wirawan, 2019). These findings underscore the need for a multifaceted approach that addresses investor knowledge, product access, digital infrastructure, and regulatory protection.</w:t>
      </w:r>
    </w:p>
    <w:p w14:paraId="39F5FEF8" w14:textId="77777777" w:rsidR="00B60331" w:rsidRPr="00406AE9" w:rsidRDefault="00AD5676">
      <w:pPr>
        <w:pStyle w:val="Heading1"/>
      </w:pPr>
      <w:r w:rsidRPr="00406AE9">
        <w:rPr>
          <w:rFonts w:ascii="Times New Roman" w:eastAsia="Times New Roman" w:hAnsi="Times New Roman"/>
        </w:rPr>
        <w:t>3. Methodology</w:t>
      </w:r>
    </w:p>
    <w:p w14:paraId="2D433F38" w14:textId="77777777" w:rsidR="00B60331" w:rsidRPr="00406AE9" w:rsidRDefault="00AD5676">
      <w:pPr>
        <w:pStyle w:val="Heading2"/>
      </w:pPr>
      <w:r w:rsidRPr="00406AE9">
        <w:rPr>
          <w:rFonts w:ascii="Times New Roman" w:eastAsia="Times New Roman" w:hAnsi="Times New Roman"/>
        </w:rPr>
        <w:t>3.1 Research Design, Data, and Sample</w:t>
      </w:r>
    </w:p>
    <w:p w14:paraId="07DD19FE" w14:textId="77777777" w:rsidR="00B60331" w:rsidRPr="00406AE9" w:rsidRDefault="00AD5676">
      <w:pPr>
        <w:jc w:val="both"/>
      </w:pPr>
      <w:r w:rsidRPr="00406AE9">
        <w:t>Investment decision-making refers to the process of allocating financial capital to obtain expected returns while considering investment objectives, risk profiles, and desired returns. Investors have different preferences in choosing stocks or mutual funds. Therefore, this study applies logit models to analyze investment preference and the tendency to choose specific instruments. Two models are used: a binary logit model and ordered logit models.</w:t>
      </w:r>
    </w:p>
    <w:p w14:paraId="483AE629" w14:textId="77777777" w:rsidR="00B60331" w:rsidRPr="00406AE9" w:rsidRDefault="00AD5676">
      <w:pPr>
        <w:jc w:val="both"/>
      </w:pPr>
      <w:r w:rsidRPr="00406AE9">
        <w:lastRenderedPageBreak/>
        <w:t xml:space="preserve">The research data are primary data obtained from 200 respondents who had financial asset portfolios in the Indonesian capital market. The sampling technique used purposive random sampling. Respondents were selected based on their involvement or familiarity with financial assets, especially stocks and mutual funds. </w:t>
      </w:r>
    </w:p>
    <w:p w14:paraId="169C9846" w14:textId="77777777" w:rsidR="00B60331" w:rsidRPr="00406AE9" w:rsidRDefault="00AD5676">
      <w:pPr>
        <w:pStyle w:val="Heading2"/>
      </w:pPr>
      <w:r w:rsidRPr="00406AE9">
        <w:rPr>
          <w:rFonts w:ascii="Times New Roman" w:eastAsia="Times New Roman" w:hAnsi="Times New Roman"/>
        </w:rPr>
        <w:t>3.2 Econometric Models</w:t>
      </w:r>
    </w:p>
    <w:p w14:paraId="108A860E" w14:textId="77777777" w:rsidR="00B60331" w:rsidRPr="00406AE9" w:rsidRDefault="00AD5676">
      <w:pPr>
        <w:spacing w:after="40"/>
        <w:jc w:val="center"/>
      </w:pPr>
      <w:r w:rsidRPr="00406AE9">
        <w:rPr>
          <w:sz w:val="20"/>
        </w:rPr>
        <w:t>Investᵢ = α₀ + α₁Ageᵢ + α₂</w:t>
      </w:r>
      <w:proofErr w:type="spellStart"/>
      <w:r w:rsidRPr="00406AE9">
        <w:rPr>
          <w:sz w:val="20"/>
        </w:rPr>
        <w:t>RiskTolerance</w:t>
      </w:r>
      <w:proofErr w:type="spellEnd"/>
      <w:r w:rsidRPr="00406AE9">
        <w:rPr>
          <w:sz w:val="20"/>
        </w:rPr>
        <w:t>ᵢ + α₃</w:t>
      </w:r>
      <w:proofErr w:type="spellStart"/>
      <w:r w:rsidRPr="00406AE9">
        <w:rPr>
          <w:sz w:val="20"/>
        </w:rPr>
        <w:t>FinancialLiteracy</w:t>
      </w:r>
      <w:proofErr w:type="spellEnd"/>
      <w:r w:rsidRPr="00406AE9">
        <w:rPr>
          <w:sz w:val="20"/>
        </w:rPr>
        <w:t>ᵢ + α₄</w:t>
      </w:r>
      <w:proofErr w:type="spellStart"/>
      <w:r w:rsidRPr="00406AE9">
        <w:rPr>
          <w:sz w:val="20"/>
        </w:rPr>
        <w:t>FinancialAccess</w:t>
      </w:r>
      <w:proofErr w:type="spellEnd"/>
      <w:r w:rsidRPr="00406AE9">
        <w:rPr>
          <w:sz w:val="20"/>
        </w:rPr>
        <w:t>ᵢ + α₅</w:t>
      </w:r>
      <w:proofErr w:type="spellStart"/>
      <w:r w:rsidRPr="00406AE9">
        <w:rPr>
          <w:sz w:val="20"/>
        </w:rPr>
        <w:t>DigitalFinancialServices</w:t>
      </w:r>
      <w:proofErr w:type="spellEnd"/>
      <w:r w:rsidRPr="00406AE9">
        <w:rPr>
          <w:sz w:val="20"/>
        </w:rPr>
        <w:t>ᵢ + α₆Regulationᵢ + ε</w:t>
      </w:r>
      <w:proofErr w:type="gramStart"/>
      <w:r w:rsidRPr="00406AE9">
        <w:rPr>
          <w:sz w:val="20"/>
        </w:rPr>
        <w:t>ᵢ  ...</w:t>
      </w:r>
      <w:proofErr w:type="gramEnd"/>
      <w:r w:rsidRPr="00406AE9">
        <w:rPr>
          <w:sz w:val="20"/>
        </w:rPr>
        <w:t>(1)</w:t>
      </w:r>
    </w:p>
    <w:p w14:paraId="2D458BA6" w14:textId="77777777" w:rsidR="00B60331" w:rsidRPr="00406AE9" w:rsidRDefault="00AD5676">
      <w:pPr>
        <w:spacing w:after="40"/>
        <w:jc w:val="center"/>
      </w:pPr>
      <w:r w:rsidRPr="00406AE9">
        <w:rPr>
          <w:sz w:val="20"/>
        </w:rPr>
        <w:t>Stockᵢ = β₀ + β₁Ageᵢ + β₂</w:t>
      </w:r>
      <w:proofErr w:type="spellStart"/>
      <w:r w:rsidRPr="00406AE9">
        <w:rPr>
          <w:sz w:val="20"/>
        </w:rPr>
        <w:t>RiskTolerance</w:t>
      </w:r>
      <w:proofErr w:type="spellEnd"/>
      <w:r w:rsidRPr="00406AE9">
        <w:rPr>
          <w:sz w:val="20"/>
        </w:rPr>
        <w:t>ᵢ + β₃</w:t>
      </w:r>
      <w:proofErr w:type="spellStart"/>
      <w:r w:rsidRPr="00406AE9">
        <w:rPr>
          <w:sz w:val="20"/>
        </w:rPr>
        <w:t>FinancialLiteracy</w:t>
      </w:r>
      <w:proofErr w:type="spellEnd"/>
      <w:r w:rsidRPr="00406AE9">
        <w:rPr>
          <w:sz w:val="20"/>
        </w:rPr>
        <w:t>ᵢ + β₄</w:t>
      </w:r>
      <w:proofErr w:type="spellStart"/>
      <w:r w:rsidRPr="00406AE9">
        <w:rPr>
          <w:sz w:val="20"/>
        </w:rPr>
        <w:t>FinancialAccess</w:t>
      </w:r>
      <w:proofErr w:type="spellEnd"/>
      <w:r w:rsidRPr="00406AE9">
        <w:rPr>
          <w:sz w:val="20"/>
        </w:rPr>
        <w:t>ᵢ + β₅</w:t>
      </w:r>
      <w:proofErr w:type="spellStart"/>
      <w:r w:rsidRPr="00406AE9">
        <w:rPr>
          <w:sz w:val="20"/>
        </w:rPr>
        <w:t>DigitalFinancialServices</w:t>
      </w:r>
      <w:proofErr w:type="spellEnd"/>
      <w:r w:rsidRPr="00406AE9">
        <w:rPr>
          <w:sz w:val="20"/>
        </w:rPr>
        <w:t>ᵢ + β₆Regulationᵢ + ε</w:t>
      </w:r>
      <w:proofErr w:type="gramStart"/>
      <w:r w:rsidRPr="00406AE9">
        <w:rPr>
          <w:sz w:val="20"/>
        </w:rPr>
        <w:t>ᵢ  ...</w:t>
      </w:r>
      <w:proofErr w:type="gramEnd"/>
      <w:r w:rsidRPr="00406AE9">
        <w:rPr>
          <w:sz w:val="20"/>
        </w:rPr>
        <w:t>(2)</w:t>
      </w:r>
    </w:p>
    <w:p w14:paraId="600B1A7F" w14:textId="77777777" w:rsidR="00B60331" w:rsidRPr="00406AE9" w:rsidRDefault="00AD5676">
      <w:pPr>
        <w:spacing w:after="40"/>
        <w:jc w:val="center"/>
        <w:rPr>
          <w:sz w:val="20"/>
        </w:rPr>
      </w:pPr>
      <w:proofErr w:type="spellStart"/>
      <w:r w:rsidRPr="00406AE9">
        <w:rPr>
          <w:sz w:val="20"/>
        </w:rPr>
        <w:t>MutualFunds</w:t>
      </w:r>
      <w:proofErr w:type="spellEnd"/>
      <w:r w:rsidRPr="00406AE9">
        <w:rPr>
          <w:sz w:val="20"/>
        </w:rPr>
        <w:t xml:space="preserve">ᵢ = γ₀ + </w:t>
      </w:r>
      <w:proofErr w:type="spellStart"/>
      <w:r w:rsidRPr="00406AE9">
        <w:rPr>
          <w:sz w:val="20"/>
        </w:rPr>
        <w:t>γ₁Age</w:t>
      </w:r>
      <w:proofErr w:type="spellEnd"/>
      <w:r w:rsidRPr="00406AE9">
        <w:rPr>
          <w:sz w:val="20"/>
        </w:rPr>
        <w:t xml:space="preserve">ᵢ + </w:t>
      </w:r>
      <w:proofErr w:type="spellStart"/>
      <w:r w:rsidRPr="00406AE9">
        <w:rPr>
          <w:sz w:val="20"/>
        </w:rPr>
        <w:t>γ₂RiskTolerance</w:t>
      </w:r>
      <w:proofErr w:type="spellEnd"/>
      <w:r w:rsidRPr="00406AE9">
        <w:rPr>
          <w:sz w:val="20"/>
        </w:rPr>
        <w:t xml:space="preserve">ᵢ + </w:t>
      </w:r>
      <w:proofErr w:type="spellStart"/>
      <w:r w:rsidRPr="00406AE9">
        <w:rPr>
          <w:sz w:val="20"/>
        </w:rPr>
        <w:t>γ₃FinancialLiteracy</w:t>
      </w:r>
      <w:proofErr w:type="spellEnd"/>
      <w:r w:rsidRPr="00406AE9">
        <w:rPr>
          <w:sz w:val="20"/>
        </w:rPr>
        <w:t xml:space="preserve">ᵢ + </w:t>
      </w:r>
      <w:proofErr w:type="spellStart"/>
      <w:r w:rsidRPr="00406AE9">
        <w:rPr>
          <w:sz w:val="20"/>
        </w:rPr>
        <w:t>γ₄FinancialAccess</w:t>
      </w:r>
      <w:proofErr w:type="spellEnd"/>
      <w:r w:rsidRPr="00406AE9">
        <w:rPr>
          <w:sz w:val="20"/>
        </w:rPr>
        <w:t xml:space="preserve">ᵢ + </w:t>
      </w:r>
      <w:proofErr w:type="spellStart"/>
      <w:r w:rsidRPr="00406AE9">
        <w:rPr>
          <w:sz w:val="20"/>
        </w:rPr>
        <w:t>γ₅DigitalFinancialServices</w:t>
      </w:r>
      <w:proofErr w:type="spellEnd"/>
      <w:r w:rsidRPr="00406AE9">
        <w:rPr>
          <w:sz w:val="20"/>
        </w:rPr>
        <w:t xml:space="preserve">ᵢ + </w:t>
      </w:r>
      <w:proofErr w:type="spellStart"/>
      <w:r w:rsidRPr="00406AE9">
        <w:rPr>
          <w:sz w:val="20"/>
        </w:rPr>
        <w:t>γ₆Regulation</w:t>
      </w:r>
      <w:proofErr w:type="spellEnd"/>
      <w:r w:rsidRPr="00406AE9">
        <w:rPr>
          <w:sz w:val="20"/>
        </w:rPr>
        <w:t>ᵢ + ε</w:t>
      </w:r>
      <w:proofErr w:type="gramStart"/>
      <w:r w:rsidRPr="00406AE9">
        <w:rPr>
          <w:sz w:val="20"/>
        </w:rPr>
        <w:t>ᵢ  ...</w:t>
      </w:r>
      <w:proofErr w:type="gramEnd"/>
      <w:r w:rsidRPr="00406AE9">
        <w:rPr>
          <w:sz w:val="20"/>
        </w:rPr>
        <w:t>(3)</w:t>
      </w:r>
    </w:p>
    <w:p w14:paraId="25046702" w14:textId="77777777" w:rsidR="00210001" w:rsidRPr="00406AE9" w:rsidRDefault="00210001" w:rsidP="00210001">
      <w:pPr>
        <w:spacing w:after="40"/>
        <w:jc w:val="both"/>
      </w:pPr>
      <w:r w:rsidRPr="00406AE9">
        <w:tab/>
        <w:t>The variables used in this study were operationalized to examine the determinants of investors’ preferences for stocks and mutual funds in the Indonesian capital market. The dependent variables represent investment participation and the tendency to choose stocks or mutual funds, while the independent variables include age, risk tolerance, financial literacy, financial access, digital financial services, and regulation. Each variable was measured using categorical or Likert-scale indicators to ensure consistency in the logistic regression analysis. A detailed description of the variables, measurement scales, and assigned values is presented in Table 1.</w:t>
      </w:r>
    </w:p>
    <w:p w14:paraId="34F08EA5" w14:textId="77777777" w:rsidR="00B60331" w:rsidRPr="00406AE9" w:rsidRDefault="00AD5676">
      <w:pPr>
        <w:spacing w:after="40"/>
        <w:jc w:val="center"/>
      </w:pPr>
      <w:r w:rsidRPr="00406AE9">
        <w:rPr>
          <w:b/>
          <w:sz w:val="20"/>
        </w:rPr>
        <w:t>Table 1. Description of variables</w:t>
      </w:r>
    </w:p>
    <w:tbl>
      <w:tblPr>
        <w:tblW w:w="5000" w:type="pct"/>
        <w:jc w:val="center"/>
        <w:tblBorders>
          <w:top w:val="single" w:sz="8" w:space="0" w:color="000000"/>
          <w:left w:val="nil"/>
          <w:bottom w:val="single" w:sz="8" w:space="0" w:color="000000"/>
          <w:right w:val="nil"/>
          <w:insideH w:val="single" w:sz="4" w:space="0" w:color="808080"/>
          <w:insideV w:val="nil"/>
        </w:tblBorders>
        <w:tblLook w:val="04A0" w:firstRow="1" w:lastRow="0" w:firstColumn="1" w:lastColumn="0" w:noHBand="0" w:noVBand="1"/>
      </w:tblPr>
      <w:tblGrid>
        <w:gridCol w:w="1765"/>
        <w:gridCol w:w="4470"/>
        <w:gridCol w:w="3845"/>
      </w:tblGrid>
      <w:tr w:rsidR="00B60331" w:rsidRPr="00406AE9" w14:paraId="336BADB0" w14:textId="77777777">
        <w:trPr>
          <w:jc w:val="center"/>
        </w:trPr>
        <w:tc>
          <w:tcPr>
            <w:tcW w:w="1800" w:type="dxa"/>
            <w:tcBorders>
              <w:left w:val="nil"/>
              <w:bottom w:val="single" w:sz="8" w:space="0" w:color="000000"/>
              <w:right w:val="nil"/>
            </w:tcBorders>
            <w:shd w:val="clear" w:color="auto" w:fill="EAF2F8"/>
            <w:vAlign w:val="center"/>
          </w:tcPr>
          <w:p w14:paraId="0B9D1E65" w14:textId="77777777" w:rsidR="00B60331" w:rsidRPr="00406AE9" w:rsidRDefault="00AD5676">
            <w:pPr>
              <w:spacing w:after="40"/>
            </w:pPr>
            <w:r w:rsidRPr="00406AE9">
              <w:rPr>
                <w:b/>
                <w:sz w:val="17"/>
              </w:rPr>
              <w:t>Variable</w:t>
            </w:r>
          </w:p>
        </w:tc>
        <w:tc>
          <w:tcPr>
            <w:tcW w:w="4608" w:type="dxa"/>
            <w:tcBorders>
              <w:left w:val="nil"/>
              <w:bottom w:val="single" w:sz="8" w:space="0" w:color="000000"/>
              <w:right w:val="nil"/>
            </w:tcBorders>
            <w:shd w:val="clear" w:color="auto" w:fill="EAF2F8"/>
            <w:vAlign w:val="center"/>
          </w:tcPr>
          <w:p w14:paraId="25A3C2FD" w14:textId="77777777" w:rsidR="00B60331" w:rsidRPr="00406AE9" w:rsidRDefault="00AD5676">
            <w:pPr>
              <w:spacing w:after="40"/>
            </w:pPr>
            <w:r w:rsidRPr="00406AE9">
              <w:rPr>
                <w:b/>
                <w:sz w:val="17"/>
              </w:rPr>
              <w:t>Description</w:t>
            </w:r>
          </w:p>
        </w:tc>
        <w:tc>
          <w:tcPr>
            <w:tcW w:w="3960" w:type="dxa"/>
            <w:tcBorders>
              <w:left w:val="nil"/>
              <w:bottom w:val="single" w:sz="8" w:space="0" w:color="000000"/>
              <w:right w:val="nil"/>
            </w:tcBorders>
            <w:shd w:val="clear" w:color="auto" w:fill="EAF2F8"/>
            <w:vAlign w:val="center"/>
          </w:tcPr>
          <w:p w14:paraId="167C2387" w14:textId="77777777" w:rsidR="00B60331" w:rsidRPr="00406AE9" w:rsidRDefault="00AD5676">
            <w:pPr>
              <w:spacing w:after="40"/>
            </w:pPr>
            <w:r w:rsidRPr="00406AE9">
              <w:rPr>
                <w:b/>
                <w:sz w:val="17"/>
              </w:rPr>
              <w:t>Value</w:t>
            </w:r>
          </w:p>
        </w:tc>
      </w:tr>
      <w:tr w:rsidR="00B60331" w:rsidRPr="00406AE9" w14:paraId="286AA681" w14:textId="77777777">
        <w:trPr>
          <w:jc w:val="center"/>
        </w:trPr>
        <w:tc>
          <w:tcPr>
            <w:tcW w:w="1800" w:type="dxa"/>
            <w:vAlign w:val="center"/>
          </w:tcPr>
          <w:p w14:paraId="44F302E4" w14:textId="77777777" w:rsidR="00B60331" w:rsidRPr="00406AE9" w:rsidRDefault="00AD5676">
            <w:pPr>
              <w:spacing w:after="40"/>
            </w:pPr>
            <w:r w:rsidRPr="00406AE9">
              <w:rPr>
                <w:sz w:val="17"/>
              </w:rPr>
              <w:t>Invest</w:t>
            </w:r>
          </w:p>
        </w:tc>
        <w:tc>
          <w:tcPr>
            <w:tcW w:w="4608" w:type="dxa"/>
            <w:vAlign w:val="center"/>
          </w:tcPr>
          <w:p w14:paraId="39C2C962" w14:textId="77777777" w:rsidR="00B60331" w:rsidRPr="00406AE9" w:rsidRDefault="00AD5676">
            <w:pPr>
              <w:spacing w:after="40"/>
            </w:pPr>
            <w:r w:rsidRPr="00406AE9">
              <w:rPr>
                <w:sz w:val="17"/>
              </w:rPr>
              <w:t>Stock or mutual fund selection preference</w:t>
            </w:r>
          </w:p>
        </w:tc>
        <w:tc>
          <w:tcPr>
            <w:tcW w:w="3960" w:type="dxa"/>
            <w:vAlign w:val="center"/>
          </w:tcPr>
          <w:p w14:paraId="00B4854E" w14:textId="77777777" w:rsidR="00B60331" w:rsidRPr="00406AE9" w:rsidRDefault="00AD5676">
            <w:pPr>
              <w:spacing w:after="40"/>
            </w:pPr>
            <w:r w:rsidRPr="00406AE9">
              <w:rPr>
                <w:sz w:val="17"/>
              </w:rPr>
              <w:t>1 = stock; 0 = mutual funds</w:t>
            </w:r>
          </w:p>
        </w:tc>
      </w:tr>
      <w:tr w:rsidR="00B60331" w:rsidRPr="00406AE9" w14:paraId="3D696B40" w14:textId="77777777">
        <w:trPr>
          <w:jc w:val="center"/>
        </w:trPr>
        <w:tc>
          <w:tcPr>
            <w:tcW w:w="1800" w:type="dxa"/>
            <w:vAlign w:val="center"/>
          </w:tcPr>
          <w:p w14:paraId="1E8259F0" w14:textId="77777777" w:rsidR="00B60331" w:rsidRPr="00406AE9" w:rsidRDefault="00AD5676">
            <w:pPr>
              <w:spacing w:after="40"/>
            </w:pPr>
            <w:r w:rsidRPr="00406AE9">
              <w:rPr>
                <w:sz w:val="17"/>
              </w:rPr>
              <w:t>Stock</w:t>
            </w:r>
          </w:p>
        </w:tc>
        <w:tc>
          <w:tcPr>
            <w:tcW w:w="4608" w:type="dxa"/>
            <w:vAlign w:val="center"/>
          </w:tcPr>
          <w:p w14:paraId="09C11E93" w14:textId="77777777" w:rsidR="00B60331" w:rsidRPr="00406AE9" w:rsidRDefault="00AD5676">
            <w:pPr>
              <w:spacing w:after="40"/>
            </w:pPr>
            <w:r w:rsidRPr="00406AE9">
              <w:rPr>
                <w:sz w:val="17"/>
              </w:rPr>
              <w:t>Tendency to choose stocks</w:t>
            </w:r>
          </w:p>
        </w:tc>
        <w:tc>
          <w:tcPr>
            <w:tcW w:w="3960" w:type="dxa"/>
            <w:vAlign w:val="center"/>
          </w:tcPr>
          <w:p w14:paraId="50BEA915" w14:textId="77777777" w:rsidR="00B60331" w:rsidRPr="00406AE9" w:rsidRDefault="00AD5676">
            <w:pPr>
              <w:spacing w:after="40"/>
            </w:pPr>
            <w:r w:rsidRPr="00406AE9">
              <w:rPr>
                <w:sz w:val="17"/>
              </w:rPr>
              <w:t>Likert scale 1-5; 1 = very low; 5 = very high</w:t>
            </w:r>
          </w:p>
        </w:tc>
      </w:tr>
      <w:tr w:rsidR="00B60331" w:rsidRPr="00406AE9" w14:paraId="4C019775" w14:textId="77777777">
        <w:trPr>
          <w:jc w:val="center"/>
        </w:trPr>
        <w:tc>
          <w:tcPr>
            <w:tcW w:w="1800" w:type="dxa"/>
            <w:vAlign w:val="center"/>
          </w:tcPr>
          <w:p w14:paraId="10444587" w14:textId="77777777" w:rsidR="00B60331" w:rsidRPr="00406AE9" w:rsidRDefault="00AD5676">
            <w:pPr>
              <w:spacing w:after="40"/>
            </w:pPr>
            <w:r w:rsidRPr="00406AE9">
              <w:rPr>
                <w:sz w:val="17"/>
              </w:rPr>
              <w:t>Mutual funds</w:t>
            </w:r>
          </w:p>
        </w:tc>
        <w:tc>
          <w:tcPr>
            <w:tcW w:w="4608" w:type="dxa"/>
            <w:vAlign w:val="center"/>
          </w:tcPr>
          <w:p w14:paraId="262C0644" w14:textId="77777777" w:rsidR="00B60331" w:rsidRPr="00406AE9" w:rsidRDefault="00AD5676">
            <w:pPr>
              <w:spacing w:after="40"/>
            </w:pPr>
            <w:r w:rsidRPr="00406AE9">
              <w:rPr>
                <w:sz w:val="17"/>
              </w:rPr>
              <w:t>Tendency to choose mutual funds</w:t>
            </w:r>
          </w:p>
        </w:tc>
        <w:tc>
          <w:tcPr>
            <w:tcW w:w="3960" w:type="dxa"/>
            <w:vAlign w:val="center"/>
          </w:tcPr>
          <w:p w14:paraId="01F9175A" w14:textId="77777777" w:rsidR="00B60331" w:rsidRPr="00406AE9" w:rsidRDefault="00AD5676">
            <w:pPr>
              <w:spacing w:after="40"/>
            </w:pPr>
            <w:r w:rsidRPr="00406AE9">
              <w:rPr>
                <w:sz w:val="17"/>
              </w:rPr>
              <w:t>Likert scale 1-5; 1 = very low; 5 = very high</w:t>
            </w:r>
          </w:p>
        </w:tc>
      </w:tr>
      <w:tr w:rsidR="00B60331" w:rsidRPr="00406AE9" w14:paraId="659096A4" w14:textId="77777777">
        <w:trPr>
          <w:jc w:val="center"/>
        </w:trPr>
        <w:tc>
          <w:tcPr>
            <w:tcW w:w="1800" w:type="dxa"/>
            <w:vAlign w:val="center"/>
          </w:tcPr>
          <w:p w14:paraId="741C5372" w14:textId="77777777" w:rsidR="00B60331" w:rsidRPr="00406AE9" w:rsidRDefault="00AD5676">
            <w:pPr>
              <w:spacing w:after="40"/>
            </w:pPr>
            <w:r w:rsidRPr="00406AE9">
              <w:rPr>
                <w:sz w:val="17"/>
              </w:rPr>
              <w:t>Age</w:t>
            </w:r>
          </w:p>
        </w:tc>
        <w:tc>
          <w:tcPr>
            <w:tcW w:w="4608" w:type="dxa"/>
            <w:vAlign w:val="center"/>
          </w:tcPr>
          <w:p w14:paraId="7DBA3B7D" w14:textId="77777777" w:rsidR="00B60331" w:rsidRPr="00406AE9" w:rsidRDefault="00AD5676">
            <w:pPr>
              <w:spacing w:after="40"/>
            </w:pPr>
            <w:r w:rsidRPr="00406AE9">
              <w:rPr>
                <w:sz w:val="17"/>
              </w:rPr>
              <w:t>Age/generation of respondent</w:t>
            </w:r>
          </w:p>
        </w:tc>
        <w:tc>
          <w:tcPr>
            <w:tcW w:w="3960" w:type="dxa"/>
            <w:vAlign w:val="center"/>
          </w:tcPr>
          <w:p w14:paraId="6C892D02" w14:textId="77777777" w:rsidR="00B60331" w:rsidRPr="00406AE9" w:rsidRDefault="00AD5676">
            <w:pPr>
              <w:spacing w:after="40"/>
            </w:pPr>
            <w:r w:rsidRPr="00406AE9">
              <w:rPr>
                <w:sz w:val="17"/>
              </w:rPr>
              <w:t>1 = Gen Z (&lt;25); 2 = Gen Y/Millennials (25-40); 3 = Gen X (41-56); 4 = Baby Boomers (&gt;56)</w:t>
            </w:r>
          </w:p>
        </w:tc>
      </w:tr>
      <w:tr w:rsidR="00B60331" w:rsidRPr="00406AE9" w14:paraId="7E14F8BE" w14:textId="77777777">
        <w:trPr>
          <w:jc w:val="center"/>
        </w:trPr>
        <w:tc>
          <w:tcPr>
            <w:tcW w:w="1800" w:type="dxa"/>
            <w:vAlign w:val="center"/>
          </w:tcPr>
          <w:p w14:paraId="76F00796" w14:textId="77777777" w:rsidR="00B60331" w:rsidRPr="00406AE9" w:rsidRDefault="00AD5676">
            <w:pPr>
              <w:spacing w:after="40"/>
            </w:pPr>
            <w:r w:rsidRPr="00406AE9">
              <w:rPr>
                <w:sz w:val="17"/>
              </w:rPr>
              <w:t>Risk tolerance</w:t>
            </w:r>
          </w:p>
        </w:tc>
        <w:tc>
          <w:tcPr>
            <w:tcW w:w="4608" w:type="dxa"/>
            <w:vAlign w:val="center"/>
          </w:tcPr>
          <w:p w14:paraId="716008EA" w14:textId="77777777" w:rsidR="00B60331" w:rsidRPr="00406AE9" w:rsidRDefault="00AD5676">
            <w:pPr>
              <w:spacing w:after="40"/>
            </w:pPr>
            <w:r w:rsidRPr="00406AE9">
              <w:rPr>
                <w:sz w:val="17"/>
              </w:rPr>
              <w:t>Ability to bear investment risk</w:t>
            </w:r>
          </w:p>
        </w:tc>
        <w:tc>
          <w:tcPr>
            <w:tcW w:w="3960" w:type="dxa"/>
            <w:vAlign w:val="center"/>
          </w:tcPr>
          <w:p w14:paraId="0C42E9EE" w14:textId="77777777" w:rsidR="00B60331" w:rsidRPr="00406AE9" w:rsidRDefault="00AD5676">
            <w:pPr>
              <w:spacing w:after="40"/>
            </w:pPr>
            <w:r w:rsidRPr="00406AE9">
              <w:rPr>
                <w:sz w:val="17"/>
              </w:rPr>
              <w:t>Likert scale 1-5; 1 = very low; 5 = very high</w:t>
            </w:r>
          </w:p>
        </w:tc>
      </w:tr>
      <w:tr w:rsidR="00B60331" w:rsidRPr="00406AE9" w14:paraId="30C4AE3C" w14:textId="77777777">
        <w:trPr>
          <w:jc w:val="center"/>
        </w:trPr>
        <w:tc>
          <w:tcPr>
            <w:tcW w:w="1800" w:type="dxa"/>
            <w:vAlign w:val="center"/>
          </w:tcPr>
          <w:p w14:paraId="05979474" w14:textId="77777777" w:rsidR="00B60331" w:rsidRPr="00406AE9" w:rsidRDefault="00AD5676">
            <w:pPr>
              <w:spacing w:after="40"/>
            </w:pPr>
            <w:r w:rsidRPr="00406AE9">
              <w:rPr>
                <w:sz w:val="17"/>
              </w:rPr>
              <w:t>Financial literacy</w:t>
            </w:r>
          </w:p>
        </w:tc>
        <w:tc>
          <w:tcPr>
            <w:tcW w:w="4608" w:type="dxa"/>
            <w:vAlign w:val="center"/>
          </w:tcPr>
          <w:p w14:paraId="2326CA55" w14:textId="77777777" w:rsidR="00B60331" w:rsidRPr="00406AE9" w:rsidRDefault="00AD5676">
            <w:pPr>
              <w:spacing w:after="40"/>
            </w:pPr>
            <w:r w:rsidRPr="00406AE9">
              <w:rPr>
                <w:sz w:val="17"/>
              </w:rPr>
              <w:t>Knowledge, skills, and beliefs that influence attitudes, behavior, decision-making, and financial management</w:t>
            </w:r>
          </w:p>
        </w:tc>
        <w:tc>
          <w:tcPr>
            <w:tcW w:w="3960" w:type="dxa"/>
            <w:vAlign w:val="center"/>
          </w:tcPr>
          <w:p w14:paraId="222CEE74" w14:textId="77777777" w:rsidR="00B60331" w:rsidRPr="00406AE9" w:rsidRDefault="00AD5676">
            <w:pPr>
              <w:spacing w:after="40"/>
            </w:pPr>
            <w:r w:rsidRPr="00406AE9">
              <w:rPr>
                <w:sz w:val="17"/>
              </w:rPr>
              <w:t>Likert scale 1-5; 1 = very low; 5 = very high</w:t>
            </w:r>
          </w:p>
        </w:tc>
      </w:tr>
      <w:tr w:rsidR="00B60331" w:rsidRPr="00406AE9" w14:paraId="0DFB8952" w14:textId="77777777">
        <w:trPr>
          <w:jc w:val="center"/>
        </w:trPr>
        <w:tc>
          <w:tcPr>
            <w:tcW w:w="1800" w:type="dxa"/>
            <w:vAlign w:val="center"/>
          </w:tcPr>
          <w:p w14:paraId="045D0253" w14:textId="77777777" w:rsidR="00B60331" w:rsidRPr="00406AE9" w:rsidRDefault="00AD5676">
            <w:pPr>
              <w:spacing w:after="40"/>
            </w:pPr>
            <w:r w:rsidRPr="00406AE9">
              <w:rPr>
                <w:sz w:val="17"/>
              </w:rPr>
              <w:t>Financial access</w:t>
            </w:r>
          </w:p>
        </w:tc>
        <w:tc>
          <w:tcPr>
            <w:tcW w:w="4608" w:type="dxa"/>
            <w:vAlign w:val="center"/>
          </w:tcPr>
          <w:p w14:paraId="7F2EEB69" w14:textId="77777777" w:rsidR="00B60331" w:rsidRPr="00406AE9" w:rsidRDefault="00AD5676">
            <w:pPr>
              <w:spacing w:after="40"/>
            </w:pPr>
            <w:r w:rsidRPr="00406AE9">
              <w:rPr>
                <w:sz w:val="17"/>
              </w:rPr>
              <w:t>Individual ability to obtain financial services</w:t>
            </w:r>
          </w:p>
        </w:tc>
        <w:tc>
          <w:tcPr>
            <w:tcW w:w="3960" w:type="dxa"/>
            <w:vAlign w:val="center"/>
          </w:tcPr>
          <w:p w14:paraId="460A235D" w14:textId="77777777" w:rsidR="00B60331" w:rsidRPr="00406AE9" w:rsidRDefault="00AD5676">
            <w:pPr>
              <w:spacing w:after="40"/>
            </w:pPr>
            <w:r w:rsidRPr="00406AE9">
              <w:rPr>
                <w:sz w:val="17"/>
              </w:rPr>
              <w:t>Likert scale 1-5; 1 = very low; 5 = very high</w:t>
            </w:r>
          </w:p>
        </w:tc>
      </w:tr>
      <w:tr w:rsidR="00B60331" w:rsidRPr="00406AE9" w14:paraId="204A4821" w14:textId="77777777">
        <w:trPr>
          <w:jc w:val="center"/>
        </w:trPr>
        <w:tc>
          <w:tcPr>
            <w:tcW w:w="1800" w:type="dxa"/>
            <w:vAlign w:val="center"/>
          </w:tcPr>
          <w:p w14:paraId="05CFBCCD" w14:textId="77777777" w:rsidR="00B60331" w:rsidRPr="00406AE9" w:rsidRDefault="00AD5676">
            <w:pPr>
              <w:spacing w:after="40"/>
            </w:pPr>
            <w:r w:rsidRPr="00406AE9">
              <w:rPr>
                <w:sz w:val="17"/>
              </w:rPr>
              <w:t>Digital financial services</w:t>
            </w:r>
          </w:p>
        </w:tc>
        <w:tc>
          <w:tcPr>
            <w:tcW w:w="4608" w:type="dxa"/>
            <w:vAlign w:val="center"/>
          </w:tcPr>
          <w:p w14:paraId="0D8AA5D2" w14:textId="77777777" w:rsidR="00B60331" w:rsidRPr="00406AE9" w:rsidRDefault="00AD5676">
            <w:pPr>
              <w:spacing w:after="40"/>
            </w:pPr>
            <w:r w:rsidRPr="00406AE9">
              <w:rPr>
                <w:sz w:val="17"/>
              </w:rPr>
              <w:t>Frequency of using electronic payment and financial systems</w:t>
            </w:r>
          </w:p>
        </w:tc>
        <w:tc>
          <w:tcPr>
            <w:tcW w:w="3960" w:type="dxa"/>
            <w:vAlign w:val="center"/>
          </w:tcPr>
          <w:p w14:paraId="1B081640" w14:textId="77777777" w:rsidR="00B60331" w:rsidRPr="00406AE9" w:rsidRDefault="00AD5676">
            <w:pPr>
              <w:spacing w:after="40"/>
            </w:pPr>
            <w:r w:rsidRPr="00406AE9">
              <w:rPr>
                <w:sz w:val="17"/>
              </w:rPr>
              <w:t>Likert scale 1-5; 1 = very low; 5 = very high</w:t>
            </w:r>
          </w:p>
        </w:tc>
      </w:tr>
      <w:tr w:rsidR="00B60331" w:rsidRPr="00406AE9" w14:paraId="0F75C99A" w14:textId="77777777">
        <w:trPr>
          <w:jc w:val="center"/>
        </w:trPr>
        <w:tc>
          <w:tcPr>
            <w:tcW w:w="1800" w:type="dxa"/>
            <w:vAlign w:val="center"/>
          </w:tcPr>
          <w:p w14:paraId="5CBDDA46" w14:textId="77777777" w:rsidR="00B60331" w:rsidRPr="00406AE9" w:rsidRDefault="00AD5676">
            <w:pPr>
              <w:spacing w:after="40"/>
            </w:pPr>
            <w:r w:rsidRPr="00406AE9">
              <w:rPr>
                <w:sz w:val="17"/>
              </w:rPr>
              <w:t>Regulation</w:t>
            </w:r>
          </w:p>
        </w:tc>
        <w:tc>
          <w:tcPr>
            <w:tcW w:w="4608" w:type="dxa"/>
            <w:vAlign w:val="center"/>
          </w:tcPr>
          <w:p w14:paraId="7A6BA9C9" w14:textId="77777777" w:rsidR="00B60331" w:rsidRPr="00406AE9" w:rsidRDefault="00AD5676">
            <w:pPr>
              <w:spacing w:after="40"/>
            </w:pPr>
            <w:r w:rsidRPr="00406AE9">
              <w:rPr>
                <w:sz w:val="17"/>
              </w:rPr>
              <w:t>Importance of regulations and laws complied with by companies in the financial industry</w:t>
            </w:r>
          </w:p>
        </w:tc>
        <w:tc>
          <w:tcPr>
            <w:tcW w:w="3960" w:type="dxa"/>
            <w:vAlign w:val="center"/>
          </w:tcPr>
          <w:p w14:paraId="0F5D759D" w14:textId="77777777" w:rsidR="00B60331" w:rsidRPr="00406AE9" w:rsidRDefault="00AD5676">
            <w:pPr>
              <w:spacing w:after="40"/>
            </w:pPr>
            <w:r w:rsidRPr="00406AE9">
              <w:rPr>
                <w:sz w:val="17"/>
              </w:rPr>
              <w:t>Likert scale 1-5; 1 = very low; 5 = very high</w:t>
            </w:r>
          </w:p>
        </w:tc>
      </w:tr>
    </w:tbl>
    <w:p w14:paraId="34C3C9F3" w14:textId="77777777" w:rsidR="00B60331" w:rsidRPr="00406AE9" w:rsidRDefault="00AD5676">
      <w:pPr>
        <w:pStyle w:val="Heading1"/>
      </w:pPr>
      <w:r w:rsidRPr="00406AE9">
        <w:rPr>
          <w:rFonts w:ascii="Times New Roman" w:eastAsia="Times New Roman" w:hAnsi="Times New Roman"/>
        </w:rPr>
        <w:t>4. Results and Discussion</w:t>
      </w:r>
    </w:p>
    <w:p w14:paraId="5627412C" w14:textId="77777777" w:rsidR="00B60331" w:rsidRPr="00406AE9" w:rsidRDefault="00AD5676">
      <w:pPr>
        <w:pStyle w:val="Heading2"/>
      </w:pPr>
      <w:r w:rsidRPr="00406AE9">
        <w:rPr>
          <w:rFonts w:ascii="Times New Roman" w:eastAsia="Times New Roman" w:hAnsi="Times New Roman"/>
        </w:rPr>
        <w:t>4.1 Investment Preference and Financial Literacy</w:t>
      </w:r>
    </w:p>
    <w:p w14:paraId="3AFC2348" w14:textId="77777777" w:rsidR="00B60331" w:rsidRPr="00406AE9" w:rsidRDefault="00AD5676">
      <w:pPr>
        <w:jc w:val="both"/>
      </w:pPr>
      <w:r w:rsidRPr="00406AE9">
        <w:t xml:space="preserve">Mutual funds are perceived as less risky because of their diversified nature, making them more attractive to novice investors. Conversely, investors with higher risk tolerance and financial knowledge are more inclined to invest directly in stocks. This behavior underscores the importance of financial education in shaping investment choices and risk perception (Nasution &amp; Kusuma, 2017). Barriers to market participation include limited financial literacy, lack of access to financial products, distrust in the market, and cultural attitudes that favor traditional savings over capital market investment (Susanto &amp; </w:t>
      </w:r>
      <w:proofErr w:type="spellStart"/>
      <w:r w:rsidRPr="00406AE9">
        <w:t>Handayani</w:t>
      </w:r>
      <w:proofErr w:type="spellEnd"/>
      <w:r w:rsidRPr="00406AE9">
        <w:t>, 2020).</w:t>
      </w:r>
    </w:p>
    <w:p w14:paraId="75E24304" w14:textId="77777777" w:rsidR="00D27528" w:rsidRPr="00406AE9" w:rsidRDefault="00000000">
      <w:r w:rsidRPr="00406AE9">
        <w:t>This interpretation is consistent with household finance research showing that limited financial sophistication can discourage direct equity participation, especially when investors do not fully understand diversification and price risk (Campbell, 2006; van Rooij et al., 2011). Therefore, mutual funds may function as an intermediate investment channel for individuals who are willing to enter the capital market but are not yet prepared to manage individual stock portfolios.</w:t>
      </w:r>
    </w:p>
    <w:p w14:paraId="0431E3B2" w14:textId="77777777" w:rsidR="00D27528" w:rsidRPr="00406AE9" w:rsidRDefault="00000000">
      <w:r w:rsidRPr="00406AE9">
        <w:t>Evidence from financial literacy studies further indicates that knowledge gaps can affect not only participation but also the quality of financial decisions during periods of uncertainty (Klapper et al., 2013; Lusardi &amp; Mitchell, 2014). The significant role of financial literacy in the binary logit model should therefore be interpreted as support for capability-building rather than as evidence that education alone is sufficient to expand participation.</w:t>
      </w:r>
    </w:p>
    <w:p w14:paraId="08F8E53B" w14:textId="77777777" w:rsidR="00B60331" w:rsidRPr="00406AE9" w:rsidRDefault="00AD5676">
      <w:pPr>
        <w:jc w:val="both"/>
      </w:pPr>
      <w:r w:rsidRPr="00406AE9">
        <w:lastRenderedPageBreak/>
        <w:t>The analysis of financial literacy indicates varying degrees of understanding of financial concepts. While many respondents demonstrate basic knowledge of stocks and mutual funds, advanced financial literacy remains limited. This finding aligns with previous research highlighting the need for stronger financial education to boost market participation (Lusardi &amp; Mitchell, 2014). Individuals with higher financial literacy are more likely to engage in diversified investment strategies and show greater confidence in investment decisions (Hidayat &amp; Abduh, 2012).</w:t>
      </w:r>
    </w:p>
    <w:p w14:paraId="4F7EB970" w14:textId="77777777" w:rsidR="00D27528" w:rsidRPr="00406AE9" w:rsidRDefault="00000000">
      <w:r w:rsidRPr="00406AE9">
        <w:t>The positive association between financial literacy and stock preference is also in line with evidence that individuals with stronger understanding of stocks, bonds, and diversification are more likely to participate in equity markets (Guiso &amp; Jappelli, 2005; van Rooij et al., 2011). However, this relationship should be viewed cautiously because literacy interacts with access, trust, income, and investment experience.</w:t>
      </w:r>
    </w:p>
    <w:p w14:paraId="4B9CCF95" w14:textId="77777777" w:rsidR="00B60331" w:rsidRPr="00406AE9" w:rsidRDefault="00AD5676">
      <w:pPr>
        <w:spacing w:after="40"/>
        <w:jc w:val="center"/>
      </w:pPr>
      <w:r w:rsidRPr="00406AE9">
        <w:rPr>
          <w:b/>
          <w:sz w:val="20"/>
        </w:rPr>
        <w:t>Table 2. Binary logit model</w:t>
      </w:r>
    </w:p>
    <w:tbl>
      <w:tblPr>
        <w:tblW w:w="5000" w:type="pct"/>
        <w:jc w:val="center"/>
        <w:tblBorders>
          <w:top w:val="single" w:sz="8" w:space="0" w:color="000000"/>
          <w:left w:val="nil"/>
          <w:bottom w:val="single" w:sz="8" w:space="0" w:color="000000"/>
          <w:right w:val="nil"/>
          <w:insideH w:val="single" w:sz="4" w:space="0" w:color="808080"/>
          <w:insideV w:val="nil"/>
        </w:tblBorders>
        <w:tblLook w:val="04A0" w:firstRow="1" w:lastRow="0" w:firstColumn="1" w:lastColumn="0" w:noHBand="0" w:noVBand="1"/>
      </w:tblPr>
      <w:tblGrid>
        <w:gridCol w:w="3261"/>
        <w:gridCol w:w="1779"/>
        <w:gridCol w:w="1779"/>
        <w:gridCol w:w="1779"/>
        <w:gridCol w:w="1482"/>
      </w:tblGrid>
      <w:tr w:rsidR="00B60331" w:rsidRPr="00406AE9" w14:paraId="13D013EE" w14:textId="77777777">
        <w:trPr>
          <w:jc w:val="center"/>
        </w:trPr>
        <w:tc>
          <w:tcPr>
            <w:tcW w:w="3168" w:type="dxa"/>
            <w:tcBorders>
              <w:left w:val="nil"/>
              <w:bottom w:val="single" w:sz="8" w:space="0" w:color="000000"/>
              <w:right w:val="nil"/>
            </w:tcBorders>
            <w:shd w:val="clear" w:color="auto" w:fill="EAF2F8"/>
            <w:vAlign w:val="center"/>
          </w:tcPr>
          <w:p w14:paraId="59D4756C" w14:textId="77777777" w:rsidR="00B60331" w:rsidRPr="00406AE9" w:rsidRDefault="00AD5676">
            <w:pPr>
              <w:spacing w:after="40"/>
            </w:pPr>
            <w:r w:rsidRPr="00406AE9">
              <w:rPr>
                <w:b/>
                <w:sz w:val="17"/>
              </w:rPr>
              <w:t>Variable</w:t>
            </w:r>
          </w:p>
        </w:tc>
        <w:tc>
          <w:tcPr>
            <w:tcW w:w="1728" w:type="dxa"/>
            <w:tcBorders>
              <w:left w:val="nil"/>
              <w:bottom w:val="single" w:sz="8" w:space="0" w:color="000000"/>
              <w:right w:val="nil"/>
            </w:tcBorders>
            <w:shd w:val="clear" w:color="auto" w:fill="EAF2F8"/>
            <w:vAlign w:val="center"/>
          </w:tcPr>
          <w:p w14:paraId="46A99876" w14:textId="77777777" w:rsidR="00B60331" w:rsidRPr="00406AE9" w:rsidRDefault="00AD5676">
            <w:pPr>
              <w:spacing w:after="40"/>
            </w:pPr>
            <w:r w:rsidRPr="00406AE9">
              <w:rPr>
                <w:b/>
                <w:sz w:val="17"/>
              </w:rPr>
              <w:t>Coefficient</w:t>
            </w:r>
          </w:p>
        </w:tc>
        <w:tc>
          <w:tcPr>
            <w:tcW w:w="1728" w:type="dxa"/>
            <w:tcBorders>
              <w:left w:val="nil"/>
              <w:bottom w:val="single" w:sz="8" w:space="0" w:color="000000"/>
              <w:right w:val="nil"/>
            </w:tcBorders>
            <w:shd w:val="clear" w:color="auto" w:fill="EAF2F8"/>
            <w:vAlign w:val="center"/>
          </w:tcPr>
          <w:p w14:paraId="734AB3BE" w14:textId="77777777" w:rsidR="00B60331" w:rsidRPr="00406AE9" w:rsidRDefault="00AD5676">
            <w:pPr>
              <w:spacing w:after="40"/>
            </w:pPr>
            <w:r w:rsidRPr="00406AE9">
              <w:rPr>
                <w:b/>
                <w:sz w:val="17"/>
              </w:rPr>
              <w:t>Std. Error</w:t>
            </w:r>
          </w:p>
        </w:tc>
        <w:tc>
          <w:tcPr>
            <w:tcW w:w="1728" w:type="dxa"/>
            <w:tcBorders>
              <w:left w:val="nil"/>
              <w:bottom w:val="single" w:sz="8" w:space="0" w:color="000000"/>
              <w:right w:val="nil"/>
            </w:tcBorders>
            <w:shd w:val="clear" w:color="auto" w:fill="EAF2F8"/>
            <w:vAlign w:val="center"/>
          </w:tcPr>
          <w:p w14:paraId="13DE67CD" w14:textId="77777777" w:rsidR="00B60331" w:rsidRPr="00406AE9" w:rsidRDefault="00AD5676">
            <w:pPr>
              <w:spacing w:after="40"/>
            </w:pPr>
            <w:r w:rsidRPr="00406AE9">
              <w:rPr>
                <w:b/>
                <w:sz w:val="17"/>
              </w:rPr>
              <w:t>z-Statistic</w:t>
            </w:r>
          </w:p>
        </w:tc>
        <w:tc>
          <w:tcPr>
            <w:tcW w:w="1440" w:type="dxa"/>
            <w:tcBorders>
              <w:left w:val="nil"/>
              <w:bottom w:val="single" w:sz="8" w:space="0" w:color="000000"/>
              <w:right w:val="nil"/>
            </w:tcBorders>
            <w:shd w:val="clear" w:color="auto" w:fill="EAF2F8"/>
            <w:vAlign w:val="center"/>
          </w:tcPr>
          <w:p w14:paraId="5640ECFA" w14:textId="77777777" w:rsidR="00B60331" w:rsidRPr="00406AE9" w:rsidRDefault="00AD5676">
            <w:pPr>
              <w:spacing w:after="40"/>
            </w:pPr>
            <w:r w:rsidRPr="00406AE9">
              <w:rPr>
                <w:b/>
                <w:sz w:val="17"/>
              </w:rPr>
              <w:t>Prob.</w:t>
            </w:r>
          </w:p>
        </w:tc>
      </w:tr>
      <w:tr w:rsidR="00B60331" w:rsidRPr="00406AE9" w14:paraId="081763BC" w14:textId="77777777">
        <w:trPr>
          <w:jc w:val="center"/>
        </w:trPr>
        <w:tc>
          <w:tcPr>
            <w:tcW w:w="3168" w:type="dxa"/>
            <w:vAlign w:val="center"/>
          </w:tcPr>
          <w:p w14:paraId="30995486" w14:textId="77777777" w:rsidR="00B60331" w:rsidRPr="00406AE9" w:rsidRDefault="00AD5676">
            <w:pPr>
              <w:spacing w:after="40"/>
            </w:pPr>
            <w:r w:rsidRPr="00406AE9">
              <w:rPr>
                <w:sz w:val="17"/>
              </w:rPr>
              <w:t>Age</w:t>
            </w:r>
          </w:p>
        </w:tc>
        <w:tc>
          <w:tcPr>
            <w:tcW w:w="1728" w:type="dxa"/>
            <w:vAlign w:val="center"/>
          </w:tcPr>
          <w:p w14:paraId="054C61F7" w14:textId="77777777" w:rsidR="00B60331" w:rsidRPr="00406AE9" w:rsidRDefault="00AD5676">
            <w:pPr>
              <w:spacing w:after="40"/>
            </w:pPr>
            <w:r w:rsidRPr="00406AE9">
              <w:rPr>
                <w:sz w:val="17"/>
              </w:rPr>
              <w:t>1.769145*</w:t>
            </w:r>
          </w:p>
        </w:tc>
        <w:tc>
          <w:tcPr>
            <w:tcW w:w="1728" w:type="dxa"/>
            <w:vAlign w:val="center"/>
          </w:tcPr>
          <w:p w14:paraId="5E56E691" w14:textId="77777777" w:rsidR="00B60331" w:rsidRPr="00406AE9" w:rsidRDefault="00AD5676">
            <w:pPr>
              <w:spacing w:after="40"/>
            </w:pPr>
            <w:r w:rsidRPr="00406AE9">
              <w:rPr>
                <w:sz w:val="17"/>
              </w:rPr>
              <w:t>0.311375</w:t>
            </w:r>
          </w:p>
        </w:tc>
        <w:tc>
          <w:tcPr>
            <w:tcW w:w="1728" w:type="dxa"/>
            <w:vAlign w:val="center"/>
          </w:tcPr>
          <w:p w14:paraId="46D83E77" w14:textId="77777777" w:rsidR="00B60331" w:rsidRPr="00406AE9" w:rsidRDefault="00AD5676">
            <w:pPr>
              <w:spacing w:after="40"/>
            </w:pPr>
            <w:r w:rsidRPr="00406AE9">
              <w:rPr>
                <w:sz w:val="17"/>
              </w:rPr>
              <w:t>5.681725</w:t>
            </w:r>
          </w:p>
        </w:tc>
        <w:tc>
          <w:tcPr>
            <w:tcW w:w="1440" w:type="dxa"/>
            <w:vAlign w:val="center"/>
          </w:tcPr>
          <w:p w14:paraId="70E12362" w14:textId="77777777" w:rsidR="00B60331" w:rsidRPr="00406AE9" w:rsidRDefault="00AD5676">
            <w:pPr>
              <w:spacing w:after="40"/>
            </w:pPr>
            <w:r w:rsidRPr="00406AE9">
              <w:rPr>
                <w:sz w:val="17"/>
              </w:rPr>
              <w:t>0.0000</w:t>
            </w:r>
          </w:p>
        </w:tc>
      </w:tr>
      <w:tr w:rsidR="00B60331" w:rsidRPr="00406AE9" w14:paraId="65233F7A" w14:textId="77777777">
        <w:trPr>
          <w:jc w:val="center"/>
        </w:trPr>
        <w:tc>
          <w:tcPr>
            <w:tcW w:w="3168" w:type="dxa"/>
            <w:vAlign w:val="center"/>
          </w:tcPr>
          <w:p w14:paraId="0459E3F7" w14:textId="77777777" w:rsidR="00B60331" w:rsidRPr="00406AE9" w:rsidRDefault="00AD5676">
            <w:pPr>
              <w:spacing w:after="40"/>
            </w:pPr>
            <w:r w:rsidRPr="00406AE9">
              <w:rPr>
                <w:sz w:val="17"/>
              </w:rPr>
              <w:t>Risk tolerance</w:t>
            </w:r>
          </w:p>
        </w:tc>
        <w:tc>
          <w:tcPr>
            <w:tcW w:w="1728" w:type="dxa"/>
            <w:vAlign w:val="center"/>
          </w:tcPr>
          <w:p w14:paraId="078B24D8" w14:textId="77777777" w:rsidR="00B60331" w:rsidRPr="00406AE9" w:rsidRDefault="00AD5676">
            <w:pPr>
              <w:spacing w:after="40"/>
            </w:pPr>
            <w:r w:rsidRPr="00406AE9">
              <w:rPr>
                <w:sz w:val="17"/>
              </w:rPr>
              <w:t>5.137840*</w:t>
            </w:r>
          </w:p>
        </w:tc>
        <w:tc>
          <w:tcPr>
            <w:tcW w:w="1728" w:type="dxa"/>
            <w:vAlign w:val="center"/>
          </w:tcPr>
          <w:p w14:paraId="00112919" w14:textId="77777777" w:rsidR="00B60331" w:rsidRPr="00406AE9" w:rsidRDefault="00AD5676">
            <w:pPr>
              <w:spacing w:after="40"/>
            </w:pPr>
            <w:r w:rsidRPr="00406AE9">
              <w:rPr>
                <w:sz w:val="17"/>
              </w:rPr>
              <w:t>0.809222</w:t>
            </w:r>
          </w:p>
        </w:tc>
        <w:tc>
          <w:tcPr>
            <w:tcW w:w="1728" w:type="dxa"/>
            <w:vAlign w:val="center"/>
          </w:tcPr>
          <w:p w14:paraId="2D624128" w14:textId="77777777" w:rsidR="00B60331" w:rsidRPr="00406AE9" w:rsidRDefault="00AD5676">
            <w:pPr>
              <w:spacing w:after="40"/>
            </w:pPr>
            <w:r w:rsidRPr="00406AE9">
              <w:rPr>
                <w:sz w:val="17"/>
              </w:rPr>
              <w:t>6.349106</w:t>
            </w:r>
          </w:p>
        </w:tc>
        <w:tc>
          <w:tcPr>
            <w:tcW w:w="1440" w:type="dxa"/>
            <w:vAlign w:val="center"/>
          </w:tcPr>
          <w:p w14:paraId="2D6A614B" w14:textId="77777777" w:rsidR="00B60331" w:rsidRPr="00406AE9" w:rsidRDefault="00AD5676">
            <w:pPr>
              <w:spacing w:after="40"/>
            </w:pPr>
            <w:r w:rsidRPr="00406AE9">
              <w:rPr>
                <w:sz w:val="17"/>
              </w:rPr>
              <w:t>0.0000</w:t>
            </w:r>
          </w:p>
        </w:tc>
      </w:tr>
      <w:tr w:rsidR="00B60331" w:rsidRPr="00406AE9" w14:paraId="40BBB3EB" w14:textId="77777777">
        <w:trPr>
          <w:jc w:val="center"/>
        </w:trPr>
        <w:tc>
          <w:tcPr>
            <w:tcW w:w="3168" w:type="dxa"/>
            <w:vAlign w:val="center"/>
          </w:tcPr>
          <w:p w14:paraId="1447253B" w14:textId="77777777" w:rsidR="00B60331" w:rsidRPr="00406AE9" w:rsidRDefault="00AD5676">
            <w:pPr>
              <w:spacing w:after="40"/>
            </w:pPr>
            <w:r w:rsidRPr="00406AE9">
              <w:rPr>
                <w:sz w:val="17"/>
              </w:rPr>
              <w:t>Financial literacy</w:t>
            </w:r>
          </w:p>
        </w:tc>
        <w:tc>
          <w:tcPr>
            <w:tcW w:w="1728" w:type="dxa"/>
            <w:vAlign w:val="center"/>
          </w:tcPr>
          <w:p w14:paraId="086C1038" w14:textId="77777777" w:rsidR="00B60331" w:rsidRPr="00406AE9" w:rsidRDefault="00AD5676">
            <w:pPr>
              <w:spacing w:after="40"/>
            </w:pPr>
            <w:r w:rsidRPr="00406AE9">
              <w:rPr>
                <w:sz w:val="17"/>
              </w:rPr>
              <w:t>0.745647**</w:t>
            </w:r>
          </w:p>
        </w:tc>
        <w:tc>
          <w:tcPr>
            <w:tcW w:w="1728" w:type="dxa"/>
            <w:vAlign w:val="center"/>
          </w:tcPr>
          <w:p w14:paraId="34B6E845" w14:textId="77777777" w:rsidR="00B60331" w:rsidRPr="00406AE9" w:rsidRDefault="00AD5676">
            <w:pPr>
              <w:spacing w:after="40"/>
            </w:pPr>
            <w:r w:rsidRPr="00406AE9">
              <w:rPr>
                <w:sz w:val="17"/>
              </w:rPr>
              <w:t>0.293098</w:t>
            </w:r>
          </w:p>
        </w:tc>
        <w:tc>
          <w:tcPr>
            <w:tcW w:w="1728" w:type="dxa"/>
            <w:vAlign w:val="center"/>
          </w:tcPr>
          <w:p w14:paraId="67F9742F" w14:textId="77777777" w:rsidR="00B60331" w:rsidRPr="00406AE9" w:rsidRDefault="00AD5676">
            <w:pPr>
              <w:spacing w:after="40"/>
            </w:pPr>
            <w:r w:rsidRPr="00406AE9">
              <w:rPr>
                <w:sz w:val="17"/>
              </w:rPr>
              <w:t>2.544020</w:t>
            </w:r>
          </w:p>
        </w:tc>
        <w:tc>
          <w:tcPr>
            <w:tcW w:w="1440" w:type="dxa"/>
            <w:vAlign w:val="center"/>
          </w:tcPr>
          <w:p w14:paraId="67EB1619" w14:textId="77777777" w:rsidR="00B60331" w:rsidRPr="00406AE9" w:rsidRDefault="00AD5676">
            <w:pPr>
              <w:spacing w:after="40"/>
            </w:pPr>
            <w:r w:rsidRPr="00406AE9">
              <w:rPr>
                <w:sz w:val="17"/>
              </w:rPr>
              <w:t>0.0110</w:t>
            </w:r>
          </w:p>
        </w:tc>
      </w:tr>
      <w:tr w:rsidR="00B60331" w:rsidRPr="00406AE9" w14:paraId="71BF0124" w14:textId="77777777">
        <w:trPr>
          <w:jc w:val="center"/>
        </w:trPr>
        <w:tc>
          <w:tcPr>
            <w:tcW w:w="3168" w:type="dxa"/>
            <w:vAlign w:val="center"/>
          </w:tcPr>
          <w:p w14:paraId="7BF21B5B" w14:textId="77777777" w:rsidR="00B60331" w:rsidRPr="00406AE9" w:rsidRDefault="00AD5676">
            <w:pPr>
              <w:spacing w:after="40"/>
            </w:pPr>
            <w:r w:rsidRPr="00406AE9">
              <w:rPr>
                <w:sz w:val="17"/>
              </w:rPr>
              <w:t>Financial access</w:t>
            </w:r>
          </w:p>
        </w:tc>
        <w:tc>
          <w:tcPr>
            <w:tcW w:w="1728" w:type="dxa"/>
            <w:vAlign w:val="center"/>
          </w:tcPr>
          <w:p w14:paraId="12105BDC" w14:textId="77777777" w:rsidR="00B60331" w:rsidRPr="00406AE9" w:rsidRDefault="00AD5676">
            <w:pPr>
              <w:spacing w:after="40"/>
            </w:pPr>
            <w:r w:rsidRPr="00406AE9">
              <w:rPr>
                <w:sz w:val="17"/>
              </w:rPr>
              <w:t>-1.376817</w:t>
            </w:r>
          </w:p>
        </w:tc>
        <w:tc>
          <w:tcPr>
            <w:tcW w:w="1728" w:type="dxa"/>
            <w:vAlign w:val="center"/>
          </w:tcPr>
          <w:p w14:paraId="18A0CCAF" w14:textId="77777777" w:rsidR="00B60331" w:rsidRPr="00406AE9" w:rsidRDefault="00AD5676">
            <w:pPr>
              <w:spacing w:after="40"/>
            </w:pPr>
            <w:r w:rsidRPr="00406AE9">
              <w:rPr>
                <w:sz w:val="17"/>
              </w:rPr>
              <w:t>1.217428</w:t>
            </w:r>
          </w:p>
        </w:tc>
        <w:tc>
          <w:tcPr>
            <w:tcW w:w="1728" w:type="dxa"/>
            <w:vAlign w:val="center"/>
          </w:tcPr>
          <w:p w14:paraId="6BD90D2B" w14:textId="77777777" w:rsidR="00B60331" w:rsidRPr="00406AE9" w:rsidRDefault="00AD5676">
            <w:pPr>
              <w:spacing w:after="40"/>
            </w:pPr>
            <w:r w:rsidRPr="00406AE9">
              <w:rPr>
                <w:sz w:val="17"/>
              </w:rPr>
              <w:t>-1.130923</w:t>
            </w:r>
          </w:p>
        </w:tc>
        <w:tc>
          <w:tcPr>
            <w:tcW w:w="1440" w:type="dxa"/>
            <w:vAlign w:val="center"/>
          </w:tcPr>
          <w:p w14:paraId="00DB2249" w14:textId="77777777" w:rsidR="00B60331" w:rsidRPr="00406AE9" w:rsidRDefault="00AD5676">
            <w:pPr>
              <w:spacing w:after="40"/>
            </w:pPr>
            <w:r w:rsidRPr="00406AE9">
              <w:rPr>
                <w:sz w:val="17"/>
              </w:rPr>
              <w:t>0.2581</w:t>
            </w:r>
          </w:p>
        </w:tc>
      </w:tr>
      <w:tr w:rsidR="00B60331" w:rsidRPr="00406AE9" w14:paraId="4D7D1B76" w14:textId="77777777">
        <w:trPr>
          <w:jc w:val="center"/>
        </w:trPr>
        <w:tc>
          <w:tcPr>
            <w:tcW w:w="3168" w:type="dxa"/>
            <w:vAlign w:val="center"/>
          </w:tcPr>
          <w:p w14:paraId="479BABE1" w14:textId="77777777" w:rsidR="00B60331" w:rsidRPr="00406AE9" w:rsidRDefault="00AD5676">
            <w:pPr>
              <w:spacing w:after="40"/>
            </w:pPr>
            <w:r w:rsidRPr="00406AE9">
              <w:rPr>
                <w:sz w:val="17"/>
              </w:rPr>
              <w:t>Digital financial services</w:t>
            </w:r>
          </w:p>
        </w:tc>
        <w:tc>
          <w:tcPr>
            <w:tcW w:w="1728" w:type="dxa"/>
            <w:vAlign w:val="center"/>
          </w:tcPr>
          <w:p w14:paraId="3A1DA809" w14:textId="77777777" w:rsidR="00B60331" w:rsidRPr="00406AE9" w:rsidRDefault="00AD5676">
            <w:pPr>
              <w:spacing w:after="40"/>
            </w:pPr>
            <w:r w:rsidRPr="00406AE9">
              <w:rPr>
                <w:sz w:val="17"/>
              </w:rPr>
              <w:t>0.175183</w:t>
            </w:r>
          </w:p>
        </w:tc>
        <w:tc>
          <w:tcPr>
            <w:tcW w:w="1728" w:type="dxa"/>
            <w:vAlign w:val="center"/>
          </w:tcPr>
          <w:p w14:paraId="1EC43E2F" w14:textId="77777777" w:rsidR="00B60331" w:rsidRPr="00406AE9" w:rsidRDefault="00AD5676">
            <w:pPr>
              <w:spacing w:after="40"/>
            </w:pPr>
            <w:r w:rsidRPr="00406AE9">
              <w:rPr>
                <w:sz w:val="17"/>
              </w:rPr>
              <w:t>0.442225</w:t>
            </w:r>
          </w:p>
        </w:tc>
        <w:tc>
          <w:tcPr>
            <w:tcW w:w="1728" w:type="dxa"/>
            <w:vAlign w:val="center"/>
          </w:tcPr>
          <w:p w14:paraId="69924D8A" w14:textId="77777777" w:rsidR="00B60331" w:rsidRPr="00406AE9" w:rsidRDefault="00AD5676">
            <w:pPr>
              <w:spacing w:after="40"/>
            </w:pPr>
            <w:r w:rsidRPr="00406AE9">
              <w:rPr>
                <w:sz w:val="17"/>
              </w:rPr>
              <w:t>0.396141</w:t>
            </w:r>
          </w:p>
        </w:tc>
        <w:tc>
          <w:tcPr>
            <w:tcW w:w="1440" w:type="dxa"/>
            <w:vAlign w:val="center"/>
          </w:tcPr>
          <w:p w14:paraId="2CB59760" w14:textId="77777777" w:rsidR="00B60331" w:rsidRPr="00406AE9" w:rsidRDefault="00AD5676">
            <w:pPr>
              <w:spacing w:after="40"/>
            </w:pPr>
            <w:r w:rsidRPr="00406AE9">
              <w:rPr>
                <w:sz w:val="17"/>
              </w:rPr>
              <w:t>0.6920</w:t>
            </w:r>
          </w:p>
        </w:tc>
      </w:tr>
      <w:tr w:rsidR="00B60331" w:rsidRPr="00406AE9" w14:paraId="106F90D8" w14:textId="77777777">
        <w:trPr>
          <w:jc w:val="center"/>
        </w:trPr>
        <w:tc>
          <w:tcPr>
            <w:tcW w:w="3168" w:type="dxa"/>
            <w:vAlign w:val="center"/>
          </w:tcPr>
          <w:p w14:paraId="539352AF" w14:textId="77777777" w:rsidR="00B60331" w:rsidRPr="00406AE9" w:rsidRDefault="00AD5676">
            <w:pPr>
              <w:spacing w:after="40"/>
            </w:pPr>
            <w:r w:rsidRPr="00406AE9">
              <w:rPr>
                <w:sz w:val="17"/>
              </w:rPr>
              <w:t>Regulation</w:t>
            </w:r>
          </w:p>
        </w:tc>
        <w:tc>
          <w:tcPr>
            <w:tcW w:w="1728" w:type="dxa"/>
            <w:vAlign w:val="center"/>
          </w:tcPr>
          <w:p w14:paraId="55D7F517" w14:textId="77777777" w:rsidR="00B60331" w:rsidRPr="00406AE9" w:rsidRDefault="00AD5676">
            <w:pPr>
              <w:spacing w:after="40"/>
            </w:pPr>
            <w:r w:rsidRPr="00406AE9">
              <w:rPr>
                <w:sz w:val="17"/>
              </w:rPr>
              <w:t>0.045221</w:t>
            </w:r>
          </w:p>
        </w:tc>
        <w:tc>
          <w:tcPr>
            <w:tcW w:w="1728" w:type="dxa"/>
            <w:vAlign w:val="center"/>
          </w:tcPr>
          <w:p w14:paraId="58E25450" w14:textId="77777777" w:rsidR="00B60331" w:rsidRPr="00406AE9" w:rsidRDefault="00AD5676">
            <w:pPr>
              <w:spacing w:after="40"/>
            </w:pPr>
            <w:r w:rsidRPr="00406AE9">
              <w:rPr>
                <w:sz w:val="17"/>
              </w:rPr>
              <w:t>1.302906</w:t>
            </w:r>
          </w:p>
        </w:tc>
        <w:tc>
          <w:tcPr>
            <w:tcW w:w="1728" w:type="dxa"/>
            <w:vAlign w:val="center"/>
          </w:tcPr>
          <w:p w14:paraId="7DC95C8C" w14:textId="77777777" w:rsidR="00B60331" w:rsidRPr="00406AE9" w:rsidRDefault="00AD5676">
            <w:pPr>
              <w:spacing w:after="40"/>
            </w:pPr>
            <w:r w:rsidRPr="00406AE9">
              <w:rPr>
                <w:sz w:val="17"/>
              </w:rPr>
              <w:t>0.034708</w:t>
            </w:r>
          </w:p>
        </w:tc>
        <w:tc>
          <w:tcPr>
            <w:tcW w:w="1440" w:type="dxa"/>
            <w:vAlign w:val="center"/>
          </w:tcPr>
          <w:p w14:paraId="30F05EBF" w14:textId="77777777" w:rsidR="00B60331" w:rsidRPr="00406AE9" w:rsidRDefault="00AD5676">
            <w:pPr>
              <w:spacing w:after="40"/>
            </w:pPr>
            <w:r w:rsidRPr="00406AE9">
              <w:rPr>
                <w:sz w:val="17"/>
              </w:rPr>
              <w:t>0.9723</w:t>
            </w:r>
          </w:p>
        </w:tc>
      </w:tr>
    </w:tbl>
    <w:p w14:paraId="23145E93" w14:textId="77777777" w:rsidR="00B60331" w:rsidRPr="00406AE9" w:rsidRDefault="00AD5676">
      <w:r w:rsidRPr="00406AE9">
        <w:rPr>
          <w:i/>
          <w:sz w:val="17"/>
        </w:rPr>
        <w:t>Note: * significant at 1%; ** significant at 5%.</w:t>
      </w:r>
    </w:p>
    <w:p w14:paraId="5F7CF867" w14:textId="77777777" w:rsidR="00B60331" w:rsidRPr="00406AE9" w:rsidRDefault="00AD5676">
      <w:pPr>
        <w:pStyle w:val="Heading2"/>
      </w:pPr>
      <w:r w:rsidRPr="00406AE9">
        <w:rPr>
          <w:rFonts w:ascii="Times New Roman" w:eastAsia="Times New Roman" w:hAnsi="Times New Roman"/>
        </w:rPr>
        <w:t>4.2 Role of Institutions, Digital Services, and Regulation</w:t>
      </w:r>
    </w:p>
    <w:p w14:paraId="585280CD" w14:textId="77777777" w:rsidR="00B60331" w:rsidRPr="00406AE9" w:rsidRDefault="00AD5676">
      <w:pPr>
        <w:jc w:val="both"/>
      </w:pPr>
      <w:r w:rsidRPr="00406AE9">
        <w:t>Financial institutions have a critical role in promoting market inclusion. Investors who have engaged with financial advisors or used digital financial services report higher levels of market participation. Financial institutions’ efforts to provide accessible investment products and financial education are important for bridging the knowledge gap and building investor confidence (Allen et al., 2012). Community outreach programs and mobile banking services are particularly useful for reaching underserved groups (Santoso &amp; Hadi, 2020).</w:t>
      </w:r>
    </w:p>
    <w:p w14:paraId="70241C33" w14:textId="77777777" w:rsidR="00D27528" w:rsidRPr="00406AE9" w:rsidRDefault="00000000">
      <w:r w:rsidRPr="00406AE9">
        <w:t>The role of institutions is especially relevant for mutual fund participation because cross-country evidence indicates that mutual fund industries tend to be larger where investor protection, legal rules, and distribution infrastructure are stronger (Khorana et al., 2005). This supports the view that institutional channels can reduce information and transaction barriers for retail investors.</w:t>
      </w:r>
    </w:p>
    <w:p w14:paraId="345AC7AA" w14:textId="77777777" w:rsidR="00D27528" w:rsidRPr="00406AE9" w:rsidRDefault="00000000">
      <w:r w:rsidRPr="00406AE9">
        <w:t>From a regulatory perspective, securities laws that strengthen disclosure and private enforcement are associated with more developed stock markets, suggesting that investor confidence depends not only on access but also on credible market governance (La Porta et al., 2006). Thus, regulation in this study should be interpreted as part of a broader trust-building mechanism.</w:t>
      </w:r>
    </w:p>
    <w:p w14:paraId="19AA9768" w14:textId="77777777" w:rsidR="00B60331" w:rsidRPr="00406AE9" w:rsidRDefault="00AD5676">
      <w:pPr>
        <w:jc w:val="both"/>
      </w:pPr>
      <w:r w:rsidRPr="00406AE9">
        <w:t>Digital financial services emerge as an important driver of market inclusion by offering accessible and user-friendly investment platforms. Investors who use digital applications and online trading platforms show stronger engagement in the capital market. These services are beneficial for individuals in remote and underserved areas because they provide tools and information needed to participate in investment activities (</w:t>
      </w:r>
      <w:proofErr w:type="spellStart"/>
      <w:r w:rsidRPr="00406AE9">
        <w:t>Suhartono</w:t>
      </w:r>
      <w:proofErr w:type="spellEnd"/>
      <w:r w:rsidRPr="00406AE9">
        <w:t xml:space="preserve"> et al., 2020). Continued investment in digital financial infrastructure is therefore necessary to expand capital market inclusion.</w:t>
      </w:r>
    </w:p>
    <w:p w14:paraId="407F31AB" w14:textId="77777777" w:rsidR="00D27528" w:rsidRPr="00406AE9" w:rsidRDefault="00000000">
      <w:r w:rsidRPr="00406AE9">
        <w:t>Recent digital finance research suggests that technology can lower search and transaction costs, improve convenience, and broaden the range of financial services available to users (Gomber et al., 2017; Gomber et al., 2018). Nevertheless, the statistically insignificant coefficient of digital financial services in the reported models indicates that digital access by itself may not automatically translate into stock or mutual fund participation.</w:t>
      </w:r>
    </w:p>
    <w:p w14:paraId="6AA1527F" w14:textId="77777777" w:rsidR="00D27528" w:rsidRPr="00406AE9" w:rsidRDefault="00000000">
      <w:r w:rsidRPr="00406AE9">
        <w:t>Evidence from mobile money research also shows that digital financial services can improve financial access and resilience, but such effects depend on meaningful usage and the surrounding institutional environment (Suri &amp; Jack, 2016). This implies that digital investment platforms may need to be accompanied by investor education, suitability safeguards, and transparent product information.</w:t>
      </w:r>
    </w:p>
    <w:p w14:paraId="49E6C91F" w14:textId="77777777" w:rsidR="00B60331" w:rsidRPr="00406AE9" w:rsidRDefault="00AD5676">
      <w:pPr>
        <w:spacing w:after="40"/>
        <w:jc w:val="center"/>
      </w:pPr>
      <w:r w:rsidRPr="00406AE9">
        <w:rPr>
          <w:b/>
          <w:sz w:val="20"/>
        </w:rPr>
        <w:t>Table 3. Ordered logit model</w:t>
      </w:r>
    </w:p>
    <w:tbl>
      <w:tblPr>
        <w:tblW w:w="5000" w:type="pct"/>
        <w:jc w:val="center"/>
        <w:tblBorders>
          <w:top w:val="single" w:sz="8" w:space="0" w:color="000000"/>
          <w:left w:val="nil"/>
          <w:bottom w:val="single" w:sz="8" w:space="0" w:color="000000"/>
          <w:right w:val="nil"/>
          <w:insideH w:val="single" w:sz="4" w:space="0" w:color="808080"/>
          <w:insideV w:val="nil"/>
        </w:tblBorders>
        <w:tblLook w:val="04A0" w:firstRow="1" w:lastRow="0" w:firstColumn="1" w:lastColumn="0" w:noHBand="0" w:noVBand="1"/>
      </w:tblPr>
      <w:tblGrid>
        <w:gridCol w:w="1858"/>
        <w:gridCol w:w="1369"/>
        <w:gridCol w:w="1348"/>
        <w:gridCol w:w="1080"/>
        <w:gridCol w:w="1616"/>
        <w:gridCol w:w="1597"/>
        <w:gridCol w:w="1212"/>
      </w:tblGrid>
      <w:tr w:rsidR="00B60331" w:rsidRPr="00406AE9" w14:paraId="28383394" w14:textId="77777777">
        <w:trPr>
          <w:jc w:val="center"/>
        </w:trPr>
        <w:tc>
          <w:tcPr>
            <w:tcW w:w="2016" w:type="dxa"/>
            <w:tcBorders>
              <w:left w:val="nil"/>
              <w:bottom w:val="single" w:sz="8" w:space="0" w:color="000000"/>
              <w:right w:val="nil"/>
            </w:tcBorders>
            <w:shd w:val="clear" w:color="auto" w:fill="EAF2F8"/>
            <w:vAlign w:val="center"/>
          </w:tcPr>
          <w:p w14:paraId="35BE952F" w14:textId="77777777" w:rsidR="00B60331" w:rsidRPr="00406AE9" w:rsidRDefault="00AD5676">
            <w:pPr>
              <w:spacing w:after="40"/>
            </w:pPr>
            <w:r w:rsidRPr="00406AE9">
              <w:rPr>
                <w:b/>
                <w:sz w:val="15"/>
              </w:rPr>
              <w:t>Variable</w:t>
            </w:r>
          </w:p>
        </w:tc>
        <w:tc>
          <w:tcPr>
            <w:tcW w:w="1440" w:type="dxa"/>
            <w:tcBorders>
              <w:left w:val="nil"/>
              <w:bottom w:val="single" w:sz="8" w:space="0" w:color="000000"/>
              <w:right w:val="nil"/>
            </w:tcBorders>
            <w:shd w:val="clear" w:color="auto" w:fill="EAF2F8"/>
            <w:vAlign w:val="center"/>
          </w:tcPr>
          <w:p w14:paraId="6B6E0DA1" w14:textId="77777777" w:rsidR="00B60331" w:rsidRPr="00406AE9" w:rsidRDefault="00AD5676">
            <w:pPr>
              <w:spacing w:after="40"/>
            </w:pPr>
            <w:r w:rsidRPr="00406AE9">
              <w:rPr>
                <w:b/>
                <w:sz w:val="15"/>
              </w:rPr>
              <w:t>Stock Coefficient</w:t>
            </w:r>
          </w:p>
        </w:tc>
        <w:tc>
          <w:tcPr>
            <w:tcW w:w="1440" w:type="dxa"/>
            <w:tcBorders>
              <w:left w:val="nil"/>
              <w:bottom w:val="single" w:sz="8" w:space="0" w:color="000000"/>
              <w:right w:val="nil"/>
            </w:tcBorders>
            <w:shd w:val="clear" w:color="auto" w:fill="EAF2F8"/>
            <w:vAlign w:val="center"/>
          </w:tcPr>
          <w:p w14:paraId="780DC65B" w14:textId="77777777" w:rsidR="00B60331" w:rsidRPr="00406AE9" w:rsidRDefault="00AD5676">
            <w:pPr>
              <w:spacing w:after="40"/>
            </w:pPr>
            <w:r w:rsidRPr="00406AE9">
              <w:rPr>
                <w:b/>
                <w:sz w:val="15"/>
              </w:rPr>
              <w:t>Stock z-Statistic</w:t>
            </w:r>
          </w:p>
        </w:tc>
        <w:tc>
          <w:tcPr>
            <w:tcW w:w="1152" w:type="dxa"/>
            <w:tcBorders>
              <w:left w:val="nil"/>
              <w:bottom w:val="single" w:sz="8" w:space="0" w:color="000000"/>
              <w:right w:val="nil"/>
            </w:tcBorders>
            <w:shd w:val="clear" w:color="auto" w:fill="EAF2F8"/>
            <w:vAlign w:val="center"/>
          </w:tcPr>
          <w:p w14:paraId="437F8E6A" w14:textId="77777777" w:rsidR="00B60331" w:rsidRPr="00406AE9" w:rsidRDefault="00AD5676">
            <w:pPr>
              <w:spacing w:after="40"/>
            </w:pPr>
            <w:r w:rsidRPr="00406AE9">
              <w:rPr>
                <w:b/>
                <w:sz w:val="15"/>
              </w:rPr>
              <w:t>Stock Prob.</w:t>
            </w:r>
          </w:p>
        </w:tc>
        <w:tc>
          <w:tcPr>
            <w:tcW w:w="1728" w:type="dxa"/>
            <w:tcBorders>
              <w:left w:val="nil"/>
              <w:bottom w:val="single" w:sz="8" w:space="0" w:color="000000"/>
              <w:right w:val="nil"/>
            </w:tcBorders>
            <w:shd w:val="clear" w:color="auto" w:fill="EAF2F8"/>
            <w:vAlign w:val="center"/>
          </w:tcPr>
          <w:p w14:paraId="0F874E01" w14:textId="77777777" w:rsidR="00B60331" w:rsidRPr="00406AE9" w:rsidRDefault="00AD5676">
            <w:pPr>
              <w:spacing w:after="40"/>
            </w:pPr>
            <w:r w:rsidRPr="00406AE9">
              <w:rPr>
                <w:b/>
                <w:sz w:val="15"/>
              </w:rPr>
              <w:t>Mutual Fund Coefficient</w:t>
            </w:r>
          </w:p>
        </w:tc>
        <w:tc>
          <w:tcPr>
            <w:tcW w:w="1728" w:type="dxa"/>
            <w:tcBorders>
              <w:left w:val="nil"/>
              <w:bottom w:val="single" w:sz="8" w:space="0" w:color="000000"/>
              <w:right w:val="nil"/>
            </w:tcBorders>
            <w:shd w:val="clear" w:color="auto" w:fill="EAF2F8"/>
            <w:vAlign w:val="center"/>
          </w:tcPr>
          <w:p w14:paraId="54C83981" w14:textId="77777777" w:rsidR="00B60331" w:rsidRPr="00406AE9" w:rsidRDefault="00AD5676">
            <w:pPr>
              <w:spacing w:after="40"/>
            </w:pPr>
            <w:r w:rsidRPr="00406AE9">
              <w:rPr>
                <w:b/>
                <w:sz w:val="15"/>
              </w:rPr>
              <w:t>Mutual Fund z-Statistic</w:t>
            </w:r>
          </w:p>
        </w:tc>
        <w:tc>
          <w:tcPr>
            <w:tcW w:w="1296" w:type="dxa"/>
            <w:tcBorders>
              <w:left w:val="nil"/>
              <w:bottom w:val="single" w:sz="8" w:space="0" w:color="000000"/>
              <w:right w:val="nil"/>
            </w:tcBorders>
            <w:shd w:val="clear" w:color="auto" w:fill="EAF2F8"/>
            <w:vAlign w:val="center"/>
          </w:tcPr>
          <w:p w14:paraId="2052EC19" w14:textId="77777777" w:rsidR="00B60331" w:rsidRPr="00406AE9" w:rsidRDefault="00AD5676">
            <w:pPr>
              <w:spacing w:after="40"/>
            </w:pPr>
            <w:r w:rsidRPr="00406AE9">
              <w:rPr>
                <w:b/>
                <w:sz w:val="15"/>
              </w:rPr>
              <w:t>Mutual Fund Prob.</w:t>
            </w:r>
          </w:p>
        </w:tc>
      </w:tr>
      <w:tr w:rsidR="00B60331" w:rsidRPr="00406AE9" w14:paraId="08487939" w14:textId="77777777">
        <w:trPr>
          <w:jc w:val="center"/>
        </w:trPr>
        <w:tc>
          <w:tcPr>
            <w:tcW w:w="2016" w:type="dxa"/>
            <w:vAlign w:val="center"/>
          </w:tcPr>
          <w:p w14:paraId="0F1F8CF6" w14:textId="77777777" w:rsidR="00B60331" w:rsidRPr="00406AE9" w:rsidRDefault="00AD5676">
            <w:pPr>
              <w:spacing w:after="40"/>
            </w:pPr>
            <w:r w:rsidRPr="00406AE9">
              <w:rPr>
                <w:sz w:val="15"/>
              </w:rPr>
              <w:t>Risk tolerance</w:t>
            </w:r>
          </w:p>
        </w:tc>
        <w:tc>
          <w:tcPr>
            <w:tcW w:w="1440" w:type="dxa"/>
            <w:vAlign w:val="center"/>
          </w:tcPr>
          <w:p w14:paraId="486F64D3" w14:textId="77777777" w:rsidR="00B60331" w:rsidRPr="00406AE9" w:rsidRDefault="00AD5676">
            <w:pPr>
              <w:spacing w:after="40"/>
            </w:pPr>
            <w:r w:rsidRPr="00406AE9">
              <w:rPr>
                <w:sz w:val="15"/>
              </w:rPr>
              <w:t>1.581894*</w:t>
            </w:r>
          </w:p>
        </w:tc>
        <w:tc>
          <w:tcPr>
            <w:tcW w:w="1440" w:type="dxa"/>
            <w:vAlign w:val="center"/>
          </w:tcPr>
          <w:p w14:paraId="747BD9FA" w14:textId="77777777" w:rsidR="00B60331" w:rsidRPr="00406AE9" w:rsidRDefault="00AD5676">
            <w:pPr>
              <w:spacing w:after="40"/>
            </w:pPr>
            <w:r w:rsidRPr="00406AE9">
              <w:rPr>
                <w:sz w:val="15"/>
              </w:rPr>
              <w:t>2.701642</w:t>
            </w:r>
          </w:p>
        </w:tc>
        <w:tc>
          <w:tcPr>
            <w:tcW w:w="1152" w:type="dxa"/>
            <w:vAlign w:val="center"/>
          </w:tcPr>
          <w:p w14:paraId="4E66382B" w14:textId="77777777" w:rsidR="00B60331" w:rsidRPr="00406AE9" w:rsidRDefault="00AD5676">
            <w:pPr>
              <w:spacing w:after="40"/>
            </w:pPr>
            <w:r w:rsidRPr="00406AE9">
              <w:rPr>
                <w:sz w:val="15"/>
              </w:rPr>
              <w:t>0.0069</w:t>
            </w:r>
          </w:p>
        </w:tc>
        <w:tc>
          <w:tcPr>
            <w:tcW w:w="1728" w:type="dxa"/>
            <w:vAlign w:val="center"/>
          </w:tcPr>
          <w:p w14:paraId="42859646" w14:textId="77777777" w:rsidR="00B60331" w:rsidRPr="00406AE9" w:rsidRDefault="00AD5676">
            <w:pPr>
              <w:spacing w:after="40"/>
            </w:pPr>
            <w:r w:rsidRPr="00406AE9">
              <w:rPr>
                <w:sz w:val="15"/>
              </w:rPr>
              <w:t>-0.174313</w:t>
            </w:r>
          </w:p>
        </w:tc>
        <w:tc>
          <w:tcPr>
            <w:tcW w:w="1728" w:type="dxa"/>
            <w:vAlign w:val="center"/>
          </w:tcPr>
          <w:p w14:paraId="19E2CE4E" w14:textId="77777777" w:rsidR="00B60331" w:rsidRPr="00406AE9" w:rsidRDefault="00AD5676">
            <w:pPr>
              <w:spacing w:after="40"/>
            </w:pPr>
            <w:r w:rsidRPr="00406AE9">
              <w:rPr>
                <w:sz w:val="15"/>
              </w:rPr>
              <w:t>-0.639030</w:t>
            </w:r>
          </w:p>
        </w:tc>
        <w:tc>
          <w:tcPr>
            <w:tcW w:w="1296" w:type="dxa"/>
            <w:vAlign w:val="center"/>
          </w:tcPr>
          <w:p w14:paraId="2D1135C4" w14:textId="77777777" w:rsidR="00B60331" w:rsidRPr="00406AE9" w:rsidRDefault="00AD5676">
            <w:pPr>
              <w:spacing w:after="40"/>
            </w:pPr>
            <w:r w:rsidRPr="00406AE9">
              <w:rPr>
                <w:sz w:val="15"/>
              </w:rPr>
              <w:t>0.5228</w:t>
            </w:r>
          </w:p>
        </w:tc>
      </w:tr>
      <w:tr w:rsidR="00B60331" w:rsidRPr="00406AE9" w14:paraId="016DED92" w14:textId="77777777">
        <w:trPr>
          <w:jc w:val="center"/>
        </w:trPr>
        <w:tc>
          <w:tcPr>
            <w:tcW w:w="2016" w:type="dxa"/>
            <w:vAlign w:val="center"/>
          </w:tcPr>
          <w:p w14:paraId="5F5F2B17" w14:textId="77777777" w:rsidR="00B60331" w:rsidRPr="00406AE9" w:rsidRDefault="00AD5676">
            <w:pPr>
              <w:spacing w:after="40"/>
            </w:pPr>
            <w:r w:rsidRPr="00406AE9">
              <w:rPr>
                <w:sz w:val="15"/>
              </w:rPr>
              <w:lastRenderedPageBreak/>
              <w:t>Financial literacy</w:t>
            </w:r>
          </w:p>
        </w:tc>
        <w:tc>
          <w:tcPr>
            <w:tcW w:w="1440" w:type="dxa"/>
            <w:vAlign w:val="center"/>
          </w:tcPr>
          <w:p w14:paraId="6104F1B6" w14:textId="77777777" w:rsidR="00B60331" w:rsidRPr="00406AE9" w:rsidRDefault="00AD5676">
            <w:pPr>
              <w:spacing w:after="40"/>
            </w:pPr>
            <w:r w:rsidRPr="00406AE9">
              <w:rPr>
                <w:sz w:val="15"/>
              </w:rPr>
              <w:t>1.363516*</w:t>
            </w:r>
          </w:p>
        </w:tc>
        <w:tc>
          <w:tcPr>
            <w:tcW w:w="1440" w:type="dxa"/>
            <w:vAlign w:val="center"/>
          </w:tcPr>
          <w:p w14:paraId="15B9C396" w14:textId="77777777" w:rsidR="00B60331" w:rsidRPr="00406AE9" w:rsidRDefault="00AD5676">
            <w:pPr>
              <w:spacing w:after="40"/>
            </w:pPr>
            <w:r w:rsidRPr="00406AE9">
              <w:rPr>
                <w:sz w:val="15"/>
              </w:rPr>
              <w:t>2.685328</w:t>
            </w:r>
          </w:p>
        </w:tc>
        <w:tc>
          <w:tcPr>
            <w:tcW w:w="1152" w:type="dxa"/>
            <w:vAlign w:val="center"/>
          </w:tcPr>
          <w:p w14:paraId="12911D9F" w14:textId="77777777" w:rsidR="00B60331" w:rsidRPr="00406AE9" w:rsidRDefault="00AD5676">
            <w:pPr>
              <w:spacing w:after="40"/>
            </w:pPr>
            <w:r w:rsidRPr="00406AE9">
              <w:rPr>
                <w:sz w:val="15"/>
              </w:rPr>
              <w:t>0.0072</w:t>
            </w:r>
          </w:p>
        </w:tc>
        <w:tc>
          <w:tcPr>
            <w:tcW w:w="1728" w:type="dxa"/>
            <w:vAlign w:val="center"/>
          </w:tcPr>
          <w:p w14:paraId="642A2537" w14:textId="77777777" w:rsidR="00B60331" w:rsidRPr="00406AE9" w:rsidRDefault="00AD5676">
            <w:pPr>
              <w:spacing w:after="40"/>
            </w:pPr>
            <w:r w:rsidRPr="00406AE9">
              <w:rPr>
                <w:sz w:val="15"/>
              </w:rPr>
              <w:t>-1.100409*</w:t>
            </w:r>
          </w:p>
        </w:tc>
        <w:tc>
          <w:tcPr>
            <w:tcW w:w="1728" w:type="dxa"/>
            <w:vAlign w:val="center"/>
          </w:tcPr>
          <w:p w14:paraId="3FE2A19F" w14:textId="77777777" w:rsidR="00B60331" w:rsidRPr="00406AE9" w:rsidRDefault="00AD5676">
            <w:pPr>
              <w:spacing w:after="40"/>
            </w:pPr>
            <w:r w:rsidRPr="00406AE9">
              <w:rPr>
                <w:sz w:val="15"/>
              </w:rPr>
              <w:t>-2.253466</w:t>
            </w:r>
          </w:p>
        </w:tc>
        <w:tc>
          <w:tcPr>
            <w:tcW w:w="1296" w:type="dxa"/>
            <w:vAlign w:val="center"/>
          </w:tcPr>
          <w:p w14:paraId="745F2727" w14:textId="77777777" w:rsidR="00B60331" w:rsidRPr="00406AE9" w:rsidRDefault="00AD5676">
            <w:pPr>
              <w:spacing w:after="40"/>
            </w:pPr>
            <w:r w:rsidRPr="00406AE9">
              <w:rPr>
                <w:sz w:val="15"/>
              </w:rPr>
              <w:t>0.0242</w:t>
            </w:r>
          </w:p>
        </w:tc>
      </w:tr>
      <w:tr w:rsidR="00B60331" w:rsidRPr="00406AE9" w14:paraId="30051398" w14:textId="77777777">
        <w:trPr>
          <w:jc w:val="center"/>
        </w:trPr>
        <w:tc>
          <w:tcPr>
            <w:tcW w:w="2016" w:type="dxa"/>
            <w:vAlign w:val="center"/>
          </w:tcPr>
          <w:p w14:paraId="713FAAD1" w14:textId="77777777" w:rsidR="00B60331" w:rsidRPr="00406AE9" w:rsidRDefault="00AD5676">
            <w:pPr>
              <w:spacing w:after="40"/>
            </w:pPr>
            <w:r w:rsidRPr="00406AE9">
              <w:rPr>
                <w:sz w:val="15"/>
              </w:rPr>
              <w:t>Financial access</w:t>
            </w:r>
          </w:p>
        </w:tc>
        <w:tc>
          <w:tcPr>
            <w:tcW w:w="1440" w:type="dxa"/>
            <w:vAlign w:val="center"/>
          </w:tcPr>
          <w:p w14:paraId="3288F748" w14:textId="77777777" w:rsidR="00B60331" w:rsidRPr="00406AE9" w:rsidRDefault="00AD5676">
            <w:pPr>
              <w:spacing w:after="40"/>
            </w:pPr>
            <w:r w:rsidRPr="00406AE9">
              <w:rPr>
                <w:sz w:val="15"/>
              </w:rPr>
              <w:t>0.919668</w:t>
            </w:r>
          </w:p>
        </w:tc>
        <w:tc>
          <w:tcPr>
            <w:tcW w:w="1440" w:type="dxa"/>
            <w:vAlign w:val="center"/>
          </w:tcPr>
          <w:p w14:paraId="4B8364FD" w14:textId="77777777" w:rsidR="00B60331" w:rsidRPr="00406AE9" w:rsidRDefault="00AD5676">
            <w:pPr>
              <w:spacing w:after="40"/>
            </w:pPr>
            <w:r w:rsidRPr="00406AE9">
              <w:rPr>
                <w:sz w:val="15"/>
              </w:rPr>
              <w:t>1.297770</w:t>
            </w:r>
          </w:p>
        </w:tc>
        <w:tc>
          <w:tcPr>
            <w:tcW w:w="1152" w:type="dxa"/>
            <w:vAlign w:val="center"/>
          </w:tcPr>
          <w:p w14:paraId="0AC623F7" w14:textId="77777777" w:rsidR="00B60331" w:rsidRPr="00406AE9" w:rsidRDefault="00AD5676">
            <w:pPr>
              <w:spacing w:after="40"/>
            </w:pPr>
            <w:r w:rsidRPr="00406AE9">
              <w:rPr>
                <w:sz w:val="15"/>
              </w:rPr>
              <w:t>0.1944</w:t>
            </w:r>
          </w:p>
        </w:tc>
        <w:tc>
          <w:tcPr>
            <w:tcW w:w="1728" w:type="dxa"/>
            <w:vAlign w:val="center"/>
          </w:tcPr>
          <w:p w14:paraId="6E5E7D57" w14:textId="77777777" w:rsidR="00B60331" w:rsidRPr="00406AE9" w:rsidRDefault="00AD5676">
            <w:pPr>
              <w:spacing w:after="40"/>
            </w:pPr>
            <w:r w:rsidRPr="00406AE9">
              <w:rPr>
                <w:sz w:val="15"/>
              </w:rPr>
              <w:t>4.471568*</w:t>
            </w:r>
          </w:p>
        </w:tc>
        <w:tc>
          <w:tcPr>
            <w:tcW w:w="1728" w:type="dxa"/>
            <w:vAlign w:val="center"/>
          </w:tcPr>
          <w:p w14:paraId="39FB5ECD" w14:textId="77777777" w:rsidR="00B60331" w:rsidRPr="00406AE9" w:rsidRDefault="00AD5676">
            <w:pPr>
              <w:spacing w:after="40"/>
            </w:pPr>
            <w:r w:rsidRPr="00406AE9">
              <w:rPr>
                <w:sz w:val="15"/>
              </w:rPr>
              <w:t>5.094982</w:t>
            </w:r>
          </w:p>
        </w:tc>
        <w:tc>
          <w:tcPr>
            <w:tcW w:w="1296" w:type="dxa"/>
            <w:vAlign w:val="center"/>
          </w:tcPr>
          <w:p w14:paraId="7B70C366" w14:textId="77777777" w:rsidR="00B60331" w:rsidRPr="00406AE9" w:rsidRDefault="00AD5676">
            <w:pPr>
              <w:spacing w:after="40"/>
            </w:pPr>
            <w:r w:rsidRPr="00406AE9">
              <w:rPr>
                <w:sz w:val="15"/>
              </w:rPr>
              <w:t>0.0000</w:t>
            </w:r>
          </w:p>
        </w:tc>
      </w:tr>
      <w:tr w:rsidR="00B60331" w:rsidRPr="00406AE9" w14:paraId="2A3963F2" w14:textId="77777777">
        <w:trPr>
          <w:jc w:val="center"/>
        </w:trPr>
        <w:tc>
          <w:tcPr>
            <w:tcW w:w="2016" w:type="dxa"/>
            <w:vAlign w:val="center"/>
          </w:tcPr>
          <w:p w14:paraId="4DCD8BA7" w14:textId="77777777" w:rsidR="00B60331" w:rsidRPr="00406AE9" w:rsidRDefault="00AD5676">
            <w:pPr>
              <w:spacing w:after="40"/>
            </w:pPr>
            <w:r w:rsidRPr="00406AE9">
              <w:rPr>
                <w:sz w:val="15"/>
              </w:rPr>
              <w:t>Digital financial services</w:t>
            </w:r>
          </w:p>
        </w:tc>
        <w:tc>
          <w:tcPr>
            <w:tcW w:w="1440" w:type="dxa"/>
            <w:vAlign w:val="center"/>
          </w:tcPr>
          <w:p w14:paraId="617372E9" w14:textId="77777777" w:rsidR="00B60331" w:rsidRPr="00406AE9" w:rsidRDefault="00AD5676">
            <w:pPr>
              <w:spacing w:after="40"/>
            </w:pPr>
            <w:r w:rsidRPr="00406AE9">
              <w:rPr>
                <w:sz w:val="15"/>
              </w:rPr>
              <w:t>0.103496</w:t>
            </w:r>
          </w:p>
        </w:tc>
        <w:tc>
          <w:tcPr>
            <w:tcW w:w="1440" w:type="dxa"/>
            <w:vAlign w:val="center"/>
          </w:tcPr>
          <w:p w14:paraId="250C4E68" w14:textId="77777777" w:rsidR="00B60331" w:rsidRPr="00406AE9" w:rsidRDefault="00AD5676">
            <w:pPr>
              <w:spacing w:after="40"/>
            </w:pPr>
            <w:r w:rsidRPr="00406AE9">
              <w:rPr>
                <w:sz w:val="15"/>
              </w:rPr>
              <w:t>0.207834</w:t>
            </w:r>
          </w:p>
        </w:tc>
        <w:tc>
          <w:tcPr>
            <w:tcW w:w="1152" w:type="dxa"/>
            <w:vAlign w:val="center"/>
          </w:tcPr>
          <w:p w14:paraId="6428A5A0" w14:textId="77777777" w:rsidR="00B60331" w:rsidRPr="00406AE9" w:rsidRDefault="00AD5676">
            <w:pPr>
              <w:spacing w:after="40"/>
            </w:pPr>
            <w:r w:rsidRPr="00406AE9">
              <w:rPr>
                <w:sz w:val="15"/>
              </w:rPr>
              <w:t>0.8354</w:t>
            </w:r>
          </w:p>
        </w:tc>
        <w:tc>
          <w:tcPr>
            <w:tcW w:w="1728" w:type="dxa"/>
            <w:vAlign w:val="center"/>
          </w:tcPr>
          <w:p w14:paraId="0666CDA9" w14:textId="77777777" w:rsidR="00B60331" w:rsidRPr="00406AE9" w:rsidRDefault="00AD5676">
            <w:pPr>
              <w:spacing w:after="40"/>
            </w:pPr>
            <w:r w:rsidRPr="00406AE9">
              <w:rPr>
                <w:sz w:val="15"/>
              </w:rPr>
              <w:t>-0.038398</w:t>
            </w:r>
          </w:p>
        </w:tc>
        <w:tc>
          <w:tcPr>
            <w:tcW w:w="1728" w:type="dxa"/>
            <w:vAlign w:val="center"/>
          </w:tcPr>
          <w:p w14:paraId="30EC7A67" w14:textId="77777777" w:rsidR="00B60331" w:rsidRPr="00406AE9" w:rsidRDefault="00AD5676">
            <w:pPr>
              <w:spacing w:after="40"/>
            </w:pPr>
            <w:r w:rsidRPr="00406AE9">
              <w:rPr>
                <w:sz w:val="15"/>
              </w:rPr>
              <w:t>-0.090306</w:t>
            </w:r>
          </w:p>
        </w:tc>
        <w:tc>
          <w:tcPr>
            <w:tcW w:w="1296" w:type="dxa"/>
            <w:vAlign w:val="center"/>
          </w:tcPr>
          <w:p w14:paraId="7B20891F" w14:textId="77777777" w:rsidR="00B60331" w:rsidRPr="00406AE9" w:rsidRDefault="00AD5676">
            <w:pPr>
              <w:spacing w:after="40"/>
            </w:pPr>
            <w:r w:rsidRPr="00406AE9">
              <w:rPr>
                <w:sz w:val="15"/>
              </w:rPr>
              <w:t>0.9280</w:t>
            </w:r>
          </w:p>
        </w:tc>
      </w:tr>
      <w:tr w:rsidR="00B60331" w:rsidRPr="00406AE9" w14:paraId="23948EAB" w14:textId="77777777">
        <w:trPr>
          <w:jc w:val="center"/>
        </w:trPr>
        <w:tc>
          <w:tcPr>
            <w:tcW w:w="2016" w:type="dxa"/>
            <w:vAlign w:val="center"/>
          </w:tcPr>
          <w:p w14:paraId="76BC1427" w14:textId="77777777" w:rsidR="00B60331" w:rsidRPr="00406AE9" w:rsidRDefault="00AD5676">
            <w:pPr>
              <w:spacing w:after="40"/>
            </w:pPr>
            <w:r w:rsidRPr="00406AE9">
              <w:rPr>
                <w:sz w:val="15"/>
              </w:rPr>
              <w:t>Regulation</w:t>
            </w:r>
          </w:p>
        </w:tc>
        <w:tc>
          <w:tcPr>
            <w:tcW w:w="1440" w:type="dxa"/>
            <w:vAlign w:val="center"/>
          </w:tcPr>
          <w:p w14:paraId="285E02D2" w14:textId="77777777" w:rsidR="00B60331" w:rsidRPr="00406AE9" w:rsidRDefault="00AD5676">
            <w:pPr>
              <w:spacing w:after="40"/>
            </w:pPr>
            <w:r w:rsidRPr="00406AE9">
              <w:rPr>
                <w:sz w:val="15"/>
              </w:rPr>
              <w:t>1.070569**</w:t>
            </w:r>
          </w:p>
        </w:tc>
        <w:tc>
          <w:tcPr>
            <w:tcW w:w="1440" w:type="dxa"/>
            <w:vAlign w:val="center"/>
          </w:tcPr>
          <w:p w14:paraId="399F066F" w14:textId="77777777" w:rsidR="00B60331" w:rsidRPr="00406AE9" w:rsidRDefault="00AD5676">
            <w:pPr>
              <w:spacing w:after="40"/>
            </w:pPr>
            <w:r w:rsidRPr="00406AE9">
              <w:rPr>
                <w:sz w:val="15"/>
              </w:rPr>
              <w:t>1.660202</w:t>
            </w:r>
          </w:p>
        </w:tc>
        <w:tc>
          <w:tcPr>
            <w:tcW w:w="1152" w:type="dxa"/>
            <w:vAlign w:val="center"/>
          </w:tcPr>
          <w:p w14:paraId="24C6A97E" w14:textId="77777777" w:rsidR="00B60331" w:rsidRPr="00406AE9" w:rsidRDefault="00AD5676">
            <w:pPr>
              <w:spacing w:after="40"/>
            </w:pPr>
            <w:r w:rsidRPr="00406AE9">
              <w:rPr>
                <w:sz w:val="15"/>
              </w:rPr>
              <w:t>0.0969</w:t>
            </w:r>
          </w:p>
        </w:tc>
        <w:tc>
          <w:tcPr>
            <w:tcW w:w="1728" w:type="dxa"/>
            <w:vAlign w:val="center"/>
          </w:tcPr>
          <w:p w14:paraId="74610017" w14:textId="77777777" w:rsidR="00B60331" w:rsidRPr="00406AE9" w:rsidRDefault="00AD5676">
            <w:pPr>
              <w:spacing w:after="40"/>
            </w:pPr>
            <w:r w:rsidRPr="00406AE9">
              <w:rPr>
                <w:sz w:val="15"/>
              </w:rPr>
              <w:t>1.932195*</w:t>
            </w:r>
          </w:p>
        </w:tc>
        <w:tc>
          <w:tcPr>
            <w:tcW w:w="1728" w:type="dxa"/>
            <w:vAlign w:val="center"/>
          </w:tcPr>
          <w:p w14:paraId="484D70D6" w14:textId="77777777" w:rsidR="00B60331" w:rsidRPr="00406AE9" w:rsidRDefault="00AD5676">
            <w:pPr>
              <w:spacing w:after="40"/>
            </w:pPr>
            <w:r w:rsidRPr="00406AE9">
              <w:rPr>
                <w:sz w:val="15"/>
              </w:rPr>
              <w:t>3.714840</w:t>
            </w:r>
          </w:p>
        </w:tc>
        <w:tc>
          <w:tcPr>
            <w:tcW w:w="1296" w:type="dxa"/>
            <w:vAlign w:val="center"/>
          </w:tcPr>
          <w:p w14:paraId="5DEE8C98" w14:textId="77777777" w:rsidR="00B60331" w:rsidRPr="00406AE9" w:rsidRDefault="00AD5676">
            <w:pPr>
              <w:spacing w:after="40"/>
            </w:pPr>
            <w:r w:rsidRPr="00406AE9">
              <w:rPr>
                <w:sz w:val="15"/>
              </w:rPr>
              <w:t>0.0002</w:t>
            </w:r>
          </w:p>
        </w:tc>
      </w:tr>
    </w:tbl>
    <w:p w14:paraId="1531FBBB" w14:textId="77777777" w:rsidR="00B60331" w:rsidRPr="00406AE9" w:rsidRDefault="00AD5676">
      <w:r w:rsidRPr="00406AE9">
        <w:rPr>
          <w:i/>
          <w:sz w:val="17"/>
        </w:rPr>
        <w:t>Note: * significant at 5%; ** significant at 10%.</w:t>
      </w:r>
    </w:p>
    <w:p w14:paraId="399304F5" w14:textId="77777777" w:rsidR="00B60331" w:rsidRPr="00406AE9" w:rsidRDefault="00AD5676">
      <w:pPr>
        <w:pStyle w:val="Heading2"/>
      </w:pPr>
      <w:r w:rsidRPr="00406AE9">
        <w:rPr>
          <w:rFonts w:ascii="Times New Roman" w:eastAsia="Times New Roman" w:hAnsi="Times New Roman"/>
        </w:rPr>
        <w:t>4.3 Discussion of Findings</w:t>
      </w:r>
    </w:p>
    <w:p w14:paraId="5832048B" w14:textId="77777777" w:rsidR="00B60331" w:rsidRPr="00406AE9" w:rsidRDefault="00AD5676">
      <w:pPr>
        <w:jc w:val="both"/>
      </w:pPr>
      <w:r w:rsidRPr="00406AE9">
        <w:t>The results provide a comprehensive overview of the factors influencing capital market inclusion in Indonesia. The findings highlight the importance of financial literacy, access to financial products, digital financial services, and institutional support in promoting market participation. Addressing the identified barriers and leveraging digital financial services can enhance inclusion and contribute to economic growth (Sari &amp; Wirawan, 2019). These results confirm that financial literacy empowers individuals to make informed investment decisions and navigate the complexity of the capital market.</w:t>
      </w:r>
    </w:p>
    <w:p w14:paraId="11E524A9" w14:textId="77777777" w:rsidR="00D27528" w:rsidRPr="00406AE9" w:rsidRDefault="00000000">
      <w:r w:rsidRPr="00406AE9">
        <w:t>Taken together, the results suggest that capital market inclusion should be understood as a multidimensional process involving knowledge, product suitability, institutional credibility, and practical access. This interpretation is consistent with studies showing that financial awareness and literacy affect whether households recognize and use market-based financial instruments (Guiso &amp; Jappelli, 2005; Lusardi &amp; Mitchell, 2014; van Rooij et al., 2011).</w:t>
      </w:r>
    </w:p>
    <w:p w14:paraId="1EBC2AE8" w14:textId="77777777" w:rsidR="00B60331" w:rsidRPr="00406AE9" w:rsidRDefault="00AD5676">
      <w:pPr>
        <w:jc w:val="both"/>
      </w:pPr>
      <w:r w:rsidRPr="00406AE9">
        <w:t>The preference for mutual funds over individual stocks highlights the role of perceived risk in investment decisions. Mutual funds are generally more attractive to novice investors because their diversified nature reduces perceived exposure to risk. Financial institutions can use mutual funds as an accessible entry point to the capital market while gradually educating investors about more advanced instruments such as stocks (Reilly &amp; Brown, 2012). Coordinated efforts among financial institutions, regulators, and community organizations are needed to improve product access, financial literacy, and trust in the market (Nasution &amp; Kusuma, 2017).</w:t>
      </w:r>
    </w:p>
    <w:p w14:paraId="33C6D302" w14:textId="77777777" w:rsidR="00D27528" w:rsidRPr="00406AE9" w:rsidRDefault="00000000">
      <w:r w:rsidRPr="00406AE9">
        <w:t>The mutual fund result is also consistent with evidence that pooled investment vehicles expand more successfully in environments where investors are protected and investment products are easier to distribute (Khorana et al., 2005). In this sense, mutual funds may contribute to inclusion by offering a diversified and institutionally mediated entry point into the capital market.</w:t>
      </w:r>
    </w:p>
    <w:p w14:paraId="6D99CD90" w14:textId="77777777" w:rsidR="00B60331" w:rsidRPr="00406AE9" w:rsidRDefault="00AD5676">
      <w:pPr>
        <w:jc w:val="both"/>
      </w:pPr>
      <w:r w:rsidRPr="00406AE9">
        <w:t>The significant role of regulation in the ordered logit model for mutual funds suggests that investor protection and market governance are important for attracting participants. Supportive regulation helps reduce uncertainty and build confidence, particularly among novice investors. These findings imply that inclusive capital market policies should combine investor education, digital access, clear regulation, and transparent market conduct. Such a combination can help stocks and mutual funds become complementary instruments in expanding financial participation.</w:t>
      </w:r>
    </w:p>
    <w:p w14:paraId="40700559" w14:textId="77777777" w:rsidR="00D27528" w:rsidRPr="00406AE9" w:rsidRDefault="00000000">
      <w:r w:rsidRPr="00406AE9">
        <w:t>The regulatory finding should not be interpreted as implying that regulation alone is sufficient; rather, it indicates that credible disclosure, investor protection, and accessible product design may jointly support participation (La Porta et al., 2006). For stocks and mutual funds to become complementary instruments of inclusion, policy measures should therefore address both demand-side capability and supply-side trust.</w:t>
      </w:r>
    </w:p>
    <w:p w14:paraId="248A00E0" w14:textId="77777777" w:rsidR="00B60331" w:rsidRPr="00406AE9" w:rsidRDefault="00AD5676">
      <w:pPr>
        <w:pStyle w:val="Heading1"/>
        <w:rPr>
          <w:rFonts w:ascii="Times New Roman" w:eastAsia="Times New Roman" w:hAnsi="Times New Roman"/>
        </w:rPr>
      </w:pPr>
      <w:r w:rsidRPr="00406AE9">
        <w:rPr>
          <w:rFonts w:ascii="Times New Roman" w:eastAsia="Times New Roman" w:hAnsi="Times New Roman"/>
        </w:rPr>
        <w:t>5. Conclusion</w:t>
      </w:r>
    </w:p>
    <w:p w14:paraId="3DFEEDAB" w14:textId="77777777" w:rsidR="00406AE9" w:rsidRPr="00406AE9" w:rsidRDefault="00406AE9" w:rsidP="00406AE9">
      <w:pPr>
        <w:spacing w:before="100" w:beforeAutospacing="1" w:after="100" w:afterAutospacing="1" w:line="240" w:lineRule="auto"/>
        <w:rPr>
          <w:rFonts w:cs="Times New Roman"/>
          <w:sz w:val="24"/>
          <w:szCs w:val="24"/>
          <w:lang w:eastAsia="en-GB"/>
        </w:rPr>
      </w:pPr>
      <w:r w:rsidRPr="00406AE9">
        <w:rPr>
          <w:rFonts w:cs="Times New Roman"/>
          <w:sz w:val="24"/>
          <w:szCs w:val="24"/>
          <w:lang w:eastAsia="en-GB"/>
        </w:rPr>
        <w:t>This study concludes that stocks and mutual funds can support capital market inclusion in Indonesia, but participation is influenced by investor characteristics and institutional conditions. The binary logit model shows that age, risk tolerance, and financial literacy significantly affect investment preference between stocks and mutual funds. The ordered logit model further indicates that risk tolerance and financial literacy increase the tendency to choose stocks, while financial access and regulation significantly influence mutual fund participation. These findings suggest that stocks may be more attractive to investors with greater financial knowledge and risk tolerance, whereas mutual funds may serve as a more accessible investment option when financial access and regulatory confidence are stronger. The results emphasize the importance of improving financial literacy, expanding access to investment products, and strengthening investor protection. Policymakers and financial institutions should develop targeted education programs, accessible digital and non-digital services, and transparent regulatory mechanisms to encourage wider and more informed participation in the capital market.</w:t>
      </w:r>
    </w:p>
    <w:p w14:paraId="584A85E1" w14:textId="77777777" w:rsidR="00406AE9" w:rsidRPr="00406AE9" w:rsidRDefault="00406AE9" w:rsidP="00406AE9"/>
    <w:p w14:paraId="08D0855F" w14:textId="77777777" w:rsidR="00406AE9" w:rsidRPr="00406AE9" w:rsidRDefault="00406AE9" w:rsidP="00406AE9">
      <w:pPr>
        <w:spacing w:before="100" w:beforeAutospacing="1" w:after="100" w:afterAutospacing="1" w:line="240" w:lineRule="auto"/>
        <w:outlineLvl w:val="2"/>
        <w:rPr>
          <w:rFonts w:cs="Times New Roman"/>
          <w:b/>
          <w:bCs/>
          <w:sz w:val="27"/>
          <w:szCs w:val="27"/>
          <w:lang w:eastAsia="en-GB"/>
        </w:rPr>
      </w:pPr>
      <w:r w:rsidRPr="00406AE9">
        <w:rPr>
          <w:rFonts w:cs="Times New Roman"/>
          <w:b/>
          <w:bCs/>
          <w:sz w:val="27"/>
          <w:szCs w:val="27"/>
          <w:lang w:eastAsia="en-GB"/>
        </w:rPr>
        <w:t>Limitations</w:t>
      </w:r>
    </w:p>
    <w:p w14:paraId="42994D20" w14:textId="77777777" w:rsidR="00406AE9" w:rsidRPr="00406AE9" w:rsidRDefault="00406AE9" w:rsidP="00406AE9">
      <w:pPr>
        <w:spacing w:before="100" w:beforeAutospacing="1" w:after="100" w:afterAutospacing="1" w:line="240" w:lineRule="auto"/>
        <w:rPr>
          <w:rFonts w:cs="Times New Roman"/>
          <w:sz w:val="24"/>
          <w:szCs w:val="24"/>
          <w:lang w:eastAsia="en-GB"/>
        </w:rPr>
      </w:pPr>
      <w:r w:rsidRPr="00406AE9">
        <w:rPr>
          <w:rFonts w:cs="Times New Roman"/>
          <w:sz w:val="24"/>
          <w:szCs w:val="24"/>
          <w:lang w:eastAsia="en-GB"/>
        </w:rPr>
        <w:t>This study has several limitations. The analysis is based on primary data from 200 respondents who already had financial asset portfolios or familiarity with stocks and mutual funds, which may limit the generalizability of the findings to the wider Indonesian population. The sampling method requires clearer explanation, and the study does not provide detailed respondent demographics, survey period, questionnaire items, or model diagnostics. The analysis also focuses on selected variables and does not include income, wealth, occupation, geographic location, trust, behavioral bias, or digital literacy, which may also influence capital market participation.</w:t>
      </w:r>
    </w:p>
    <w:p w14:paraId="7FD4AA1C" w14:textId="77777777" w:rsidR="00406AE9" w:rsidRPr="00406AE9" w:rsidRDefault="00406AE9" w:rsidP="00406AE9">
      <w:pPr>
        <w:spacing w:after="0" w:line="240" w:lineRule="auto"/>
        <w:rPr>
          <w:rFonts w:cs="Times New Roman"/>
          <w:b/>
        </w:rPr>
      </w:pPr>
      <w:r w:rsidRPr="00406AE9">
        <w:rPr>
          <w:rFonts w:cs="Times New Roman"/>
          <w:b/>
        </w:rPr>
        <w:t>Declaration of AI Use</w:t>
      </w:r>
    </w:p>
    <w:p w14:paraId="1C8EFE44" w14:textId="77777777" w:rsidR="00406AE9" w:rsidRPr="00406AE9" w:rsidRDefault="00406AE9" w:rsidP="00406AE9">
      <w:pPr>
        <w:spacing w:after="0" w:line="240" w:lineRule="auto"/>
        <w:rPr>
          <w:rFonts w:cs="Times New Roman"/>
        </w:rPr>
      </w:pPr>
    </w:p>
    <w:p w14:paraId="34BD478D" w14:textId="77777777" w:rsidR="00406AE9" w:rsidRPr="00406AE9" w:rsidRDefault="00406AE9" w:rsidP="00406AE9">
      <w:pPr>
        <w:spacing w:after="0" w:line="240" w:lineRule="auto"/>
        <w:jc w:val="both"/>
        <w:rPr>
          <w:rFonts w:cs="Times New Roman"/>
        </w:rPr>
      </w:pPr>
      <w:r w:rsidRPr="00406AE9">
        <w:rPr>
          <w:rFonts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763C02E" w14:textId="77777777" w:rsidR="00406AE9" w:rsidRPr="00406AE9" w:rsidRDefault="00406AE9">
      <w:pPr>
        <w:jc w:val="both"/>
      </w:pPr>
    </w:p>
    <w:p w14:paraId="61AD25DB" w14:textId="77777777" w:rsidR="0007497A" w:rsidRPr="00406AE9" w:rsidRDefault="0007497A">
      <w:pPr>
        <w:jc w:val="both"/>
      </w:pPr>
    </w:p>
    <w:p w14:paraId="4A923D71" w14:textId="77777777" w:rsidR="00B60331" w:rsidRPr="00406AE9" w:rsidRDefault="00AD5676">
      <w:pPr>
        <w:spacing w:after="80"/>
      </w:pPr>
      <w:r w:rsidRPr="00406AE9">
        <w:rPr>
          <w:b/>
          <w:sz w:val="22"/>
        </w:rPr>
        <w:t>References</w:t>
      </w:r>
    </w:p>
    <w:p w14:paraId="674BEDB1" w14:textId="77777777" w:rsidR="00B60331" w:rsidRPr="00406AE9" w:rsidRDefault="00AD5676">
      <w:pPr>
        <w:spacing w:after="60"/>
        <w:ind w:left="397" w:hanging="397"/>
      </w:pPr>
      <w:r w:rsidRPr="00406AE9">
        <w:rPr>
          <w:sz w:val="19"/>
        </w:rPr>
        <w:t>Al-Tamimi, H. A. H., &amp; Bin Kalli, A. A. (2009). Financial literacy and investment decisions of UAE investors. The Journal of Risk Finance, 10(5), 500-516.</w:t>
      </w:r>
    </w:p>
    <w:p w14:paraId="66EA90BD" w14:textId="77777777" w:rsidR="00B60331" w:rsidRPr="00406AE9" w:rsidRDefault="00AD5676">
      <w:pPr>
        <w:spacing w:after="60"/>
        <w:ind w:left="397" w:hanging="397"/>
      </w:pPr>
      <w:r w:rsidRPr="00406AE9">
        <w:rPr>
          <w:sz w:val="19"/>
        </w:rPr>
        <w:t xml:space="preserve">Allen, F., Carletti, E., Cull, R., Qian, J., </w:t>
      </w:r>
      <w:proofErr w:type="spellStart"/>
      <w:r w:rsidRPr="00406AE9">
        <w:rPr>
          <w:sz w:val="19"/>
        </w:rPr>
        <w:t>Senbet</w:t>
      </w:r>
      <w:proofErr w:type="spellEnd"/>
      <w:r w:rsidRPr="00406AE9">
        <w:rPr>
          <w:sz w:val="19"/>
        </w:rPr>
        <w:t>, L., &amp; Valenzuela, P. (2012). Improving access to banking: Evidence from Kenya. World Bank Economic Review, 26(1), 1-37.</w:t>
      </w:r>
    </w:p>
    <w:p w14:paraId="4FBFA303" w14:textId="77777777" w:rsidR="00B60331" w:rsidRPr="00406AE9" w:rsidRDefault="00AD5676">
      <w:pPr>
        <w:spacing w:after="60"/>
        <w:ind w:left="397" w:hanging="397"/>
      </w:pPr>
      <w:r w:rsidRPr="00406AE9">
        <w:rPr>
          <w:sz w:val="19"/>
        </w:rPr>
        <w:t xml:space="preserve">Beck, T., </w:t>
      </w:r>
      <w:proofErr w:type="spellStart"/>
      <w:r w:rsidRPr="00406AE9">
        <w:rPr>
          <w:sz w:val="19"/>
        </w:rPr>
        <w:t>Demirgüç</w:t>
      </w:r>
      <w:proofErr w:type="spellEnd"/>
      <w:r w:rsidRPr="00406AE9">
        <w:rPr>
          <w:sz w:val="19"/>
        </w:rPr>
        <w:t>-Kunt, A., &amp; Levine, R. (2009). Financial institutions and markets across countries and over time: The updated financial development and structure database. World Bank Economic Review, 24(1), 77-92.</w:t>
      </w:r>
    </w:p>
    <w:p w14:paraId="05DD89B4" w14:textId="77777777" w:rsidR="00B60331" w:rsidRPr="00406AE9" w:rsidRDefault="00AD5676">
      <w:pPr>
        <w:spacing w:after="60"/>
        <w:ind w:left="397" w:hanging="397"/>
      </w:pPr>
      <w:proofErr w:type="spellStart"/>
      <w:r w:rsidRPr="00406AE9">
        <w:rPr>
          <w:sz w:val="19"/>
        </w:rPr>
        <w:t>Demirgüç</w:t>
      </w:r>
      <w:proofErr w:type="spellEnd"/>
      <w:r w:rsidRPr="00406AE9">
        <w:rPr>
          <w:sz w:val="19"/>
        </w:rPr>
        <w:t xml:space="preserve">-Kunt, A., Klapper, L., Singer, D., &amp; Van </w:t>
      </w:r>
      <w:proofErr w:type="spellStart"/>
      <w:r w:rsidRPr="00406AE9">
        <w:rPr>
          <w:sz w:val="19"/>
        </w:rPr>
        <w:t>Oudheusden</w:t>
      </w:r>
      <w:proofErr w:type="spellEnd"/>
      <w:r w:rsidRPr="00406AE9">
        <w:rPr>
          <w:sz w:val="19"/>
        </w:rPr>
        <w:t>, P. (2013). Financial inclusion and legal discrimination against women: Evidence from developing countries. Policy Research Working Paper No. 6416. Washington, DC: World Bank.</w:t>
      </w:r>
    </w:p>
    <w:p w14:paraId="1EF8692D" w14:textId="77777777" w:rsidR="00B60331" w:rsidRPr="00406AE9" w:rsidRDefault="00AD5676">
      <w:pPr>
        <w:spacing w:after="60"/>
        <w:ind w:left="397" w:hanging="397"/>
      </w:pPr>
      <w:r w:rsidRPr="00406AE9">
        <w:rPr>
          <w:sz w:val="19"/>
        </w:rPr>
        <w:t>Hadi, S., &amp; Santoso, W. (2020). Digital financial services and financial inclusion in Indonesia. Journal of Economics and Development Studies, 8(2), 78-89.</w:t>
      </w:r>
    </w:p>
    <w:p w14:paraId="3AE7B253" w14:textId="77777777" w:rsidR="00B60331" w:rsidRPr="00406AE9" w:rsidRDefault="00AD5676">
      <w:pPr>
        <w:spacing w:after="60"/>
        <w:ind w:left="397" w:hanging="397"/>
      </w:pPr>
      <w:r w:rsidRPr="00406AE9">
        <w:rPr>
          <w:sz w:val="19"/>
        </w:rPr>
        <w:t>Hidayat, S. E., &amp; Abduh, M. (2012). Does financial education have an impact on investment decisions? Evidence from a financial literacy survey in Indonesia. Journal of Indonesian Economy and Business, 27(2), 1-10.</w:t>
      </w:r>
    </w:p>
    <w:p w14:paraId="65B0DEDC" w14:textId="77777777" w:rsidR="00B60331" w:rsidRPr="00406AE9" w:rsidRDefault="00AD5676">
      <w:pPr>
        <w:spacing w:after="60"/>
        <w:ind w:left="397" w:hanging="397"/>
      </w:pPr>
      <w:r w:rsidRPr="00406AE9">
        <w:rPr>
          <w:sz w:val="19"/>
        </w:rPr>
        <w:t>La Porta, R., Lopez-de-Silanes, F., &amp; Shleifer, A. (2006). What works in securities laws? Journal of Finance, 61(1), 1-32.</w:t>
      </w:r>
      <w:r w:rsidRPr="00406AE9">
        <w:t xml:space="preserve"> https://doi.org/10.1111/j.1540-6261.2006.00828.x</w:t>
      </w:r>
    </w:p>
    <w:p w14:paraId="4D628D6A" w14:textId="77777777" w:rsidR="00B60331" w:rsidRPr="00406AE9" w:rsidRDefault="00AD5676">
      <w:pPr>
        <w:spacing w:after="60"/>
        <w:ind w:left="397" w:hanging="397"/>
      </w:pPr>
      <w:r w:rsidRPr="00406AE9">
        <w:rPr>
          <w:sz w:val="19"/>
        </w:rPr>
        <w:t>Lusardi, A., &amp; Mitchell, O. S. (2014). The economic importance of financial literacy: Theory and evidence. Journal of Economic Literature, 52(1), 5-44.</w:t>
      </w:r>
      <w:r w:rsidRPr="00406AE9">
        <w:t xml:space="preserve"> https://doi.org/10.1257/jel.52.1.5</w:t>
      </w:r>
    </w:p>
    <w:p w14:paraId="58D80023" w14:textId="77777777" w:rsidR="00B60331" w:rsidRPr="00406AE9" w:rsidRDefault="00AD5676">
      <w:pPr>
        <w:spacing w:after="60"/>
        <w:ind w:left="397" w:hanging="397"/>
      </w:pPr>
      <w:r w:rsidRPr="00406AE9">
        <w:rPr>
          <w:sz w:val="19"/>
        </w:rPr>
        <w:t>Nasution, A., &amp; Kusuma, H. (2017). Financial literacy and financial inclusion in Indonesia: A study among university students. Review of Integrative Business and Economics Research, 6(2), 259-267.</w:t>
      </w:r>
    </w:p>
    <w:p w14:paraId="718A1661" w14:textId="77777777" w:rsidR="00B60331" w:rsidRPr="00406AE9" w:rsidRDefault="00AD5676">
      <w:pPr>
        <w:spacing w:after="60"/>
        <w:ind w:left="397" w:hanging="397"/>
      </w:pPr>
      <w:r w:rsidRPr="00406AE9">
        <w:rPr>
          <w:sz w:val="19"/>
        </w:rPr>
        <w:t>OJK. (2019). Financial Services Authority’s annual report. Jakarta: OJK.</w:t>
      </w:r>
    </w:p>
    <w:p w14:paraId="59897502" w14:textId="77777777" w:rsidR="00B60331" w:rsidRPr="00406AE9" w:rsidRDefault="00AD5676">
      <w:pPr>
        <w:spacing w:after="60"/>
        <w:ind w:left="397" w:hanging="397"/>
      </w:pPr>
      <w:r w:rsidRPr="00406AE9">
        <w:rPr>
          <w:sz w:val="19"/>
        </w:rPr>
        <w:t>Rahman, M. A., &amp; Mahadi, S. (2021). Financial inclusion and economic growth: Evidence from panel data. International Journal of Economics and Financial Issues, 11(1), 78-83.</w:t>
      </w:r>
    </w:p>
    <w:p w14:paraId="095AAB9E" w14:textId="77777777" w:rsidR="00B60331" w:rsidRPr="00406AE9" w:rsidRDefault="00AD5676">
      <w:pPr>
        <w:spacing w:after="60"/>
        <w:ind w:left="397" w:hanging="397"/>
      </w:pPr>
      <w:r w:rsidRPr="00406AE9">
        <w:rPr>
          <w:sz w:val="19"/>
        </w:rPr>
        <w:t>Reilly, F. K., &amp; Brown, K. C. (2012). Investment analysis and portfolio management (10th ed.). South-Western Cengage Learning.</w:t>
      </w:r>
    </w:p>
    <w:p w14:paraId="7676705C" w14:textId="77777777" w:rsidR="00B60331" w:rsidRPr="00406AE9" w:rsidRDefault="00AD5676">
      <w:pPr>
        <w:spacing w:after="60"/>
        <w:ind w:left="397" w:hanging="397"/>
      </w:pPr>
      <w:r w:rsidRPr="00406AE9">
        <w:rPr>
          <w:sz w:val="19"/>
        </w:rPr>
        <w:t>Saksono, H. (2018). The impact of financial literacy on investment decisions: Evidence from the Indonesian Stock Exchange. International Journal of Economics and Financial Research, 4(2), 27-34.</w:t>
      </w:r>
    </w:p>
    <w:p w14:paraId="38C180D1" w14:textId="77777777" w:rsidR="00B60331" w:rsidRPr="00406AE9" w:rsidRDefault="00AD5676">
      <w:pPr>
        <w:spacing w:after="60"/>
        <w:ind w:left="397" w:hanging="397"/>
      </w:pPr>
      <w:r w:rsidRPr="00406AE9">
        <w:rPr>
          <w:sz w:val="19"/>
        </w:rPr>
        <w:t>Santoso, W., &amp; Hadi, S. (2020). Digital financial services and financial inclusion in Indonesia. Journal of Economics and Development Studies, 8(2), 78-89.</w:t>
      </w:r>
    </w:p>
    <w:p w14:paraId="7277B474" w14:textId="77777777" w:rsidR="00B60331" w:rsidRPr="00406AE9" w:rsidRDefault="00AD5676">
      <w:pPr>
        <w:spacing w:after="60"/>
        <w:ind w:left="397" w:hanging="397"/>
      </w:pPr>
      <w:r w:rsidRPr="00406AE9">
        <w:rPr>
          <w:sz w:val="19"/>
        </w:rPr>
        <w:lastRenderedPageBreak/>
        <w:t>Sari, D., &amp; Wirawan, A. (2019). The role of financial literacy in promoting financial inclusion in Indonesia. Journal of Economic Research and Development, 1(3), 1-15.</w:t>
      </w:r>
    </w:p>
    <w:p w14:paraId="7552C0DF" w14:textId="77777777" w:rsidR="00B60331" w:rsidRPr="00406AE9" w:rsidRDefault="00AD5676">
      <w:pPr>
        <w:spacing w:after="60"/>
        <w:ind w:left="397" w:hanging="397"/>
      </w:pPr>
      <w:r w:rsidRPr="00406AE9">
        <w:rPr>
          <w:sz w:val="19"/>
        </w:rPr>
        <w:t>Suhartono, W., Utami, S., &amp; Gunadi, D. (2020). Barriers to financial inclusion in Indonesia: Insights from a survey. Journal of Economic Studies, 47(1), 165-184.</w:t>
      </w:r>
    </w:p>
    <w:p w14:paraId="02BE193C" w14:textId="77777777" w:rsidR="00B60331" w:rsidRPr="00406AE9" w:rsidRDefault="00AD5676">
      <w:pPr>
        <w:spacing w:after="60"/>
        <w:ind w:left="397" w:hanging="397"/>
      </w:pPr>
      <w:r w:rsidRPr="00406AE9">
        <w:rPr>
          <w:sz w:val="19"/>
        </w:rPr>
        <w:t xml:space="preserve">Susanto, A. B., &amp; </w:t>
      </w:r>
      <w:proofErr w:type="spellStart"/>
      <w:r w:rsidRPr="00406AE9">
        <w:rPr>
          <w:sz w:val="19"/>
        </w:rPr>
        <w:t>Handayani</w:t>
      </w:r>
      <w:proofErr w:type="spellEnd"/>
      <w:r w:rsidRPr="00406AE9">
        <w:rPr>
          <w:sz w:val="19"/>
        </w:rPr>
        <w:t>, P. W. (2020). Determinants of financial literacy and its impacts on financial inclusion in Indonesia. Journal of Indonesian Economy and Business, 35(2), 111-126.</w:t>
      </w:r>
    </w:p>
    <w:p w14:paraId="51DACDC4" w14:textId="77777777" w:rsidR="00B60331" w:rsidRPr="00406AE9" w:rsidRDefault="00AD5676">
      <w:pPr>
        <w:spacing w:after="60"/>
        <w:ind w:left="397" w:hanging="397"/>
      </w:pPr>
      <w:proofErr w:type="spellStart"/>
      <w:r w:rsidRPr="00406AE9">
        <w:rPr>
          <w:sz w:val="19"/>
        </w:rPr>
        <w:t>Wardhana</w:t>
      </w:r>
      <w:proofErr w:type="spellEnd"/>
      <w:r w:rsidRPr="00406AE9">
        <w:rPr>
          <w:sz w:val="19"/>
        </w:rPr>
        <w:t>, D. (2020). Financial inclusion and its impact on economic growth in Indonesia. International Journal of Business and Society, 21(3), 1081-1097.</w:t>
      </w:r>
    </w:p>
    <w:p w14:paraId="5214B02C" w14:textId="77777777" w:rsidR="00D27528" w:rsidRPr="00406AE9" w:rsidRDefault="00000000">
      <w:r w:rsidRPr="00406AE9">
        <w:t>Campbell, J. Y. (2006). Household finance. The Journal of Finance, 61(4), 1553-1604. https://doi.org/10.1111/j.1540-6261.2006.00883.x</w:t>
      </w:r>
    </w:p>
    <w:p w14:paraId="7EB75BE7" w14:textId="77777777" w:rsidR="00D27528" w:rsidRPr="00406AE9" w:rsidRDefault="00000000">
      <w:r w:rsidRPr="00406AE9">
        <w:t>Gomber, P., Kauffman, R. J., Parker, C., &amp; Weber, B. W. (2018). Special issue: Financial information systems and the fintech revolution. Journal of Management Information Systems, 35(1), 12-18. https://doi.org/10.1080/07421222.2018.1440778</w:t>
      </w:r>
    </w:p>
    <w:p w14:paraId="5B4D978A" w14:textId="77777777" w:rsidR="00D27528" w:rsidRPr="00406AE9" w:rsidRDefault="00000000">
      <w:r w:rsidRPr="00406AE9">
        <w:t>Gomber, P., Koch, J. A., &amp; Siering, M. (2017). Digital finance and FinTech: Current research and future research directions. Journal of Business Economics, 87(5), 537-580. https://doi.org/10.1007/s11573-017-0852-x</w:t>
      </w:r>
    </w:p>
    <w:p w14:paraId="4ABB7541" w14:textId="77777777" w:rsidR="00D27528" w:rsidRPr="00406AE9" w:rsidRDefault="00000000">
      <w:r w:rsidRPr="00406AE9">
        <w:t>Guiso, L., &amp; Jappelli, T. (2005). Awareness and stock market participation. Review of Finance, 9(4), 537-567. https://doi.org/10.1007/s10679-005-5000-8</w:t>
      </w:r>
    </w:p>
    <w:p w14:paraId="148E1C94" w14:textId="77777777" w:rsidR="00D27528" w:rsidRPr="00406AE9" w:rsidRDefault="00000000">
      <w:r w:rsidRPr="00406AE9">
        <w:t>Jappelli, T., &amp; Padula, M. (2013). Investment in financial literacy and saving decisions. Journal of Banking &amp; Finance, 37(8), 2779-2792. https://doi.org/10.1016/j.jbankfin.2013.03.019</w:t>
      </w:r>
    </w:p>
    <w:p w14:paraId="2AEB04B3" w14:textId="77777777" w:rsidR="00D27528" w:rsidRPr="00406AE9" w:rsidRDefault="00000000">
      <w:r w:rsidRPr="00406AE9">
        <w:t>Khorana, A., Servaes, H., &amp; Tufano, P. (2005). Explaining the size of the mutual fund industry around the world. Journal of Financial Economics, 78(1), 145-185. https://doi.org/10.1016/j.jfineco.2004.08.006</w:t>
      </w:r>
    </w:p>
    <w:p w14:paraId="152023F1" w14:textId="77777777" w:rsidR="00D27528" w:rsidRPr="00406AE9" w:rsidRDefault="00000000">
      <w:r w:rsidRPr="00406AE9">
        <w:t>Klapper, L., Lusardi, A., &amp; Panos, G. A. (2013). Financial literacy and its consequences: Evidence from Russia during the financial crisis. Journal of Banking &amp; Finance, 37(10), 3904-3923. https://doi.org/10.1016/j.jbankfin.2013.07.014</w:t>
      </w:r>
    </w:p>
    <w:p w14:paraId="0D0F9105" w14:textId="77777777" w:rsidR="00D27528" w:rsidRPr="00406AE9" w:rsidRDefault="00000000">
      <w:r w:rsidRPr="00406AE9">
        <w:t>Suri, T., &amp; Jack, W. (2016). The long-run poverty and gender impacts of mobile money. Science, 354(6317), 1288-1292. https://doi.org/10.1126/science.aah5309</w:t>
      </w:r>
    </w:p>
    <w:p w14:paraId="293B36B3" w14:textId="77777777" w:rsidR="00D27528" w:rsidRDefault="00000000">
      <w:r w:rsidRPr="00406AE9">
        <w:t>van Rooij, M. C. J., Lusardi, A., &amp; Alessie, R. J. M. (2011). Financial literacy and stock market participation. Journal of Financial Economics, 101(2), 449-472. https://doi.org/10.1016/j.jfineco.2011.03.006</w:t>
      </w:r>
    </w:p>
    <w:sectPr w:rsidR="00D27528" w:rsidSect="00034616">
      <w:headerReference w:type="even" r:id="rId8"/>
      <w:headerReference w:type="default" r:id="rId9"/>
      <w:footerReference w:type="even" r:id="rId10"/>
      <w:footerReference w:type="default" r:id="rId11"/>
      <w:headerReference w:type="first" r:id="rId12"/>
      <w:footerReference w:type="first" r:id="rId13"/>
      <w:pgSz w:w="12240" w:h="15840"/>
      <w:pgMar w:top="1080" w:right="1080" w:bottom="1080" w:left="1080"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F1544" w14:textId="77777777" w:rsidR="00B01B9E" w:rsidRDefault="00B01B9E">
      <w:pPr>
        <w:spacing w:after="0" w:line="240" w:lineRule="auto"/>
      </w:pPr>
      <w:r>
        <w:separator/>
      </w:r>
    </w:p>
  </w:endnote>
  <w:endnote w:type="continuationSeparator" w:id="0">
    <w:p w14:paraId="457BB9BB" w14:textId="77777777" w:rsidR="00B01B9E" w:rsidRDefault="00B01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7FE8F" w14:textId="77777777" w:rsidR="00FC2A8B" w:rsidRDefault="00FC2A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2CAAF" w14:textId="77777777" w:rsidR="00B60331" w:rsidRDefault="00AD5676">
    <w:pPr>
      <w:pStyle w:val="Footer"/>
      <w:jc w:val="center"/>
    </w:pPr>
    <w:r>
      <w:rPr>
        <w:sz w:val="18"/>
      </w:rPr>
      <w:fldChar w:fldCharType="begin"/>
    </w:r>
    <w:r>
      <w:rPr>
        <w:sz w:val="18"/>
      </w:rPr>
      <w:instrText xml:space="preserve"> PAGE </w:instrText>
    </w:r>
    <w:r>
      <w:rPr>
        <w:sz w:val="18"/>
      </w:rPr>
      <w:fldChar w:fldCharType="separate"/>
    </w:r>
    <w:r w:rsidR="00210001">
      <w:rPr>
        <w:noProof/>
        <w:sz w:val="18"/>
      </w:rPr>
      <w:t>1</w:t>
    </w:r>
    <w:r>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642E6" w14:textId="77777777" w:rsidR="00FC2A8B" w:rsidRDefault="00FC2A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5ECFE" w14:textId="77777777" w:rsidR="00B01B9E" w:rsidRDefault="00B01B9E">
      <w:pPr>
        <w:spacing w:after="0" w:line="240" w:lineRule="auto"/>
      </w:pPr>
      <w:r>
        <w:separator/>
      </w:r>
    </w:p>
  </w:footnote>
  <w:footnote w:type="continuationSeparator" w:id="0">
    <w:p w14:paraId="79C6807B" w14:textId="77777777" w:rsidR="00B01B9E" w:rsidRDefault="00B01B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049B8" w14:textId="5BB14D25" w:rsidR="00FC2A8B" w:rsidRDefault="00FC2A8B">
    <w:pPr>
      <w:pStyle w:val="Header"/>
    </w:pPr>
    <w:r>
      <w:rPr>
        <w:noProof/>
      </w:rPr>
      <w:pict w14:anchorId="3F6D35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8949329" o:spid="_x0000_s1026" type="#_x0000_t136" style="position:absolute;margin-left:0;margin-top:0;width:639.45pt;height:71.0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289A6" w14:textId="7E9F34BB" w:rsidR="00FC2A8B" w:rsidRDefault="00FC2A8B">
    <w:pPr>
      <w:pStyle w:val="Header"/>
    </w:pPr>
    <w:r>
      <w:rPr>
        <w:noProof/>
      </w:rPr>
      <w:pict w14:anchorId="5953CA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8949330" o:spid="_x0000_s1027" type="#_x0000_t136" style="position:absolute;margin-left:0;margin-top:0;width:639.45pt;height:71.0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A61D5" w14:textId="73517933" w:rsidR="00FC2A8B" w:rsidRDefault="00FC2A8B">
    <w:pPr>
      <w:pStyle w:val="Header"/>
    </w:pPr>
    <w:r>
      <w:rPr>
        <w:noProof/>
      </w:rPr>
      <w:pict w14:anchorId="66C374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8949328" o:spid="_x0000_s1025" type="#_x0000_t136" style="position:absolute;margin-left:0;margin-top:0;width:639.45pt;height:71.0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1C144F"/>
    <w:multiLevelType w:val="hybridMultilevel"/>
    <w:tmpl w:val="AE103DCA"/>
    <w:lvl w:ilvl="0" w:tplc="3809000F">
      <w:start w:val="1"/>
      <w:numFmt w:val="decimal"/>
      <w:lvlText w:val="%1."/>
      <w:lvlJc w:val="left"/>
      <w:pPr>
        <w:ind w:left="1446" w:hanging="360"/>
      </w:pPr>
    </w:lvl>
    <w:lvl w:ilvl="1" w:tplc="38090019" w:tentative="1">
      <w:start w:val="1"/>
      <w:numFmt w:val="lowerLetter"/>
      <w:lvlText w:val="%2."/>
      <w:lvlJc w:val="left"/>
      <w:pPr>
        <w:ind w:left="2166" w:hanging="360"/>
      </w:pPr>
    </w:lvl>
    <w:lvl w:ilvl="2" w:tplc="3809001B" w:tentative="1">
      <w:start w:val="1"/>
      <w:numFmt w:val="lowerRoman"/>
      <w:lvlText w:val="%3."/>
      <w:lvlJc w:val="right"/>
      <w:pPr>
        <w:ind w:left="2886" w:hanging="180"/>
      </w:pPr>
    </w:lvl>
    <w:lvl w:ilvl="3" w:tplc="3809000F" w:tentative="1">
      <w:start w:val="1"/>
      <w:numFmt w:val="decimal"/>
      <w:lvlText w:val="%4."/>
      <w:lvlJc w:val="left"/>
      <w:pPr>
        <w:ind w:left="3606" w:hanging="360"/>
      </w:pPr>
    </w:lvl>
    <w:lvl w:ilvl="4" w:tplc="38090019" w:tentative="1">
      <w:start w:val="1"/>
      <w:numFmt w:val="lowerLetter"/>
      <w:lvlText w:val="%5."/>
      <w:lvlJc w:val="left"/>
      <w:pPr>
        <w:ind w:left="4326" w:hanging="360"/>
      </w:pPr>
    </w:lvl>
    <w:lvl w:ilvl="5" w:tplc="3809001B" w:tentative="1">
      <w:start w:val="1"/>
      <w:numFmt w:val="lowerRoman"/>
      <w:lvlText w:val="%6."/>
      <w:lvlJc w:val="right"/>
      <w:pPr>
        <w:ind w:left="5046" w:hanging="180"/>
      </w:pPr>
    </w:lvl>
    <w:lvl w:ilvl="6" w:tplc="3809000F" w:tentative="1">
      <w:start w:val="1"/>
      <w:numFmt w:val="decimal"/>
      <w:lvlText w:val="%7."/>
      <w:lvlJc w:val="left"/>
      <w:pPr>
        <w:ind w:left="5766" w:hanging="360"/>
      </w:pPr>
    </w:lvl>
    <w:lvl w:ilvl="7" w:tplc="38090019" w:tentative="1">
      <w:start w:val="1"/>
      <w:numFmt w:val="lowerLetter"/>
      <w:lvlText w:val="%8."/>
      <w:lvlJc w:val="left"/>
      <w:pPr>
        <w:ind w:left="6486" w:hanging="360"/>
      </w:pPr>
    </w:lvl>
    <w:lvl w:ilvl="8" w:tplc="3809001B" w:tentative="1">
      <w:start w:val="1"/>
      <w:numFmt w:val="lowerRoman"/>
      <w:lvlText w:val="%9."/>
      <w:lvlJc w:val="right"/>
      <w:pPr>
        <w:ind w:left="7206" w:hanging="180"/>
      </w:pPr>
    </w:lvl>
  </w:abstractNum>
  <w:num w:numId="1" w16cid:durableId="1944877947">
    <w:abstractNumId w:val="8"/>
  </w:num>
  <w:num w:numId="2" w16cid:durableId="328679316">
    <w:abstractNumId w:val="6"/>
  </w:num>
  <w:num w:numId="3" w16cid:durableId="581333444">
    <w:abstractNumId w:val="5"/>
  </w:num>
  <w:num w:numId="4" w16cid:durableId="631403108">
    <w:abstractNumId w:val="4"/>
  </w:num>
  <w:num w:numId="5" w16cid:durableId="535390320">
    <w:abstractNumId w:val="7"/>
  </w:num>
  <w:num w:numId="6" w16cid:durableId="667516653">
    <w:abstractNumId w:val="3"/>
  </w:num>
  <w:num w:numId="7" w16cid:durableId="1859807499">
    <w:abstractNumId w:val="2"/>
  </w:num>
  <w:num w:numId="8" w16cid:durableId="831021161">
    <w:abstractNumId w:val="1"/>
  </w:num>
  <w:num w:numId="9" w16cid:durableId="869729525">
    <w:abstractNumId w:val="0"/>
  </w:num>
  <w:num w:numId="10" w16cid:durableId="14310008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F00"/>
    <w:rsid w:val="00034616"/>
    <w:rsid w:val="0006063C"/>
    <w:rsid w:val="0007497A"/>
    <w:rsid w:val="0015074B"/>
    <w:rsid w:val="002026BC"/>
    <w:rsid w:val="00210001"/>
    <w:rsid w:val="00211C35"/>
    <w:rsid w:val="0029639D"/>
    <w:rsid w:val="00326F90"/>
    <w:rsid w:val="00357242"/>
    <w:rsid w:val="003C700C"/>
    <w:rsid w:val="00406AE9"/>
    <w:rsid w:val="00442C25"/>
    <w:rsid w:val="005E0952"/>
    <w:rsid w:val="007274C0"/>
    <w:rsid w:val="00872F46"/>
    <w:rsid w:val="009D1B69"/>
    <w:rsid w:val="00AA1D8D"/>
    <w:rsid w:val="00AD5676"/>
    <w:rsid w:val="00B01B9E"/>
    <w:rsid w:val="00B47730"/>
    <w:rsid w:val="00B60331"/>
    <w:rsid w:val="00C50B5C"/>
    <w:rsid w:val="00C91183"/>
    <w:rsid w:val="00CB0664"/>
    <w:rsid w:val="00D27528"/>
    <w:rsid w:val="00DD4D87"/>
    <w:rsid w:val="00EE3205"/>
    <w:rsid w:val="00F40802"/>
    <w:rsid w:val="00FC2A8B"/>
    <w:rsid w:val="00FC693F"/>
    <w:rsid w:val="00FD45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1895ED2"/>
  <w14:defaultImageDpi w14:val="300"/>
  <w15:docId w15:val="{DB49C5D5-0C6F-491C-8993-8272FFBED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2" w:lineRule="auto"/>
    </w:pPr>
    <w:rPr>
      <w:rFonts w:ascii="Times New Roman" w:eastAsia="Times New Roman" w:hAnsi="Times New Roman"/>
      <w:sz w:val="21"/>
    </w:rPr>
  </w:style>
  <w:style w:type="paragraph" w:styleId="Heading1">
    <w:name w:val="heading 1"/>
    <w:basedOn w:val="Normal"/>
    <w:next w:val="Normal"/>
    <w:link w:val="Heading1Char"/>
    <w:uiPriority w:val="9"/>
    <w:qFormat/>
    <w:rsid w:val="00FC693F"/>
    <w:pPr>
      <w:keepNext/>
      <w:keepLines/>
      <w:spacing w:before="200"/>
      <w:outlineLvl w:val="0"/>
    </w:pPr>
    <w:rPr>
      <w:rFonts w:asciiTheme="majorHAnsi" w:eastAsiaTheme="majorEastAsia" w:hAnsiTheme="majorHAnsi" w:cstheme="majorBidi"/>
      <w:b/>
      <w:bCs/>
      <w:sz w:val="22"/>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b/>
      <w:bCs/>
      <w:szCs w:val="26"/>
    </w:rPr>
  </w:style>
  <w:style w:type="paragraph" w:styleId="Heading3">
    <w:name w:val="heading 3"/>
    <w:basedOn w:val="Normal"/>
    <w:next w:val="Normal"/>
    <w:link w:val="Heading3Char"/>
    <w:uiPriority w:val="9"/>
    <w:unhideWhenUsed/>
    <w:qFormat/>
    <w:rsid w:val="00FC693F"/>
    <w:pPr>
      <w:keepNext/>
      <w:keepLines/>
      <w:spacing w:before="120" w:after="60"/>
      <w:outlineLvl w:val="2"/>
    </w:pPr>
    <w:rPr>
      <w:rFonts w:asciiTheme="majorHAnsi" w:eastAsiaTheme="majorEastAsia" w:hAnsiTheme="majorHAnsi" w:cstheme="majorBidi"/>
      <w:b/>
      <w:bCs/>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96B654-D46C-46F8-BAE7-B0935CD17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4217</Words>
  <Characters>24041</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28202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Stocks and Mutual Funds Boost Capital Market Inclusion in Indonesia?</dc:title>
  <dc:subject/>
  <dc:creator>OpenAI - generated for academic formatting assistance</dc:creator>
  <cp:keywords/>
  <dc:description>generated by python-docx</dc:description>
  <cp:lastModifiedBy>SDI 1084</cp:lastModifiedBy>
  <cp:revision>12</cp:revision>
  <dcterms:created xsi:type="dcterms:W3CDTF">2026-07-08T17:11:00Z</dcterms:created>
  <dcterms:modified xsi:type="dcterms:W3CDTF">2026-07-09T12:55:00Z</dcterms:modified>
  <cp:category/>
</cp:coreProperties>
</file>