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0ABBE" w14:textId="77777777" w:rsidR="00132AB2" w:rsidRPr="00132AB2" w:rsidRDefault="00132AB2" w:rsidP="00132AB2">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132AB2">
        <w:rPr>
          <w:rFonts w:ascii="Times New Roman" w:eastAsia="Times New Roman" w:hAnsi="Times New Roman" w:cs="Times New Roman"/>
          <w:b/>
          <w:bCs/>
          <w:i/>
          <w:iCs/>
          <w:sz w:val="36"/>
          <w:szCs w:val="36"/>
          <w:u w:val="single"/>
          <w:lang w:val="en-US" w:eastAsia="en-GB"/>
        </w:rPr>
        <w:t>Review Article</w:t>
      </w:r>
    </w:p>
    <w:p w14:paraId="1B46BB1C" w14:textId="77777777" w:rsidR="00397623" w:rsidRPr="00397623" w:rsidRDefault="00397623" w:rsidP="00397623">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397623">
        <w:rPr>
          <w:rFonts w:ascii="Times New Roman" w:eastAsia="Times New Roman" w:hAnsi="Times New Roman" w:cs="Times New Roman"/>
          <w:b/>
          <w:bCs/>
          <w:sz w:val="36"/>
          <w:szCs w:val="36"/>
          <w:lang w:eastAsia="en-GB"/>
        </w:rPr>
        <w:t>Corporate Greenwashing in the ESG Era: Sustainability Claims, Regulatory Challenges, and Investor Risk</w:t>
      </w:r>
    </w:p>
    <w:p w14:paraId="0384E0A4" w14:textId="77777777" w:rsidR="00397623" w:rsidRPr="00397623" w:rsidRDefault="00397623" w:rsidP="003976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Abstract</w:t>
      </w:r>
    </w:p>
    <w:p w14:paraId="1BAAA149"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The rapid expansion of environmental, social and governance investing has been accompanied by a parallel rise in corporate greenwashing, the practice of overstating, selectively disclosing, or fabricating environmental credentials to secure reputational, regulatory, or financial advantage. This review synthesises the multidisciplinary literature on greenwashing published across finance, accounting, management, marketing, and environmental law to provide an integrated account of its definitions, drivers, detection methods, regulatory treatment, and consequences for investors. The review traces the evolution of greenwashing typologies from early legitimacy-based accounts to contemporary measurement frameworks built on the gap between disclosed and actual environmental performance, and it examines how divergence among environmental, social and governance rating agencies compounds the difficulty of distinguishing genuine sustainability leaders from symbolic compliers. It then evaluates the regulatory landscape, contrasting the European Union's mandatory disclosure architecture with the more contested and currently unsettled position in the United States, before assessing evidence linking greenwashing to investor risk through channels including cost of capital, ownership structure, and litigation exposure. Sector-specific evidence from executive compensation design is reviewed alongside emerging computational methods for detecting inconsistencies between corporate rhetoric and verifiable environmental outcomes. The review closes by identifying priority directions for future research, drawing conclusions for practitioners and policymakers, and outlining the limitations inherent in a narrative synthesis of a fast-moving and methodologically heterogeneous field.</w:t>
      </w:r>
    </w:p>
    <w:p w14:paraId="7BFA3FB6"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b/>
          <w:bCs/>
          <w:sz w:val="24"/>
          <w:szCs w:val="24"/>
          <w:lang w:eastAsia="en-GB"/>
        </w:rPr>
        <w:t>Keywords:</w:t>
      </w:r>
      <w:r w:rsidRPr="00397623">
        <w:rPr>
          <w:rFonts w:ascii="Times New Roman" w:eastAsia="Times New Roman" w:hAnsi="Times New Roman" w:cs="Times New Roman"/>
          <w:sz w:val="24"/>
          <w:szCs w:val="24"/>
          <w:lang w:eastAsia="en-GB"/>
        </w:rPr>
        <w:t xml:space="preserve"> greenwashing; environmental, social and governance disclosure; sustainability reporting; investor risk; regulatory compliance; corporate governance</w:t>
      </w:r>
    </w:p>
    <w:p w14:paraId="4A6B3349" w14:textId="77777777" w:rsidR="00397623" w:rsidRPr="00397623" w:rsidRDefault="00397623" w:rsidP="003976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1. Introduction</w:t>
      </w:r>
    </w:p>
    <w:p w14:paraId="0D9B4F44"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1.1 The sustainability disclosure landscape</w:t>
      </w:r>
    </w:p>
    <w:p w14:paraId="1A3C8BB8"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Corporate environmental communication has moved from a peripheral public relations function to a central component of firm valuation, capital allocation, and regulatory compliance. Investors, regulators, and consumers increasingly expect companies to substantiate claims about emissions reduction, resource efficiency, and social responsibility with verifiable evidence, yet the incentives to overstate such claims have grown alongside the rewards attached to a credible environmental, social and governance (ESG) profile. Greenwashing, commonly understood as the practice of misrepresenting the environmental performance of a firm, product, or investment strategy, sits at the intersection of these pressures. It is neither a new phenomenon nor confined to any single sector, but its scale and sophistication have expanded considerably alongside the growth of sustainable finance markets, mandatory non-financial reporting regimes, and algorithmic scrutiny of corporate disclosures.</w:t>
      </w:r>
    </w:p>
    <w:p w14:paraId="1FC8C52C"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lastRenderedPageBreak/>
        <w:t>1.2 The rise of ESG investing and its unintended consequences</w:t>
      </w:r>
    </w:p>
    <w:p w14:paraId="7440ECB7"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The expansion of ESG-labelled assets under management has created strong commercial incentives for asset managers, index providers, and portfolio companies to signal sustainability credentials, sometimes independently of underlying operational change. This dynamic has been described as a market for corporate reputational capital, in which the disclosure of favourable environmental information yields financial value regardless of whether the disclosed activity meaningfully reduces environmental harm. Because verification of environmental claims typically lags disclosure, and because ESG rating methodologies differ substantially across providers, firms retain considerable latitude in how they construct and time their sustainability narratives.</w:t>
      </w:r>
    </w:p>
    <w:p w14:paraId="79C63079"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1.3 Scope, research gap and objectives</w:t>
      </w:r>
    </w:p>
    <w:p w14:paraId="433E85DF"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This review focuses on corporate-level greenwashing in the context of ESG investing, sustainability reporting, and financial market discipline, drawing on literature from corporate finance, accounting, strategic management, marketing, and environmental regulation. It does not attempt to catalogue every corporate scandal, nor does it apply a systematic, protocol-driven synthesis in the sense of a Preferred Reporting Items for Systematic Reviews and Meta-Analyses exercise; </w:t>
      </w:r>
      <w:proofErr w:type="gramStart"/>
      <w:r w:rsidRPr="00397623">
        <w:rPr>
          <w:rFonts w:ascii="Times New Roman" w:eastAsia="Times New Roman" w:hAnsi="Times New Roman" w:cs="Times New Roman"/>
          <w:sz w:val="24"/>
          <w:szCs w:val="24"/>
          <w:lang w:eastAsia="en-GB"/>
        </w:rPr>
        <w:t>instead</w:t>
      </w:r>
      <w:proofErr w:type="gramEnd"/>
      <w:r w:rsidRPr="00397623">
        <w:rPr>
          <w:rFonts w:ascii="Times New Roman" w:eastAsia="Times New Roman" w:hAnsi="Times New Roman" w:cs="Times New Roman"/>
          <w:sz w:val="24"/>
          <w:szCs w:val="24"/>
          <w:lang w:eastAsia="en-GB"/>
        </w:rPr>
        <w:t xml:space="preserve"> it adopts a narrative review approach suited to a topic that spans disciplinary boundaries, evolves through regulatory change, and resists reduction to a single outcome variable. A persistent gap in the existing literature is the absence of an integrated account that connects the conceptual and typological work on greenwashing with the empirical finance literature on investor risk, the regulatory literature on disclosure mandates, and the emerging computational literature on automated detection. Existing reviews tend to specialise in one of these strands, leaving practitioners and policymakers without a single point of reference spanning measurement, regulation, and consequence. This review addresses that gap with three objectives: first, to synthesise how greenwashing has been conceptualised and measured across disciplines and to clarify the sources of disagreement in that measurement; second, to evaluate the evidence on the financial and reputational consequences of greenwashing for investors; and third, to assess how regulatory and technological developments, from mandatory assurance regimes to natural language processing-based detection tools, are reshaping the incentives and opportunities for greenwashing.</w:t>
      </w:r>
    </w:p>
    <w:p w14:paraId="50A295DA" w14:textId="77777777" w:rsidR="00397623" w:rsidRPr="00397623" w:rsidRDefault="00397623" w:rsidP="003976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2. Methods for Literature Selection</w:t>
      </w:r>
    </w:p>
    <w:p w14:paraId="085B9DDF"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2.1 Databases and indexing sources searched</w:t>
      </w:r>
    </w:p>
    <w:p w14:paraId="3DC4270A"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The literature underpinning this review was identified through structured searches of Web of Science, Scopus, Google Scholar, and PubMed, supplemented by searches of six field-specific indexing databases selected for their relevance to finance, accounting, and sustainability research: Business Source Complete, </w:t>
      </w:r>
      <w:proofErr w:type="spellStart"/>
      <w:r w:rsidRPr="00397623">
        <w:rPr>
          <w:rFonts w:ascii="Times New Roman" w:eastAsia="Times New Roman" w:hAnsi="Times New Roman" w:cs="Times New Roman"/>
          <w:sz w:val="24"/>
          <w:szCs w:val="24"/>
          <w:lang w:eastAsia="en-GB"/>
        </w:rPr>
        <w:t>EconLit</w:t>
      </w:r>
      <w:proofErr w:type="spellEnd"/>
      <w:r w:rsidRPr="00397623">
        <w:rPr>
          <w:rFonts w:ascii="Times New Roman" w:eastAsia="Times New Roman" w:hAnsi="Times New Roman" w:cs="Times New Roman"/>
          <w:sz w:val="24"/>
          <w:szCs w:val="24"/>
          <w:lang w:eastAsia="en-GB"/>
        </w:rPr>
        <w:t>, the Directory of Open Access Journals, ScienceDirect's Environmental and Social Sciences collection, and two additional citation-tracing resources used only to locate subsequently published peer-reviewed versions of working papers, never as a direct source of citable material. Search strings combined the terms "greenwashing" OR "green-washing" OR "ESG-washing" with "corporate," "disclosure," "sustainability reporting," "investor risk," "regulation," and "detection," using Boolean operators and truncation appropriate to each database's syntax.</w:t>
      </w:r>
    </w:p>
    <w:p w14:paraId="291A78DC"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lastRenderedPageBreak/>
        <w:t>2.2 Date range and inclusion criteria</w:t>
      </w:r>
    </w:p>
    <w:p w14:paraId="779B5BAC"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The search covered publications from January 2011 to April 2026. The starting point of 2011 was chosen because it corresponds to the publication of two foundational papers that established much of the modern analytical vocabulary of greenwashing research, giving a natural anchor for tracing the field's conceptual development. Eligible sources were peer-reviewed journal articles in indexed academic journals, together with authoritative institutional reports from bodies such as the European Commission and the United States Securities and Exchange Commission, included only where no peer-reviewed equivalent existed and a verifiable uniform resource locator was available. Books, conference proceedings, working papers not subsequently published in a peer-reviewed outlet, patents, trade press, and non-peer-reviewed preprints were excluded, even where such material had shaped the discourse, in order to preserve the evidentiary standard of the review.</w:t>
      </w:r>
    </w:p>
    <w:p w14:paraId="1E18C7D4"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2.3 Screening workflow, duplicate handling and language restrictions</w:t>
      </w:r>
    </w:p>
    <w:p w14:paraId="37B6CAAF"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Records retrieved from each database were exported and screened in two stages. Titles and abstracts were first screened for topical relevance to corporate-level greenwashing, ESG disclosure integrity, or related regulatory and investor-risk themes; full texts of the remaining records were then assessed against the inclusion criteria above. Duplicate records arising from overlapping database coverage were identified through matching digital object identifiers and retained once. The search was restricted to English-language publications, a restriction that inevitably underrepresents scholarship examining greenwashing in East Asian and continental European jurisdictions where much of the underlying empirical activity occurs; this is acknowledged as a limitation of the review. Influential studies published before the formal search window, including foundational contributions to institutional and legitimacy theory, were retained on the basis of their continued citation frequency and conceptual centrality, a selection criterion consistent with guidance on conducting narrative reviews of interdisciplinary literatures (Grant &amp; Booth, 2009).</w:t>
      </w:r>
    </w:p>
    <w:p w14:paraId="7A8A7E07"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2.4 Rationale for a narrative rather than systematic review approach</w:t>
      </w:r>
    </w:p>
    <w:p w14:paraId="2E11C64F"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A systematic review protocol, with its emphasis on a single, prespecified outcome measure and homogeneous study designs, sits awkwardly with a topic that spans econometric event studies, qualitative case analysis, regulatory doctrine, and computational linguistics. Greenwashing research lacks a single agreed outcome metric, a common unit of analysis, or a stable regulatory baseline against which effect sizes could be meaningfully pooled. A narrative synthesis instead allows the reviewer to trace conceptual development, reconcile terminology across disciplines, and integrate qualitative regulatory analysis with quantitative financial evidence, an approach consistent with established guidance distinguishing narrative from systematic reviews according to the breadth and heterogeneity of the underlying evidence base (Grant &amp; Booth, 2009).</w:t>
      </w:r>
    </w:p>
    <w:p w14:paraId="7AF19099"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Table 1 summarises the search protocol described above, including the databases consulted, the terms combined, the date range applied, and the criteria used to admit or exclude candidate sources.</w:t>
      </w:r>
    </w:p>
    <w:p w14:paraId="20453DDD"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Table 1. Summary of the literature search strategy</w:t>
      </w:r>
    </w:p>
    <w:tbl>
      <w:tblPr>
        <w:tblStyle w:val="TableGrid"/>
        <w:tblW w:w="0" w:type="auto"/>
        <w:tblLook w:val="04A0" w:firstRow="1" w:lastRow="0" w:firstColumn="1" w:lastColumn="0" w:noHBand="0" w:noVBand="1"/>
      </w:tblPr>
      <w:tblGrid>
        <w:gridCol w:w="1740"/>
        <w:gridCol w:w="7502"/>
      </w:tblGrid>
      <w:tr w:rsidR="00397623" w:rsidRPr="00397623" w14:paraId="6BC3C8BA" w14:textId="77777777" w:rsidTr="00397623">
        <w:tc>
          <w:tcPr>
            <w:tcW w:w="0" w:type="auto"/>
            <w:hideMark/>
          </w:tcPr>
          <w:p w14:paraId="1B62F991" w14:textId="77777777" w:rsidR="00397623" w:rsidRPr="00397623" w:rsidRDefault="00397623" w:rsidP="00397623">
            <w:pPr>
              <w:jc w:val="center"/>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Element</w:t>
            </w:r>
          </w:p>
        </w:tc>
        <w:tc>
          <w:tcPr>
            <w:tcW w:w="0" w:type="auto"/>
            <w:hideMark/>
          </w:tcPr>
          <w:p w14:paraId="3F0CDE95" w14:textId="77777777" w:rsidR="00397623" w:rsidRPr="00397623" w:rsidRDefault="00397623" w:rsidP="00397623">
            <w:pPr>
              <w:jc w:val="center"/>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Specification</w:t>
            </w:r>
          </w:p>
        </w:tc>
      </w:tr>
      <w:tr w:rsidR="00397623" w:rsidRPr="00397623" w14:paraId="554B2107" w14:textId="77777777" w:rsidTr="00397623">
        <w:tc>
          <w:tcPr>
            <w:tcW w:w="0" w:type="auto"/>
            <w:hideMark/>
          </w:tcPr>
          <w:p w14:paraId="50F8762A"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lastRenderedPageBreak/>
              <w:t>Databases searched</w:t>
            </w:r>
          </w:p>
        </w:tc>
        <w:tc>
          <w:tcPr>
            <w:tcW w:w="0" w:type="auto"/>
            <w:hideMark/>
          </w:tcPr>
          <w:p w14:paraId="66DA06FE"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Web of Science; Scopus; Google Scholar; PubMed; Business Source Complete; </w:t>
            </w:r>
            <w:proofErr w:type="spellStart"/>
            <w:r w:rsidRPr="00397623">
              <w:rPr>
                <w:rFonts w:ascii="Times New Roman" w:eastAsia="Times New Roman" w:hAnsi="Times New Roman" w:cs="Times New Roman"/>
                <w:sz w:val="24"/>
                <w:szCs w:val="24"/>
                <w:lang w:eastAsia="en-GB"/>
              </w:rPr>
              <w:t>EconLit</w:t>
            </w:r>
            <w:proofErr w:type="spellEnd"/>
            <w:r w:rsidRPr="00397623">
              <w:rPr>
                <w:rFonts w:ascii="Times New Roman" w:eastAsia="Times New Roman" w:hAnsi="Times New Roman" w:cs="Times New Roman"/>
                <w:sz w:val="24"/>
                <w:szCs w:val="24"/>
                <w:lang w:eastAsia="en-GB"/>
              </w:rPr>
              <w:t>; Directory of Open Access Journals; ScienceDirect Environmental and Social Sciences collection</w:t>
            </w:r>
          </w:p>
        </w:tc>
      </w:tr>
      <w:tr w:rsidR="00397623" w:rsidRPr="00397623" w14:paraId="6FDBA44B" w14:textId="77777777" w:rsidTr="00397623">
        <w:tc>
          <w:tcPr>
            <w:tcW w:w="0" w:type="auto"/>
            <w:hideMark/>
          </w:tcPr>
          <w:p w14:paraId="3E3EF2D1"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Search terms</w:t>
            </w:r>
          </w:p>
        </w:tc>
        <w:tc>
          <w:tcPr>
            <w:tcW w:w="0" w:type="auto"/>
            <w:hideMark/>
          </w:tcPr>
          <w:p w14:paraId="0FF61DA3"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"greenwashing" OR "green-washing" OR "ESG-washing" combined with "corporate," "disclosure," "sustainability reporting," "investor risk," "regulation," "detection"</w:t>
            </w:r>
          </w:p>
        </w:tc>
      </w:tr>
      <w:tr w:rsidR="00397623" w:rsidRPr="00397623" w14:paraId="5D7C0533" w14:textId="77777777" w:rsidTr="00397623">
        <w:tc>
          <w:tcPr>
            <w:tcW w:w="0" w:type="auto"/>
            <w:hideMark/>
          </w:tcPr>
          <w:p w14:paraId="583AC648"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Date range</w:t>
            </w:r>
          </w:p>
        </w:tc>
        <w:tc>
          <w:tcPr>
            <w:tcW w:w="0" w:type="auto"/>
            <w:hideMark/>
          </w:tcPr>
          <w:p w14:paraId="61D5ADDE"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January 2011 to April 2026</w:t>
            </w:r>
          </w:p>
        </w:tc>
      </w:tr>
      <w:tr w:rsidR="00397623" w:rsidRPr="00397623" w14:paraId="36870E26" w14:textId="77777777" w:rsidTr="00397623">
        <w:tc>
          <w:tcPr>
            <w:tcW w:w="0" w:type="auto"/>
            <w:hideMark/>
          </w:tcPr>
          <w:p w14:paraId="79E0506A"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Language</w:t>
            </w:r>
          </w:p>
        </w:tc>
        <w:tc>
          <w:tcPr>
            <w:tcW w:w="0" w:type="auto"/>
            <w:hideMark/>
          </w:tcPr>
          <w:p w14:paraId="2D79D903"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English only</w:t>
            </w:r>
          </w:p>
        </w:tc>
      </w:tr>
      <w:tr w:rsidR="00397623" w:rsidRPr="00397623" w14:paraId="31CA1FCB" w14:textId="77777777" w:rsidTr="00397623">
        <w:tc>
          <w:tcPr>
            <w:tcW w:w="0" w:type="auto"/>
            <w:hideMark/>
          </w:tcPr>
          <w:p w14:paraId="76369B46"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Document types included</w:t>
            </w:r>
          </w:p>
        </w:tc>
        <w:tc>
          <w:tcPr>
            <w:tcW w:w="0" w:type="auto"/>
            <w:hideMark/>
          </w:tcPr>
          <w:p w14:paraId="27EFB39C"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Peer-reviewed journal articles; authoritative institutional reports with verifiable source</w:t>
            </w:r>
          </w:p>
        </w:tc>
      </w:tr>
      <w:tr w:rsidR="00397623" w:rsidRPr="00397623" w14:paraId="2922DFEA" w14:textId="77777777" w:rsidTr="00397623">
        <w:tc>
          <w:tcPr>
            <w:tcW w:w="0" w:type="auto"/>
            <w:hideMark/>
          </w:tcPr>
          <w:p w14:paraId="32328A76"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Document types excluded</w:t>
            </w:r>
          </w:p>
        </w:tc>
        <w:tc>
          <w:tcPr>
            <w:tcW w:w="0" w:type="auto"/>
            <w:hideMark/>
          </w:tcPr>
          <w:p w14:paraId="57F690EE"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Books, conference proceedings, unpublished working papers, patents, trade press, preprints</w:t>
            </w:r>
          </w:p>
        </w:tc>
      </w:tr>
      <w:tr w:rsidR="00397623" w:rsidRPr="00397623" w14:paraId="70631888" w14:textId="77777777" w:rsidTr="00397623">
        <w:tc>
          <w:tcPr>
            <w:tcW w:w="0" w:type="auto"/>
            <w:hideMark/>
          </w:tcPr>
          <w:p w14:paraId="39F4EB9A"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Screening</w:t>
            </w:r>
          </w:p>
        </w:tc>
        <w:tc>
          <w:tcPr>
            <w:tcW w:w="0" w:type="auto"/>
            <w:hideMark/>
          </w:tcPr>
          <w:p w14:paraId="03FF3363"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Title/abstract screening followed by full-text assessment; duplicates removed by digital object identifier matching</w:t>
            </w:r>
          </w:p>
        </w:tc>
      </w:tr>
    </w:tbl>
    <w:p w14:paraId="24B102C2"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i/>
          <w:iCs/>
          <w:sz w:val="24"/>
          <w:szCs w:val="24"/>
          <w:lang w:eastAsia="en-GB"/>
        </w:rPr>
        <w:t>Source: compiled by the author based on the search protocol described in Section 2.</w:t>
      </w:r>
    </w:p>
    <w:p w14:paraId="35C38EF0" w14:textId="77777777" w:rsidR="00397623" w:rsidRPr="00397623" w:rsidRDefault="00397623" w:rsidP="003976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3. Conceptualising Greenwashing: Definitions, Typologies and Theoretical Foundations</w:t>
      </w:r>
    </w:p>
    <w:p w14:paraId="2A4F6B73"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3.1 Definitional evolution</w:t>
      </w:r>
    </w:p>
    <w:p w14:paraId="43D9E196"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Early treatments of greenwashing framed it narrowly as a marketing phenomenon involving false or exaggerated claims about the environmental attributes of individual products. As sustainability reporting matured into a firm-level, multi-stakeholder communication exercise, the concept broadened to encompass discrepancies between an organisation's disclosed environmental commitments and its underlying operational practices (Delmas &amp; Burbano, 2011). Contemporary scholarship generally converges on a definition of greenwashing as a communicative discrepancy in which an organisation portrays itself, its products, or its processes as more environmentally responsible than warranted by actual practice, whether through false, vague, irrelevant, or selectively favourable information. Terminological consensus nonetheless remains incomplete, reflecting the concept's simultaneous use across marketing, accounting, and legal literatures with somewhat different emphases.</w:t>
      </w:r>
    </w:p>
    <w:p w14:paraId="18B003EC"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3.2 Typologies of greenwashing behaviour</w:t>
      </w:r>
    </w:p>
    <w:p w14:paraId="339332B3"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Three analytically distinct forms of greenwashing recur across the typological literature. The first, often labelled decoupling or the talk-walk gap, refers to a discrepancy between symbolic commitments, such as net-zero pledges or sustainability policy statements, and substantive operational change; this behaviour is theorised as a rational response to institutional pressure for legitimacy when genuine compliance is costly (Meyer &amp; Rowan, 1977). The second, selective or asymmetric disclosure, involves the disproportionate reporting of favourable environmental outcomes relative to unfavourable ones, allowing firms to construct a misleadingly positive aggregate impression without technically falsifying any individual disclosure (Marquis et al., 2016). The third, exaggeration or symbolic action without corresponding substantive investment, captures cases in which firms undertake highly visible but low-cost environmental gestures while continuing environmentally damaging core operations largely unchanged (Walker &amp; Wan, 2012). These distinctions matter empirically because they imply different measurement strategies: decoupling is typically captured </w:t>
      </w:r>
      <w:r w:rsidRPr="00397623">
        <w:rPr>
          <w:rFonts w:ascii="Times New Roman" w:eastAsia="Times New Roman" w:hAnsi="Times New Roman" w:cs="Times New Roman"/>
          <w:sz w:val="24"/>
          <w:szCs w:val="24"/>
          <w:lang w:eastAsia="en-GB"/>
        </w:rPr>
        <w:lastRenderedPageBreak/>
        <w:t>through the gap between disclosed targets and realised emissions trajectories, selective disclosure through content analysis of what is omitted rather than what is stated, and symbolic action through the ratio of communication expenditure to verified environmental investment.</w:t>
      </w:r>
    </w:p>
    <w:p w14:paraId="310CDF2F"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A further refinement distinguishes greenwashing from its inverse, sometimes termed </w:t>
      </w:r>
      <w:proofErr w:type="spellStart"/>
      <w:r w:rsidRPr="00397623">
        <w:rPr>
          <w:rFonts w:ascii="Times New Roman" w:eastAsia="Times New Roman" w:hAnsi="Times New Roman" w:cs="Times New Roman"/>
          <w:sz w:val="24"/>
          <w:szCs w:val="24"/>
          <w:lang w:eastAsia="en-GB"/>
        </w:rPr>
        <w:t>brownwashing</w:t>
      </w:r>
      <w:proofErr w:type="spellEnd"/>
      <w:r w:rsidRPr="00397623">
        <w:rPr>
          <w:rFonts w:ascii="Times New Roman" w:eastAsia="Times New Roman" w:hAnsi="Times New Roman" w:cs="Times New Roman"/>
          <w:sz w:val="24"/>
          <w:szCs w:val="24"/>
          <w:lang w:eastAsia="en-GB"/>
        </w:rPr>
        <w:t xml:space="preserve"> or greenhushing, in which firms understate genuine environmental achievements out of caution regarding scrutiny or litigation risk. The coexistence of overstatement and understatement tendencies within the same reporting population complicates any simple binary classification of firms as truthful or deceptive, since observed disclosure choices reflect a strategic trade-off between reputational upside and legal exposure rather than a fixed propensity to mislead (Kim &amp; Lyon, 2015).</w:t>
      </w:r>
    </w:p>
    <w:p w14:paraId="55DAE5F7"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3.3 Theoretical lenses: legitimacy, institutional and signalling theory</w:t>
      </w:r>
    </w:p>
    <w:p w14:paraId="49B5110B"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Three theoretical traditions dominate explanations of why firms engage in greenwashing. Legitimacy theory holds that organisations seek congruence between their behaviour and prevailing social norms in order to secure continued access to resources, and that greenwashing represents a low-cost route to perceived legitimacy when substantive compliance is expensive or slow to demonstrate (Suchman, 1995). Institutional theory extends this logic by describing how formal organisational structures, including sustainability committees, reporting frameworks, and stated policies, can become decoupled from actual operating routines, persisting as symbolic artefacts that satisfy external audiences without altering core technical activities (Meyer &amp; Rowan, 1977). Signalling theory, drawn from information economics, frames voluntary environmental disclosure as a costly signal intended to differentiate genuinely sustainable firms from imitators; greenwashing occurs when the signalling cost is insufficiently high to deter low-quality firms from mimicking high-quality disclosure, eroding the informational value of the signal for the market as a whole. These three lenses are complementary rather than competing: institutional pressure explains the origin of the incentive to appear compliant, legitimacy theory explains the reputational payoff, and signalling theory explains why capital markets remain structurally vulnerable to being misled absent independent verification.</w:t>
      </w:r>
    </w:p>
    <w:p w14:paraId="425BA471"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Table 2 draws these three typologies together with their associated theoretical framing and a representative measurement approach for each.</w:t>
      </w:r>
    </w:p>
    <w:p w14:paraId="50C06DE6"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Table 2. Typology of corporate greenwashing behaviours and associated theoretical framing</w:t>
      </w:r>
    </w:p>
    <w:tbl>
      <w:tblPr>
        <w:tblStyle w:val="TableGrid"/>
        <w:tblW w:w="0" w:type="auto"/>
        <w:tblLook w:val="04A0" w:firstRow="1" w:lastRow="0" w:firstColumn="1" w:lastColumn="0" w:noHBand="0" w:noVBand="1"/>
      </w:tblPr>
      <w:tblGrid>
        <w:gridCol w:w="1742"/>
        <w:gridCol w:w="2959"/>
        <w:gridCol w:w="1800"/>
        <w:gridCol w:w="2741"/>
      </w:tblGrid>
      <w:tr w:rsidR="00397623" w:rsidRPr="00397623" w14:paraId="1F06840F" w14:textId="77777777" w:rsidTr="00397623">
        <w:tc>
          <w:tcPr>
            <w:tcW w:w="0" w:type="auto"/>
            <w:hideMark/>
          </w:tcPr>
          <w:p w14:paraId="0144EB26" w14:textId="77777777" w:rsidR="00397623" w:rsidRPr="00397623" w:rsidRDefault="00397623" w:rsidP="00397623">
            <w:pPr>
              <w:jc w:val="center"/>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Type</w:t>
            </w:r>
          </w:p>
        </w:tc>
        <w:tc>
          <w:tcPr>
            <w:tcW w:w="0" w:type="auto"/>
            <w:hideMark/>
          </w:tcPr>
          <w:p w14:paraId="4BFDB512" w14:textId="77777777" w:rsidR="00397623" w:rsidRPr="00397623" w:rsidRDefault="00397623" w:rsidP="00397623">
            <w:pPr>
              <w:jc w:val="center"/>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Description</w:t>
            </w:r>
          </w:p>
        </w:tc>
        <w:tc>
          <w:tcPr>
            <w:tcW w:w="0" w:type="auto"/>
            <w:hideMark/>
          </w:tcPr>
          <w:p w14:paraId="5F184A15" w14:textId="77777777" w:rsidR="00397623" w:rsidRPr="00397623" w:rsidRDefault="00397623" w:rsidP="00397623">
            <w:pPr>
              <w:jc w:val="center"/>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Primary theoretical lens</w:t>
            </w:r>
          </w:p>
        </w:tc>
        <w:tc>
          <w:tcPr>
            <w:tcW w:w="0" w:type="auto"/>
            <w:hideMark/>
          </w:tcPr>
          <w:p w14:paraId="41DEE511" w14:textId="77777777" w:rsidR="00397623" w:rsidRPr="00397623" w:rsidRDefault="00397623" w:rsidP="00397623">
            <w:pPr>
              <w:jc w:val="center"/>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Representative measurement approach</w:t>
            </w:r>
          </w:p>
        </w:tc>
      </w:tr>
      <w:tr w:rsidR="00397623" w:rsidRPr="00397623" w14:paraId="09049488" w14:textId="77777777" w:rsidTr="00397623">
        <w:tc>
          <w:tcPr>
            <w:tcW w:w="0" w:type="auto"/>
            <w:hideMark/>
          </w:tcPr>
          <w:p w14:paraId="580506D8"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Decoupling (talk-walk gap)</w:t>
            </w:r>
          </w:p>
        </w:tc>
        <w:tc>
          <w:tcPr>
            <w:tcW w:w="0" w:type="auto"/>
            <w:hideMark/>
          </w:tcPr>
          <w:p w14:paraId="53E46CAD"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Symbolic commitments unmatched by operational change</w:t>
            </w:r>
          </w:p>
        </w:tc>
        <w:tc>
          <w:tcPr>
            <w:tcW w:w="0" w:type="auto"/>
            <w:hideMark/>
          </w:tcPr>
          <w:p w14:paraId="7D2A0B60"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Institutional theory</w:t>
            </w:r>
          </w:p>
        </w:tc>
        <w:tc>
          <w:tcPr>
            <w:tcW w:w="0" w:type="auto"/>
            <w:hideMark/>
          </w:tcPr>
          <w:p w14:paraId="51035C9B"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Gap between disclosed targets and realised outcomes</w:t>
            </w:r>
          </w:p>
        </w:tc>
      </w:tr>
      <w:tr w:rsidR="00397623" w:rsidRPr="00397623" w14:paraId="311D96D0" w14:textId="77777777" w:rsidTr="00397623">
        <w:tc>
          <w:tcPr>
            <w:tcW w:w="0" w:type="auto"/>
            <w:hideMark/>
          </w:tcPr>
          <w:p w14:paraId="0FC2E04E"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Selective disclosure</w:t>
            </w:r>
          </w:p>
        </w:tc>
        <w:tc>
          <w:tcPr>
            <w:tcW w:w="0" w:type="auto"/>
            <w:hideMark/>
          </w:tcPr>
          <w:p w14:paraId="4223BAF8"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Disproportionate reporting of favourable relative to unfavourable outcomes</w:t>
            </w:r>
          </w:p>
        </w:tc>
        <w:tc>
          <w:tcPr>
            <w:tcW w:w="0" w:type="auto"/>
            <w:hideMark/>
          </w:tcPr>
          <w:p w14:paraId="6FC8A37E"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Legitimacy theory</w:t>
            </w:r>
          </w:p>
        </w:tc>
        <w:tc>
          <w:tcPr>
            <w:tcW w:w="0" w:type="auto"/>
            <w:hideMark/>
          </w:tcPr>
          <w:p w14:paraId="7F350C16"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Content analysis of omission patterns in sustainability reports</w:t>
            </w:r>
          </w:p>
        </w:tc>
      </w:tr>
      <w:tr w:rsidR="00397623" w:rsidRPr="00397623" w14:paraId="0B45985F" w14:textId="77777777" w:rsidTr="00397623">
        <w:tc>
          <w:tcPr>
            <w:tcW w:w="0" w:type="auto"/>
            <w:hideMark/>
          </w:tcPr>
          <w:p w14:paraId="572F75EA"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Symbolic action</w:t>
            </w:r>
          </w:p>
        </w:tc>
        <w:tc>
          <w:tcPr>
            <w:tcW w:w="0" w:type="auto"/>
            <w:hideMark/>
          </w:tcPr>
          <w:p w14:paraId="52CB6F5E"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Visible low-cost gestures substituting for substantive investment</w:t>
            </w:r>
          </w:p>
        </w:tc>
        <w:tc>
          <w:tcPr>
            <w:tcW w:w="0" w:type="auto"/>
            <w:hideMark/>
          </w:tcPr>
          <w:p w14:paraId="617C4F6D"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Signalling theory</w:t>
            </w:r>
          </w:p>
        </w:tc>
        <w:tc>
          <w:tcPr>
            <w:tcW w:w="0" w:type="auto"/>
            <w:hideMark/>
          </w:tcPr>
          <w:p w14:paraId="78FFE01C"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Ratio of communication expenditure to verified environmental capital </w:t>
            </w:r>
            <w:r w:rsidRPr="00397623">
              <w:rPr>
                <w:rFonts w:ascii="Times New Roman" w:eastAsia="Times New Roman" w:hAnsi="Times New Roman" w:cs="Times New Roman"/>
                <w:sz w:val="24"/>
                <w:szCs w:val="24"/>
                <w:lang w:eastAsia="en-GB"/>
              </w:rPr>
              <w:lastRenderedPageBreak/>
              <w:t>investment</w:t>
            </w:r>
          </w:p>
        </w:tc>
      </w:tr>
      <w:tr w:rsidR="00397623" w:rsidRPr="00397623" w14:paraId="6818B7C3" w14:textId="77777777" w:rsidTr="00397623">
        <w:tc>
          <w:tcPr>
            <w:tcW w:w="0" w:type="auto"/>
            <w:hideMark/>
          </w:tcPr>
          <w:p w14:paraId="07F33448"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lastRenderedPageBreak/>
              <w:t>Rating-based greenwashing</w:t>
            </w:r>
          </w:p>
        </w:tc>
        <w:tc>
          <w:tcPr>
            <w:tcW w:w="0" w:type="auto"/>
            <w:hideMark/>
          </w:tcPr>
          <w:p w14:paraId="18295160"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Divergence between disclosed ESG data and independently assessed environmental performance</w:t>
            </w:r>
          </w:p>
        </w:tc>
        <w:tc>
          <w:tcPr>
            <w:tcW w:w="0" w:type="auto"/>
            <w:hideMark/>
          </w:tcPr>
          <w:p w14:paraId="04239197"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Information asymmetry / signalling theory</w:t>
            </w:r>
          </w:p>
        </w:tc>
        <w:tc>
          <w:tcPr>
            <w:tcW w:w="0" w:type="auto"/>
            <w:hideMark/>
          </w:tcPr>
          <w:p w14:paraId="63950CCB"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Comparison of self-reported ESG scores against third-party or algorithmic assessments</w:t>
            </w:r>
          </w:p>
        </w:tc>
      </w:tr>
    </w:tbl>
    <w:p w14:paraId="174EA2E3"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i/>
          <w:iCs/>
          <w:sz w:val="24"/>
          <w:szCs w:val="24"/>
          <w:lang w:eastAsia="en-GB"/>
        </w:rPr>
        <w:t>Sources: Meyer and Rowan (1977); Suchman (1995); Delmas and Burbano (2011); Walker and Wan (2012); Kim and Lyon (2015); Marquis et al. (2016).</w:t>
      </w:r>
    </w:p>
    <w:p w14:paraId="3ECB9949" w14:textId="77777777" w:rsidR="00397623" w:rsidRPr="00397623" w:rsidRDefault="00397623" w:rsidP="003976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4. The ESG Rating Ecosystem and Measurement Challenges</w:t>
      </w:r>
    </w:p>
    <w:p w14:paraId="23C44F8D"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4.1 Rating divergence and aggregate confusion</w:t>
      </w:r>
    </w:p>
    <w:p w14:paraId="3D2C9962"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A defining feature of the contemporary ESG data landscape is the low correlation among ratings issued by different providers for the same firm, a phenomenon documented across multiple large-sample studies and often summarised under the label of aggregate confusion (Berg et al., 2022). Average agreement among major rating agencies typically falls well short of strong consensus, in contrast to the near-perfect correlation observed among credit rating agencies assessing the same debt instrument. This divergence has direct implications for greenwashing risk, since it creates opportunities for firms to selectively cite whichever rating presents them most favourably, and it weakens the disciplining function ratings are meant to perform for investors who rely on them as a proxy for costly independent due diligence.</w:t>
      </w:r>
    </w:p>
    <w:p w14:paraId="7305112D"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4.2 Sources of measurement, scope and weight disagreement</w:t>
      </w:r>
    </w:p>
    <w:p w14:paraId="2470DD9E"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Decomposition studies attribute divergence in ESG ratings to three distinct sources: disagreement over which underlying indicators fall within scope, disagreement over how individual indicators should be measured once selected, and disagreement over the relative weight assigned to each pillar in constructing an aggregate score. Measurement disagreement, arising from differing methodologies applied to ostensibly the same underlying indicator, typically accounts for the largest share of total divergence, followed by scope disagreement and, to a lesser extent, weighting disagreement (Berg et al., 2022). This decomposition matters for greenwashing analysis because it clarifies that much of the observed divergence reflects genuine methodological pluralism among conscientious raters rather than deliberate manipulation by rated firms; the practical consequence for investors, however, is much the same regardless of cause, namely an inability to rely on any single rating as an unambiguous signal of underlying environmental performance. Recent evidence extends this line of work by linking rating disagreement to trading behaviour, showing that heightened disagreement is associated with reduced abnormal trading volume, consistent with disagreement generating investor uncertainty rather than encouraging speculative divergence of opinion, an effect more pronounced among firms with weaker underlying ESG performance and thinner analyst coverage (</w:t>
      </w:r>
      <w:proofErr w:type="spellStart"/>
      <w:r w:rsidRPr="00397623">
        <w:rPr>
          <w:rFonts w:ascii="Times New Roman" w:eastAsia="Times New Roman" w:hAnsi="Times New Roman" w:cs="Times New Roman"/>
          <w:sz w:val="24"/>
          <w:szCs w:val="24"/>
          <w:lang w:eastAsia="en-GB"/>
        </w:rPr>
        <w:t>Quotb</w:t>
      </w:r>
      <w:proofErr w:type="spellEnd"/>
      <w:r w:rsidRPr="00397623">
        <w:rPr>
          <w:rFonts w:ascii="Times New Roman" w:eastAsia="Times New Roman" w:hAnsi="Times New Roman" w:cs="Times New Roman"/>
          <w:sz w:val="24"/>
          <w:szCs w:val="24"/>
          <w:lang w:eastAsia="en-GB"/>
        </w:rPr>
        <w:t xml:space="preserve"> et al., 2026).</w:t>
      </w:r>
    </w:p>
    <w:p w14:paraId="18F2AA07"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4.3 Implications for greenwashing risk and disclosure quality</w:t>
      </w:r>
    </w:p>
    <w:p w14:paraId="307187CA"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Quantitative disclosure volume does not straightforwardly resolve rating divergence; under some conditions, greater volumes of unstandardised numerical disclosure appear to widen rather than narrow it, since raters retain scope to apply divergent interpretive judgements absent comparable, standardised metrics (Berg et al., 2022). This has direct policy relevance: mandatory disclosure regimes that increase reporting volume without simultaneously </w:t>
      </w:r>
      <w:r w:rsidRPr="00397623">
        <w:rPr>
          <w:rFonts w:ascii="Times New Roman" w:eastAsia="Times New Roman" w:hAnsi="Times New Roman" w:cs="Times New Roman"/>
          <w:sz w:val="24"/>
          <w:szCs w:val="24"/>
          <w:lang w:eastAsia="en-GB"/>
        </w:rPr>
        <w:lastRenderedPageBreak/>
        <w:t>standardising units, boundaries, and calculation methodologies risk exacerbating the very informational opacity that enables greenwashing. It also implies that voluntary over-disclosure, sometimes adopted defensively against greenwashing accusations, can paradoxically increase perceived risk if the additional disclosure is inconsistent across reporting periods or unaudited.</w:t>
      </w:r>
    </w:p>
    <w:p w14:paraId="0E732189" w14:textId="77777777" w:rsidR="00397623" w:rsidRPr="00397623" w:rsidRDefault="00397623" w:rsidP="003976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5. Regulatory Responses to Greenwashing</w:t>
      </w:r>
    </w:p>
    <w:p w14:paraId="71DA2D61"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5.1 The European Union framework</w:t>
      </w:r>
    </w:p>
    <w:p w14:paraId="5A0BCD4F"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The European Union has constructed the most comprehensive mandatory disclosure architecture addressing greenwashing risk internationally, built around three interlocking instruments (European Commission, 2025). The Corporate Sustainability Reporting Directive extends mandatory, standardised, digitally tagged sustainability reporting to a substantially wider population of large undertakings than its predecessor, requiring disclosure against the European Sustainability Reporting Standards together with mandatory external assurance, initially on a limited basis with a planned transition toward reasonable assurance as reporting infrastructure matures (Bauer &amp; Greiling, 2023). The European Union Taxonomy Regulation complements this by providing a classification system for environmentally sustainable economic activities, intended specifically to prevent ordinary economic activity being mislabelled as green by anchoring sustainability claims to defined technical screening criteria. Consumer-facing greenwashing is addressed separately through the Directive on Empowering Consumers for the Green Transition, which entered into force in 2024 and, from September 2026, prohibits generic and unsubstantiated environmental claims such as "climate-friendly" or "eco" absent clear, verifiable specification. A complementary proposal, the Green Claims Directive, was intended to introduce mandatory ex-ante third-party verification of environmental claims prior to publication, but its legislative progress stalled in 2025 amid disagreement over the administrative burden imposed on micro-enterprises, leaving its final status unresolved. Irrespective of that outcome, the existing consumer protection framework continues to provide a basis for greenwashing enforcement in the meantime.</w:t>
      </w:r>
    </w:p>
    <w:p w14:paraId="11D03F45"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5.2 The United States: an unsettled trajectory</w:t>
      </w:r>
    </w:p>
    <w:p w14:paraId="7D17FF4C"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The regulatory trajectory in the United States has proven considerably less settled than in the European Union. The Securities and Exchange Commission adopted climate-related disclosure rules in March 2024 requiring registrants to disclose material climate risks, governance processes, and, for the largest filers, limited assurance over Scope 1 and Scope 2 greenhouse gas emissions (U.S. Securities and Exchange Commission, 2025). These rules were challenged in multiple federal circuits, consolidated before the Eighth Circuit Court of Appeals, and voluntarily stayed by the Commission pending judicial review; the Commission subsequently voted to end its defence of the rules, leaving their ultimate status contingent on further rulemaking or judicial action. This uncertainty carries practical consequences for greenwashing risk, leaving United States-listed issuers without a harmonised mandatory disclosure baseline comparable to the European framework and increasing reliance on private litigation and voluntary frameworks to discipline misleading environmental claims.</w:t>
      </w:r>
    </w:p>
    <w:p w14:paraId="1CAA0085"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5.3 Other jurisdictions</w:t>
      </w:r>
    </w:p>
    <w:p w14:paraId="40E2B62C"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lastRenderedPageBreak/>
        <w:t>Regulatory approaches outside the European Union and the United States vary considerably in stringency and scope, and several jurisdictions have moved toward comply-or-explain disclosure obligations broadly modelled on international climate-related financial disclosure recommendations. The overall pattern across jurisdictions is one of gradual convergence on the principle that environmental claims require substantiation, even where the precise institutional mechanism, whether securities regulation, consumer protection law, or financial conduct rules, differs markedly. The point of sharpest divergence across jurisdictions is not whether disclosure obligations exist but how rigorously assurance and verification are enforced once disclosure has been made.</w:t>
      </w:r>
    </w:p>
    <w:p w14:paraId="5473973E"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5.4 Assurance and verification as the pivotal regulatory lever</w:t>
      </w:r>
    </w:p>
    <w:p w14:paraId="717DF685"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Across jurisdictions, the literature converges on third-party assurance as the mechanism separating credible from non-credible sustainability disclosure. The Corporate Sustainability Reporting Directive's phased move from limited toward reasonable assurance reflects a recognition that assurance intensity, not disclosure volume, is what ultimately closes the verification gap that enables greenwashing (Bauer &amp; Greiling, 2023). The proposed Green Claims Directive's core innovation, mandatory ex-ante verification, targeted precisely the gap that voluntary or post-hoc assurance regimes leave unaddressed: the absence of any independent check prior to publication of a claim, as opposed to audit of a report already released into the market.</w:t>
      </w:r>
    </w:p>
    <w:p w14:paraId="086733B9"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Table 3 sets out the principal regulatory instruments discussed in this section alongside their scope, verification requirements, and current status.</w:t>
      </w:r>
    </w:p>
    <w:p w14:paraId="7A37E6CB"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Table 3. Comparative summary of major regulatory instruments addressing greenwashing</w:t>
      </w:r>
    </w:p>
    <w:tbl>
      <w:tblPr>
        <w:tblStyle w:val="TableGrid"/>
        <w:tblW w:w="0" w:type="auto"/>
        <w:tblLook w:val="04A0" w:firstRow="1" w:lastRow="0" w:firstColumn="1" w:lastColumn="0" w:noHBand="0" w:noVBand="1"/>
      </w:tblPr>
      <w:tblGrid>
        <w:gridCol w:w="1464"/>
        <w:gridCol w:w="1795"/>
        <w:gridCol w:w="2008"/>
        <w:gridCol w:w="2030"/>
        <w:gridCol w:w="1945"/>
      </w:tblGrid>
      <w:tr w:rsidR="00397623" w:rsidRPr="00397623" w14:paraId="7A839881" w14:textId="77777777" w:rsidTr="00397623">
        <w:tc>
          <w:tcPr>
            <w:tcW w:w="0" w:type="auto"/>
            <w:hideMark/>
          </w:tcPr>
          <w:p w14:paraId="4D9DE87D" w14:textId="77777777" w:rsidR="00397623" w:rsidRPr="00397623" w:rsidRDefault="00397623" w:rsidP="00397623">
            <w:pPr>
              <w:jc w:val="center"/>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Jurisdiction</w:t>
            </w:r>
          </w:p>
        </w:tc>
        <w:tc>
          <w:tcPr>
            <w:tcW w:w="0" w:type="auto"/>
            <w:hideMark/>
          </w:tcPr>
          <w:p w14:paraId="3DECEF3B" w14:textId="77777777" w:rsidR="00397623" w:rsidRPr="00397623" w:rsidRDefault="00397623" w:rsidP="00397623">
            <w:pPr>
              <w:jc w:val="center"/>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Instrument</w:t>
            </w:r>
          </w:p>
        </w:tc>
        <w:tc>
          <w:tcPr>
            <w:tcW w:w="0" w:type="auto"/>
            <w:hideMark/>
          </w:tcPr>
          <w:p w14:paraId="45A292E2" w14:textId="77777777" w:rsidR="00397623" w:rsidRPr="00397623" w:rsidRDefault="00397623" w:rsidP="00397623">
            <w:pPr>
              <w:jc w:val="center"/>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Scope</w:t>
            </w:r>
          </w:p>
        </w:tc>
        <w:tc>
          <w:tcPr>
            <w:tcW w:w="0" w:type="auto"/>
            <w:hideMark/>
          </w:tcPr>
          <w:p w14:paraId="08E9C9E3" w14:textId="77777777" w:rsidR="00397623" w:rsidRPr="00397623" w:rsidRDefault="00397623" w:rsidP="00397623">
            <w:pPr>
              <w:jc w:val="center"/>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Verification requirement</w:t>
            </w:r>
          </w:p>
        </w:tc>
        <w:tc>
          <w:tcPr>
            <w:tcW w:w="0" w:type="auto"/>
            <w:hideMark/>
          </w:tcPr>
          <w:p w14:paraId="0BF2BE85" w14:textId="77777777" w:rsidR="00397623" w:rsidRPr="00397623" w:rsidRDefault="00397623" w:rsidP="00397623">
            <w:pPr>
              <w:jc w:val="center"/>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Status</w:t>
            </w:r>
          </w:p>
        </w:tc>
      </w:tr>
      <w:tr w:rsidR="00397623" w:rsidRPr="00397623" w14:paraId="05EAB684" w14:textId="77777777" w:rsidTr="00397623">
        <w:tc>
          <w:tcPr>
            <w:tcW w:w="0" w:type="auto"/>
            <w:hideMark/>
          </w:tcPr>
          <w:p w14:paraId="257E82CD"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European Union</w:t>
            </w:r>
          </w:p>
        </w:tc>
        <w:tc>
          <w:tcPr>
            <w:tcW w:w="0" w:type="auto"/>
            <w:hideMark/>
          </w:tcPr>
          <w:p w14:paraId="016CC8B8"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Corporate Sustainability Reporting Directive</w:t>
            </w:r>
          </w:p>
        </w:tc>
        <w:tc>
          <w:tcPr>
            <w:tcW w:w="0" w:type="auto"/>
            <w:hideMark/>
          </w:tcPr>
          <w:p w14:paraId="455CF0F1"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Large undertakings meeting size thresholds</w:t>
            </w:r>
          </w:p>
        </w:tc>
        <w:tc>
          <w:tcPr>
            <w:tcW w:w="0" w:type="auto"/>
            <w:hideMark/>
          </w:tcPr>
          <w:p w14:paraId="19942CF0"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Mandatory limited assurance, transitioning toward reasonable assurance</w:t>
            </w:r>
          </w:p>
        </w:tc>
        <w:tc>
          <w:tcPr>
            <w:tcW w:w="0" w:type="auto"/>
            <w:hideMark/>
          </w:tcPr>
          <w:p w14:paraId="648CBAE4"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In force, phased implementation</w:t>
            </w:r>
          </w:p>
        </w:tc>
      </w:tr>
      <w:tr w:rsidR="00397623" w:rsidRPr="00397623" w14:paraId="28B71A7B" w14:textId="77777777" w:rsidTr="00397623">
        <w:tc>
          <w:tcPr>
            <w:tcW w:w="0" w:type="auto"/>
            <w:hideMark/>
          </w:tcPr>
          <w:p w14:paraId="186898D5"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European Union</w:t>
            </w:r>
          </w:p>
        </w:tc>
        <w:tc>
          <w:tcPr>
            <w:tcW w:w="0" w:type="auto"/>
            <w:hideMark/>
          </w:tcPr>
          <w:p w14:paraId="7FBBE3AA"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Taxonomy Regulation</w:t>
            </w:r>
          </w:p>
        </w:tc>
        <w:tc>
          <w:tcPr>
            <w:tcW w:w="0" w:type="auto"/>
            <w:hideMark/>
          </w:tcPr>
          <w:p w14:paraId="6619EB1D"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Classification of environmentally sustainable activities</w:t>
            </w:r>
          </w:p>
        </w:tc>
        <w:tc>
          <w:tcPr>
            <w:tcW w:w="0" w:type="auto"/>
            <w:hideMark/>
          </w:tcPr>
          <w:p w14:paraId="0B5DA934"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Alignment disclosure against technical screening criteria</w:t>
            </w:r>
          </w:p>
        </w:tc>
        <w:tc>
          <w:tcPr>
            <w:tcW w:w="0" w:type="auto"/>
            <w:hideMark/>
          </w:tcPr>
          <w:p w14:paraId="2330F86C"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In force</w:t>
            </w:r>
          </w:p>
        </w:tc>
      </w:tr>
      <w:tr w:rsidR="00397623" w:rsidRPr="00397623" w14:paraId="7451A582" w14:textId="77777777" w:rsidTr="00397623">
        <w:tc>
          <w:tcPr>
            <w:tcW w:w="0" w:type="auto"/>
            <w:hideMark/>
          </w:tcPr>
          <w:p w14:paraId="137FB2F5"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European Union</w:t>
            </w:r>
          </w:p>
        </w:tc>
        <w:tc>
          <w:tcPr>
            <w:tcW w:w="0" w:type="auto"/>
            <w:hideMark/>
          </w:tcPr>
          <w:p w14:paraId="2501256A"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Empowering Consumers for the Green Transition Directive</w:t>
            </w:r>
          </w:p>
        </w:tc>
        <w:tc>
          <w:tcPr>
            <w:tcW w:w="0" w:type="auto"/>
            <w:hideMark/>
          </w:tcPr>
          <w:p w14:paraId="38052721"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Business-to-consumer environmental marketing claims</w:t>
            </w:r>
          </w:p>
        </w:tc>
        <w:tc>
          <w:tcPr>
            <w:tcW w:w="0" w:type="auto"/>
            <w:hideMark/>
          </w:tcPr>
          <w:p w14:paraId="38BAEBBD"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Substantiation requirement; bans generic unsubstantiated claims</w:t>
            </w:r>
          </w:p>
        </w:tc>
        <w:tc>
          <w:tcPr>
            <w:tcW w:w="0" w:type="auto"/>
            <w:hideMark/>
          </w:tcPr>
          <w:p w14:paraId="75F287D3"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In force; applicable from September 2026</w:t>
            </w:r>
          </w:p>
        </w:tc>
      </w:tr>
      <w:tr w:rsidR="00397623" w:rsidRPr="00397623" w14:paraId="027BDA0C" w14:textId="77777777" w:rsidTr="00397623">
        <w:tc>
          <w:tcPr>
            <w:tcW w:w="0" w:type="auto"/>
            <w:hideMark/>
          </w:tcPr>
          <w:p w14:paraId="7B474FCE"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European Union</w:t>
            </w:r>
          </w:p>
        </w:tc>
        <w:tc>
          <w:tcPr>
            <w:tcW w:w="0" w:type="auto"/>
            <w:hideMark/>
          </w:tcPr>
          <w:p w14:paraId="79CD7B1B"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Green Claims Directive (proposed)</w:t>
            </w:r>
          </w:p>
        </w:tc>
        <w:tc>
          <w:tcPr>
            <w:tcW w:w="0" w:type="auto"/>
            <w:hideMark/>
          </w:tcPr>
          <w:p w14:paraId="5AF8C2F4"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Business-to-consumer environmental claims and labels</w:t>
            </w:r>
          </w:p>
        </w:tc>
        <w:tc>
          <w:tcPr>
            <w:tcW w:w="0" w:type="auto"/>
            <w:hideMark/>
          </w:tcPr>
          <w:p w14:paraId="145BE622"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Mandatory ex-ante third-party verification</w:t>
            </w:r>
          </w:p>
        </w:tc>
        <w:tc>
          <w:tcPr>
            <w:tcW w:w="0" w:type="auto"/>
            <w:hideMark/>
          </w:tcPr>
          <w:p w14:paraId="24985183"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Legislative status unresolved</w:t>
            </w:r>
          </w:p>
        </w:tc>
      </w:tr>
      <w:tr w:rsidR="00397623" w:rsidRPr="00397623" w14:paraId="24E5EB53" w14:textId="77777777" w:rsidTr="00397623">
        <w:tc>
          <w:tcPr>
            <w:tcW w:w="0" w:type="auto"/>
            <w:hideMark/>
          </w:tcPr>
          <w:p w14:paraId="6468AE76"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United States</w:t>
            </w:r>
          </w:p>
        </w:tc>
        <w:tc>
          <w:tcPr>
            <w:tcW w:w="0" w:type="auto"/>
            <w:hideMark/>
          </w:tcPr>
          <w:p w14:paraId="1EF9D63D"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SEC Climate-Related </w:t>
            </w:r>
            <w:r w:rsidRPr="00397623">
              <w:rPr>
                <w:rFonts w:ascii="Times New Roman" w:eastAsia="Times New Roman" w:hAnsi="Times New Roman" w:cs="Times New Roman"/>
                <w:sz w:val="24"/>
                <w:szCs w:val="24"/>
                <w:lang w:eastAsia="en-GB"/>
              </w:rPr>
              <w:lastRenderedPageBreak/>
              <w:t>Disclosure Rules</w:t>
            </w:r>
          </w:p>
        </w:tc>
        <w:tc>
          <w:tcPr>
            <w:tcW w:w="0" w:type="auto"/>
            <w:hideMark/>
          </w:tcPr>
          <w:p w14:paraId="719CA5D1"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lastRenderedPageBreak/>
              <w:t>Public registrants</w:t>
            </w:r>
          </w:p>
        </w:tc>
        <w:tc>
          <w:tcPr>
            <w:tcW w:w="0" w:type="auto"/>
            <w:hideMark/>
          </w:tcPr>
          <w:p w14:paraId="219243F4"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Limited assurance over Scope 1 and </w:t>
            </w:r>
            <w:r w:rsidRPr="00397623">
              <w:rPr>
                <w:rFonts w:ascii="Times New Roman" w:eastAsia="Times New Roman" w:hAnsi="Times New Roman" w:cs="Times New Roman"/>
                <w:sz w:val="24"/>
                <w:szCs w:val="24"/>
                <w:lang w:eastAsia="en-GB"/>
              </w:rPr>
              <w:lastRenderedPageBreak/>
              <w:t>2 emissions for large filers</w:t>
            </w:r>
          </w:p>
        </w:tc>
        <w:tc>
          <w:tcPr>
            <w:tcW w:w="0" w:type="auto"/>
            <w:hideMark/>
          </w:tcPr>
          <w:p w14:paraId="0345B964"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lastRenderedPageBreak/>
              <w:t xml:space="preserve">Adopted, stayed pending </w:t>
            </w:r>
            <w:r w:rsidRPr="00397623">
              <w:rPr>
                <w:rFonts w:ascii="Times New Roman" w:eastAsia="Times New Roman" w:hAnsi="Times New Roman" w:cs="Times New Roman"/>
                <w:sz w:val="24"/>
                <w:szCs w:val="24"/>
                <w:lang w:eastAsia="en-GB"/>
              </w:rPr>
              <w:lastRenderedPageBreak/>
              <w:t>litigation, defence withdrawn</w:t>
            </w:r>
          </w:p>
        </w:tc>
      </w:tr>
    </w:tbl>
    <w:p w14:paraId="23819943"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i/>
          <w:iCs/>
          <w:sz w:val="24"/>
          <w:szCs w:val="24"/>
          <w:lang w:eastAsia="en-GB"/>
        </w:rPr>
        <w:lastRenderedPageBreak/>
        <w:t>Sources: Bauer and Greiling (2023); European Commission (2025); U.S. Securities and Exchange Commission (2025).</w:t>
      </w:r>
    </w:p>
    <w:p w14:paraId="3DE15C1B" w14:textId="77777777" w:rsidR="00397623" w:rsidRPr="00397623" w:rsidRDefault="00397623" w:rsidP="003976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6. Investor Risk: Financial Materiality, Market Reactions and Litigation</w:t>
      </w:r>
    </w:p>
    <w:p w14:paraId="09975D91"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6.1 Market reactions and financing effects</w:t>
      </w:r>
    </w:p>
    <w:p w14:paraId="0EED2A6B"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Empirical evidence linking greenwashing to adverse capital market outcomes has grown considerably, though the precision and consistency of findings vary by market, allegation type, and measurement approach. The broad pattern emerging from this literature is that greenwashing is associated with heightened uncertainty for investors rather than a uniform, mechanical price penalty: reactions tend to be strongest where reputational visibility is highest and weakest where disclosure is diffuse or difficult to verify independently. This pattern is consistent with the theoretical framing set out in Section 3, in which greenwashing operates through both an information-asymmetry channel and a legitimacy channel, with the relative strength of each depending on firm visibility and stakeholder proximity.</w:t>
      </w:r>
    </w:p>
    <w:p w14:paraId="3B80FAD3"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6.2 Ownership, monitoring and financing effects</w:t>
      </w:r>
    </w:p>
    <w:p w14:paraId="5E235415"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Beyond immediate price reactions, greenwashing appears to raise firms' cost of external financing through governance-related channels. Evidence on green bond issuance in China indicates that bonds issued by firms with weaker underlying environmental credentials, consistent with greenwashing intent, are associated with reduced stock pricing efficiency for the issuer, suggesting that markets partially, though imperfectly, discount green-labelled financing instruments lacking credible substantiation (Huang et al., 2025). Ownership structure also shapes greenwashing propensity: state shareholding in privately owned firms shows an ambiguous relationship with greenwashing outcomes, varying with the strength of complementary governance mechanisms rather than operating as a uniform disciplining or permissive force (Wang et al., 2024).</w:t>
      </w:r>
    </w:p>
    <w:p w14:paraId="0C5D84E5"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6.3 Litigation and reputational exposure</w:t>
      </w:r>
    </w:p>
    <w:p w14:paraId="7AC001CE"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Climate-related and greenwashing-specific litigation has expanded across jurisdictions, with firms across several sectors facing legal challenges over the substantiation of environmental claims, particularly those tied to carbon neutrality and offsetting. This litigation exposure represents a distinct component of greenwashing risk for investors, separate from the market's ex-ante pricing of reputational uncertainty, because adverse outcomes can trigger direct financial liabilities, mandated corrective disclosure, and reputational spillover extending beyond the immediate parties to the dispute. Regulatory uncertainty at the level of harmonised, cross-border rulemaking does not eliminate this exposure, since national and sector-level enforcement continues in parallel regardless of the pace of higher-level legislative reform.</w:t>
      </w:r>
    </w:p>
    <w:p w14:paraId="33123A04" w14:textId="77777777" w:rsidR="00397623" w:rsidRPr="00397623" w:rsidRDefault="00397623" w:rsidP="003976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7. Sectoral Considerations: Green-Labelled Financial Instruments</w:t>
      </w:r>
    </w:p>
    <w:p w14:paraId="5D4880CC"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lastRenderedPageBreak/>
        <w:t>Instruments carrying an explicit environmental label, such as green bonds, present a distinct greenwashing risk relative to firm-level ESG disclosure, because the label attaches to the use of proceeds rather than to the issuer's aggregate environmental performance. This creates scope for firms with otherwise weak environmental credentials to access green-labelled financing on favourable terms. Evidence from the Chinese corporate bond market indicates that green bond issuance is associated with reduced stock pricing efficiency for issuers exhibiting weaker underlying environmental performance, consistent with the market's partial but incomplete ability to distinguish credible from greenwashed green bond issuance (Huang et al., 2025). This finding mirrors the broader pattern observed in equity markets, in which label-based signals retain informational value only to the extent that they are backed by independent verification infrastructure comparable to that applied to conventional credit ratings.</w:t>
      </w:r>
    </w:p>
    <w:p w14:paraId="4181E7AD" w14:textId="77777777" w:rsidR="00397623" w:rsidRPr="00397623" w:rsidRDefault="00397623" w:rsidP="003976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8. Corporate Governance, Ownership and Incentive Structures</w:t>
      </w:r>
    </w:p>
    <w:p w14:paraId="2FA1C252"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8.1 Executive compensation and ESG-linked pay</w:t>
      </w:r>
    </w:p>
    <w:p w14:paraId="6BA8A1E6"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The increasing prevalence of environmental, social and governance metrics in executive compensation contracts has generated a substantial and somewhat contested literature on whether such linkage curbs or exacerbates greenwashing. International evidence indicates that firms adopting ESG-linked compensation structures do so in patterns broadly consistent with efficient incentive contracting, and that adoption is associated with greater institutional investor engagement, voting activity, and trading interest (Cohen et al., 2023). Sector-specific evidence from the global banking industry points to a negative and statistically significant relationship between adoption of ESG-linked compensation policies and subsequent greenwashing behaviour, measured as the gap between the volume of ESG information disclosed and independently assessed ESG performance (Abis &amp; </w:t>
      </w:r>
      <w:proofErr w:type="spellStart"/>
      <w:r w:rsidRPr="00397623">
        <w:rPr>
          <w:rFonts w:ascii="Times New Roman" w:eastAsia="Times New Roman" w:hAnsi="Times New Roman" w:cs="Times New Roman"/>
          <w:sz w:val="24"/>
          <w:szCs w:val="24"/>
          <w:lang w:eastAsia="en-GB"/>
        </w:rPr>
        <w:t>Damilano</w:t>
      </w:r>
      <w:proofErr w:type="spellEnd"/>
      <w:r w:rsidRPr="00397623">
        <w:rPr>
          <w:rFonts w:ascii="Times New Roman" w:eastAsia="Times New Roman" w:hAnsi="Times New Roman" w:cs="Times New Roman"/>
          <w:sz w:val="24"/>
          <w:szCs w:val="24"/>
          <w:lang w:eastAsia="en-GB"/>
        </w:rPr>
        <w:t>, 2026). This relationship is not uniform, however: evidence from Chinese listed firms indicates that the composition of executive pay matters considerably, with a higher proportion of cash relative to equity compensation associated with more severe greenwashing behaviour, an effect partially mitigated by stronger internal control quality, while a widening pay gap between the chief executive officer and other senior executives is independently associated with elevated greenwashing risk (Li &amp; Chen, 2024). Taken together with the distinction between greenwashing and its inverse discussed in Section 3.2, this body of evidence suggests that incentive redesign alone is unlikely to eliminate disclosure distortion, since compensation structures that discourage overstatement can simultaneously create pressure toward understatement (Kim &amp; Lyon, 2015).</w:t>
      </w:r>
    </w:p>
    <w:p w14:paraId="3F57D3CA"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8.2 Ownership structure and regulatory cost internalisation</w:t>
      </w:r>
    </w:p>
    <w:p w14:paraId="2764C121"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State shareholding in privately owned firms shows a mixed association with greenwashing outcomes across the literature, suggesting that state ownership can function either as a stabilising governance influence, through closer regulatory alignment and reduced short-term earnings pressure, or as a source of weaker market discipline, depending on the strength of complementary institutional oversight (Wang et al., 2024). Capital market liberalisation offers a further, quasi-experimental angle on this question: examined through the natural experiment of cross-border stock connect programmes linking Mainland Chinese exchanges with Hong Kong, market access for foreign institutional investors is associated with a significant reduction in domestic firms' greenwashing levels, consistent with the hypothesis that exposure to internationally sophisticated capital disciplines disclosure quality (Huang &amp; </w:t>
      </w:r>
      <w:r w:rsidRPr="00397623">
        <w:rPr>
          <w:rFonts w:ascii="Times New Roman" w:eastAsia="Times New Roman" w:hAnsi="Times New Roman" w:cs="Times New Roman"/>
          <w:sz w:val="24"/>
          <w:szCs w:val="24"/>
          <w:lang w:eastAsia="en-GB"/>
        </w:rPr>
        <w:lastRenderedPageBreak/>
        <w:t xml:space="preserve">Xiang, 2025). </w:t>
      </w:r>
      <w:r w:rsidRPr="00397623">
        <w:rPr>
          <w:rFonts w:ascii="Times New Roman" w:eastAsia="Times New Roman" w:hAnsi="Times New Roman" w:cs="Times New Roman"/>
          <w:bCs/>
          <w:sz w:val="24"/>
          <w:szCs w:val="24"/>
          <w:lang w:eastAsia="en-GB"/>
        </w:rPr>
        <w:t>Regulatory cost internalisation, by contrast, does not uniformly reduce greenwashing: a difference-in-differences analysis of an environmental tax reform among Chinese listed companies finds that the reform significantly increased greenwashing among high-polluting firms, as the rising cost of compliance appears to have encouraged some firms to substitute symbolic disclosure for the costlier route of genuine emissions reduction (Hu et al., 2023). This finding qualifies the broader claim that raising the cost of environmental harm necessarily substitutes for shareholder-based monitoring; instead, it suggests that the effect of cost-based regulatory instruments on greenwashing depends on whether firms have a credible, affordable path to substantive compliance, and that poorly targeted cost increases can perversely incentivise disclosure distortion rather than curbing it.</w:t>
      </w:r>
    </w:p>
    <w:p w14:paraId="5F51D32C"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Table 4 draws together the governance mechanisms discussed in this section and the direction of their documented association with greenwashing.</w:t>
      </w:r>
    </w:p>
    <w:p w14:paraId="611F2410" w14:textId="77777777" w:rsidR="00397623" w:rsidRPr="00397623" w:rsidRDefault="00397623" w:rsidP="0039762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Table 4. Governance mechanisms and their documented association with greenwashing</w:t>
      </w:r>
    </w:p>
    <w:tbl>
      <w:tblPr>
        <w:tblStyle w:val="TableGrid"/>
        <w:tblW w:w="0" w:type="auto"/>
        <w:tblLook w:val="04A0" w:firstRow="1" w:lastRow="0" w:firstColumn="1" w:lastColumn="0" w:noHBand="0" w:noVBand="1"/>
      </w:tblPr>
      <w:tblGrid>
        <w:gridCol w:w="2987"/>
        <w:gridCol w:w="3123"/>
        <w:gridCol w:w="3132"/>
      </w:tblGrid>
      <w:tr w:rsidR="00397623" w:rsidRPr="00397623" w14:paraId="1BD2C050" w14:textId="77777777" w:rsidTr="00397623">
        <w:tc>
          <w:tcPr>
            <w:tcW w:w="0" w:type="auto"/>
            <w:hideMark/>
          </w:tcPr>
          <w:p w14:paraId="02B754EE" w14:textId="77777777" w:rsidR="00397623" w:rsidRPr="00397623" w:rsidRDefault="00397623" w:rsidP="00397623">
            <w:pPr>
              <w:jc w:val="center"/>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Mechanism</w:t>
            </w:r>
          </w:p>
        </w:tc>
        <w:tc>
          <w:tcPr>
            <w:tcW w:w="0" w:type="auto"/>
            <w:hideMark/>
          </w:tcPr>
          <w:p w14:paraId="4E41DD24" w14:textId="77777777" w:rsidR="00397623" w:rsidRPr="00397623" w:rsidRDefault="00397623" w:rsidP="00397623">
            <w:pPr>
              <w:jc w:val="center"/>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Documented direction of association with greenwashing</w:t>
            </w:r>
          </w:p>
        </w:tc>
        <w:tc>
          <w:tcPr>
            <w:tcW w:w="0" w:type="auto"/>
            <w:hideMark/>
          </w:tcPr>
          <w:p w14:paraId="4FCD8E23" w14:textId="77777777" w:rsidR="00397623" w:rsidRPr="00397623" w:rsidRDefault="00397623" w:rsidP="00397623">
            <w:pPr>
              <w:jc w:val="center"/>
              <w:rPr>
                <w:rFonts w:ascii="Times New Roman" w:eastAsia="Times New Roman" w:hAnsi="Times New Roman" w:cs="Times New Roman"/>
                <w:b/>
                <w:bCs/>
                <w:sz w:val="24"/>
                <w:szCs w:val="24"/>
                <w:lang w:eastAsia="en-GB"/>
              </w:rPr>
            </w:pPr>
            <w:r w:rsidRPr="00397623">
              <w:rPr>
                <w:rFonts w:ascii="Times New Roman" w:eastAsia="Times New Roman" w:hAnsi="Times New Roman" w:cs="Times New Roman"/>
                <w:b/>
                <w:bCs/>
                <w:sz w:val="24"/>
                <w:szCs w:val="24"/>
                <w:lang w:eastAsia="en-GB"/>
              </w:rPr>
              <w:t>Representative evidence context</w:t>
            </w:r>
          </w:p>
        </w:tc>
      </w:tr>
      <w:tr w:rsidR="00397623" w:rsidRPr="00397623" w14:paraId="273D14D3" w14:textId="77777777" w:rsidTr="00397623">
        <w:tc>
          <w:tcPr>
            <w:tcW w:w="0" w:type="auto"/>
            <w:hideMark/>
          </w:tcPr>
          <w:p w14:paraId="7F28909B"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ESG-linked executive compensation (equity-weighted)</w:t>
            </w:r>
          </w:p>
        </w:tc>
        <w:tc>
          <w:tcPr>
            <w:tcW w:w="0" w:type="auto"/>
            <w:hideMark/>
          </w:tcPr>
          <w:p w14:paraId="52407874"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Reduced greenwashing</w:t>
            </w:r>
          </w:p>
        </w:tc>
        <w:tc>
          <w:tcPr>
            <w:tcW w:w="0" w:type="auto"/>
            <w:hideMark/>
          </w:tcPr>
          <w:p w14:paraId="0E59D495"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Global banking sector; Chinese listed firms</w:t>
            </w:r>
          </w:p>
        </w:tc>
      </w:tr>
      <w:tr w:rsidR="00397623" w:rsidRPr="00397623" w14:paraId="30FD9FA1" w14:textId="77777777" w:rsidTr="00397623">
        <w:tc>
          <w:tcPr>
            <w:tcW w:w="0" w:type="auto"/>
            <w:hideMark/>
          </w:tcPr>
          <w:p w14:paraId="6D549B12"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Cash-weighted executive compensation</w:t>
            </w:r>
          </w:p>
        </w:tc>
        <w:tc>
          <w:tcPr>
            <w:tcW w:w="0" w:type="auto"/>
            <w:hideMark/>
          </w:tcPr>
          <w:p w14:paraId="61CDF91F"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Increased greenwashing</w:t>
            </w:r>
          </w:p>
        </w:tc>
        <w:tc>
          <w:tcPr>
            <w:tcW w:w="0" w:type="auto"/>
            <w:hideMark/>
          </w:tcPr>
          <w:p w14:paraId="35DB1692"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Chinese listed firms, 2013–2022</w:t>
            </w:r>
          </w:p>
        </w:tc>
      </w:tr>
      <w:tr w:rsidR="00397623" w:rsidRPr="00397623" w14:paraId="1FBF420A" w14:textId="77777777" w:rsidTr="00397623">
        <w:tc>
          <w:tcPr>
            <w:tcW w:w="0" w:type="auto"/>
            <w:hideMark/>
          </w:tcPr>
          <w:p w14:paraId="0CE1ACFF"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Executive pay gap (CEO relative to other executives)</w:t>
            </w:r>
          </w:p>
        </w:tc>
        <w:tc>
          <w:tcPr>
            <w:tcW w:w="0" w:type="auto"/>
            <w:hideMark/>
          </w:tcPr>
          <w:p w14:paraId="48B66D61"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Increased greenwashing</w:t>
            </w:r>
          </w:p>
        </w:tc>
        <w:tc>
          <w:tcPr>
            <w:tcW w:w="0" w:type="auto"/>
            <w:hideMark/>
          </w:tcPr>
          <w:p w14:paraId="198F0BAA"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Chinese listed firms</w:t>
            </w:r>
          </w:p>
        </w:tc>
      </w:tr>
      <w:tr w:rsidR="00397623" w:rsidRPr="00397623" w14:paraId="44886023" w14:textId="77777777" w:rsidTr="00397623">
        <w:tc>
          <w:tcPr>
            <w:tcW w:w="0" w:type="auto"/>
            <w:hideMark/>
          </w:tcPr>
          <w:p w14:paraId="075545D7"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Capital market liberalisation (foreign investor access)</w:t>
            </w:r>
          </w:p>
        </w:tc>
        <w:tc>
          <w:tcPr>
            <w:tcW w:w="0" w:type="auto"/>
            <w:hideMark/>
          </w:tcPr>
          <w:p w14:paraId="6D64F22A"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Reduced greenwashing</w:t>
            </w:r>
          </w:p>
        </w:tc>
        <w:tc>
          <w:tcPr>
            <w:tcW w:w="0" w:type="auto"/>
            <w:hideMark/>
          </w:tcPr>
          <w:p w14:paraId="54AB23C7"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Shanghai/Shenzhen–Hong Kong Stock Connect</w:t>
            </w:r>
          </w:p>
        </w:tc>
      </w:tr>
      <w:tr w:rsidR="00397623" w:rsidRPr="00397623" w14:paraId="0FAE44B3" w14:textId="77777777" w:rsidTr="00397623">
        <w:tc>
          <w:tcPr>
            <w:tcW w:w="0" w:type="auto"/>
            <w:hideMark/>
          </w:tcPr>
          <w:p w14:paraId="3EDCE632"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bCs/>
                <w:sz w:val="24"/>
                <w:szCs w:val="24"/>
                <w:lang w:eastAsia="en-GB"/>
              </w:rPr>
              <w:t>Environmental tax reform</w:t>
            </w:r>
          </w:p>
        </w:tc>
        <w:tc>
          <w:tcPr>
            <w:tcW w:w="0" w:type="auto"/>
            <w:hideMark/>
          </w:tcPr>
          <w:p w14:paraId="3B77F0F1"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bCs/>
                <w:sz w:val="24"/>
                <w:szCs w:val="24"/>
                <w:lang w:eastAsia="en-GB"/>
              </w:rPr>
              <w:t>Increased greenwashing (among high-polluting firms)</w:t>
            </w:r>
          </w:p>
        </w:tc>
        <w:tc>
          <w:tcPr>
            <w:tcW w:w="0" w:type="auto"/>
            <w:hideMark/>
          </w:tcPr>
          <w:p w14:paraId="03633328"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bCs/>
                <w:sz w:val="24"/>
                <w:szCs w:val="24"/>
                <w:lang w:eastAsia="en-GB"/>
              </w:rPr>
              <w:t>Chinese listed companies</w:t>
            </w:r>
          </w:p>
        </w:tc>
      </w:tr>
      <w:tr w:rsidR="00397623" w:rsidRPr="00397623" w14:paraId="61C3E4E4" w14:textId="77777777" w:rsidTr="00397623">
        <w:tc>
          <w:tcPr>
            <w:tcW w:w="0" w:type="auto"/>
            <w:hideMark/>
          </w:tcPr>
          <w:p w14:paraId="2B8E3F3A"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State ownership in privately controlled firms</w:t>
            </w:r>
          </w:p>
        </w:tc>
        <w:tc>
          <w:tcPr>
            <w:tcW w:w="0" w:type="auto"/>
            <w:hideMark/>
          </w:tcPr>
          <w:p w14:paraId="0B1C5064"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Mixed, context-dependent</w:t>
            </w:r>
          </w:p>
        </w:tc>
        <w:tc>
          <w:tcPr>
            <w:tcW w:w="0" w:type="auto"/>
            <w:hideMark/>
          </w:tcPr>
          <w:p w14:paraId="5844C845" w14:textId="77777777" w:rsidR="00397623" w:rsidRPr="00397623" w:rsidRDefault="00397623" w:rsidP="00397623">
            <w:pPr>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Chinese listed firms</w:t>
            </w:r>
          </w:p>
        </w:tc>
      </w:tr>
    </w:tbl>
    <w:p w14:paraId="3330F943"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i/>
          <w:iCs/>
          <w:sz w:val="24"/>
          <w:szCs w:val="24"/>
          <w:lang w:eastAsia="en-GB"/>
        </w:rPr>
        <w:t xml:space="preserve">Sources: Cohen et al. (2023); Hu et al. (2023); Li and Chen (2024); Wang et al. (2024); Abis and </w:t>
      </w:r>
      <w:proofErr w:type="spellStart"/>
      <w:r w:rsidRPr="00397623">
        <w:rPr>
          <w:rFonts w:ascii="Times New Roman" w:eastAsia="Times New Roman" w:hAnsi="Times New Roman" w:cs="Times New Roman"/>
          <w:i/>
          <w:iCs/>
          <w:sz w:val="24"/>
          <w:szCs w:val="24"/>
          <w:lang w:eastAsia="en-GB"/>
        </w:rPr>
        <w:t>Damilano</w:t>
      </w:r>
      <w:proofErr w:type="spellEnd"/>
      <w:r w:rsidRPr="00397623">
        <w:rPr>
          <w:rFonts w:ascii="Times New Roman" w:eastAsia="Times New Roman" w:hAnsi="Times New Roman" w:cs="Times New Roman"/>
          <w:i/>
          <w:iCs/>
          <w:sz w:val="24"/>
          <w:szCs w:val="24"/>
          <w:lang w:eastAsia="en-GB"/>
        </w:rPr>
        <w:t xml:space="preserve"> (2026); Huang and Xiang (2025).</w:t>
      </w:r>
    </w:p>
    <w:p w14:paraId="78D75188" w14:textId="77777777" w:rsidR="00397623" w:rsidRPr="00397623" w:rsidRDefault="00397623" w:rsidP="003976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9. Detection and Monitoring: Natural Language Processing and Emerging Computational Methods</w:t>
      </w:r>
    </w:p>
    <w:p w14:paraId="775FD892"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The scale and unstructured nature of corporate sustainability disclosure </w:t>
      </w:r>
      <w:proofErr w:type="gramStart"/>
      <w:r w:rsidRPr="00397623">
        <w:rPr>
          <w:rFonts w:ascii="Times New Roman" w:eastAsia="Times New Roman" w:hAnsi="Times New Roman" w:cs="Times New Roman"/>
          <w:sz w:val="24"/>
          <w:szCs w:val="24"/>
          <w:lang w:eastAsia="en-GB"/>
        </w:rPr>
        <w:t>has</w:t>
      </w:r>
      <w:proofErr w:type="gramEnd"/>
      <w:r w:rsidRPr="00397623">
        <w:rPr>
          <w:rFonts w:ascii="Times New Roman" w:eastAsia="Times New Roman" w:hAnsi="Times New Roman" w:cs="Times New Roman"/>
          <w:sz w:val="24"/>
          <w:szCs w:val="24"/>
          <w:lang w:eastAsia="en-GB"/>
        </w:rPr>
        <w:t xml:space="preserve"> motivated a growing computational literature applying natural language processing and machine learning to greenwashing detection. Early approaches relied on dictionary-based sentiment and keyword analysis of corporate social responsibility reports; more recent work increasingly employs domain-adapted language models to classify statements according to specificity, stance, and the presence of linguistically deceptive cues. A persistent methodological constraint in this literature is the scarcity of large, independently verified datasets pairing disclosed claims with confirmed greenwashing outcomes, meaning most detection systems are trained as proxies, such as climate-relevance classifiers or sentiment scorers, rather than as direct greenwashing classifiers validated against independently confirmed cases.</w:t>
      </w:r>
    </w:p>
    <w:p w14:paraId="33045725"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lastRenderedPageBreak/>
        <w:t>Regional applications illustrate both the promise and the current limits of this approach. Analysis comparing corporate sustainability reports with external media coverage for firms across Central and Eastern Europe constructs a greenwashing severity index from sentiment analysis, term-weighting, and topic modelling, finding moderate but widespread evidence of discrepancy between self-representation and external narrative, with variation linked to differences in regulatory maturity across the sample (Davidescu et al., 2026). Such index-based approaches offer a scalable complement to manual content analysis, though their reliability depends heavily on the quality and comparability of the external benchmark data against which corporate disclosure is compared, and cross-market transferability of any single trained model remains limited by jurisdiction-specific reporting conventions.</w:t>
      </w:r>
    </w:p>
    <w:p w14:paraId="488FF4E4" w14:textId="77777777" w:rsidR="00397623" w:rsidRPr="00397623" w:rsidRDefault="00397623" w:rsidP="003976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10. Consumer Perceptions and Market-Based Discipline</w:t>
      </w:r>
    </w:p>
    <w:p w14:paraId="55B2AF7C"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Consumer-facing evidence complements the investor-focused literature reviewed above by pointing to a further channel through which greenwashing carries commercial consequences: perceived deception in environmental marketing can weaken brand trust and dampen the demand-side reward that firms seek from sustainability positioning in the first place. The precise behavioural pathway through which this occurs, whether through cognitive </w:t>
      </w:r>
      <w:proofErr w:type="spellStart"/>
      <w:r w:rsidRPr="00397623">
        <w:rPr>
          <w:rFonts w:ascii="Times New Roman" w:eastAsia="Times New Roman" w:hAnsi="Times New Roman" w:cs="Times New Roman"/>
          <w:sz w:val="24"/>
          <w:szCs w:val="24"/>
          <w:lang w:eastAsia="en-GB"/>
        </w:rPr>
        <w:t>skepticism</w:t>
      </w:r>
      <w:proofErr w:type="spellEnd"/>
      <w:r w:rsidRPr="00397623">
        <w:rPr>
          <w:rFonts w:ascii="Times New Roman" w:eastAsia="Times New Roman" w:hAnsi="Times New Roman" w:cs="Times New Roman"/>
          <w:sz w:val="24"/>
          <w:szCs w:val="24"/>
          <w:lang w:eastAsia="en-GB"/>
        </w:rPr>
        <w:t>, affective brand attachment, or simple avoidance, appears to vary across product categories and cultural settings, and the review of this behavioural literature falls outside the primary financial and regulatory focus of the present synthesis. What matters for the argument developed here is the broader implication for policy design: disclosure-based remedies directed at investors and disclosure-based remedies directed at consumers address related but not identical failures, and neither substitutes fully for the other.</w:t>
      </w:r>
    </w:p>
    <w:p w14:paraId="43030E06" w14:textId="77777777" w:rsidR="00397623" w:rsidRPr="00397623" w:rsidRDefault="00397623" w:rsidP="003976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11. Future Directions</w:t>
      </w:r>
    </w:p>
    <w:p w14:paraId="673DDE2F"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Several priority directions emerge from this synthesis. The persistent divergence among ESG rating providers, and the demonstrated risk that increased disclosure volume can widen rather than narrow this divergence absent standardisation, points to a need for harmonised, machine-readable disclosure taxonomies that reduce discretionary interpretation at the point of data ingestion by rating agencies, rather than relying solely on downstream aggregation methodology reform. The growing but still fragmented literature on automated greenwashing detection would benefit from the construction of large, cross-jurisdictional, independently verified benchmark datasets pairing disclosed claims with audited outcome data, a resource gap explicitly identified as constraining progress in the computational literature. The regulatory divergence between the European Union's increasingly codified assurance-based framework and the more contested position in the United States creates a natural setting for future research examining whether mandatory ex-ante verification produces measurably different greenwashing outcomes than ex-post, litigation-driven enforcement, once sufficient post-implementation data accumulate under the Corporate Sustainability Reporting Directive. The governance literature reviewed in Section 8 would benefit from closer attention to interaction effects between compensation design, ownership structure, and assurance quality, since the evidence to date treats these mechanisms largely in isolation despite theoretical reasons to expect they act as complements or substitutes for one another. </w:t>
      </w:r>
      <w:r w:rsidRPr="00397623">
        <w:rPr>
          <w:rFonts w:ascii="Times New Roman" w:eastAsia="Times New Roman" w:hAnsi="Times New Roman" w:cs="Times New Roman"/>
          <w:bCs/>
          <w:sz w:val="24"/>
          <w:szCs w:val="24"/>
          <w:lang w:eastAsia="en-GB"/>
        </w:rPr>
        <w:t>The finding that environmental tax reform can increase rather than decrease greenwashing among high-polluting firms also warrants further investigation into the conditions under which cost-based regulatory instruments backfire, particularly the role of firm-level financial constraints and access to affordable abatement technology in determining whether firms respond to higher compliance costs with genuine adaptation or symbolic disclosure.</w:t>
      </w:r>
      <w:r w:rsidRPr="00397623">
        <w:rPr>
          <w:rFonts w:ascii="Times New Roman" w:eastAsia="Times New Roman" w:hAnsi="Times New Roman" w:cs="Times New Roman"/>
          <w:sz w:val="24"/>
          <w:szCs w:val="24"/>
          <w:lang w:eastAsia="en-GB"/>
        </w:rPr>
        <w:t xml:space="preserve"> Green-labelled financial </w:t>
      </w:r>
      <w:r w:rsidRPr="00397623">
        <w:rPr>
          <w:rFonts w:ascii="Times New Roman" w:eastAsia="Times New Roman" w:hAnsi="Times New Roman" w:cs="Times New Roman"/>
          <w:sz w:val="24"/>
          <w:szCs w:val="24"/>
          <w:lang w:eastAsia="en-GB"/>
        </w:rPr>
        <w:lastRenderedPageBreak/>
        <w:t>instruments remain comparatively under-researched relative to equity-market greenwashing, despite their direct relevance to net-zero commitments, and future work should prioritise instrument-level credibility assessment methodologies analogous to those developed for equity disclosure.</w:t>
      </w:r>
    </w:p>
    <w:p w14:paraId="4B81A164" w14:textId="77777777" w:rsidR="00397623" w:rsidRPr="00397623" w:rsidRDefault="00397623" w:rsidP="003976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12. Conclusions</w:t>
      </w:r>
    </w:p>
    <w:p w14:paraId="47195DE2"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Corporate greenwashing has evolved from a narrowly defined marketing concern into a systemic feature of the sustainable finance ecosystem, shaped jointly by measurement ambiguity in ESG ratings, uneven and still-developing regulatory architecture, and incentive structures embedded in executive compensation and ownership design. The evidence reviewed here indicates that greenwashing carries measurable financial consequences for investors, including elevated uncertainty around firm valuation, higher effective cost of capital for weakly substantiated green-labelled financing, and expanding litigation exposure, though the precision of these effects depends considerably on market context, disclosure channel, and the credibility of the underlying measurement approach. Regulatory responses, particularly the European Union's assurance-based disclosure architecture, represent the most developed institutional attempt to close the verification gap that enables greenwashing, while the unsettled trajectory of climate disclosure regulation in the United States illustrates that mandatory disclosure alone, without durable political and judicial consensus, cannot reliably discipline corporate environmental communication. Emerging computational detection methods offer a promising complement to regulatory assurance, but their current reliance on proxy measures rather than verified ground-truth greenwashing labels limits their standalone reliability. </w:t>
      </w:r>
      <w:r w:rsidRPr="00397623">
        <w:rPr>
          <w:rFonts w:ascii="Times New Roman" w:eastAsia="Times New Roman" w:hAnsi="Times New Roman" w:cs="Times New Roman"/>
          <w:bCs/>
          <w:sz w:val="24"/>
          <w:szCs w:val="24"/>
          <w:lang w:eastAsia="en-GB"/>
        </w:rPr>
        <w:t>The evidence on regulatory cost instruments is a further reminder that not every intervention pushes in the intended direction: raising the cost of environmental harm can, in some circumstances, encourage disclosure distortion rather than genuine improvement, which argues for pairing cost-based regulation with credible verification rather than relying on cost pressure alone.</w:t>
      </w:r>
      <w:r w:rsidRPr="00397623">
        <w:rPr>
          <w:rFonts w:ascii="Times New Roman" w:eastAsia="Times New Roman" w:hAnsi="Times New Roman" w:cs="Times New Roman"/>
          <w:sz w:val="24"/>
          <w:szCs w:val="24"/>
          <w:lang w:eastAsia="en-GB"/>
        </w:rPr>
        <w:t xml:space="preserve"> For investors, the practical implication is that no single data source, whether a proprietary ESG rating, a corporate sustainability report, or a green-labelled financial instrument, can currently be relied upon in isolation as a reliable signal of genuine environmental performance, and meaningful risk assessment requires triangulation across independently sourced disclosure, assurance status, and governance structure.</w:t>
      </w:r>
    </w:p>
    <w:p w14:paraId="333377CD" w14:textId="77777777" w:rsidR="00397623" w:rsidRPr="00397623" w:rsidRDefault="00397623" w:rsidP="003976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13. Limitations</w:t>
      </w:r>
    </w:p>
    <w:p w14:paraId="5887BF00" w14:textId="77777777" w:rsid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This review is subject to several limitations that qualify its conclusions. The restriction to English-language, peer-reviewed sources excludes a substantial body of relevant scholarship published in other languages, particularly work examining greenwashing dynamics in continental European and East Asian jurisdictions where much of the underlying regulatory and empirical activity is concentrated, and this exclusion may understate the extent of geographic and institutional variation documented in the broader global literature. As a narrative rather than systematic review, the synthesis does not apply a standardised quality-appraisal instrument to each included study, meaning studies of varying methodological rigour are discussed alongside one another with qualitative rather than formally weighted emphasis. The regulatory landscape addressed in this review, particularly developments concerning the European Union's Green Claims Directive and the litigation status of the United States Securities and Exchange Commission's climate disclosure rules, remains unsettled at the time of writing, and material developments occurring after the literature search cut-off date could alter the regulatory conclusions presented here. Finally, the empirical literature reviewed draws disproportionately on evidence from Chinese listed firms </w:t>
      </w:r>
      <w:r w:rsidRPr="00397623">
        <w:rPr>
          <w:rFonts w:ascii="Times New Roman" w:eastAsia="Times New Roman" w:hAnsi="Times New Roman" w:cs="Times New Roman"/>
          <w:sz w:val="24"/>
          <w:szCs w:val="24"/>
          <w:lang w:eastAsia="en-GB"/>
        </w:rPr>
        <w:lastRenderedPageBreak/>
        <w:t>in several sections, particularly those addressing ownership structure and executive compensation, reflecting the current concentration of large-sample greenwashing research in that market; the generalisability of these findings to firms operating under different institutional, legal, and disclosure regimes should therefore be treated with appropriate caution.</w:t>
      </w:r>
    </w:p>
    <w:p w14:paraId="5602F9B9" w14:textId="77777777" w:rsidR="00B76F71" w:rsidRPr="000839CE" w:rsidRDefault="00B76F71" w:rsidP="00B76F71">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4B3323EB" w14:textId="77777777" w:rsidR="00B76F71" w:rsidRPr="000839CE" w:rsidRDefault="00B76F71" w:rsidP="00B76F71">
      <w:pPr>
        <w:spacing w:after="0" w:line="240" w:lineRule="auto"/>
        <w:rPr>
          <w:rFonts w:ascii="Times New Roman" w:hAnsi="Times New Roman" w:cs="Times New Roman"/>
        </w:rPr>
      </w:pPr>
    </w:p>
    <w:p w14:paraId="03F5D5ED" w14:textId="77777777" w:rsidR="00B76F71" w:rsidRPr="000839CE" w:rsidRDefault="00B76F71" w:rsidP="00B76F71">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537BDFA" w14:textId="77777777" w:rsidR="00B76F71" w:rsidRPr="00397623" w:rsidRDefault="00B76F71" w:rsidP="00397623">
      <w:pPr>
        <w:spacing w:before="100" w:beforeAutospacing="1" w:after="100" w:afterAutospacing="1" w:line="240" w:lineRule="auto"/>
        <w:rPr>
          <w:rFonts w:ascii="Times New Roman" w:eastAsia="Times New Roman" w:hAnsi="Times New Roman" w:cs="Times New Roman"/>
          <w:sz w:val="24"/>
          <w:szCs w:val="24"/>
          <w:lang w:eastAsia="en-GB"/>
        </w:rPr>
      </w:pPr>
    </w:p>
    <w:p w14:paraId="6AB7406F" w14:textId="77777777" w:rsidR="00397623" w:rsidRPr="00397623" w:rsidRDefault="00397623" w:rsidP="00397623">
      <w:pPr>
        <w:spacing w:after="0" w:line="240" w:lineRule="auto"/>
        <w:rPr>
          <w:rFonts w:ascii="Times New Roman" w:eastAsia="Times New Roman" w:hAnsi="Times New Roman" w:cs="Times New Roman"/>
          <w:sz w:val="24"/>
          <w:szCs w:val="24"/>
          <w:lang w:eastAsia="en-GB"/>
        </w:rPr>
      </w:pPr>
    </w:p>
    <w:p w14:paraId="132FCF93" w14:textId="77777777" w:rsidR="00397623" w:rsidRPr="00397623" w:rsidRDefault="00397623" w:rsidP="0039762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397623">
        <w:rPr>
          <w:rFonts w:ascii="Times New Roman" w:eastAsia="Times New Roman" w:hAnsi="Times New Roman" w:cs="Times New Roman"/>
          <w:b/>
          <w:bCs/>
          <w:sz w:val="27"/>
          <w:szCs w:val="27"/>
          <w:lang w:eastAsia="en-GB"/>
        </w:rPr>
        <w:t>References</w:t>
      </w:r>
    </w:p>
    <w:p w14:paraId="2C3AE770"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Abis, D., &amp; </w:t>
      </w:r>
      <w:proofErr w:type="spellStart"/>
      <w:r w:rsidRPr="00397623">
        <w:rPr>
          <w:rFonts w:ascii="Times New Roman" w:eastAsia="Times New Roman" w:hAnsi="Times New Roman" w:cs="Times New Roman"/>
          <w:sz w:val="24"/>
          <w:szCs w:val="24"/>
          <w:lang w:eastAsia="en-GB"/>
        </w:rPr>
        <w:t>Damilano</w:t>
      </w:r>
      <w:proofErr w:type="spellEnd"/>
      <w:r w:rsidRPr="00397623">
        <w:rPr>
          <w:rFonts w:ascii="Times New Roman" w:eastAsia="Times New Roman" w:hAnsi="Times New Roman" w:cs="Times New Roman"/>
          <w:sz w:val="24"/>
          <w:szCs w:val="24"/>
          <w:lang w:eastAsia="en-GB"/>
        </w:rPr>
        <w:t xml:space="preserve">, M. (2026). Greenwashing and executive compensation: What is the link? Evidence from banks. </w:t>
      </w:r>
      <w:r w:rsidRPr="00397623">
        <w:rPr>
          <w:rFonts w:ascii="Times New Roman" w:eastAsia="Times New Roman" w:hAnsi="Times New Roman" w:cs="Times New Roman"/>
          <w:i/>
          <w:iCs/>
          <w:sz w:val="24"/>
          <w:szCs w:val="24"/>
          <w:lang w:eastAsia="en-GB"/>
        </w:rPr>
        <w:t>International Journal of Bank Marketing, 44</w:t>
      </w:r>
      <w:r w:rsidRPr="00397623">
        <w:rPr>
          <w:rFonts w:ascii="Times New Roman" w:eastAsia="Times New Roman" w:hAnsi="Times New Roman" w:cs="Times New Roman"/>
          <w:sz w:val="24"/>
          <w:szCs w:val="24"/>
          <w:lang w:eastAsia="en-GB"/>
        </w:rPr>
        <w:t xml:space="preserve">(5), 923–942. </w:t>
      </w:r>
      <w:r w:rsidRPr="00397623">
        <w:rPr>
          <w:rFonts w:ascii="Times New Roman" w:eastAsia="Times New Roman" w:hAnsi="Times New Roman" w:cs="Times New Roman"/>
          <w:color w:val="0000FF"/>
          <w:sz w:val="24"/>
          <w:szCs w:val="24"/>
          <w:u w:val="single"/>
          <w:lang w:eastAsia="en-GB"/>
        </w:rPr>
        <w:t>https://doi.org/10.1108/IJBM-09-2024-0564</w:t>
      </w:r>
    </w:p>
    <w:p w14:paraId="6ACD6D88"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Bauer, P., &amp; Greiling, D. (2023). Greening Austrian social service and healthcare non-profits. </w:t>
      </w:r>
      <w:proofErr w:type="spellStart"/>
      <w:r w:rsidRPr="00397623">
        <w:rPr>
          <w:rFonts w:ascii="Times New Roman" w:eastAsia="Times New Roman" w:hAnsi="Times New Roman" w:cs="Times New Roman"/>
          <w:i/>
          <w:iCs/>
          <w:sz w:val="24"/>
          <w:szCs w:val="24"/>
          <w:lang w:eastAsia="en-GB"/>
        </w:rPr>
        <w:t>Heliyon</w:t>
      </w:r>
      <w:proofErr w:type="spellEnd"/>
      <w:r w:rsidRPr="00397623">
        <w:rPr>
          <w:rFonts w:ascii="Times New Roman" w:eastAsia="Times New Roman" w:hAnsi="Times New Roman" w:cs="Times New Roman"/>
          <w:i/>
          <w:iCs/>
          <w:sz w:val="24"/>
          <w:szCs w:val="24"/>
          <w:lang w:eastAsia="en-GB"/>
        </w:rPr>
        <w:t>, 9</w:t>
      </w:r>
      <w:r w:rsidRPr="00397623">
        <w:rPr>
          <w:rFonts w:ascii="Times New Roman" w:eastAsia="Times New Roman" w:hAnsi="Times New Roman" w:cs="Times New Roman"/>
          <w:sz w:val="24"/>
          <w:szCs w:val="24"/>
          <w:lang w:eastAsia="en-GB"/>
        </w:rPr>
        <w:t xml:space="preserve">(12), Article e23767. </w:t>
      </w:r>
      <w:r w:rsidRPr="00397623">
        <w:rPr>
          <w:rFonts w:ascii="Times New Roman" w:eastAsia="Times New Roman" w:hAnsi="Times New Roman" w:cs="Times New Roman"/>
          <w:color w:val="0000FF"/>
          <w:sz w:val="24"/>
          <w:szCs w:val="24"/>
          <w:u w:val="single"/>
          <w:lang w:eastAsia="en-GB"/>
        </w:rPr>
        <w:t>https://doi.org/10.1016/j.heliyon.2023.e23767</w:t>
      </w:r>
    </w:p>
    <w:p w14:paraId="65EFDCEF"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bCs/>
          <w:sz w:val="24"/>
          <w:szCs w:val="24"/>
          <w:lang w:eastAsia="en-GB"/>
        </w:rPr>
        <w:t xml:space="preserve">Berg, F., Kölbel, J. F., &amp; </w:t>
      </w:r>
      <w:proofErr w:type="spellStart"/>
      <w:r w:rsidRPr="00397623">
        <w:rPr>
          <w:rFonts w:ascii="Times New Roman" w:eastAsia="Times New Roman" w:hAnsi="Times New Roman" w:cs="Times New Roman"/>
          <w:bCs/>
          <w:sz w:val="24"/>
          <w:szCs w:val="24"/>
          <w:lang w:eastAsia="en-GB"/>
        </w:rPr>
        <w:t>Rigobon</w:t>
      </w:r>
      <w:proofErr w:type="spellEnd"/>
      <w:r w:rsidRPr="00397623">
        <w:rPr>
          <w:rFonts w:ascii="Times New Roman" w:eastAsia="Times New Roman" w:hAnsi="Times New Roman" w:cs="Times New Roman"/>
          <w:bCs/>
          <w:sz w:val="24"/>
          <w:szCs w:val="24"/>
          <w:lang w:eastAsia="en-GB"/>
        </w:rPr>
        <w:t xml:space="preserve">, R. (2022). Aggregate confusion: The divergence of ESG ratings. </w:t>
      </w:r>
      <w:r w:rsidRPr="00397623">
        <w:rPr>
          <w:rFonts w:ascii="Times New Roman" w:eastAsia="Times New Roman" w:hAnsi="Times New Roman" w:cs="Times New Roman"/>
          <w:bCs/>
          <w:i/>
          <w:iCs/>
          <w:sz w:val="24"/>
          <w:szCs w:val="24"/>
          <w:lang w:eastAsia="en-GB"/>
        </w:rPr>
        <w:t>Review of Finance, 26</w:t>
      </w:r>
      <w:r w:rsidRPr="00397623">
        <w:rPr>
          <w:rFonts w:ascii="Times New Roman" w:eastAsia="Times New Roman" w:hAnsi="Times New Roman" w:cs="Times New Roman"/>
          <w:bCs/>
          <w:sz w:val="24"/>
          <w:szCs w:val="24"/>
          <w:lang w:eastAsia="en-GB"/>
        </w:rPr>
        <w:t xml:space="preserve">(6), 1315–1344. </w:t>
      </w:r>
      <w:r w:rsidRPr="00397623">
        <w:rPr>
          <w:rFonts w:ascii="Times New Roman" w:eastAsia="Times New Roman" w:hAnsi="Times New Roman" w:cs="Times New Roman"/>
          <w:bCs/>
          <w:color w:val="0000FF"/>
          <w:sz w:val="24"/>
          <w:szCs w:val="24"/>
          <w:u w:val="single"/>
          <w:lang w:eastAsia="en-GB"/>
        </w:rPr>
        <w:t>https://doi.org/10.1093/rof/rfac033</w:t>
      </w:r>
    </w:p>
    <w:p w14:paraId="3DFBB7A2"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Cohen, S., </w:t>
      </w:r>
      <w:proofErr w:type="spellStart"/>
      <w:r w:rsidRPr="00397623">
        <w:rPr>
          <w:rFonts w:ascii="Times New Roman" w:eastAsia="Times New Roman" w:hAnsi="Times New Roman" w:cs="Times New Roman"/>
          <w:sz w:val="24"/>
          <w:szCs w:val="24"/>
          <w:lang w:eastAsia="en-GB"/>
        </w:rPr>
        <w:t>Kadach</w:t>
      </w:r>
      <w:proofErr w:type="spellEnd"/>
      <w:r w:rsidRPr="00397623">
        <w:rPr>
          <w:rFonts w:ascii="Times New Roman" w:eastAsia="Times New Roman" w:hAnsi="Times New Roman" w:cs="Times New Roman"/>
          <w:sz w:val="24"/>
          <w:szCs w:val="24"/>
          <w:lang w:eastAsia="en-GB"/>
        </w:rPr>
        <w:t xml:space="preserve">, I., </w:t>
      </w:r>
      <w:proofErr w:type="spellStart"/>
      <w:r w:rsidRPr="00397623">
        <w:rPr>
          <w:rFonts w:ascii="Times New Roman" w:eastAsia="Times New Roman" w:hAnsi="Times New Roman" w:cs="Times New Roman"/>
          <w:sz w:val="24"/>
          <w:szCs w:val="24"/>
          <w:lang w:eastAsia="en-GB"/>
        </w:rPr>
        <w:t>Ormazabal</w:t>
      </w:r>
      <w:proofErr w:type="spellEnd"/>
      <w:r w:rsidRPr="00397623">
        <w:rPr>
          <w:rFonts w:ascii="Times New Roman" w:eastAsia="Times New Roman" w:hAnsi="Times New Roman" w:cs="Times New Roman"/>
          <w:sz w:val="24"/>
          <w:szCs w:val="24"/>
          <w:lang w:eastAsia="en-GB"/>
        </w:rPr>
        <w:t xml:space="preserve">, G., &amp; </w:t>
      </w:r>
      <w:proofErr w:type="spellStart"/>
      <w:r w:rsidRPr="00397623">
        <w:rPr>
          <w:rFonts w:ascii="Times New Roman" w:eastAsia="Times New Roman" w:hAnsi="Times New Roman" w:cs="Times New Roman"/>
          <w:sz w:val="24"/>
          <w:szCs w:val="24"/>
          <w:lang w:eastAsia="en-GB"/>
        </w:rPr>
        <w:t>Reichelstein</w:t>
      </w:r>
      <w:proofErr w:type="spellEnd"/>
      <w:r w:rsidRPr="00397623">
        <w:rPr>
          <w:rFonts w:ascii="Times New Roman" w:eastAsia="Times New Roman" w:hAnsi="Times New Roman" w:cs="Times New Roman"/>
          <w:sz w:val="24"/>
          <w:szCs w:val="24"/>
          <w:lang w:eastAsia="en-GB"/>
        </w:rPr>
        <w:t xml:space="preserve">, S. (2023). Executive compensation tied to ESG performance: International evidence. </w:t>
      </w:r>
      <w:r w:rsidRPr="00397623">
        <w:rPr>
          <w:rFonts w:ascii="Times New Roman" w:eastAsia="Times New Roman" w:hAnsi="Times New Roman" w:cs="Times New Roman"/>
          <w:i/>
          <w:iCs/>
          <w:sz w:val="24"/>
          <w:szCs w:val="24"/>
          <w:lang w:eastAsia="en-GB"/>
        </w:rPr>
        <w:t>Journal of Accounting Research, 61</w:t>
      </w:r>
      <w:r w:rsidRPr="00397623">
        <w:rPr>
          <w:rFonts w:ascii="Times New Roman" w:eastAsia="Times New Roman" w:hAnsi="Times New Roman" w:cs="Times New Roman"/>
          <w:sz w:val="24"/>
          <w:szCs w:val="24"/>
          <w:lang w:eastAsia="en-GB"/>
        </w:rPr>
        <w:t xml:space="preserve">(3), 805–853. </w:t>
      </w:r>
      <w:r w:rsidRPr="00397623">
        <w:rPr>
          <w:rFonts w:ascii="Times New Roman" w:eastAsia="Times New Roman" w:hAnsi="Times New Roman" w:cs="Times New Roman"/>
          <w:color w:val="0000FF"/>
          <w:sz w:val="24"/>
          <w:szCs w:val="24"/>
          <w:u w:val="single"/>
          <w:lang w:eastAsia="en-GB"/>
        </w:rPr>
        <w:t>https://doi.org/10.1111/1475-679X.12481</w:t>
      </w:r>
    </w:p>
    <w:p w14:paraId="7CC09086"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bCs/>
          <w:sz w:val="24"/>
          <w:szCs w:val="24"/>
          <w:lang w:eastAsia="en-GB"/>
        </w:rPr>
        <w:t xml:space="preserve">Davidescu, A. A., Manta, E. M., </w:t>
      </w:r>
      <w:proofErr w:type="spellStart"/>
      <w:r w:rsidRPr="00397623">
        <w:rPr>
          <w:rFonts w:ascii="Times New Roman" w:eastAsia="Times New Roman" w:hAnsi="Times New Roman" w:cs="Times New Roman"/>
          <w:bCs/>
          <w:sz w:val="24"/>
          <w:szCs w:val="24"/>
          <w:lang w:eastAsia="en-GB"/>
        </w:rPr>
        <w:t>Bîrlan</w:t>
      </w:r>
      <w:proofErr w:type="spellEnd"/>
      <w:r w:rsidRPr="00397623">
        <w:rPr>
          <w:rFonts w:ascii="Times New Roman" w:eastAsia="Times New Roman" w:hAnsi="Times New Roman" w:cs="Times New Roman"/>
          <w:bCs/>
          <w:sz w:val="24"/>
          <w:szCs w:val="24"/>
          <w:lang w:eastAsia="en-GB"/>
        </w:rPr>
        <w:t xml:space="preserve">, I., Miler, A.-M., &amp; Niță, S.-C. (2026). Detecting greenwashing in ESG disclosure: An NLP-based analysis of Central and Eastern European firms. </w:t>
      </w:r>
      <w:r w:rsidRPr="00397623">
        <w:rPr>
          <w:rFonts w:ascii="Times New Roman" w:eastAsia="Times New Roman" w:hAnsi="Times New Roman" w:cs="Times New Roman"/>
          <w:bCs/>
          <w:i/>
          <w:iCs/>
          <w:sz w:val="24"/>
          <w:szCs w:val="24"/>
          <w:lang w:eastAsia="en-GB"/>
        </w:rPr>
        <w:t>Sustainability, 18</w:t>
      </w:r>
      <w:r w:rsidRPr="00397623">
        <w:rPr>
          <w:rFonts w:ascii="Times New Roman" w:eastAsia="Times New Roman" w:hAnsi="Times New Roman" w:cs="Times New Roman"/>
          <w:bCs/>
          <w:sz w:val="24"/>
          <w:szCs w:val="24"/>
          <w:lang w:eastAsia="en-GB"/>
        </w:rPr>
        <w:t xml:space="preserve">(3), Article 1486. </w:t>
      </w:r>
      <w:r w:rsidRPr="00397623">
        <w:rPr>
          <w:rFonts w:ascii="Times New Roman" w:eastAsia="Times New Roman" w:hAnsi="Times New Roman" w:cs="Times New Roman"/>
          <w:bCs/>
          <w:color w:val="0000FF"/>
          <w:sz w:val="24"/>
          <w:szCs w:val="24"/>
          <w:u w:val="single"/>
          <w:lang w:eastAsia="en-GB"/>
        </w:rPr>
        <w:t>https://doi.org/10.3390/su18031486</w:t>
      </w:r>
    </w:p>
    <w:p w14:paraId="02755A3F"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Delmas, M. A., &amp; Burbano, V. C. (2011). The drivers of greenwashing. </w:t>
      </w:r>
      <w:r w:rsidRPr="00397623">
        <w:rPr>
          <w:rFonts w:ascii="Times New Roman" w:eastAsia="Times New Roman" w:hAnsi="Times New Roman" w:cs="Times New Roman"/>
          <w:i/>
          <w:iCs/>
          <w:sz w:val="24"/>
          <w:szCs w:val="24"/>
          <w:lang w:eastAsia="en-GB"/>
        </w:rPr>
        <w:t>California Management Review, 54</w:t>
      </w:r>
      <w:r w:rsidRPr="00397623">
        <w:rPr>
          <w:rFonts w:ascii="Times New Roman" w:eastAsia="Times New Roman" w:hAnsi="Times New Roman" w:cs="Times New Roman"/>
          <w:sz w:val="24"/>
          <w:szCs w:val="24"/>
          <w:lang w:eastAsia="en-GB"/>
        </w:rPr>
        <w:t xml:space="preserve">(1), 64–87. </w:t>
      </w:r>
      <w:r w:rsidRPr="00397623">
        <w:rPr>
          <w:rFonts w:ascii="Times New Roman" w:eastAsia="Times New Roman" w:hAnsi="Times New Roman" w:cs="Times New Roman"/>
          <w:color w:val="0000FF"/>
          <w:sz w:val="24"/>
          <w:szCs w:val="24"/>
          <w:u w:val="single"/>
          <w:lang w:eastAsia="en-GB"/>
        </w:rPr>
        <w:t>https://doi.org/10.1525/cmr.2011.54.1.64</w:t>
      </w:r>
    </w:p>
    <w:p w14:paraId="6B13D636"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European Commission. (2025). </w:t>
      </w:r>
      <w:r w:rsidRPr="00397623">
        <w:rPr>
          <w:rFonts w:ascii="Times New Roman" w:eastAsia="Times New Roman" w:hAnsi="Times New Roman" w:cs="Times New Roman"/>
          <w:i/>
          <w:iCs/>
          <w:sz w:val="24"/>
          <w:szCs w:val="24"/>
          <w:lang w:eastAsia="en-GB"/>
        </w:rPr>
        <w:t>Corporate sustainability reporting</w:t>
      </w:r>
      <w:r w:rsidRPr="00397623">
        <w:rPr>
          <w:rFonts w:ascii="Times New Roman" w:eastAsia="Times New Roman" w:hAnsi="Times New Roman" w:cs="Times New Roman"/>
          <w:sz w:val="24"/>
          <w:szCs w:val="24"/>
          <w:lang w:eastAsia="en-GB"/>
        </w:rPr>
        <w:t xml:space="preserve">. </w:t>
      </w:r>
      <w:r w:rsidRPr="00397623">
        <w:rPr>
          <w:rFonts w:ascii="Times New Roman" w:eastAsia="Times New Roman" w:hAnsi="Times New Roman" w:cs="Times New Roman"/>
          <w:color w:val="0000FF"/>
          <w:sz w:val="24"/>
          <w:szCs w:val="24"/>
          <w:u w:val="single"/>
          <w:lang w:eastAsia="en-GB"/>
        </w:rPr>
        <w:t>https://finance.ec.europa.eu/financial-markets/company-reporting-and-auditing/company-reporting/corporate-sustainability-reporting_en</w:t>
      </w:r>
    </w:p>
    <w:p w14:paraId="730DBFB7"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Grant, M. J., &amp; Booth, A. (2009). A typology of reviews: An analysis of 14 review types and associated methodologies. </w:t>
      </w:r>
      <w:r w:rsidRPr="00397623">
        <w:rPr>
          <w:rFonts w:ascii="Times New Roman" w:eastAsia="Times New Roman" w:hAnsi="Times New Roman" w:cs="Times New Roman"/>
          <w:i/>
          <w:iCs/>
          <w:sz w:val="24"/>
          <w:szCs w:val="24"/>
          <w:lang w:eastAsia="en-GB"/>
        </w:rPr>
        <w:t>Health Information &amp; Libraries Journal, 26</w:t>
      </w:r>
      <w:r w:rsidRPr="00397623">
        <w:rPr>
          <w:rFonts w:ascii="Times New Roman" w:eastAsia="Times New Roman" w:hAnsi="Times New Roman" w:cs="Times New Roman"/>
          <w:sz w:val="24"/>
          <w:szCs w:val="24"/>
          <w:lang w:eastAsia="en-GB"/>
        </w:rPr>
        <w:t xml:space="preserve">(2), 91–108. </w:t>
      </w:r>
      <w:r w:rsidRPr="00397623">
        <w:rPr>
          <w:rFonts w:ascii="Times New Roman" w:eastAsia="Times New Roman" w:hAnsi="Times New Roman" w:cs="Times New Roman"/>
          <w:color w:val="0000FF"/>
          <w:sz w:val="24"/>
          <w:szCs w:val="24"/>
          <w:u w:val="single"/>
          <w:lang w:eastAsia="en-GB"/>
        </w:rPr>
        <w:t>https://doi.org/10.1111/j.1471-1842.2009.00848.x</w:t>
      </w:r>
    </w:p>
    <w:p w14:paraId="7180C830"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lastRenderedPageBreak/>
        <w:t xml:space="preserve">Hu, S., Wang, A., &amp; Du, K. (2023). Environmental tax reform and greenwashing: Evidence from Chinese listed companies. </w:t>
      </w:r>
      <w:r w:rsidRPr="00397623">
        <w:rPr>
          <w:rFonts w:ascii="Times New Roman" w:eastAsia="Times New Roman" w:hAnsi="Times New Roman" w:cs="Times New Roman"/>
          <w:i/>
          <w:iCs/>
          <w:sz w:val="24"/>
          <w:szCs w:val="24"/>
          <w:lang w:eastAsia="en-GB"/>
        </w:rPr>
        <w:t>Energy Economics, 124</w:t>
      </w:r>
      <w:r w:rsidRPr="00397623">
        <w:rPr>
          <w:rFonts w:ascii="Times New Roman" w:eastAsia="Times New Roman" w:hAnsi="Times New Roman" w:cs="Times New Roman"/>
          <w:sz w:val="24"/>
          <w:szCs w:val="24"/>
          <w:lang w:eastAsia="en-GB"/>
        </w:rPr>
        <w:t xml:space="preserve">, Article 106873. </w:t>
      </w:r>
      <w:r w:rsidRPr="00397623">
        <w:rPr>
          <w:rFonts w:ascii="Times New Roman" w:eastAsia="Times New Roman" w:hAnsi="Times New Roman" w:cs="Times New Roman"/>
          <w:color w:val="0000FF"/>
          <w:sz w:val="24"/>
          <w:szCs w:val="24"/>
          <w:u w:val="single"/>
          <w:lang w:eastAsia="en-GB"/>
        </w:rPr>
        <w:t>https://doi.org/10.1016/j.eneco.2023.106873</w:t>
      </w:r>
    </w:p>
    <w:p w14:paraId="748CCB40"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bCs/>
          <w:sz w:val="24"/>
          <w:szCs w:val="24"/>
          <w:lang w:eastAsia="en-GB"/>
        </w:rPr>
        <w:t xml:space="preserve">Huang, H., &amp; Xiang, C. (2025). Stock market liberalization and corporate greenwashing: Empirical evidence from the Shanghai-(Shenzhen-) Hong Kong Connect. </w:t>
      </w:r>
      <w:r w:rsidRPr="00397623">
        <w:rPr>
          <w:rFonts w:ascii="Times New Roman" w:eastAsia="Times New Roman" w:hAnsi="Times New Roman" w:cs="Times New Roman"/>
          <w:bCs/>
          <w:i/>
          <w:iCs/>
          <w:sz w:val="24"/>
          <w:szCs w:val="24"/>
          <w:lang w:eastAsia="en-GB"/>
        </w:rPr>
        <w:t>Corporate Social Responsibility and Environmental Management, 32</w:t>
      </w:r>
      <w:r w:rsidRPr="00397623">
        <w:rPr>
          <w:rFonts w:ascii="Times New Roman" w:eastAsia="Times New Roman" w:hAnsi="Times New Roman" w:cs="Times New Roman"/>
          <w:bCs/>
          <w:sz w:val="24"/>
          <w:szCs w:val="24"/>
          <w:lang w:eastAsia="en-GB"/>
        </w:rPr>
        <w:t xml:space="preserve">(5), 6843–6863. </w:t>
      </w:r>
      <w:r w:rsidRPr="00397623">
        <w:rPr>
          <w:rFonts w:ascii="Times New Roman" w:eastAsia="Times New Roman" w:hAnsi="Times New Roman" w:cs="Times New Roman"/>
          <w:bCs/>
          <w:color w:val="0000FF"/>
          <w:sz w:val="24"/>
          <w:szCs w:val="24"/>
          <w:u w:val="single"/>
          <w:lang w:eastAsia="en-GB"/>
        </w:rPr>
        <w:t>https://doi.org/10.1002/csr.70066</w:t>
      </w:r>
    </w:p>
    <w:p w14:paraId="585E5328"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Huang, X., Tang, C., Liu, Y., &amp; Ge, P. (2025). Greening or greenwashing? Corporate green bonds and stock pricing efficiency in China. </w:t>
      </w:r>
      <w:r w:rsidRPr="00397623">
        <w:rPr>
          <w:rFonts w:ascii="Times New Roman" w:eastAsia="Times New Roman" w:hAnsi="Times New Roman" w:cs="Times New Roman"/>
          <w:i/>
          <w:iCs/>
          <w:sz w:val="24"/>
          <w:szCs w:val="24"/>
          <w:lang w:eastAsia="en-GB"/>
        </w:rPr>
        <w:t>Sustainability Accounting, Management and Policy Journal, 16</w:t>
      </w:r>
      <w:r w:rsidRPr="00397623">
        <w:rPr>
          <w:rFonts w:ascii="Times New Roman" w:eastAsia="Times New Roman" w:hAnsi="Times New Roman" w:cs="Times New Roman"/>
          <w:sz w:val="24"/>
          <w:szCs w:val="24"/>
          <w:lang w:eastAsia="en-GB"/>
        </w:rPr>
        <w:t xml:space="preserve">(3), 874–913. </w:t>
      </w:r>
      <w:r w:rsidRPr="00397623">
        <w:rPr>
          <w:rFonts w:ascii="Times New Roman" w:eastAsia="Times New Roman" w:hAnsi="Times New Roman" w:cs="Times New Roman"/>
          <w:color w:val="0000FF"/>
          <w:sz w:val="24"/>
          <w:szCs w:val="24"/>
          <w:u w:val="single"/>
          <w:lang w:eastAsia="en-GB"/>
        </w:rPr>
        <w:t>https://doi.org/10.1108/SAMPJ-03-2024-0212</w:t>
      </w:r>
    </w:p>
    <w:p w14:paraId="35A8F794"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Kim, E.-H., &amp; Lyon, T. P. (2015). Greenwash vs. </w:t>
      </w:r>
      <w:proofErr w:type="spellStart"/>
      <w:r w:rsidRPr="00397623">
        <w:rPr>
          <w:rFonts w:ascii="Times New Roman" w:eastAsia="Times New Roman" w:hAnsi="Times New Roman" w:cs="Times New Roman"/>
          <w:sz w:val="24"/>
          <w:szCs w:val="24"/>
          <w:lang w:eastAsia="en-GB"/>
        </w:rPr>
        <w:t>brownwash</w:t>
      </w:r>
      <w:proofErr w:type="spellEnd"/>
      <w:r w:rsidRPr="00397623">
        <w:rPr>
          <w:rFonts w:ascii="Times New Roman" w:eastAsia="Times New Roman" w:hAnsi="Times New Roman" w:cs="Times New Roman"/>
          <w:sz w:val="24"/>
          <w:szCs w:val="24"/>
          <w:lang w:eastAsia="en-GB"/>
        </w:rPr>
        <w:t xml:space="preserve">: Exaggeration and undue modesty in corporate sustainability disclosure. </w:t>
      </w:r>
      <w:r w:rsidRPr="00397623">
        <w:rPr>
          <w:rFonts w:ascii="Times New Roman" w:eastAsia="Times New Roman" w:hAnsi="Times New Roman" w:cs="Times New Roman"/>
          <w:i/>
          <w:iCs/>
          <w:sz w:val="24"/>
          <w:szCs w:val="24"/>
          <w:lang w:eastAsia="en-GB"/>
        </w:rPr>
        <w:t>Organization Science, 26</w:t>
      </w:r>
      <w:r w:rsidRPr="00397623">
        <w:rPr>
          <w:rFonts w:ascii="Times New Roman" w:eastAsia="Times New Roman" w:hAnsi="Times New Roman" w:cs="Times New Roman"/>
          <w:sz w:val="24"/>
          <w:szCs w:val="24"/>
          <w:lang w:eastAsia="en-GB"/>
        </w:rPr>
        <w:t xml:space="preserve">(3), 705–723. </w:t>
      </w:r>
      <w:r w:rsidRPr="00397623">
        <w:rPr>
          <w:rFonts w:ascii="Times New Roman" w:eastAsia="Times New Roman" w:hAnsi="Times New Roman" w:cs="Times New Roman"/>
          <w:color w:val="0000FF"/>
          <w:sz w:val="24"/>
          <w:szCs w:val="24"/>
          <w:u w:val="single"/>
          <w:lang w:eastAsia="en-GB"/>
        </w:rPr>
        <w:t>https://doi.org/10.1287/orsc.2014.0949</w:t>
      </w:r>
    </w:p>
    <w:p w14:paraId="2E2EBEA3"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Li, M., &amp; Chen, Q. (2024). Executive pay gap and corporate ESG greenwashing: Evidence from China. </w:t>
      </w:r>
      <w:r w:rsidRPr="00397623">
        <w:rPr>
          <w:rFonts w:ascii="Times New Roman" w:eastAsia="Times New Roman" w:hAnsi="Times New Roman" w:cs="Times New Roman"/>
          <w:i/>
          <w:iCs/>
          <w:sz w:val="24"/>
          <w:szCs w:val="24"/>
          <w:lang w:eastAsia="en-GB"/>
        </w:rPr>
        <w:t>International Review of Financial Analysis, 95</w:t>
      </w:r>
      <w:r w:rsidRPr="00397623">
        <w:rPr>
          <w:rFonts w:ascii="Times New Roman" w:eastAsia="Times New Roman" w:hAnsi="Times New Roman" w:cs="Times New Roman"/>
          <w:sz w:val="24"/>
          <w:szCs w:val="24"/>
          <w:lang w:eastAsia="en-GB"/>
        </w:rPr>
        <w:t xml:space="preserve">, Article 103375. </w:t>
      </w:r>
      <w:r w:rsidRPr="00397623">
        <w:rPr>
          <w:rFonts w:ascii="Times New Roman" w:eastAsia="Times New Roman" w:hAnsi="Times New Roman" w:cs="Times New Roman"/>
          <w:color w:val="0000FF"/>
          <w:sz w:val="24"/>
          <w:szCs w:val="24"/>
          <w:u w:val="single"/>
          <w:lang w:eastAsia="en-GB"/>
        </w:rPr>
        <w:t>https://doi.org/10.1016/j.irfa.2024.103375</w:t>
      </w:r>
    </w:p>
    <w:p w14:paraId="52542CD5"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Marquis, C., Toffel, M. W., &amp; Zhou, Y. (2016). Scrutiny, norms, and selective disclosure: A global study of greenwashing. </w:t>
      </w:r>
      <w:r w:rsidRPr="00397623">
        <w:rPr>
          <w:rFonts w:ascii="Times New Roman" w:eastAsia="Times New Roman" w:hAnsi="Times New Roman" w:cs="Times New Roman"/>
          <w:i/>
          <w:iCs/>
          <w:sz w:val="24"/>
          <w:szCs w:val="24"/>
          <w:lang w:eastAsia="en-GB"/>
        </w:rPr>
        <w:t>Organization Science, 27</w:t>
      </w:r>
      <w:r w:rsidRPr="00397623">
        <w:rPr>
          <w:rFonts w:ascii="Times New Roman" w:eastAsia="Times New Roman" w:hAnsi="Times New Roman" w:cs="Times New Roman"/>
          <w:sz w:val="24"/>
          <w:szCs w:val="24"/>
          <w:lang w:eastAsia="en-GB"/>
        </w:rPr>
        <w:t xml:space="preserve">(2), 483–504. </w:t>
      </w:r>
      <w:r w:rsidRPr="00397623">
        <w:rPr>
          <w:rFonts w:ascii="Times New Roman" w:eastAsia="Times New Roman" w:hAnsi="Times New Roman" w:cs="Times New Roman"/>
          <w:color w:val="0000FF"/>
          <w:sz w:val="24"/>
          <w:szCs w:val="24"/>
          <w:u w:val="single"/>
          <w:lang w:eastAsia="en-GB"/>
        </w:rPr>
        <w:t>https://doi.org/10.1287/orsc.2015.1039</w:t>
      </w:r>
    </w:p>
    <w:p w14:paraId="0248DB5F"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Meyer, J. W., &amp; Rowan, B. (1977). Institutionalized organizations: Formal structure as myth and ceremony. </w:t>
      </w:r>
      <w:r w:rsidRPr="00397623">
        <w:rPr>
          <w:rFonts w:ascii="Times New Roman" w:eastAsia="Times New Roman" w:hAnsi="Times New Roman" w:cs="Times New Roman"/>
          <w:i/>
          <w:iCs/>
          <w:sz w:val="24"/>
          <w:szCs w:val="24"/>
          <w:lang w:eastAsia="en-GB"/>
        </w:rPr>
        <w:t>American Journal of Sociology, 83</w:t>
      </w:r>
      <w:r w:rsidRPr="00397623">
        <w:rPr>
          <w:rFonts w:ascii="Times New Roman" w:eastAsia="Times New Roman" w:hAnsi="Times New Roman" w:cs="Times New Roman"/>
          <w:sz w:val="24"/>
          <w:szCs w:val="24"/>
          <w:lang w:eastAsia="en-GB"/>
        </w:rPr>
        <w:t xml:space="preserve">(2), 340–363. </w:t>
      </w:r>
      <w:r w:rsidRPr="00397623">
        <w:rPr>
          <w:rFonts w:ascii="Times New Roman" w:eastAsia="Times New Roman" w:hAnsi="Times New Roman" w:cs="Times New Roman"/>
          <w:color w:val="0000FF"/>
          <w:sz w:val="24"/>
          <w:szCs w:val="24"/>
          <w:u w:val="single"/>
          <w:lang w:eastAsia="en-GB"/>
        </w:rPr>
        <w:t>https://doi.org/10.1086/226550</w:t>
      </w:r>
    </w:p>
    <w:p w14:paraId="401485E2"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397623">
        <w:rPr>
          <w:rFonts w:ascii="Times New Roman" w:eastAsia="Times New Roman" w:hAnsi="Times New Roman" w:cs="Times New Roman"/>
          <w:sz w:val="24"/>
          <w:szCs w:val="24"/>
          <w:lang w:eastAsia="en-GB"/>
        </w:rPr>
        <w:t>Quotb</w:t>
      </w:r>
      <w:proofErr w:type="spellEnd"/>
      <w:r w:rsidRPr="00397623">
        <w:rPr>
          <w:rFonts w:ascii="Times New Roman" w:eastAsia="Times New Roman" w:hAnsi="Times New Roman" w:cs="Times New Roman"/>
          <w:sz w:val="24"/>
          <w:szCs w:val="24"/>
          <w:lang w:eastAsia="en-GB"/>
        </w:rPr>
        <w:t xml:space="preserve">, M., Keasey, K., Li, P., &amp; Mascia, D. V. (2026). ESG ratings disagreement and trading behaviour. </w:t>
      </w:r>
      <w:r w:rsidRPr="00397623">
        <w:rPr>
          <w:rFonts w:ascii="Times New Roman" w:eastAsia="Times New Roman" w:hAnsi="Times New Roman" w:cs="Times New Roman"/>
          <w:i/>
          <w:iCs/>
          <w:sz w:val="24"/>
          <w:szCs w:val="24"/>
          <w:lang w:eastAsia="en-GB"/>
        </w:rPr>
        <w:t>European Financial Management, 32</w:t>
      </w:r>
      <w:r w:rsidRPr="00397623">
        <w:rPr>
          <w:rFonts w:ascii="Times New Roman" w:eastAsia="Times New Roman" w:hAnsi="Times New Roman" w:cs="Times New Roman"/>
          <w:sz w:val="24"/>
          <w:szCs w:val="24"/>
          <w:lang w:eastAsia="en-GB"/>
        </w:rPr>
        <w:t xml:space="preserve">(1), 206–231. </w:t>
      </w:r>
      <w:r w:rsidRPr="00397623">
        <w:rPr>
          <w:rFonts w:ascii="Times New Roman" w:eastAsia="Times New Roman" w:hAnsi="Times New Roman" w:cs="Times New Roman"/>
          <w:color w:val="0000FF"/>
          <w:sz w:val="24"/>
          <w:szCs w:val="24"/>
          <w:u w:val="single"/>
          <w:lang w:eastAsia="en-GB"/>
        </w:rPr>
        <w:t>https://doi.org/10.1111/eufm.70009</w:t>
      </w:r>
    </w:p>
    <w:p w14:paraId="6E60F5AF"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Suchman, M. C. (1995). Managing legitimacy: Strategic and institutional approaches. </w:t>
      </w:r>
      <w:r w:rsidRPr="00397623">
        <w:rPr>
          <w:rFonts w:ascii="Times New Roman" w:eastAsia="Times New Roman" w:hAnsi="Times New Roman" w:cs="Times New Roman"/>
          <w:i/>
          <w:iCs/>
          <w:sz w:val="24"/>
          <w:szCs w:val="24"/>
          <w:lang w:eastAsia="en-GB"/>
        </w:rPr>
        <w:t>Academy of Management Review, 20</w:t>
      </w:r>
      <w:r w:rsidRPr="00397623">
        <w:rPr>
          <w:rFonts w:ascii="Times New Roman" w:eastAsia="Times New Roman" w:hAnsi="Times New Roman" w:cs="Times New Roman"/>
          <w:sz w:val="24"/>
          <w:szCs w:val="24"/>
          <w:lang w:eastAsia="en-GB"/>
        </w:rPr>
        <w:t xml:space="preserve">(3), 571–610. </w:t>
      </w:r>
      <w:r w:rsidRPr="00397623">
        <w:rPr>
          <w:rFonts w:ascii="Times New Roman" w:eastAsia="Times New Roman" w:hAnsi="Times New Roman" w:cs="Times New Roman"/>
          <w:color w:val="0000FF"/>
          <w:sz w:val="24"/>
          <w:szCs w:val="24"/>
          <w:u w:val="single"/>
          <w:lang w:eastAsia="en-GB"/>
        </w:rPr>
        <w:t>https://doi.org/10.5465/amr.1995.9508080331</w:t>
      </w:r>
    </w:p>
    <w:p w14:paraId="18BE2F77"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U.S. Securities and Exchange Commission. (2025). </w:t>
      </w:r>
      <w:r w:rsidRPr="00397623">
        <w:rPr>
          <w:rFonts w:ascii="Times New Roman" w:eastAsia="Times New Roman" w:hAnsi="Times New Roman" w:cs="Times New Roman"/>
          <w:i/>
          <w:iCs/>
          <w:sz w:val="24"/>
          <w:szCs w:val="24"/>
          <w:lang w:eastAsia="en-GB"/>
        </w:rPr>
        <w:t xml:space="preserve">SEC votes to end </w:t>
      </w:r>
      <w:proofErr w:type="spellStart"/>
      <w:r w:rsidRPr="00397623">
        <w:rPr>
          <w:rFonts w:ascii="Times New Roman" w:eastAsia="Times New Roman" w:hAnsi="Times New Roman" w:cs="Times New Roman"/>
          <w:i/>
          <w:iCs/>
          <w:sz w:val="24"/>
          <w:szCs w:val="24"/>
          <w:lang w:eastAsia="en-GB"/>
        </w:rPr>
        <w:t>defense</w:t>
      </w:r>
      <w:proofErr w:type="spellEnd"/>
      <w:r w:rsidRPr="00397623">
        <w:rPr>
          <w:rFonts w:ascii="Times New Roman" w:eastAsia="Times New Roman" w:hAnsi="Times New Roman" w:cs="Times New Roman"/>
          <w:i/>
          <w:iCs/>
          <w:sz w:val="24"/>
          <w:szCs w:val="24"/>
          <w:lang w:eastAsia="en-GB"/>
        </w:rPr>
        <w:t xml:space="preserve"> of climate disclosure rules</w:t>
      </w:r>
      <w:r w:rsidRPr="00397623">
        <w:rPr>
          <w:rFonts w:ascii="Times New Roman" w:eastAsia="Times New Roman" w:hAnsi="Times New Roman" w:cs="Times New Roman"/>
          <w:sz w:val="24"/>
          <w:szCs w:val="24"/>
          <w:lang w:eastAsia="en-GB"/>
        </w:rPr>
        <w:t xml:space="preserve"> [Press release]. </w:t>
      </w:r>
      <w:r w:rsidRPr="00397623">
        <w:rPr>
          <w:rFonts w:ascii="Times New Roman" w:eastAsia="Times New Roman" w:hAnsi="Times New Roman" w:cs="Times New Roman"/>
          <w:color w:val="0000FF"/>
          <w:sz w:val="24"/>
          <w:szCs w:val="24"/>
          <w:u w:val="single"/>
          <w:lang w:eastAsia="en-GB"/>
        </w:rPr>
        <w:t>https://www.sec.gov/newsroom/press-releases/2025-58</w:t>
      </w:r>
    </w:p>
    <w:p w14:paraId="532FA97E"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sz w:val="24"/>
          <w:szCs w:val="24"/>
          <w:lang w:eastAsia="en-GB"/>
        </w:rPr>
        <w:t xml:space="preserve">Walker, K., &amp; Wan, F. (2012). The harm of symbolic actions and green-washing: Corporate actions and communications on environmental performance and their financial implications. </w:t>
      </w:r>
      <w:r w:rsidRPr="00397623">
        <w:rPr>
          <w:rFonts w:ascii="Times New Roman" w:eastAsia="Times New Roman" w:hAnsi="Times New Roman" w:cs="Times New Roman"/>
          <w:i/>
          <w:iCs/>
          <w:sz w:val="24"/>
          <w:szCs w:val="24"/>
          <w:lang w:eastAsia="en-GB"/>
        </w:rPr>
        <w:t>Journal of Business Ethics, 109</w:t>
      </w:r>
      <w:r w:rsidRPr="00397623">
        <w:rPr>
          <w:rFonts w:ascii="Times New Roman" w:eastAsia="Times New Roman" w:hAnsi="Times New Roman" w:cs="Times New Roman"/>
          <w:sz w:val="24"/>
          <w:szCs w:val="24"/>
          <w:lang w:eastAsia="en-GB"/>
        </w:rPr>
        <w:t xml:space="preserve">(2), 227–242. </w:t>
      </w:r>
      <w:r w:rsidRPr="00397623">
        <w:rPr>
          <w:rFonts w:ascii="Times New Roman" w:eastAsia="Times New Roman" w:hAnsi="Times New Roman" w:cs="Times New Roman"/>
          <w:color w:val="0000FF"/>
          <w:sz w:val="24"/>
          <w:szCs w:val="24"/>
          <w:u w:val="single"/>
          <w:lang w:eastAsia="en-GB"/>
        </w:rPr>
        <w:t>https://doi.org/10.1007/s10551-011-1122-4</w:t>
      </w:r>
    </w:p>
    <w:p w14:paraId="668628A1" w14:textId="77777777" w:rsidR="00397623" w:rsidRPr="00397623" w:rsidRDefault="00397623" w:rsidP="00397623">
      <w:pPr>
        <w:spacing w:before="100" w:beforeAutospacing="1" w:after="100" w:afterAutospacing="1" w:line="240" w:lineRule="auto"/>
        <w:rPr>
          <w:rFonts w:ascii="Times New Roman" w:eastAsia="Times New Roman" w:hAnsi="Times New Roman" w:cs="Times New Roman"/>
          <w:sz w:val="24"/>
          <w:szCs w:val="24"/>
          <w:lang w:eastAsia="en-GB"/>
        </w:rPr>
      </w:pPr>
      <w:r w:rsidRPr="00397623">
        <w:rPr>
          <w:rFonts w:ascii="Times New Roman" w:eastAsia="Times New Roman" w:hAnsi="Times New Roman" w:cs="Times New Roman"/>
          <w:bCs/>
          <w:sz w:val="24"/>
          <w:szCs w:val="24"/>
          <w:lang w:eastAsia="en-GB"/>
        </w:rPr>
        <w:t xml:space="preserve">Wang, Q., Ma, Z., Zhao, J., &amp; Shu, G. (2024). State shareholding in privately-owned firms and greenwashing: Evidence from China. </w:t>
      </w:r>
      <w:r w:rsidRPr="00397623">
        <w:rPr>
          <w:rFonts w:ascii="Times New Roman" w:eastAsia="Times New Roman" w:hAnsi="Times New Roman" w:cs="Times New Roman"/>
          <w:bCs/>
          <w:i/>
          <w:iCs/>
          <w:sz w:val="24"/>
          <w:szCs w:val="24"/>
          <w:lang w:eastAsia="en-GB"/>
        </w:rPr>
        <w:t>Finance Research Letters, 62</w:t>
      </w:r>
      <w:r w:rsidRPr="00397623">
        <w:rPr>
          <w:rFonts w:ascii="Times New Roman" w:eastAsia="Times New Roman" w:hAnsi="Times New Roman" w:cs="Times New Roman"/>
          <w:bCs/>
          <w:sz w:val="24"/>
          <w:szCs w:val="24"/>
          <w:lang w:eastAsia="en-GB"/>
        </w:rPr>
        <w:t xml:space="preserve">, Article 105176. </w:t>
      </w:r>
      <w:r w:rsidRPr="00397623">
        <w:rPr>
          <w:rFonts w:ascii="Times New Roman" w:eastAsia="Times New Roman" w:hAnsi="Times New Roman" w:cs="Times New Roman"/>
          <w:bCs/>
          <w:color w:val="0000FF"/>
          <w:sz w:val="24"/>
          <w:szCs w:val="24"/>
          <w:u w:val="single"/>
          <w:lang w:eastAsia="en-GB"/>
        </w:rPr>
        <w:t>https://doi.org/10.1016/j.frl.2024.105176</w:t>
      </w:r>
    </w:p>
    <w:p w14:paraId="43D18ADF" w14:textId="77777777" w:rsidR="004841B3" w:rsidRDefault="004841B3" w:rsidP="00397623"/>
    <w:sectPr w:rsidR="004841B3" w:rsidSect="004841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12D15" w14:textId="77777777" w:rsidR="00D12BB3" w:rsidRDefault="00D12BB3" w:rsidP="00836F2D">
      <w:pPr>
        <w:spacing w:after="0" w:line="240" w:lineRule="auto"/>
      </w:pPr>
      <w:r>
        <w:separator/>
      </w:r>
    </w:p>
  </w:endnote>
  <w:endnote w:type="continuationSeparator" w:id="0">
    <w:p w14:paraId="31821A46" w14:textId="77777777" w:rsidR="00D12BB3" w:rsidRDefault="00D12BB3" w:rsidP="00836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5DCE7" w14:textId="77777777" w:rsidR="00836F2D" w:rsidRDefault="00836F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A5DD9" w14:textId="77777777" w:rsidR="00836F2D" w:rsidRDefault="00836F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6A942" w14:textId="77777777" w:rsidR="00836F2D" w:rsidRDefault="00836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25293" w14:textId="77777777" w:rsidR="00D12BB3" w:rsidRDefault="00D12BB3" w:rsidP="00836F2D">
      <w:pPr>
        <w:spacing w:after="0" w:line="240" w:lineRule="auto"/>
      </w:pPr>
      <w:r>
        <w:separator/>
      </w:r>
    </w:p>
  </w:footnote>
  <w:footnote w:type="continuationSeparator" w:id="0">
    <w:p w14:paraId="351F33E6" w14:textId="77777777" w:rsidR="00D12BB3" w:rsidRDefault="00D12BB3" w:rsidP="00836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470F5" w14:textId="329CA9DF" w:rsidR="00836F2D" w:rsidRDefault="00836F2D">
    <w:pPr>
      <w:pStyle w:val="Header"/>
    </w:pPr>
    <w:r>
      <w:rPr>
        <w:noProof/>
      </w:rPr>
      <w:pict w14:anchorId="1F44EF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32175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5DAD1" w14:textId="6FCDEC82" w:rsidR="00836F2D" w:rsidRDefault="00836F2D">
    <w:pPr>
      <w:pStyle w:val="Header"/>
    </w:pPr>
    <w:r>
      <w:rPr>
        <w:noProof/>
      </w:rPr>
      <w:pict w14:anchorId="7F7969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32175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93E80" w14:textId="49A2203A" w:rsidR="00836F2D" w:rsidRDefault="00836F2D">
    <w:pPr>
      <w:pStyle w:val="Header"/>
    </w:pPr>
    <w:r>
      <w:rPr>
        <w:noProof/>
      </w:rPr>
      <w:pict w14:anchorId="64631E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32175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F641C"/>
    <w:multiLevelType w:val="hybridMultilevel"/>
    <w:tmpl w:val="BC6E5E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2028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7623"/>
    <w:rsid w:val="00132AB2"/>
    <w:rsid w:val="00345F3B"/>
    <w:rsid w:val="00397623"/>
    <w:rsid w:val="004841B3"/>
    <w:rsid w:val="00526F18"/>
    <w:rsid w:val="00824882"/>
    <w:rsid w:val="00836F2D"/>
    <w:rsid w:val="00B30FFC"/>
    <w:rsid w:val="00B76F71"/>
    <w:rsid w:val="00D12BB3"/>
    <w:rsid w:val="00F57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F6958"/>
  <w15:docId w15:val="{D4A3BD27-15DE-4CB8-ADCE-4707F74B8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39762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9762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39762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39762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9762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397623"/>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3976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97623"/>
    <w:rPr>
      <w:b/>
      <w:bCs/>
    </w:rPr>
  </w:style>
  <w:style w:type="character" w:styleId="Emphasis">
    <w:name w:val="Emphasis"/>
    <w:basedOn w:val="DefaultParagraphFont"/>
    <w:uiPriority w:val="20"/>
    <w:qFormat/>
    <w:rsid w:val="00397623"/>
    <w:rPr>
      <w:i/>
      <w:iCs/>
    </w:rPr>
  </w:style>
  <w:style w:type="character" w:styleId="Hyperlink">
    <w:name w:val="Hyperlink"/>
    <w:basedOn w:val="DefaultParagraphFont"/>
    <w:uiPriority w:val="99"/>
    <w:semiHidden/>
    <w:unhideWhenUsed/>
    <w:rsid w:val="00397623"/>
    <w:rPr>
      <w:color w:val="0000FF"/>
      <w:u w:val="single"/>
    </w:rPr>
  </w:style>
  <w:style w:type="paragraph" w:styleId="ListParagraph">
    <w:name w:val="List Paragraph"/>
    <w:basedOn w:val="Normal"/>
    <w:uiPriority w:val="34"/>
    <w:qFormat/>
    <w:rsid w:val="00397623"/>
    <w:pPr>
      <w:ind w:left="720"/>
      <w:contextualSpacing/>
    </w:pPr>
  </w:style>
  <w:style w:type="table" w:styleId="TableGrid">
    <w:name w:val="Table Grid"/>
    <w:basedOn w:val="TableNormal"/>
    <w:uiPriority w:val="59"/>
    <w:rsid w:val="00397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6F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F2D"/>
  </w:style>
  <w:style w:type="paragraph" w:styleId="Footer">
    <w:name w:val="footer"/>
    <w:basedOn w:val="Normal"/>
    <w:link w:val="FooterChar"/>
    <w:uiPriority w:val="99"/>
    <w:unhideWhenUsed/>
    <w:rsid w:val="00836F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199597">
      <w:bodyDiv w:val="1"/>
      <w:marLeft w:val="0"/>
      <w:marRight w:val="0"/>
      <w:marTop w:val="0"/>
      <w:marBottom w:val="0"/>
      <w:divBdr>
        <w:top w:val="none" w:sz="0" w:space="0" w:color="auto"/>
        <w:left w:val="none" w:sz="0" w:space="0" w:color="auto"/>
        <w:bottom w:val="none" w:sz="0" w:space="0" w:color="auto"/>
        <w:right w:val="none" w:sz="0" w:space="0" w:color="auto"/>
      </w:divBdr>
      <w:divsChild>
        <w:div w:id="1832864208">
          <w:marLeft w:val="0"/>
          <w:marRight w:val="0"/>
          <w:marTop w:val="0"/>
          <w:marBottom w:val="0"/>
          <w:divBdr>
            <w:top w:val="none" w:sz="0" w:space="0" w:color="auto"/>
            <w:left w:val="none" w:sz="0" w:space="0" w:color="auto"/>
            <w:bottom w:val="none" w:sz="0" w:space="0" w:color="auto"/>
            <w:right w:val="none" w:sz="0" w:space="0" w:color="auto"/>
          </w:divBdr>
        </w:div>
        <w:div w:id="1372799255">
          <w:marLeft w:val="0"/>
          <w:marRight w:val="0"/>
          <w:marTop w:val="0"/>
          <w:marBottom w:val="0"/>
          <w:divBdr>
            <w:top w:val="none" w:sz="0" w:space="0" w:color="auto"/>
            <w:left w:val="none" w:sz="0" w:space="0" w:color="auto"/>
            <w:bottom w:val="none" w:sz="0" w:space="0" w:color="auto"/>
            <w:right w:val="none" w:sz="0" w:space="0" w:color="auto"/>
          </w:divBdr>
        </w:div>
        <w:div w:id="932278096">
          <w:marLeft w:val="0"/>
          <w:marRight w:val="0"/>
          <w:marTop w:val="0"/>
          <w:marBottom w:val="0"/>
          <w:divBdr>
            <w:top w:val="none" w:sz="0" w:space="0" w:color="auto"/>
            <w:left w:val="none" w:sz="0" w:space="0" w:color="auto"/>
            <w:bottom w:val="none" w:sz="0" w:space="0" w:color="auto"/>
            <w:right w:val="none" w:sz="0" w:space="0" w:color="auto"/>
          </w:divBdr>
        </w:div>
        <w:div w:id="2027780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7289</Words>
  <Characters>41552</Characters>
  <Application>Microsoft Office Word</Application>
  <DocSecurity>0</DocSecurity>
  <Lines>346</Lines>
  <Paragraphs>97</Paragraphs>
  <ScaleCrop>false</ScaleCrop>
  <Company>HP</Company>
  <LinksUpToDate>false</LinksUpToDate>
  <CharactersWithSpaces>48744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1166</cp:lastModifiedBy>
  <cp:revision>6</cp:revision>
  <dcterms:created xsi:type="dcterms:W3CDTF">2026-07-04T11:56:00Z</dcterms:created>
  <dcterms:modified xsi:type="dcterms:W3CDTF">2026-07-04T13:45:00Z</dcterms:modified>
</cp:coreProperties>
</file>