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80B26" w14:textId="77777777" w:rsidR="0092710F" w:rsidRDefault="0092710F">
      <w:pPr>
        <w:jc w:val="center"/>
        <w:rPr>
          <w:rFonts w:ascii="Times New Roman" w:hAnsi="Times New Roman" w:cs="Times New Roman"/>
          <w:b/>
          <w:bCs/>
          <w:sz w:val="24"/>
          <w:szCs w:val="24"/>
        </w:rPr>
      </w:pPr>
    </w:p>
    <w:p w14:paraId="16D0731E" w14:textId="77777777" w:rsidR="0092710F" w:rsidRDefault="00000000">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t>SURFACE  MORPHOLOGY</w:t>
      </w:r>
      <w:proofErr w:type="gramEnd"/>
      <w:r>
        <w:rPr>
          <w:rFonts w:ascii="Times New Roman" w:hAnsi="Times New Roman" w:cs="Times New Roman"/>
          <w:b/>
          <w:bCs/>
          <w:sz w:val="24"/>
          <w:szCs w:val="24"/>
        </w:rPr>
        <w:t xml:space="preserve"> AND CORROSION INHIBITION OF MILD STEEL Q235 USING SELECTED MEDICINAL PLANT EXTRACTS: PHYTOCHEMICAL AND SEM - IMAGE J SURFACE ANALYSIS</w:t>
      </w:r>
    </w:p>
    <w:p w14:paraId="55DD1638" w14:textId="77777777" w:rsidR="0092710F" w:rsidRDefault="0092710F">
      <w:pPr>
        <w:ind w:firstLineChars="300" w:firstLine="720"/>
        <w:jc w:val="both"/>
        <w:rPr>
          <w:b/>
          <w:bCs/>
          <w:sz w:val="24"/>
          <w:szCs w:val="24"/>
        </w:rPr>
      </w:pPr>
    </w:p>
    <w:p w14:paraId="1DAA57C2" w14:textId="77777777" w:rsidR="0092710F" w:rsidRDefault="0092710F">
      <w:pPr>
        <w:ind w:firstLineChars="300" w:firstLine="720"/>
        <w:jc w:val="both"/>
        <w:rPr>
          <w:b/>
          <w:bCs/>
          <w:sz w:val="24"/>
          <w:szCs w:val="24"/>
        </w:rPr>
      </w:pPr>
    </w:p>
    <w:p w14:paraId="421A5E29" w14:textId="77777777" w:rsidR="0092710F" w:rsidRDefault="0092710F">
      <w:pPr>
        <w:ind w:firstLineChars="300" w:firstLine="720"/>
        <w:jc w:val="both"/>
        <w:rPr>
          <w:rFonts w:ascii="Times New Roman" w:hAnsi="Times New Roman" w:cs="Times New Roman"/>
          <w:b/>
          <w:bCs/>
          <w:sz w:val="24"/>
          <w:szCs w:val="24"/>
        </w:rPr>
      </w:pPr>
    </w:p>
    <w:p w14:paraId="089B318D" w14:textId="77777777" w:rsidR="0092710F" w:rsidRDefault="00000000">
      <w:pPr>
        <w:ind w:firstLineChars="300" w:firstLine="720"/>
        <w:jc w:val="both"/>
        <w:rPr>
          <w:rFonts w:ascii="Times New Roman" w:hAnsi="Times New Roman"/>
          <w:b/>
          <w:bCs/>
          <w:sz w:val="24"/>
          <w:szCs w:val="24"/>
        </w:rPr>
      </w:pPr>
      <w:r>
        <w:rPr>
          <w:rFonts w:ascii="Times New Roman" w:hAnsi="Times New Roman"/>
          <w:b/>
          <w:bCs/>
          <w:sz w:val="24"/>
          <w:szCs w:val="24"/>
        </w:rPr>
        <w:t>ABSTRACT</w:t>
      </w:r>
    </w:p>
    <w:p w14:paraId="44C89BDB" w14:textId="77777777" w:rsidR="0092710F" w:rsidRDefault="00000000">
      <w:pPr>
        <w:jc w:val="both"/>
        <w:rPr>
          <w:rFonts w:ascii="Times New Roman" w:hAnsi="Times New Roman"/>
          <w:sz w:val="24"/>
          <w:szCs w:val="24"/>
        </w:rPr>
      </w:pPr>
      <w:r>
        <w:rPr>
          <w:rFonts w:ascii="Times New Roman" w:hAnsi="Times New Roman"/>
          <w:sz w:val="24"/>
          <w:szCs w:val="24"/>
        </w:rPr>
        <w:t xml:space="preserve">This study evaluated the corrosion inhibition </w:t>
      </w:r>
      <w:proofErr w:type="spellStart"/>
      <w:r>
        <w:rPr>
          <w:rFonts w:ascii="Times New Roman" w:hAnsi="Times New Roman"/>
          <w:sz w:val="24"/>
          <w:szCs w:val="24"/>
        </w:rPr>
        <w:t>behaviour</w:t>
      </w:r>
      <w:proofErr w:type="spellEnd"/>
      <w:r>
        <w:rPr>
          <w:rFonts w:ascii="Times New Roman" w:hAnsi="Times New Roman"/>
          <w:sz w:val="24"/>
          <w:szCs w:val="24"/>
        </w:rPr>
        <w:t xml:space="preserve"> of selected medicinal plant extracts on Q235 mild steel using qualitative phytochemical screening, scanning electron microscopy (SEM), and ImageJ-assisted surface morphology analysis. Fresh leaves and stems of</w:t>
      </w:r>
      <w:r>
        <w:rPr>
          <w:rFonts w:ascii="Times New Roman" w:hAnsi="Times New Roman"/>
          <w:i/>
          <w:iCs/>
          <w:sz w:val="24"/>
          <w:szCs w:val="24"/>
        </w:rPr>
        <w:t xml:space="preserve"> Calotropis </w:t>
      </w:r>
      <w:proofErr w:type="spellStart"/>
      <w:r>
        <w:rPr>
          <w:rFonts w:ascii="Times New Roman" w:hAnsi="Times New Roman"/>
          <w:i/>
          <w:iCs/>
          <w:sz w:val="24"/>
          <w:szCs w:val="24"/>
        </w:rPr>
        <w:t>procera</w:t>
      </w:r>
      <w:proofErr w:type="spellEnd"/>
      <w:r>
        <w:rPr>
          <w:rFonts w:ascii="Times New Roman" w:hAnsi="Times New Roman"/>
          <w:i/>
          <w:iCs/>
          <w:sz w:val="24"/>
          <w:szCs w:val="24"/>
        </w:rPr>
        <w:t xml:space="preserve">, Euphorbia </w:t>
      </w:r>
      <w:proofErr w:type="spellStart"/>
      <w:r>
        <w:rPr>
          <w:rFonts w:ascii="Times New Roman" w:hAnsi="Times New Roman"/>
          <w:i/>
          <w:iCs/>
          <w:sz w:val="24"/>
          <w:szCs w:val="24"/>
        </w:rPr>
        <w:t>kamerunica</w:t>
      </w:r>
      <w:proofErr w:type="spellEnd"/>
      <w:r>
        <w:rPr>
          <w:rFonts w:ascii="Times New Roman" w:hAnsi="Times New Roman"/>
          <w:i/>
          <w:iCs/>
          <w:sz w:val="24"/>
          <w:szCs w:val="24"/>
        </w:rPr>
        <w:t xml:space="preserve"> Pax, Camellia sinensis, </w:t>
      </w:r>
      <w:proofErr w:type="spellStart"/>
      <w:r>
        <w:rPr>
          <w:rFonts w:ascii="Times New Roman" w:hAnsi="Times New Roman"/>
          <w:i/>
          <w:iCs/>
          <w:sz w:val="24"/>
          <w:szCs w:val="24"/>
        </w:rPr>
        <w:t>Azadirachta</w:t>
      </w:r>
      <w:proofErr w:type="spellEnd"/>
      <w:r>
        <w:rPr>
          <w:rFonts w:ascii="Times New Roman" w:hAnsi="Times New Roman"/>
          <w:i/>
          <w:iCs/>
          <w:sz w:val="24"/>
          <w:szCs w:val="24"/>
        </w:rPr>
        <w:t xml:space="preserve"> indica,</w:t>
      </w:r>
      <w:r>
        <w:rPr>
          <w:rFonts w:ascii="Times New Roman" w:hAnsi="Times New Roman"/>
          <w:sz w:val="24"/>
          <w:szCs w:val="24"/>
        </w:rPr>
        <w:t xml:space="preserve"> and</w:t>
      </w:r>
      <w:r>
        <w:rPr>
          <w:rFonts w:ascii="Times New Roman" w:hAnsi="Times New Roman"/>
          <w:i/>
          <w:iCs/>
          <w:sz w:val="24"/>
          <w:szCs w:val="24"/>
        </w:rPr>
        <w:t xml:space="preserve"> Cymbopogon </w:t>
      </w:r>
      <w:proofErr w:type="spellStart"/>
      <w:r>
        <w:rPr>
          <w:rFonts w:ascii="Times New Roman" w:hAnsi="Times New Roman"/>
          <w:i/>
          <w:iCs/>
          <w:sz w:val="24"/>
          <w:szCs w:val="24"/>
        </w:rPr>
        <w:t>citratus</w:t>
      </w:r>
      <w:proofErr w:type="spellEnd"/>
      <w:r>
        <w:rPr>
          <w:rFonts w:ascii="Times New Roman" w:hAnsi="Times New Roman"/>
          <w:i/>
          <w:iCs/>
          <w:sz w:val="24"/>
          <w:szCs w:val="24"/>
        </w:rPr>
        <w:t xml:space="preserve"> </w:t>
      </w:r>
      <w:r>
        <w:rPr>
          <w:rFonts w:ascii="Times New Roman" w:hAnsi="Times New Roman"/>
          <w:sz w:val="24"/>
          <w:szCs w:val="24"/>
        </w:rPr>
        <w:t>were collected from Shabu, Lafia North Development Area of Nasarawa State, Nigeria. A 50:50 blended extract of</w:t>
      </w:r>
      <w:r>
        <w:rPr>
          <w:rFonts w:ascii="Times New Roman" w:hAnsi="Times New Roman"/>
          <w:i/>
          <w:iCs/>
          <w:sz w:val="24"/>
          <w:szCs w:val="24"/>
        </w:rPr>
        <w:t xml:space="preserve"> Calotropis </w:t>
      </w:r>
      <w:proofErr w:type="spellStart"/>
      <w:r>
        <w:rPr>
          <w:rFonts w:ascii="Times New Roman" w:hAnsi="Times New Roman"/>
          <w:i/>
          <w:iCs/>
          <w:sz w:val="24"/>
          <w:szCs w:val="24"/>
        </w:rPr>
        <w:t>procera</w:t>
      </w:r>
      <w:proofErr w:type="spellEnd"/>
      <w:r>
        <w:rPr>
          <w:rFonts w:ascii="Times New Roman" w:hAnsi="Times New Roman"/>
          <w:i/>
          <w:iCs/>
          <w:sz w:val="24"/>
          <w:szCs w:val="24"/>
        </w:rPr>
        <w:t xml:space="preserve"> </w:t>
      </w:r>
      <w:r>
        <w:rPr>
          <w:rFonts w:ascii="Times New Roman" w:hAnsi="Times New Roman"/>
          <w:sz w:val="24"/>
          <w:szCs w:val="24"/>
        </w:rPr>
        <w:t xml:space="preserve">and </w:t>
      </w:r>
      <w:r>
        <w:rPr>
          <w:rFonts w:ascii="Times New Roman" w:hAnsi="Times New Roman"/>
          <w:i/>
          <w:iCs/>
          <w:sz w:val="24"/>
          <w:szCs w:val="24"/>
        </w:rPr>
        <w:t xml:space="preserve">Euphorbia </w:t>
      </w:r>
      <w:proofErr w:type="spellStart"/>
      <w:r>
        <w:rPr>
          <w:rFonts w:ascii="Times New Roman" w:hAnsi="Times New Roman"/>
          <w:i/>
          <w:iCs/>
          <w:sz w:val="24"/>
          <w:szCs w:val="24"/>
        </w:rPr>
        <w:t>kamerunica</w:t>
      </w:r>
      <w:proofErr w:type="spellEnd"/>
      <w:r>
        <w:rPr>
          <w:rFonts w:ascii="Times New Roman" w:hAnsi="Times New Roman"/>
          <w:sz w:val="24"/>
          <w:szCs w:val="24"/>
        </w:rPr>
        <w:t xml:space="preserve"> was also prepared to examine whether combining phytochemically different plant species could improve surface protection. Following air-drying and pulverization, the plant materials were extracted by cold maceration using distilled water. Preliminary phytochemical screening was carried out to identify the principal secondary metabolites present in each extract. Q235 mild steel coupons were subsequently coated with the extracts and exposed under ambient laboratory conditions for twenty days before surface examination by SEM. The resulting micrographs were further </w:t>
      </w:r>
      <w:proofErr w:type="spellStart"/>
      <w:r>
        <w:rPr>
          <w:rFonts w:ascii="Times New Roman" w:hAnsi="Times New Roman"/>
          <w:sz w:val="24"/>
          <w:szCs w:val="24"/>
        </w:rPr>
        <w:t>analysed</w:t>
      </w:r>
      <w:proofErr w:type="spellEnd"/>
      <w:r>
        <w:rPr>
          <w:rFonts w:ascii="Times New Roman" w:hAnsi="Times New Roman"/>
          <w:sz w:val="24"/>
          <w:szCs w:val="24"/>
        </w:rPr>
        <w:t xml:space="preserve"> with ImageJ software to obtain quantitative information on surface roughness, porosity, particle distribution, and surface </w:t>
      </w:r>
      <w:proofErr w:type="spellStart"/>
      <w:proofErr w:type="gramStart"/>
      <w:r>
        <w:rPr>
          <w:rFonts w:ascii="Times New Roman" w:hAnsi="Times New Roman"/>
          <w:sz w:val="24"/>
          <w:szCs w:val="24"/>
        </w:rPr>
        <w:t>coverage.The</w:t>
      </w:r>
      <w:proofErr w:type="spellEnd"/>
      <w:proofErr w:type="gramEnd"/>
      <w:r>
        <w:rPr>
          <w:rFonts w:ascii="Times New Roman" w:hAnsi="Times New Roman"/>
          <w:sz w:val="24"/>
          <w:szCs w:val="24"/>
        </w:rPr>
        <w:t xml:space="preserve"> phytochemical screening confirmed the presence of several bioactive constituents:  alkaloids, flavonoids, tannins, phenols, saponins, glycosides, steroids, diterpenes, quinones, phytosterols, and resins, although their distribution varied among the different plant species.  SEM observations revealed pronounced differences between treated and untreated specimens. The unprotected mild steel surface exhibited extensive corrosion damage, </w:t>
      </w:r>
      <w:proofErr w:type="spellStart"/>
      <w:r>
        <w:rPr>
          <w:rFonts w:ascii="Times New Roman" w:hAnsi="Times New Roman"/>
          <w:sz w:val="24"/>
          <w:szCs w:val="24"/>
        </w:rPr>
        <w:t>characterised</w:t>
      </w:r>
      <w:proofErr w:type="spellEnd"/>
      <w:r>
        <w:rPr>
          <w:rFonts w:ascii="Times New Roman" w:hAnsi="Times New Roman"/>
          <w:sz w:val="24"/>
          <w:szCs w:val="24"/>
        </w:rPr>
        <w:t xml:space="preserve"> by widespread pitting, roughened regions, surface cracks, and thick accumulations of corrosion products. In contrast, specimens treated with the plant extracts generally displayed lower pit density, fewer surface defects, and evidence of adsorbed organic films. Even so, none of the extracts produced a completely continuous protective layer, as localized pores, microcracks, and discontinuities remained visible to varying degrees. ImageJ-assisted analysis supported the SEM observations by demonstrating considerable spatial variation in surface morphology. Differences in pixel intensity, roughness, porosity, and surface coverage indicated that adsorption of phytochemical constituents occurred unevenly across the steel surface. Among the extracts evaluated, the blended formulation of </w:t>
      </w:r>
      <w:r>
        <w:rPr>
          <w:rFonts w:ascii="Times New Roman" w:hAnsi="Times New Roman"/>
          <w:i/>
          <w:iCs/>
          <w:sz w:val="24"/>
          <w:szCs w:val="24"/>
        </w:rPr>
        <w:t xml:space="preserve">Calotropis </w:t>
      </w:r>
      <w:proofErr w:type="spellStart"/>
      <w:r>
        <w:rPr>
          <w:rFonts w:ascii="Times New Roman" w:hAnsi="Times New Roman"/>
          <w:i/>
          <w:iCs/>
          <w:sz w:val="24"/>
          <w:szCs w:val="24"/>
        </w:rPr>
        <w:t>procera</w:t>
      </w:r>
      <w:proofErr w:type="spellEnd"/>
      <w:r>
        <w:rPr>
          <w:rFonts w:ascii="Times New Roman" w:hAnsi="Times New Roman"/>
          <w:i/>
          <w:iCs/>
          <w:sz w:val="24"/>
          <w:szCs w:val="24"/>
        </w:rPr>
        <w:t xml:space="preserve"> and Euphorbia </w:t>
      </w:r>
      <w:proofErr w:type="spellStart"/>
      <w:r>
        <w:rPr>
          <w:rFonts w:ascii="Times New Roman" w:hAnsi="Times New Roman"/>
          <w:i/>
          <w:iCs/>
          <w:sz w:val="24"/>
          <w:szCs w:val="24"/>
        </w:rPr>
        <w:t>kamerunica</w:t>
      </w:r>
      <w:proofErr w:type="spellEnd"/>
      <w:r>
        <w:rPr>
          <w:rFonts w:ascii="Times New Roman" w:hAnsi="Times New Roman"/>
          <w:sz w:val="24"/>
          <w:szCs w:val="24"/>
        </w:rPr>
        <w:t xml:space="preserve"> appeared to provide comparatively better surface coverage than several of the individual extracts. While the present investigation did not directly quantify synergistic interactions, the improved surface characteristics may suggest that combining phytochemically diverse extracts enhances adsorption </w:t>
      </w:r>
      <w:proofErr w:type="spellStart"/>
      <w:r>
        <w:rPr>
          <w:rFonts w:ascii="Times New Roman" w:hAnsi="Times New Roman"/>
          <w:sz w:val="24"/>
          <w:szCs w:val="24"/>
        </w:rPr>
        <w:t>behaviour</w:t>
      </w:r>
      <w:proofErr w:type="spellEnd"/>
      <w:r>
        <w:rPr>
          <w:rFonts w:ascii="Times New Roman" w:hAnsi="Times New Roman"/>
          <w:sz w:val="24"/>
          <w:szCs w:val="24"/>
        </w:rPr>
        <w:t xml:space="preserve"> and promotes the formation of a more effective protective layer.</w:t>
      </w:r>
    </w:p>
    <w:p w14:paraId="5F0FEBC9" w14:textId="77777777" w:rsidR="0092710F" w:rsidRDefault="0092710F">
      <w:pPr>
        <w:ind w:firstLineChars="300" w:firstLine="720"/>
        <w:jc w:val="both"/>
        <w:rPr>
          <w:rFonts w:ascii="Times New Roman" w:hAnsi="Times New Roman"/>
          <w:sz w:val="24"/>
          <w:szCs w:val="24"/>
        </w:rPr>
      </w:pPr>
    </w:p>
    <w:p w14:paraId="00D565F3" w14:textId="77777777" w:rsidR="0092710F" w:rsidRDefault="00000000">
      <w:pPr>
        <w:jc w:val="both"/>
        <w:rPr>
          <w:rFonts w:ascii="Times New Roman" w:hAnsi="Times New Roman" w:cs="Times New Roman"/>
          <w:b/>
          <w:bCs/>
          <w:sz w:val="24"/>
          <w:szCs w:val="24"/>
        </w:rPr>
      </w:pPr>
      <w:r>
        <w:rPr>
          <w:rFonts w:ascii="Times New Roman" w:hAnsi="Times New Roman" w:cs="Times New Roman"/>
          <w:b/>
          <w:bCs/>
          <w:sz w:val="24"/>
          <w:szCs w:val="24"/>
        </w:rPr>
        <w:t>Keywords</w:t>
      </w:r>
      <w:r>
        <w:rPr>
          <w:rFonts w:ascii="Times New Roman" w:hAnsi="Times New Roman" w:cs="Times New Roman"/>
          <w:sz w:val="24"/>
          <w:szCs w:val="24"/>
        </w:rPr>
        <w:t xml:space="preserve">: Q235 mild steel, medicinal plants, phytochemical screening, scanning electron microscopy, </w:t>
      </w:r>
      <w:proofErr w:type="spellStart"/>
      <w:r>
        <w:rPr>
          <w:rFonts w:ascii="Times New Roman" w:hAnsi="Times New Roman" w:cs="Times New Roman"/>
          <w:sz w:val="24"/>
          <w:szCs w:val="24"/>
        </w:rPr>
        <w:t>imageJ</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analysis ,</w:t>
      </w:r>
      <w:proofErr w:type="gramEnd"/>
      <w:r>
        <w:rPr>
          <w:rFonts w:ascii="Times New Roman" w:hAnsi="Times New Roman" w:cs="Times New Roman"/>
          <w:sz w:val="24"/>
          <w:szCs w:val="24"/>
        </w:rPr>
        <w:t xml:space="preserve"> surface morphology, green corrosion inhibitors.</w:t>
      </w:r>
    </w:p>
    <w:p w14:paraId="15B4CC49" w14:textId="77777777" w:rsidR="0092710F" w:rsidRDefault="0092710F">
      <w:pPr>
        <w:jc w:val="both"/>
        <w:rPr>
          <w:rFonts w:ascii="Times New Roman" w:hAnsi="Times New Roman" w:cs="Times New Roman"/>
          <w:b/>
          <w:bCs/>
          <w:sz w:val="24"/>
          <w:szCs w:val="24"/>
        </w:rPr>
      </w:pPr>
    </w:p>
    <w:p w14:paraId="540DB80E" w14:textId="77777777" w:rsidR="0092710F" w:rsidRDefault="00000000">
      <w:pPr>
        <w:jc w:val="both"/>
        <w:rPr>
          <w:rFonts w:ascii="Times New Roman" w:hAnsi="Times New Roman"/>
          <w:b/>
          <w:bCs/>
          <w:sz w:val="24"/>
          <w:szCs w:val="24"/>
        </w:rPr>
      </w:pPr>
      <w:r>
        <w:rPr>
          <w:rFonts w:ascii="Times New Roman" w:hAnsi="Times New Roman" w:cs="Times New Roman"/>
          <w:b/>
          <w:bCs/>
          <w:sz w:val="24"/>
          <w:szCs w:val="24"/>
        </w:rPr>
        <w:t>INTRODUCTION</w:t>
      </w:r>
    </w:p>
    <w:p w14:paraId="2D5AC485" w14:textId="77777777" w:rsidR="0092710F" w:rsidRDefault="00000000">
      <w:pPr>
        <w:ind w:firstLineChars="300" w:firstLine="720"/>
        <w:jc w:val="both"/>
        <w:rPr>
          <w:rFonts w:ascii="Times New Roman" w:hAnsi="Times New Roman"/>
          <w:sz w:val="24"/>
          <w:szCs w:val="24"/>
        </w:rPr>
      </w:pPr>
      <w:r>
        <w:rPr>
          <w:rFonts w:ascii="Times New Roman" w:hAnsi="Times New Roman"/>
          <w:sz w:val="24"/>
          <w:szCs w:val="24"/>
        </w:rPr>
        <w:lastRenderedPageBreak/>
        <w:t xml:space="preserve">Mild steel continues to be one of the most commonly used materials in engineering practice, mainly because it offers a balance of strength, ease of fabrication, and affordability. In practical service environments, however, particularly where moisture or aqueous media are present, its performance is frequently compromised by corrosion. This process is not instantaneous; it develops gradually through electrochemical reactions that involve the oxidation of iron and its dissolution into the environment. At the early stage, the changes may appear limited to surface tarnishing, but with time, the degradation can extend deeper, eventually affecting structural reliability in ways that are not always immediately </w:t>
      </w:r>
      <w:proofErr w:type="spellStart"/>
      <w:proofErr w:type="gramStart"/>
      <w:r>
        <w:rPr>
          <w:rFonts w:ascii="Times New Roman" w:hAnsi="Times New Roman"/>
          <w:sz w:val="24"/>
          <w:szCs w:val="24"/>
        </w:rPr>
        <w:t>visible.The</w:t>
      </w:r>
      <w:proofErr w:type="spellEnd"/>
      <w:proofErr w:type="gramEnd"/>
      <w:r>
        <w:rPr>
          <w:rFonts w:ascii="Times New Roman" w:hAnsi="Times New Roman"/>
          <w:sz w:val="24"/>
          <w:szCs w:val="24"/>
        </w:rPr>
        <w:t xml:space="preserve"> consequences of this process are often more serious than the material loss itself. In civil engineering structures, for example, corrosion has been linked to the weakening of steel reinforcements and, in some cases, partial or complete structural failure (De </w:t>
      </w:r>
      <w:proofErr w:type="spellStart"/>
      <w:r>
        <w:rPr>
          <w:rFonts w:ascii="Times New Roman" w:hAnsi="Times New Roman"/>
          <w:sz w:val="24"/>
          <w:szCs w:val="24"/>
        </w:rPr>
        <w:t>caso</w:t>
      </w:r>
      <w:proofErr w:type="spellEnd"/>
      <w:r>
        <w:rPr>
          <w:rFonts w:ascii="Times New Roman" w:hAnsi="Times New Roman"/>
          <w:sz w:val="24"/>
          <w:szCs w:val="24"/>
        </w:rPr>
        <w:t xml:space="preserve"> et al., 2022). Within the petroleum sector, corrosion of pipelines remains a recurring concern, not only because of operational disruptions but also due to the environmental damage that follows leakage events. The Niger Delta region provides a well-documented case, where repeated spill incidents have resulted in long-term soil contamination and water pollution (Premium Times, 2022). Similar challenges are observed in chemical processing plants and biomedical applications, where corrosion products may interfere with system performance or, in some cases, raise compatibility concerns within biological environments (</w:t>
      </w:r>
      <w:proofErr w:type="spellStart"/>
      <w:r>
        <w:rPr>
          <w:rFonts w:ascii="Times New Roman" w:hAnsi="Times New Roman"/>
          <w:sz w:val="24"/>
          <w:szCs w:val="24"/>
        </w:rPr>
        <w:t>Hrir</w:t>
      </w:r>
      <w:proofErr w:type="spellEnd"/>
      <w:r>
        <w:rPr>
          <w:rFonts w:ascii="Times New Roman" w:hAnsi="Times New Roman"/>
          <w:sz w:val="24"/>
          <w:szCs w:val="24"/>
        </w:rPr>
        <w:t xml:space="preserve"> et al., 2024). Efforts to control corrosion have traditionally relied on approaches such as protective coatings, paints, and galvanization. These methods are generally effective under controlled conditions, although their long-term application is increasingly being reconsidered. The reasons are not entirely technical alone; maintenance demands, environmental impact, and tightening regulatory expectations have all contributed to a gradual shift in perspective (Zhang et al., 2024; Li et al., 2024). In many industrial contexts, this has raised a practical question about sustainability rather than simply </w:t>
      </w:r>
      <w:proofErr w:type="spellStart"/>
      <w:proofErr w:type="gramStart"/>
      <w:r>
        <w:rPr>
          <w:rFonts w:ascii="Times New Roman" w:hAnsi="Times New Roman"/>
          <w:sz w:val="24"/>
          <w:szCs w:val="24"/>
        </w:rPr>
        <w:t>efficiency.Against</w:t>
      </w:r>
      <w:proofErr w:type="spellEnd"/>
      <w:proofErr w:type="gramEnd"/>
      <w:r>
        <w:rPr>
          <w:rFonts w:ascii="Times New Roman" w:hAnsi="Times New Roman"/>
          <w:sz w:val="24"/>
          <w:szCs w:val="24"/>
        </w:rPr>
        <w:t xml:space="preserve"> this background, plant-derived corrosion inhibitors have attracted increasing attention. Their appeal lies not only in their relatively low toxicity but also in their availability and biodegradability, especially in regions where plant resources are abundant (Verma et al., 2021; Verma et al., 2025). From an experimental perspective, corrosion inhibition is commonly assessed through surface examination techniques such as scanning electron microscopy (SEM), which makes it possible to observe changes in surface texture, damage patterns, and protective film formation. In this study, ImageJ software has also been applied to extract quantitative information from SEM images, including estimates of surface roughness, porosity, and coverage characteristics.</w:t>
      </w:r>
    </w:p>
    <w:p w14:paraId="0E31F2CB" w14:textId="77777777" w:rsidR="0092710F" w:rsidRDefault="00000000">
      <w:pPr>
        <w:ind w:firstLineChars="300" w:firstLine="720"/>
        <w:jc w:val="both"/>
        <w:rPr>
          <w:rFonts w:ascii="Times New Roman" w:hAnsi="Times New Roman"/>
          <w:sz w:val="24"/>
          <w:szCs w:val="24"/>
        </w:rPr>
      </w:pPr>
      <w:r>
        <w:rPr>
          <w:rFonts w:ascii="Times New Roman" w:hAnsi="Times New Roman"/>
          <w:sz w:val="24"/>
          <w:szCs w:val="24"/>
        </w:rPr>
        <w:t xml:space="preserve">One major issue lies in the incomplete understanding of how these inhibitors actually function at the molecular level. While adsorption is generally accepted as the primary mechanism, the details of the interaction—such as adsorption isotherms, surface coverage </w:t>
      </w:r>
      <w:proofErr w:type="spellStart"/>
      <w:r>
        <w:rPr>
          <w:rFonts w:ascii="Times New Roman" w:hAnsi="Times New Roman"/>
          <w:sz w:val="24"/>
          <w:szCs w:val="24"/>
        </w:rPr>
        <w:t>behaviour</w:t>
      </w:r>
      <w:proofErr w:type="spellEnd"/>
      <w:r>
        <w:rPr>
          <w:rFonts w:ascii="Times New Roman" w:hAnsi="Times New Roman"/>
          <w:sz w:val="24"/>
          <w:szCs w:val="24"/>
        </w:rPr>
        <w:t>, and kinetic pathways—are not always fully established, especially under varying environmental conditions (</w:t>
      </w:r>
      <w:proofErr w:type="spellStart"/>
      <w:r>
        <w:rPr>
          <w:rFonts w:ascii="Times New Roman" w:hAnsi="Times New Roman"/>
          <w:sz w:val="24"/>
          <w:szCs w:val="24"/>
        </w:rPr>
        <w:t>Azzouni</w:t>
      </w:r>
      <w:proofErr w:type="spellEnd"/>
      <w:r>
        <w:rPr>
          <w:rFonts w:ascii="Times New Roman" w:hAnsi="Times New Roman"/>
          <w:sz w:val="24"/>
          <w:szCs w:val="24"/>
        </w:rPr>
        <w:t xml:space="preserve"> et al., 2024). As a result, it is not always clear why certain plant extracts perform better than others under similar conditions.</w:t>
      </w:r>
    </w:p>
    <w:p w14:paraId="2D3C0C5F" w14:textId="77777777" w:rsidR="0092710F" w:rsidRDefault="00000000">
      <w:pPr>
        <w:ind w:firstLineChars="300" w:firstLine="720"/>
        <w:jc w:val="both"/>
        <w:rPr>
          <w:rFonts w:ascii="Times New Roman" w:hAnsi="Times New Roman"/>
          <w:sz w:val="24"/>
          <w:szCs w:val="24"/>
        </w:rPr>
      </w:pPr>
      <w:r>
        <w:rPr>
          <w:rFonts w:ascii="Times New Roman" w:hAnsi="Times New Roman"/>
          <w:sz w:val="24"/>
          <w:szCs w:val="24"/>
        </w:rPr>
        <w:t xml:space="preserve">This research aim  to examine the surface morphology and corrosion inhibition </w:t>
      </w:r>
      <w:proofErr w:type="spellStart"/>
      <w:r>
        <w:rPr>
          <w:rFonts w:ascii="Times New Roman" w:hAnsi="Times New Roman"/>
          <w:sz w:val="24"/>
          <w:szCs w:val="24"/>
        </w:rPr>
        <w:t>behaviour</w:t>
      </w:r>
      <w:proofErr w:type="spellEnd"/>
      <w:r>
        <w:rPr>
          <w:rFonts w:ascii="Times New Roman" w:hAnsi="Times New Roman"/>
          <w:sz w:val="24"/>
          <w:szCs w:val="24"/>
        </w:rPr>
        <w:t xml:space="preserve"> of mild steel using selected medicinal plant extracts, with emphasis on phytochemical screening,  and SEM–ImageJ surface analysis to assess parameters such as surface roughness, porosity, and degree of surface coverage will improve existing adsorption-based interpretations, which often treat plant extracts as chemically uniform systems (Umoren et al., 2020; Verma et al., 2024).</w:t>
      </w:r>
    </w:p>
    <w:p w14:paraId="73B35BF2" w14:textId="77777777" w:rsidR="0092710F" w:rsidRDefault="0092710F">
      <w:pPr>
        <w:jc w:val="both"/>
        <w:rPr>
          <w:rFonts w:ascii="Times New Roman" w:hAnsi="Times New Roman"/>
          <w:sz w:val="24"/>
          <w:szCs w:val="24"/>
        </w:rPr>
      </w:pPr>
    </w:p>
    <w:p w14:paraId="42DB3F09" w14:textId="047F9FDA" w:rsidR="0092710F" w:rsidRDefault="0000000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2.0 Materials and methods</w:t>
      </w:r>
    </w:p>
    <w:p w14:paraId="700E1A4D" w14:textId="77777777" w:rsidR="0092710F" w:rsidRDefault="00000000">
      <w:pPr>
        <w:spacing w:line="480" w:lineRule="auto"/>
        <w:jc w:val="both"/>
        <w:rPr>
          <w:rFonts w:ascii="Times New Roman" w:eastAsia="Calibri" w:hAnsi="Times New Roman"/>
          <w:b/>
          <w:sz w:val="24"/>
          <w:szCs w:val="24"/>
        </w:rPr>
      </w:pPr>
      <w:r>
        <w:rPr>
          <w:rFonts w:ascii="Times New Roman" w:hAnsi="Times New Roman" w:cs="Times New Roman"/>
          <w:b/>
          <w:bCs/>
          <w:sz w:val="24"/>
          <w:szCs w:val="24"/>
        </w:rPr>
        <w:t>2.1 STUDY AREA</w:t>
      </w:r>
    </w:p>
    <w:p w14:paraId="6813FA99"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Shabu, Lafia North Development Area of Nasarawa State, Nigeria was chosen as the Fieldwork for this research because it combines farming, </w:t>
      </w:r>
      <w:proofErr w:type="gramStart"/>
      <w:r>
        <w:rPr>
          <w:rFonts w:ascii="Times New Roman" w:eastAsia="Calibri" w:hAnsi="Times New Roman"/>
          <w:sz w:val="24"/>
          <w:szCs w:val="24"/>
        </w:rPr>
        <w:t>vegetation ,</w:t>
      </w:r>
      <w:proofErr w:type="gramEnd"/>
      <w:r>
        <w:rPr>
          <w:rFonts w:ascii="Times New Roman" w:eastAsia="Calibri" w:hAnsi="Times New Roman"/>
          <w:sz w:val="24"/>
          <w:szCs w:val="24"/>
        </w:rPr>
        <w:t xml:space="preserve"> irrigation which influence </w:t>
      </w:r>
      <w:proofErr w:type="gramStart"/>
      <w:r>
        <w:rPr>
          <w:rFonts w:ascii="Times New Roman" w:eastAsia="Calibri" w:hAnsi="Times New Roman"/>
          <w:sz w:val="24"/>
          <w:szCs w:val="24"/>
        </w:rPr>
        <w:t>corrosion .</w:t>
      </w:r>
      <w:proofErr w:type="gramEnd"/>
    </w:p>
    <w:p w14:paraId="6181BEE2" w14:textId="77777777" w:rsidR="0092710F" w:rsidRDefault="0092710F">
      <w:pPr>
        <w:jc w:val="both"/>
        <w:rPr>
          <w:rFonts w:ascii="Times New Roman" w:eastAsia="Calibri" w:hAnsi="Times New Roman"/>
          <w:sz w:val="24"/>
          <w:szCs w:val="24"/>
        </w:rPr>
      </w:pPr>
    </w:p>
    <w:p w14:paraId="4984D53E" w14:textId="77777777" w:rsidR="0092710F" w:rsidRDefault="00000000">
      <w:pPr>
        <w:jc w:val="both"/>
        <w:rPr>
          <w:rFonts w:ascii="Times New Roman" w:eastAsia="Calibri" w:hAnsi="Times New Roman"/>
          <w:b/>
          <w:bCs/>
          <w:sz w:val="24"/>
          <w:szCs w:val="24"/>
        </w:rPr>
      </w:pPr>
      <w:r>
        <w:rPr>
          <w:rFonts w:ascii="Times New Roman" w:eastAsia="Calibri" w:hAnsi="Times New Roman"/>
          <w:b/>
          <w:bCs/>
          <w:sz w:val="24"/>
          <w:szCs w:val="24"/>
        </w:rPr>
        <w:t>2.2 SAMPLE COLLECTIION</w:t>
      </w:r>
    </w:p>
    <w:p w14:paraId="07F59002"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Five plant species were selected for investigation: </w:t>
      </w:r>
      <w:r>
        <w:rPr>
          <w:rFonts w:ascii="Times New Roman" w:eastAsia="Calibri" w:hAnsi="Times New Roman"/>
          <w:i/>
          <w:sz w:val="24"/>
          <w:szCs w:val="24"/>
        </w:rPr>
        <w:t xml:space="preserve">Calotropis </w:t>
      </w:r>
      <w:proofErr w:type="spellStart"/>
      <w:r>
        <w:rPr>
          <w:rFonts w:ascii="Times New Roman" w:eastAsia="Calibri" w:hAnsi="Times New Roman"/>
          <w:i/>
          <w:sz w:val="24"/>
          <w:szCs w:val="24"/>
        </w:rPr>
        <w:t>procera</w:t>
      </w:r>
      <w:proofErr w:type="spellEnd"/>
      <w:r>
        <w:rPr>
          <w:rFonts w:ascii="Times New Roman" w:eastAsia="Calibri" w:hAnsi="Times New Roman"/>
          <w:i/>
          <w:sz w:val="24"/>
          <w:szCs w:val="24"/>
        </w:rPr>
        <w:t xml:space="preserve"> </w:t>
      </w:r>
      <w:r>
        <w:rPr>
          <w:rFonts w:ascii="Times New Roman" w:eastAsia="Calibri" w:hAnsi="Times New Roman"/>
          <w:iCs/>
          <w:sz w:val="24"/>
          <w:szCs w:val="24"/>
        </w:rPr>
        <w:t>(</w:t>
      </w:r>
      <w:proofErr w:type="spellStart"/>
      <w:r>
        <w:rPr>
          <w:rFonts w:ascii="Times New Roman" w:eastAsia="Calibri" w:hAnsi="Times New Roman"/>
          <w:iCs/>
          <w:sz w:val="24"/>
          <w:szCs w:val="24"/>
        </w:rPr>
        <w:t>sodom</w:t>
      </w:r>
      <w:proofErr w:type="spellEnd"/>
      <w:r>
        <w:rPr>
          <w:rFonts w:ascii="Times New Roman" w:eastAsia="Calibri" w:hAnsi="Times New Roman"/>
          <w:iCs/>
          <w:sz w:val="24"/>
          <w:szCs w:val="24"/>
        </w:rPr>
        <w:t xml:space="preserve"> </w:t>
      </w:r>
      <w:proofErr w:type="gramStart"/>
      <w:r>
        <w:rPr>
          <w:rFonts w:ascii="Times New Roman" w:eastAsia="Calibri" w:hAnsi="Times New Roman"/>
          <w:iCs/>
          <w:sz w:val="24"/>
          <w:szCs w:val="24"/>
        </w:rPr>
        <w:t>apple)(</w:t>
      </w:r>
      <w:proofErr w:type="gramEnd"/>
      <w:r>
        <w:rPr>
          <w:rFonts w:ascii="Times New Roman" w:eastAsia="Calibri" w:hAnsi="Times New Roman"/>
          <w:iCs/>
          <w:sz w:val="24"/>
          <w:szCs w:val="24"/>
        </w:rPr>
        <w:t xml:space="preserve">Plate </w:t>
      </w:r>
      <w:proofErr w:type="spellStart"/>
      <w:r>
        <w:rPr>
          <w:rFonts w:ascii="Times New Roman" w:eastAsia="Calibri" w:hAnsi="Times New Roman"/>
          <w:iCs/>
          <w:sz w:val="24"/>
          <w:szCs w:val="24"/>
        </w:rPr>
        <w:t>i</w:t>
      </w:r>
      <w:proofErr w:type="spellEnd"/>
      <w:r>
        <w:rPr>
          <w:rFonts w:ascii="Times New Roman" w:eastAsia="Calibri" w:hAnsi="Times New Roman"/>
          <w:iCs/>
          <w:sz w:val="24"/>
          <w:szCs w:val="24"/>
        </w:rPr>
        <w:t>)</w:t>
      </w:r>
      <w:r>
        <w:rPr>
          <w:rFonts w:ascii="Times New Roman" w:eastAsia="Calibri" w:hAnsi="Times New Roman"/>
          <w:i/>
          <w:sz w:val="24"/>
          <w:szCs w:val="24"/>
        </w:rPr>
        <w:t xml:space="preserve"> Euphorbia </w:t>
      </w:r>
      <w:proofErr w:type="spellStart"/>
      <w:r>
        <w:rPr>
          <w:rFonts w:ascii="Times New Roman" w:eastAsia="Calibri" w:hAnsi="Times New Roman"/>
          <w:i/>
          <w:sz w:val="24"/>
          <w:szCs w:val="24"/>
        </w:rPr>
        <w:t>kamerunica</w:t>
      </w:r>
      <w:proofErr w:type="spellEnd"/>
      <w:r>
        <w:rPr>
          <w:rFonts w:ascii="Times New Roman" w:eastAsia="Calibri" w:hAnsi="Times New Roman"/>
          <w:i/>
          <w:sz w:val="24"/>
          <w:szCs w:val="24"/>
        </w:rPr>
        <w:t xml:space="preserve"> Pax </w:t>
      </w:r>
      <w:r>
        <w:rPr>
          <w:rFonts w:ascii="Times New Roman" w:eastAsia="Calibri" w:hAnsi="Times New Roman"/>
          <w:iCs/>
          <w:sz w:val="24"/>
          <w:szCs w:val="24"/>
        </w:rPr>
        <w:t>(cactus plant)</w:t>
      </w:r>
      <w:r>
        <w:rPr>
          <w:rFonts w:ascii="Times New Roman" w:eastAsia="Calibri" w:hAnsi="Times New Roman"/>
          <w:i/>
          <w:sz w:val="24"/>
          <w:szCs w:val="24"/>
        </w:rPr>
        <w:t xml:space="preserve"> </w:t>
      </w:r>
      <w:r>
        <w:rPr>
          <w:rFonts w:ascii="Times New Roman" w:eastAsia="Calibri" w:hAnsi="Times New Roman"/>
          <w:iCs/>
          <w:sz w:val="24"/>
          <w:szCs w:val="24"/>
        </w:rPr>
        <w:t>(Plate ii),</w:t>
      </w:r>
      <w:r>
        <w:rPr>
          <w:rFonts w:ascii="Times New Roman" w:eastAsia="Calibri" w:hAnsi="Times New Roman"/>
          <w:i/>
          <w:sz w:val="24"/>
          <w:szCs w:val="24"/>
        </w:rPr>
        <w:t xml:space="preserve"> Camellia sinensis </w:t>
      </w:r>
      <w:r>
        <w:rPr>
          <w:rFonts w:ascii="Times New Roman" w:eastAsia="Calibri" w:hAnsi="Times New Roman"/>
          <w:iCs/>
          <w:sz w:val="24"/>
          <w:szCs w:val="24"/>
        </w:rPr>
        <w:t>(Tea plant)</w:t>
      </w:r>
      <w:r>
        <w:rPr>
          <w:rFonts w:ascii="Times New Roman" w:eastAsia="Calibri" w:hAnsi="Times New Roman"/>
          <w:i/>
          <w:sz w:val="24"/>
          <w:szCs w:val="24"/>
        </w:rPr>
        <w:t xml:space="preserve"> </w:t>
      </w:r>
      <w:r>
        <w:rPr>
          <w:rFonts w:ascii="Times New Roman" w:eastAsia="Calibri" w:hAnsi="Times New Roman"/>
          <w:iCs/>
          <w:sz w:val="24"/>
          <w:szCs w:val="24"/>
        </w:rPr>
        <w:t>(</w:t>
      </w:r>
      <w:proofErr w:type="gramStart"/>
      <w:r>
        <w:rPr>
          <w:rFonts w:ascii="Times New Roman" w:eastAsia="Calibri" w:hAnsi="Times New Roman"/>
          <w:iCs/>
          <w:sz w:val="24"/>
          <w:szCs w:val="24"/>
        </w:rPr>
        <w:t>Plate .iii</w:t>
      </w:r>
      <w:proofErr w:type="gramEnd"/>
      <w:r>
        <w:rPr>
          <w:rFonts w:ascii="Times New Roman" w:eastAsia="Calibri" w:hAnsi="Times New Roman"/>
          <w:iCs/>
          <w:sz w:val="24"/>
          <w:szCs w:val="24"/>
        </w:rPr>
        <w:t>)</w:t>
      </w:r>
      <w:r>
        <w:rPr>
          <w:rFonts w:ascii="Times New Roman" w:eastAsia="Calibri" w:hAnsi="Times New Roman"/>
          <w:i/>
          <w:sz w:val="24"/>
          <w:szCs w:val="24"/>
        </w:rPr>
        <w:t xml:space="preserve">, </w:t>
      </w:r>
      <w:proofErr w:type="spellStart"/>
      <w:r>
        <w:rPr>
          <w:rFonts w:ascii="Times New Roman" w:eastAsia="Calibri" w:hAnsi="Times New Roman"/>
          <w:i/>
          <w:sz w:val="24"/>
          <w:szCs w:val="24"/>
        </w:rPr>
        <w:t>Azadirachta</w:t>
      </w:r>
      <w:proofErr w:type="spellEnd"/>
      <w:r>
        <w:rPr>
          <w:rFonts w:ascii="Times New Roman" w:eastAsia="Calibri" w:hAnsi="Times New Roman"/>
          <w:i/>
          <w:sz w:val="24"/>
          <w:szCs w:val="24"/>
        </w:rPr>
        <w:t xml:space="preserve"> indica </w:t>
      </w:r>
      <w:r>
        <w:rPr>
          <w:rFonts w:ascii="Times New Roman" w:eastAsia="Calibri" w:hAnsi="Times New Roman"/>
          <w:iCs/>
          <w:sz w:val="24"/>
          <w:szCs w:val="24"/>
        </w:rPr>
        <w:t>(Neen plant)</w:t>
      </w:r>
      <w:r>
        <w:rPr>
          <w:rFonts w:ascii="Times New Roman" w:eastAsia="Calibri" w:hAnsi="Times New Roman"/>
          <w:i/>
          <w:sz w:val="24"/>
          <w:szCs w:val="24"/>
        </w:rPr>
        <w:t xml:space="preserve"> </w:t>
      </w:r>
      <w:r>
        <w:rPr>
          <w:rFonts w:ascii="Times New Roman" w:eastAsia="Calibri" w:hAnsi="Times New Roman"/>
          <w:iCs/>
          <w:sz w:val="24"/>
          <w:szCs w:val="24"/>
        </w:rPr>
        <w:t>(</w:t>
      </w:r>
      <w:proofErr w:type="gramStart"/>
      <w:r>
        <w:rPr>
          <w:rFonts w:ascii="Times New Roman" w:eastAsia="Calibri" w:hAnsi="Times New Roman"/>
          <w:iCs/>
          <w:sz w:val="24"/>
          <w:szCs w:val="24"/>
        </w:rPr>
        <w:t>Plate .iv</w:t>
      </w:r>
      <w:proofErr w:type="gramEnd"/>
      <w:r>
        <w:rPr>
          <w:rFonts w:ascii="Times New Roman" w:eastAsia="Calibri" w:hAnsi="Times New Roman"/>
          <w:iCs/>
          <w:sz w:val="24"/>
          <w:szCs w:val="24"/>
        </w:rPr>
        <w:t>)</w:t>
      </w:r>
      <w:r>
        <w:rPr>
          <w:rFonts w:ascii="Times New Roman" w:eastAsia="Calibri" w:hAnsi="Times New Roman"/>
          <w:i/>
          <w:sz w:val="24"/>
          <w:szCs w:val="24"/>
        </w:rPr>
        <w:t xml:space="preserve">, </w:t>
      </w:r>
      <w:r>
        <w:rPr>
          <w:rFonts w:ascii="Times New Roman" w:eastAsia="Calibri" w:hAnsi="Times New Roman"/>
          <w:sz w:val="24"/>
          <w:szCs w:val="24"/>
        </w:rPr>
        <w:t>and</w:t>
      </w:r>
      <w:r>
        <w:rPr>
          <w:rFonts w:ascii="Times New Roman" w:eastAsia="Calibri" w:hAnsi="Times New Roman"/>
          <w:i/>
          <w:sz w:val="24"/>
          <w:szCs w:val="24"/>
        </w:rPr>
        <w:t xml:space="preserve"> Cymbopogon </w:t>
      </w:r>
      <w:proofErr w:type="spellStart"/>
      <w:r>
        <w:rPr>
          <w:rFonts w:ascii="Times New Roman" w:eastAsia="Calibri" w:hAnsi="Times New Roman"/>
          <w:i/>
          <w:sz w:val="24"/>
          <w:szCs w:val="24"/>
        </w:rPr>
        <w:t>citratus</w:t>
      </w:r>
      <w:proofErr w:type="spellEnd"/>
      <w:r>
        <w:rPr>
          <w:rFonts w:ascii="Times New Roman" w:eastAsia="Calibri" w:hAnsi="Times New Roman"/>
          <w:i/>
          <w:sz w:val="24"/>
          <w:szCs w:val="24"/>
        </w:rPr>
        <w:t xml:space="preserve"> </w:t>
      </w:r>
      <w:r>
        <w:rPr>
          <w:rFonts w:ascii="Times New Roman" w:eastAsia="Calibri" w:hAnsi="Times New Roman"/>
          <w:iCs/>
          <w:sz w:val="24"/>
          <w:szCs w:val="24"/>
        </w:rPr>
        <w:t>(lemon grass)</w:t>
      </w:r>
      <w:r>
        <w:rPr>
          <w:rFonts w:ascii="Times New Roman" w:eastAsia="Calibri" w:hAnsi="Times New Roman"/>
          <w:i/>
          <w:sz w:val="24"/>
          <w:szCs w:val="24"/>
        </w:rPr>
        <w:t xml:space="preserve"> </w:t>
      </w:r>
      <w:r>
        <w:rPr>
          <w:rFonts w:ascii="Times New Roman" w:eastAsia="Calibri" w:hAnsi="Times New Roman"/>
          <w:iCs/>
          <w:sz w:val="24"/>
          <w:szCs w:val="24"/>
        </w:rPr>
        <w:t>(Plate v)</w:t>
      </w:r>
      <w:r>
        <w:rPr>
          <w:rFonts w:ascii="Times New Roman" w:eastAsia="Calibri" w:hAnsi="Times New Roman"/>
          <w:sz w:val="24"/>
          <w:szCs w:val="24"/>
        </w:rPr>
        <w:t>. Collection of Fresh leaves and stems was carried out using clean cutting tools to reduce contamination, excessive bruising or tearing of the plant tissue,</w:t>
      </w:r>
      <w:r>
        <w:rPr>
          <w:rFonts w:ascii="Times New Roman" w:hAnsi="Times New Roman"/>
          <w:i/>
          <w:iCs/>
          <w:sz w:val="24"/>
          <w:szCs w:val="24"/>
        </w:rPr>
        <w:t xml:space="preserve"> </w:t>
      </w:r>
      <w:r>
        <w:rPr>
          <w:rFonts w:ascii="Times New Roman" w:eastAsia="Calibri" w:hAnsi="Times New Roman"/>
          <w:sz w:val="24"/>
          <w:szCs w:val="24"/>
        </w:rPr>
        <w:t>placed in clean containers and taken to the laboratory to prevent prolonged exposure to heat or sunlight.</w:t>
      </w:r>
      <w:r>
        <w:rPr>
          <w:rFonts w:ascii="Times New Roman" w:hAnsi="Times New Roman"/>
          <w:sz w:val="24"/>
          <w:szCs w:val="24"/>
        </w:rPr>
        <w:t xml:space="preserve"> </w:t>
      </w:r>
    </w:p>
    <w:p w14:paraId="72A24017" w14:textId="77777777" w:rsidR="0092710F" w:rsidRDefault="00000000">
      <w:pPr>
        <w:spacing w:line="480" w:lineRule="auto"/>
        <w:jc w:val="both"/>
        <w:rPr>
          <w:rFonts w:ascii="Times New Roman" w:hAnsi="Times New Roman"/>
          <w:i/>
          <w:iCs/>
          <w:sz w:val="24"/>
          <w:szCs w:val="24"/>
        </w:rPr>
      </w:pPr>
      <w:r>
        <w:rPr>
          <w:rFonts w:ascii="Times New Roman" w:hAnsi="Times New Roman"/>
          <w:noProof/>
          <w:sz w:val="24"/>
          <w:szCs w:val="24"/>
        </w:rPr>
        <w:drawing>
          <wp:inline distT="0" distB="0" distL="0" distR="0" wp14:anchorId="31BF9097" wp14:editId="1D1AAFDF">
            <wp:extent cx="3076575" cy="1574800"/>
            <wp:effectExtent l="0" t="0" r="9525" b="6350"/>
            <wp:docPr id="58" name="Picture 58" descr="C:\Users\USER\AppData\Local\Temp\ksohtml10592\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Users\USER\AppData\Local\Temp\ksohtml10592\wps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076575" cy="1574800"/>
                    </a:xfrm>
                    <a:prstGeom prst="rect">
                      <a:avLst/>
                    </a:prstGeom>
                    <a:noFill/>
                    <a:ln>
                      <a:noFill/>
                    </a:ln>
                  </pic:spPr>
                </pic:pic>
              </a:graphicData>
            </a:graphic>
          </wp:inline>
        </w:drawing>
      </w:r>
      <w:r>
        <w:rPr>
          <w:rFonts w:ascii="Times New Roman" w:hAnsi="Times New Roman"/>
          <w:noProof/>
          <w:sz w:val="24"/>
          <w:szCs w:val="24"/>
        </w:rPr>
        <w:drawing>
          <wp:anchor distT="0" distB="0" distL="114300" distR="114300" simplePos="0" relativeHeight="251659264" behindDoc="0" locked="0" layoutInCell="1" allowOverlap="1" wp14:anchorId="23D9CEA3" wp14:editId="75D907C5">
            <wp:simplePos x="0" y="0"/>
            <wp:positionH relativeFrom="column">
              <wp:posOffset>-219710</wp:posOffset>
            </wp:positionH>
            <wp:positionV relativeFrom="paragraph">
              <wp:posOffset>160020</wp:posOffset>
            </wp:positionV>
            <wp:extent cx="2781300" cy="1400175"/>
            <wp:effectExtent l="0" t="0" r="0" b="9525"/>
            <wp:wrapSquare wrapText="bothSides"/>
            <wp:docPr id="65" name="Picture 65" descr="C:\Users\USER\AppData\Local\Temp\ksohtml10592\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Users\USER\AppData\Local\Temp\ksohtml10592\wps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781300" cy="1400175"/>
                    </a:xfrm>
                    <a:prstGeom prst="rect">
                      <a:avLst/>
                    </a:prstGeom>
                    <a:noFill/>
                    <a:ln>
                      <a:noFill/>
                    </a:ln>
                  </pic:spPr>
                </pic:pic>
              </a:graphicData>
            </a:graphic>
          </wp:anchor>
        </w:drawing>
      </w:r>
      <w:r>
        <w:rPr>
          <w:rFonts w:ascii="Times New Roman" w:hAnsi="Times New Roman"/>
          <w:sz w:val="24"/>
          <w:szCs w:val="24"/>
        </w:rPr>
        <w:t xml:space="preserve">Plate i: </w:t>
      </w:r>
      <w:proofErr w:type="spellStart"/>
      <w:r>
        <w:rPr>
          <w:rFonts w:ascii="Times New Roman" w:hAnsi="Times New Roman"/>
          <w:i/>
          <w:iCs/>
          <w:sz w:val="24"/>
          <w:szCs w:val="24"/>
        </w:rPr>
        <w:t>calotropis</w:t>
      </w:r>
      <w:proofErr w:type="spellEnd"/>
      <w:r>
        <w:rPr>
          <w:rFonts w:ascii="Times New Roman" w:hAnsi="Times New Roman"/>
          <w:i/>
          <w:iCs/>
          <w:sz w:val="24"/>
          <w:szCs w:val="24"/>
        </w:rPr>
        <w:t xml:space="preserve"> </w:t>
      </w:r>
      <w:proofErr w:type="spellStart"/>
      <w:r>
        <w:rPr>
          <w:rFonts w:ascii="Times New Roman" w:hAnsi="Times New Roman"/>
          <w:i/>
          <w:iCs/>
          <w:sz w:val="24"/>
          <w:szCs w:val="24"/>
        </w:rPr>
        <w:t>procera</w:t>
      </w:r>
      <w:proofErr w:type="spellEnd"/>
      <w:r>
        <w:rPr>
          <w:rFonts w:ascii="Times New Roman" w:hAnsi="Times New Roman"/>
          <w:sz w:val="24"/>
          <w:szCs w:val="24"/>
        </w:rPr>
        <w:t xml:space="preserve">                                   Plate </w:t>
      </w:r>
      <w:proofErr w:type="spellStart"/>
      <w:proofErr w:type="gramStart"/>
      <w:r>
        <w:rPr>
          <w:rFonts w:ascii="Times New Roman" w:hAnsi="Times New Roman"/>
          <w:sz w:val="24"/>
          <w:szCs w:val="24"/>
        </w:rPr>
        <w:t>ii:</w:t>
      </w:r>
      <w:r>
        <w:rPr>
          <w:rFonts w:ascii="Times New Roman" w:hAnsi="Times New Roman"/>
          <w:i/>
          <w:iCs/>
          <w:sz w:val="24"/>
          <w:szCs w:val="24"/>
        </w:rPr>
        <w:t>Euphobia</w:t>
      </w:r>
      <w:proofErr w:type="spellEnd"/>
      <w:proofErr w:type="gramEnd"/>
      <w:r>
        <w:rPr>
          <w:rFonts w:ascii="Times New Roman" w:hAnsi="Times New Roman"/>
          <w:i/>
          <w:iCs/>
          <w:sz w:val="24"/>
          <w:szCs w:val="24"/>
        </w:rPr>
        <w:t xml:space="preserve"> </w:t>
      </w:r>
      <w:proofErr w:type="spellStart"/>
      <w:r>
        <w:rPr>
          <w:rFonts w:ascii="Times New Roman" w:hAnsi="Times New Roman"/>
          <w:i/>
          <w:iCs/>
          <w:sz w:val="24"/>
          <w:szCs w:val="24"/>
        </w:rPr>
        <w:t>kamerunica</w:t>
      </w:r>
      <w:proofErr w:type="spellEnd"/>
      <w:r>
        <w:rPr>
          <w:rFonts w:ascii="Times New Roman" w:hAnsi="Times New Roman"/>
          <w:i/>
          <w:iCs/>
          <w:sz w:val="24"/>
          <w:szCs w:val="24"/>
        </w:rPr>
        <w:t xml:space="preserve"> </w:t>
      </w:r>
    </w:p>
    <w:p w14:paraId="5581A85E" w14:textId="77777777" w:rsidR="0092710F" w:rsidRDefault="0092710F">
      <w:pPr>
        <w:spacing w:line="480" w:lineRule="auto"/>
        <w:jc w:val="both"/>
        <w:rPr>
          <w:rFonts w:ascii="Times New Roman" w:hAnsi="Times New Roman"/>
          <w:i/>
          <w:iCs/>
          <w:sz w:val="24"/>
          <w:szCs w:val="24"/>
        </w:rPr>
      </w:pPr>
    </w:p>
    <w:p w14:paraId="6A24FB48" w14:textId="77777777" w:rsidR="0092710F" w:rsidRDefault="0092710F">
      <w:pPr>
        <w:spacing w:line="480" w:lineRule="auto"/>
        <w:jc w:val="both"/>
        <w:rPr>
          <w:rFonts w:ascii="Times New Roman" w:hAnsi="Times New Roman"/>
          <w:i/>
          <w:iCs/>
          <w:sz w:val="24"/>
          <w:szCs w:val="24"/>
        </w:rPr>
      </w:pPr>
    </w:p>
    <w:p w14:paraId="27C8F0E5" w14:textId="77777777" w:rsidR="0092710F" w:rsidRDefault="0092710F">
      <w:pPr>
        <w:spacing w:line="480" w:lineRule="auto"/>
        <w:jc w:val="both"/>
        <w:rPr>
          <w:rFonts w:ascii="Times New Roman" w:hAnsi="Times New Roman"/>
          <w:i/>
          <w:iCs/>
          <w:sz w:val="24"/>
          <w:szCs w:val="24"/>
        </w:rPr>
      </w:pPr>
    </w:p>
    <w:p w14:paraId="62CE3EB5" w14:textId="77777777" w:rsidR="0092710F" w:rsidRDefault="0092710F">
      <w:pPr>
        <w:spacing w:line="480" w:lineRule="auto"/>
        <w:jc w:val="both"/>
        <w:rPr>
          <w:rFonts w:ascii="Times New Roman" w:hAnsi="Times New Roman"/>
          <w:i/>
          <w:iCs/>
          <w:sz w:val="24"/>
          <w:szCs w:val="24"/>
        </w:rPr>
      </w:pPr>
    </w:p>
    <w:p w14:paraId="1D488477" w14:textId="77777777" w:rsidR="0092710F" w:rsidRDefault="00000000">
      <w:pPr>
        <w:spacing w:line="480" w:lineRule="auto"/>
        <w:jc w:val="both"/>
        <w:rPr>
          <w:rFonts w:ascii="Times New Roman" w:eastAsia="Calibri" w:hAnsi="Times New Roman"/>
          <w:b/>
          <w:sz w:val="24"/>
          <w:szCs w:val="24"/>
        </w:rPr>
      </w:pPr>
      <w:r>
        <w:rPr>
          <w:rFonts w:ascii="Times New Roman" w:hAnsi="Times New Roman"/>
          <w:noProof/>
          <w:sz w:val="24"/>
          <w:szCs w:val="24"/>
        </w:rPr>
        <w:drawing>
          <wp:inline distT="0" distB="0" distL="0" distR="0" wp14:anchorId="220C187D" wp14:editId="45143A11">
            <wp:extent cx="2505075" cy="1804035"/>
            <wp:effectExtent l="0" t="0" r="9525" b="5715"/>
            <wp:docPr id="64" name="Picture 64" descr="C:\Users\USER\AppData\Local\Temp\ksohtml10592\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Users\USER\AppData\Local\Temp\ksohtml10592\wps1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05075" cy="180403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34048308" wp14:editId="2C23901E">
            <wp:extent cx="2451735" cy="1795780"/>
            <wp:effectExtent l="0" t="0" r="5715" b="13970"/>
            <wp:docPr id="57" name="Picture 57" descr="C:\Users\USER\AppData\Local\Temp\ksohtml10592\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Users\USER\AppData\Local\Temp\ksohtml10592\wps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451735" cy="1795780"/>
                    </a:xfrm>
                    <a:prstGeom prst="rect">
                      <a:avLst/>
                    </a:prstGeom>
                    <a:noFill/>
                    <a:ln>
                      <a:noFill/>
                    </a:ln>
                  </pic:spPr>
                </pic:pic>
              </a:graphicData>
            </a:graphic>
          </wp:inline>
        </w:drawing>
      </w:r>
      <w:r>
        <w:rPr>
          <w:rFonts w:ascii="Times New Roman" w:hAnsi="Times New Roman"/>
          <w:sz w:val="24"/>
          <w:szCs w:val="24"/>
        </w:rPr>
        <w:t xml:space="preserve"> Plate </w:t>
      </w:r>
      <w:proofErr w:type="spellStart"/>
      <w:proofErr w:type="gramStart"/>
      <w:r>
        <w:rPr>
          <w:rFonts w:ascii="Times New Roman" w:hAnsi="Times New Roman"/>
          <w:sz w:val="24"/>
          <w:szCs w:val="24"/>
        </w:rPr>
        <w:t>iii:</w:t>
      </w:r>
      <w:r>
        <w:rPr>
          <w:rFonts w:ascii="Times New Roman" w:hAnsi="Times New Roman"/>
          <w:i/>
          <w:iCs/>
          <w:sz w:val="24"/>
          <w:szCs w:val="24"/>
        </w:rPr>
        <w:t>Camellia</w:t>
      </w:r>
      <w:proofErr w:type="spellEnd"/>
      <w:proofErr w:type="gramEnd"/>
      <w:r>
        <w:rPr>
          <w:rFonts w:ascii="Times New Roman" w:hAnsi="Times New Roman"/>
          <w:i/>
          <w:iCs/>
          <w:sz w:val="24"/>
          <w:szCs w:val="24"/>
        </w:rPr>
        <w:t xml:space="preserve"> </w:t>
      </w:r>
      <w:proofErr w:type="spellStart"/>
      <w:r>
        <w:rPr>
          <w:rFonts w:ascii="Times New Roman" w:hAnsi="Times New Roman"/>
          <w:i/>
          <w:iCs/>
          <w:sz w:val="24"/>
          <w:szCs w:val="24"/>
        </w:rPr>
        <w:t>sinesis</w:t>
      </w:r>
      <w:proofErr w:type="spellEnd"/>
      <w:r>
        <w:rPr>
          <w:rFonts w:ascii="Times New Roman" w:hAnsi="Times New Roman"/>
          <w:i/>
          <w:iCs/>
          <w:sz w:val="24"/>
          <w:szCs w:val="24"/>
        </w:rPr>
        <w:t xml:space="preserve">                                       </w:t>
      </w:r>
      <w:r>
        <w:rPr>
          <w:rFonts w:ascii="Times New Roman" w:hAnsi="Times New Roman"/>
          <w:sz w:val="24"/>
          <w:szCs w:val="24"/>
        </w:rPr>
        <w:t xml:space="preserve"> Plate iv: </w:t>
      </w:r>
      <w:proofErr w:type="spellStart"/>
      <w:r>
        <w:rPr>
          <w:rFonts w:ascii="Times New Roman" w:hAnsi="Times New Roman"/>
          <w:i/>
          <w:sz w:val="24"/>
          <w:szCs w:val="24"/>
        </w:rPr>
        <w:t>Azadirachta</w:t>
      </w:r>
      <w:proofErr w:type="spellEnd"/>
      <w:r>
        <w:rPr>
          <w:rFonts w:ascii="Times New Roman" w:hAnsi="Times New Roman"/>
          <w:i/>
          <w:sz w:val="24"/>
          <w:szCs w:val="24"/>
        </w:rPr>
        <w:t xml:space="preserve"> indica</w:t>
      </w:r>
      <w:r>
        <w:rPr>
          <w:rFonts w:ascii="Times New Roman" w:hAnsi="Times New Roman"/>
          <w:sz w:val="24"/>
          <w:szCs w:val="24"/>
        </w:rPr>
        <w:t xml:space="preserve"> </w:t>
      </w:r>
    </w:p>
    <w:p w14:paraId="020E937D" w14:textId="77777777" w:rsidR="0092710F" w:rsidRDefault="00000000">
      <w:pPr>
        <w:spacing w:line="48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14:anchorId="6B5C89F1" wp14:editId="5824C17C">
            <wp:extent cx="2792730" cy="1776095"/>
            <wp:effectExtent l="0" t="0" r="7620" b="14605"/>
            <wp:docPr id="3" name="Picture 3" descr="C:\Users\USER\AppData\Local\Temp\ksohtml10592\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USER\AppData\Local\Temp\ksohtml10592\wps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792730" cy="1776095"/>
                    </a:xfrm>
                    <a:prstGeom prst="rect">
                      <a:avLst/>
                    </a:prstGeom>
                    <a:noFill/>
                    <a:ln>
                      <a:noFill/>
                    </a:ln>
                  </pic:spPr>
                </pic:pic>
              </a:graphicData>
            </a:graphic>
          </wp:inline>
        </w:drawing>
      </w:r>
    </w:p>
    <w:p w14:paraId="043CD61D" w14:textId="77777777" w:rsidR="0092710F" w:rsidRDefault="00000000">
      <w:pPr>
        <w:spacing w:line="480" w:lineRule="auto"/>
        <w:ind w:firstLineChars="100" w:firstLine="240"/>
        <w:jc w:val="both"/>
        <w:rPr>
          <w:rFonts w:ascii="Times New Roman" w:hAnsi="Times New Roman"/>
          <w:sz w:val="24"/>
          <w:szCs w:val="24"/>
        </w:rPr>
      </w:pPr>
      <w:r>
        <w:rPr>
          <w:rFonts w:ascii="Times New Roman" w:hAnsi="Times New Roman"/>
          <w:sz w:val="24"/>
          <w:szCs w:val="24"/>
        </w:rPr>
        <w:t>Plate v:</w:t>
      </w:r>
      <w:r>
        <w:rPr>
          <w:rFonts w:ascii="Times New Roman" w:hAnsi="Times New Roman"/>
          <w:i/>
          <w:sz w:val="24"/>
          <w:szCs w:val="24"/>
        </w:rPr>
        <w:t xml:space="preserve"> Cymbopogon </w:t>
      </w:r>
      <w:proofErr w:type="spellStart"/>
      <w:r>
        <w:rPr>
          <w:rFonts w:ascii="Times New Roman" w:hAnsi="Times New Roman"/>
          <w:i/>
          <w:sz w:val="24"/>
          <w:szCs w:val="24"/>
        </w:rPr>
        <w:t>citratus</w:t>
      </w:r>
      <w:proofErr w:type="spellEnd"/>
      <w:r>
        <w:rPr>
          <w:rFonts w:ascii="Times New Roman" w:hAnsi="Times New Roman"/>
          <w:sz w:val="24"/>
          <w:szCs w:val="24"/>
        </w:rPr>
        <w:t xml:space="preserve">     </w:t>
      </w:r>
    </w:p>
    <w:p w14:paraId="2CEED6C1"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Authentication of the collected specimens was carried out at the Herbarium of the Department of Plant Science and Biotechnology, Federal University of Lafia.</w:t>
      </w:r>
    </w:p>
    <w:p w14:paraId="61B167C5" w14:textId="77777777" w:rsidR="0092710F" w:rsidRDefault="0092710F">
      <w:pPr>
        <w:spacing w:line="480" w:lineRule="auto"/>
        <w:jc w:val="both"/>
        <w:rPr>
          <w:rFonts w:ascii="Times New Roman" w:eastAsia="Calibri" w:hAnsi="Times New Roman"/>
          <w:b/>
          <w:bCs/>
          <w:sz w:val="24"/>
          <w:szCs w:val="24"/>
        </w:rPr>
      </w:pPr>
    </w:p>
    <w:p w14:paraId="6DE6CDF6" w14:textId="77777777" w:rsidR="0092710F" w:rsidRDefault="00000000">
      <w:pPr>
        <w:spacing w:line="480" w:lineRule="auto"/>
        <w:jc w:val="both"/>
        <w:rPr>
          <w:rFonts w:ascii="Times New Roman" w:eastAsia="Calibri" w:hAnsi="Times New Roman"/>
          <w:b/>
          <w:bCs/>
          <w:sz w:val="24"/>
          <w:szCs w:val="24"/>
        </w:rPr>
      </w:pPr>
      <w:r>
        <w:rPr>
          <w:rFonts w:ascii="Times New Roman" w:eastAsia="Calibri" w:hAnsi="Times New Roman"/>
          <w:b/>
          <w:bCs/>
          <w:sz w:val="24"/>
          <w:szCs w:val="24"/>
        </w:rPr>
        <w:t>2.3 SAMPLE PREPARATION</w:t>
      </w:r>
    </w:p>
    <w:p w14:paraId="4A785359"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The plant materials were first rinsed thoroughly with distilled water to remove visible dirt, dust, and other surface contaminants. After washing, the samples were spread out and allowed to air-dry under laboratory conditions for approximately seven days. This approach was chosen to reduce moisture content while limiting thermal degradation of sensitive compounds. Some variation in preparation was necessary. For instance, the stems of </w:t>
      </w:r>
      <w:r>
        <w:rPr>
          <w:rFonts w:ascii="Times New Roman" w:eastAsia="Calibri" w:hAnsi="Times New Roman"/>
          <w:i/>
          <w:sz w:val="24"/>
          <w:szCs w:val="24"/>
        </w:rPr>
        <w:t xml:space="preserve">Euphorbia </w:t>
      </w:r>
      <w:proofErr w:type="spellStart"/>
      <w:r>
        <w:rPr>
          <w:rFonts w:ascii="Times New Roman" w:eastAsia="Calibri" w:hAnsi="Times New Roman"/>
          <w:i/>
          <w:sz w:val="24"/>
          <w:szCs w:val="24"/>
        </w:rPr>
        <w:t>kamerunica</w:t>
      </w:r>
      <w:proofErr w:type="spellEnd"/>
      <w:r>
        <w:rPr>
          <w:rFonts w:ascii="Times New Roman" w:eastAsia="Calibri" w:hAnsi="Times New Roman"/>
          <w:i/>
          <w:sz w:val="24"/>
          <w:szCs w:val="24"/>
        </w:rPr>
        <w:t xml:space="preserve"> </w:t>
      </w:r>
      <w:r>
        <w:rPr>
          <w:rFonts w:ascii="Times New Roman" w:eastAsia="Calibri" w:hAnsi="Times New Roman"/>
          <w:iCs/>
          <w:sz w:val="24"/>
          <w:szCs w:val="24"/>
        </w:rPr>
        <w:t>(cactus plant)</w:t>
      </w:r>
      <w:r>
        <w:rPr>
          <w:rFonts w:ascii="Times New Roman" w:eastAsia="Calibri" w:hAnsi="Times New Roman"/>
          <w:i/>
          <w:sz w:val="24"/>
          <w:szCs w:val="24"/>
        </w:rPr>
        <w:t xml:space="preserve"> </w:t>
      </w:r>
      <w:r>
        <w:rPr>
          <w:rFonts w:ascii="Times New Roman" w:eastAsia="Calibri" w:hAnsi="Times New Roman"/>
          <w:sz w:val="24"/>
          <w:szCs w:val="24"/>
        </w:rPr>
        <w:t>notably fibrous and occasionally spiny were initially crushed using a mortar and pestle before further processing. Once sufficiently dried, all samples were ground into fine powder using an electric blender. Increasing the surface area in this way was expected to improve extraction efficiency.</w:t>
      </w:r>
    </w:p>
    <w:p w14:paraId="05225647"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The powdered materials were then stored in clean, dry containers and kept in a well-ventilated space until required. While this method is generally adequate, it is worth noting that prolonged storage, even under controlled conditions, may lead to gradual changes in phytochemical composition (Nigeria National Accreditation system,2023).</w:t>
      </w:r>
    </w:p>
    <w:p w14:paraId="11548636" w14:textId="77777777" w:rsidR="0092710F" w:rsidRDefault="0092710F">
      <w:pPr>
        <w:spacing w:line="480" w:lineRule="auto"/>
        <w:jc w:val="both"/>
        <w:rPr>
          <w:rFonts w:ascii="Times New Roman" w:eastAsia="Calibri" w:hAnsi="Times New Roman"/>
          <w:b/>
          <w:sz w:val="24"/>
          <w:szCs w:val="24"/>
        </w:rPr>
      </w:pPr>
    </w:p>
    <w:p w14:paraId="72AD83BB" w14:textId="77777777" w:rsidR="0092710F" w:rsidRDefault="0092710F">
      <w:pPr>
        <w:spacing w:line="480" w:lineRule="auto"/>
        <w:jc w:val="both"/>
        <w:rPr>
          <w:rFonts w:ascii="Times New Roman" w:eastAsia="Calibri" w:hAnsi="Times New Roman"/>
          <w:b/>
          <w:sz w:val="24"/>
          <w:szCs w:val="24"/>
        </w:rPr>
      </w:pPr>
    </w:p>
    <w:p w14:paraId="05A38D08" w14:textId="77777777" w:rsidR="0092710F" w:rsidRDefault="00000000">
      <w:pPr>
        <w:spacing w:line="480" w:lineRule="auto"/>
        <w:jc w:val="both"/>
        <w:rPr>
          <w:rFonts w:ascii="Times New Roman" w:eastAsia="Calibri" w:hAnsi="Times New Roman"/>
          <w:b/>
          <w:sz w:val="24"/>
          <w:szCs w:val="24"/>
        </w:rPr>
      </w:pPr>
      <w:proofErr w:type="gramStart"/>
      <w:r>
        <w:rPr>
          <w:rFonts w:ascii="Times New Roman" w:eastAsia="Calibri" w:hAnsi="Times New Roman"/>
          <w:b/>
          <w:sz w:val="24"/>
          <w:szCs w:val="24"/>
        </w:rPr>
        <w:t>2.4  EXTRACTION</w:t>
      </w:r>
      <w:proofErr w:type="gramEnd"/>
      <w:r>
        <w:rPr>
          <w:rFonts w:ascii="Times New Roman" w:eastAsia="Calibri" w:hAnsi="Times New Roman"/>
          <w:b/>
          <w:sz w:val="24"/>
          <w:szCs w:val="24"/>
        </w:rPr>
        <w:t xml:space="preserve"> OF PLANT SAMPLES</w:t>
      </w:r>
    </w:p>
    <w:p w14:paraId="6E661530"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Extraction was carried out using the cold maceration technique to avoids elevated temperatures, which might otherwise degrade thermolabile constituents. 100 g of the powdered sample was weighed and transferred into a clean beaker. A measured volume of 1,500 cm³ of distilled water was then added. The mixture was stirred for about 20–30 minutes to promote adequate contact between solvent and plant material.</w:t>
      </w:r>
    </w:p>
    <w:p w14:paraId="5D47D5DC"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Following this initial mixing, the solution was left undisturbed at room temperature for 72 hours. During this period, diffusion-driven processes allow soluble compounds to migrate into the solvent. After the extraction period, the mixture was filtered using a Buchner apparatus to separate the liquid extract from solid residues. The resulting filtrates were collected in clean containers and stored under conditions that minimized exposure to light and heat, both of which could accelerate degradation (Pallares</w:t>
      </w:r>
      <w:r>
        <w:rPr>
          <w:rFonts w:ascii="Times New Roman" w:eastAsia="Calibri" w:hAnsi="Times New Roman"/>
          <w:i/>
          <w:sz w:val="24"/>
          <w:szCs w:val="24"/>
        </w:rPr>
        <w:t xml:space="preserve"> et al</w:t>
      </w:r>
      <w:r>
        <w:rPr>
          <w:rFonts w:ascii="Times New Roman" w:eastAsia="Calibri" w:hAnsi="Times New Roman"/>
          <w:sz w:val="24"/>
          <w:szCs w:val="24"/>
        </w:rPr>
        <w:t xml:space="preserve">., 2025; </w:t>
      </w:r>
      <w:proofErr w:type="spellStart"/>
      <w:r>
        <w:rPr>
          <w:rFonts w:ascii="Times New Roman" w:eastAsia="Calibri" w:hAnsi="Times New Roman"/>
          <w:sz w:val="24"/>
          <w:szCs w:val="24"/>
        </w:rPr>
        <w:t>Chatepa</w:t>
      </w:r>
      <w:proofErr w:type="spellEnd"/>
      <w:r>
        <w:rPr>
          <w:rFonts w:ascii="Times New Roman" w:eastAsia="Calibri" w:hAnsi="Times New Roman"/>
          <w:sz w:val="24"/>
          <w:szCs w:val="24"/>
        </w:rPr>
        <w:t xml:space="preserve"> </w:t>
      </w:r>
      <w:r>
        <w:rPr>
          <w:rFonts w:ascii="Times New Roman" w:eastAsia="Calibri" w:hAnsi="Times New Roman"/>
          <w:i/>
          <w:sz w:val="24"/>
          <w:szCs w:val="24"/>
        </w:rPr>
        <w:t>et al</w:t>
      </w:r>
      <w:r>
        <w:rPr>
          <w:rFonts w:ascii="Times New Roman" w:eastAsia="Calibri" w:hAnsi="Times New Roman"/>
          <w:sz w:val="24"/>
          <w:szCs w:val="24"/>
        </w:rPr>
        <w:t>., 2024).</w:t>
      </w:r>
    </w:p>
    <w:p w14:paraId="27E449D7"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lastRenderedPageBreak/>
        <w:t>All reagents and preparations were handled in the Chemistry Laboratory of the Federal University of Lafia, following standard safety and procedural guidelines.</w:t>
      </w:r>
    </w:p>
    <w:p w14:paraId="7BF18CAD" w14:textId="77777777" w:rsidR="0092710F" w:rsidRDefault="0092710F">
      <w:pPr>
        <w:jc w:val="both"/>
        <w:rPr>
          <w:rFonts w:ascii="Times New Roman" w:eastAsia="Calibri" w:hAnsi="Times New Roman"/>
          <w:sz w:val="24"/>
          <w:szCs w:val="24"/>
        </w:rPr>
      </w:pPr>
    </w:p>
    <w:p w14:paraId="7CAEC54D" w14:textId="77777777" w:rsidR="0092710F" w:rsidRDefault="00000000">
      <w:pPr>
        <w:spacing w:line="480" w:lineRule="auto"/>
        <w:jc w:val="both"/>
        <w:rPr>
          <w:rFonts w:ascii="Times New Roman" w:eastAsia="Calibri" w:hAnsi="Times New Roman"/>
          <w:b/>
          <w:sz w:val="24"/>
          <w:szCs w:val="24"/>
        </w:rPr>
      </w:pPr>
      <w:r>
        <w:rPr>
          <w:rFonts w:ascii="Times New Roman" w:eastAsia="Calibri" w:hAnsi="Times New Roman"/>
          <w:b/>
          <w:sz w:val="24"/>
          <w:szCs w:val="24"/>
        </w:rPr>
        <w:t xml:space="preserve"> 2.5 PREPARATION OF REAGENTS</w:t>
      </w:r>
    </w:p>
    <w:p w14:paraId="57D40FEF"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All reagents used in this work were prepared from analytical-grade chemicals using distilled water under standard laboratory conditions. Routine safety practices such as the use of gloves, lab coats, and protective eyewear were followed throughout. While these steps may appear procedural, they are essential, particularly when handling corrosive acids and reactive salts that could introduce both experimental error and safety risks if improperly managed (Association of official analytical chemist,2023)</w:t>
      </w:r>
    </w:p>
    <w:p w14:paraId="7D74327D" w14:textId="77777777" w:rsidR="0092710F" w:rsidRDefault="0092710F">
      <w:pPr>
        <w:jc w:val="both"/>
        <w:rPr>
          <w:rFonts w:ascii="Times New Roman" w:eastAsia="Calibri" w:hAnsi="Times New Roman"/>
          <w:sz w:val="24"/>
          <w:szCs w:val="24"/>
        </w:rPr>
      </w:pPr>
    </w:p>
    <w:p w14:paraId="6DC1F079" w14:textId="77777777" w:rsidR="0092710F" w:rsidRDefault="00000000">
      <w:pPr>
        <w:jc w:val="both"/>
        <w:rPr>
          <w:rFonts w:ascii="Times New Roman" w:eastAsia="Calibri" w:hAnsi="Times New Roman"/>
          <w:sz w:val="24"/>
          <w:szCs w:val="24"/>
        </w:rPr>
      </w:pPr>
      <w:proofErr w:type="gramStart"/>
      <w:r>
        <w:rPr>
          <w:rFonts w:ascii="Times New Roman" w:eastAsia="Calibri" w:hAnsi="Times New Roman"/>
          <w:sz w:val="24"/>
          <w:szCs w:val="24"/>
        </w:rPr>
        <w:t>2.5.1  Ferric</w:t>
      </w:r>
      <w:proofErr w:type="gramEnd"/>
      <w:r>
        <w:rPr>
          <w:rFonts w:ascii="Times New Roman" w:eastAsia="Calibri" w:hAnsi="Times New Roman"/>
          <w:sz w:val="24"/>
          <w:szCs w:val="24"/>
        </w:rPr>
        <w:t xml:space="preserve"> Chloride Solution (4%)</w:t>
      </w:r>
    </w:p>
    <w:p w14:paraId="443356F4"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To prepare the ferric chloride solution, 4 g of ferric chloride was weighed and dissolved in 100 ml of distilled water using a volumetric </w:t>
      </w:r>
      <w:proofErr w:type="spellStart"/>
      <w:proofErr w:type="gramStart"/>
      <w:r>
        <w:rPr>
          <w:rFonts w:ascii="Times New Roman" w:eastAsia="Calibri" w:hAnsi="Times New Roman"/>
          <w:sz w:val="24"/>
          <w:szCs w:val="24"/>
        </w:rPr>
        <w:t>flask.The</w:t>
      </w:r>
      <w:proofErr w:type="spellEnd"/>
      <w:proofErr w:type="gramEnd"/>
      <w:r>
        <w:rPr>
          <w:rFonts w:ascii="Times New Roman" w:eastAsia="Calibri" w:hAnsi="Times New Roman"/>
          <w:sz w:val="24"/>
          <w:szCs w:val="24"/>
        </w:rPr>
        <w:t xml:space="preserve"> mixture was stirred until no visible particles </w:t>
      </w:r>
      <w:proofErr w:type="spellStart"/>
      <w:proofErr w:type="gramStart"/>
      <w:r>
        <w:rPr>
          <w:rFonts w:ascii="Times New Roman" w:eastAsia="Calibri" w:hAnsi="Times New Roman"/>
          <w:sz w:val="24"/>
          <w:szCs w:val="24"/>
        </w:rPr>
        <w:t>remained.The</w:t>
      </w:r>
      <w:proofErr w:type="spellEnd"/>
      <w:proofErr w:type="gramEnd"/>
      <w:r>
        <w:rPr>
          <w:rFonts w:ascii="Times New Roman" w:eastAsia="Calibri" w:hAnsi="Times New Roman"/>
          <w:sz w:val="24"/>
          <w:szCs w:val="24"/>
        </w:rPr>
        <w:t xml:space="preserve"> solution was then transferred into a labeled container for subsequent use. </w:t>
      </w:r>
    </w:p>
    <w:p w14:paraId="009BB85E"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2.5.2 Ethyl Acetate Solution</w:t>
      </w:r>
    </w:p>
    <w:p w14:paraId="70FCACF0"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A measured volume of 4 ml of ethyl acetate was introduced into 100 </w:t>
      </w:r>
      <w:proofErr w:type="gramStart"/>
      <w:r>
        <w:rPr>
          <w:rFonts w:ascii="Times New Roman" w:eastAsia="Calibri" w:hAnsi="Times New Roman"/>
          <w:sz w:val="24"/>
          <w:szCs w:val="24"/>
        </w:rPr>
        <w:t>ml  of</w:t>
      </w:r>
      <w:proofErr w:type="gramEnd"/>
      <w:r>
        <w:rPr>
          <w:rFonts w:ascii="Times New Roman" w:eastAsia="Calibri" w:hAnsi="Times New Roman"/>
          <w:sz w:val="24"/>
          <w:szCs w:val="24"/>
        </w:rPr>
        <w:t xml:space="preserve"> distilled water in a conical flask. The mixture was gently agitated to achieve uniform dispersion. Given the partial immiscibility of ethyl acetate with water.</w:t>
      </w:r>
    </w:p>
    <w:p w14:paraId="28835546" w14:textId="77777777" w:rsidR="0092710F" w:rsidRDefault="00000000">
      <w:pPr>
        <w:jc w:val="both"/>
        <w:rPr>
          <w:rFonts w:ascii="Times New Roman" w:eastAsia="Calibri" w:hAnsi="Times New Roman"/>
          <w:sz w:val="24"/>
          <w:szCs w:val="24"/>
        </w:rPr>
      </w:pPr>
      <w:proofErr w:type="gramStart"/>
      <w:r>
        <w:rPr>
          <w:rFonts w:ascii="Times New Roman" w:eastAsia="Calibri" w:hAnsi="Times New Roman"/>
          <w:sz w:val="24"/>
          <w:szCs w:val="24"/>
        </w:rPr>
        <w:t>2.5.3  Sodium</w:t>
      </w:r>
      <w:proofErr w:type="gramEnd"/>
      <w:r>
        <w:rPr>
          <w:rFonts w:ascii="Times New Roman" w:eastAsia="Calibri" w:hAnsi="Times New Roman"/>
          <w:sz w:val="24"/>
          <w:szCs w:val="24"/>
        </w:rPr>
        <w:t xml:space="preserve"> Hydroxide Solution (4%)</w:t>
      </w:r>
    </w:p>
    <w:p w14:paraId="516B149A"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Preparation of the sodium hydroxide solution involved dissolving 4 g of NaOH pellets in 100 ml of distilled water. Continuous stirring was necessary, as the dissolution process is exothermic and can lead to localized heating. The solution was allowed to cool before storage to avoid pressure build-up in the container.</w:t>
      </w:r>
    </w:p>
    <w:p w14:paraId="14023E4D"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2.5.4 Acetic Acid Solution (0.5%)</w:t>
      </w:r>
    </w:p>
    <w:p w14:paraId="351CC818"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A dilute acetic acid solution was obtained by adding 0.5 ml of glacial acetic acid to 100 ml of distilled water. The mixture was stirred thoroughly to ensure even distribution. Care was taken during dilution, as even weak acids can cause irritation if mishandled.</w:t>
      </w:r>
    </w:p>
    <w:p w14:paraId="2C351C6F"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2.5.5 Acetic Anhydride Solution (0.5%)</w:t>
      </w:r>
    </w:p>
    <w:p w14:paraId="0C908E64"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For the acetic anhydride solution, 0.5 mL of acetic anhydride was added slowly to 100 mL of distilled water under continuous stirring. The addition was carried out cautiously, given the reactive nature of acetic anhydride with water. The resulting mixture was stored in a tightly sealed container.</w:t>
      </w:r>
    </w:p>
    <w:p w14:paraId="20B3516C" w14:textId="77777777" w:rsidR="0092710F" w:rsidRDefault="00000000">
      <w:pPr>
        <w:jc w:val="both"/>
        <w:rPr>
          <w:rFonts w:ascii="Times New Roman" w:eastAsia="Calibri" w:hAnsi="Times New Roman"/>
          <w:sz w:val="24"/>
          <w:szCs w:val="24"/>
        </w:rPr>
      </w:pPr>
      <w:proofErr w:type="gramStart"/>
      <w:r>
        <w:rPr>
          <w:rFonts w:ascii="Times New Roman" w:eastAsia="Calibri" w:hAnsi="Times New Roman"/>
          <w:sz w:val="24"/>
          <w:szCs w:val="24"/>
        </w:rPr>
        <w:t>2.5.6  Hydrochloric</w:t>
      </w:r>
      <w:proofErr w:type="gramEnd"/>
      <w:r>
        <w:rPr>
          <w:rFonts w:ascii="Times New Roman" w:eastAsia="Calibri" w:hAnsi="Times New Roman"/>
          <w:sz w:val="24"/>
          <w:szCs w:val="24"/>
        </w:rPr>
        <w:t xml:space="preserve"> Acid Solution (5%)</w:t>
      </w:r>
    </w:p>
    <w:p w14:paraId="1A474D77"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 5% hydrochloric acid solution was prepared by diluting concentrated HCl with distilled water inside a fume hood. The acid was added gradually to water, following established safety practice, as reversing this order can result in violent splashing due to heat release. The prepared solution was stored in an acid-resistant container.</w:t>
      </w:r>
    </w:p>
    <w:p w14:paraId="3C738EAB"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2.5.7 Copper Acetate Solution (5%)</w:t>
      </w:r>
    </w:p>
    <w:p w14:paraId="3835180E"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Copper acetate solution was prepared by dissolving 5 g of the salt in 100 ml of distilled water. Stirring was continued until the solution became clear. The solution was then stored in a labeled bottle for later use in phytochemical tests.</w:t>
      </w:r>
    </w:p>
    <w:p w14:paraId="67E89412" w14:textId="77777777" w:rsidR="0092710F" w:rsidRDefault="00000000">
      <w:pPr>
        <w:jc w:val="both"/>
        <w:rPr>
          <w:rFonts w:ascii="Times New Roman" w:eastAsia="Calibri" w:hAnsi="Times New Roman"/>
          <w:b/>
          <w:sz w:val="24"/>
          <w:szCs w:val="24"/>
        </w:rPr>
      </w:pPr>
      <w:r>
        <w:rPr>
          <w:rFonts w:ascii="Times New Roman" w:eastAsia="Calibri" w:hAnsi="Times New Roman"/>
          <w:b/>
          <w:sz w:val="24"/>
          <w:szCs w:val="24"/>
        </w:rPr>
        <w:t xml:space="preserve"> 2.6 PHYTOCHEMICAL SCREENING</w:t>
      </w:r>
    </w:p>
    <w:p w14:paraId="60855F36"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Preliminary phytochemical screening was carried out to identify the presence of key bioactive constituents within the plant extracts. These qualitative tests provide an initial indication of chemical composition and, by extension, possible mechanisms of corrosion inhibition. While such tests are widely used, it should be noted that they </w:t>
      </w:r>
      <w:r>
        <w:rPr>
          <w:rFonts w:ascii="Times New Roman" w:eastAsia="Calibri" w:hAnsi="Times New Roman"/>
          <w:sz w:val="24"/>
          <w:szCs w:val="24"/>
        </w:rPr>
        <w:lastRenderedPageBreak/>
        <w:t xml:space="preserve">offer indicative rather than quantitative results and may occasionally yield ambiguous </w:t>
      </w:r>
      <w:proofErr w:type="spellStart"/>
      <w:r>
        <w:rPr>
          <w:rFonts w:ascii="Times New Roman" w:eastAsia="Calibri" w:hAnsi="Times New Roman"/>
          <w:sz w:val="24"/>
          <w:szCs w:val="24"/>
        </w:rPr>
        <w:t>colour</w:t>
      </w:r>
      <w:proofErr w:type="spellEnd"/>
      <w:r>
        <w:rPr>
          <w:rFonts w:ascii="Times New Roman" w:eastAsia="Calibri" w:hAnsi="Times New Roman"/>
          <w:sz w:val="24"/>
          <w:szCs w:val="24"/>
        </w:rPr>
        <w:t xml:space="preserve"> changes depending on concentration and observer interpretation (</w:t>
      </w:r>
      <w:r>
        <w:rPr>
          <w:rFonts w:ascii="Times New Roman" w:eastAsia="DengXian" w:hAnsi="Times New Roman"/>
          <w:sz w:val="24"/>
          <w:szCs w:val="24"/>
        </w:rPr>
        <w:t xml:space="preserve">Maheshwaran </w:t>
      </w:r>
      <w:r>
        <w:rPr>
          <w:rFonts w:ascii="Times New Roman" w:eastAsia="Calibri" w:hAnsi="Times New Roman"/>
          <w:sz w:val="24"/>
          <w:szCs w:val="24"/>
        </w:rPr>
        <w:t>et al., 2024</w:t>
      </w:r>
      <w:proofErr w:type="gramStart"/>
      <w:r>
        <w:rPr>
          <w:rFonts w:ascii="Times New Roman" w:eastAsia="Calibri" w:hAnsi="Times New Roman"/>
          <w:sz w:val="24"/>
          <w:szCs w:val="24"/>
        </w:rPr>
        <w:t>) .</w:t>
      </w:r>
      <w:proofErr w:type="gramEnd"/>
    </w:p>
    <w:p w14:paraId="77A2914D"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2.6.1 Detection of Alkaloids</w:t>
      </w:r>
    </w:p>
    <w:p w14:paraId="32AD2C63"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Two </w:t>
      </w:r>
      <w:proofErr w:type="gramStart"/>
      <w:r>
        <w:rPr>
          <w:rFonts w:ascii="Times New Roman" w:eastAsia="Calibri" w:hAnsi="Times New Roman"/>
          <w:sz w:val="24"/>
          <w:szCs w:val="24"/>
        </w:rPr>
        <w:t>milliliter</w:t>
      </w:r>
      <w:proofErr w:type="gramEnd"/>
      <w:r>
        <w:rPr>
          <w:rFonts w:ascii="Times New Roman" w:eastAsia="Calibri" w:hAnsi="Times New Roman"/>
          <w:sz w:val="24"/>
          <w:szCs w:val="24"/>
        </w:rPr>
        <w:t xml:space="preserve"> of the extract were acidified with 5% hydrochloric acid, after which Mayer’s reagent was added drop wise. The formation of a creamy or </w:t>
      </w:r>
      <w:proofErr w:type="gramStart"/>
      <w:r>
        <w:rPr>
          <w:rFonts w:ascii="Times New Roman" w:eastAsia="Calibri" w:hAnsi="Times New Roman"/>
          <w:sz w:val="24"/>
          <w:szCs w:val="24"/>
        </w:rPr>
        <w:t>pale yellow</w:t>
      </w:r>
      <w:proofErr w:type="gramEnd"/>
      <w:r>
        <w:rPr>
          <w:rFonts w:ascii="Times New Roman" w:eastAsia="Calibri" w:hAnsi="Times New Roman"/>
          <w:sz w:val="24"/>
          <w:szCs w:val="24"/>
        </w:rPr>
        <w:t xml:space="preserve"> precipitate was taken as evidence of alkaloids.</w:t>
      </w:r>
    </w:p>
    <w:p w14:paraId="388C9DB8"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w:t>
      </w:r>
      <w:proofErr w:type="gramStart"/>
      <w:r>
        <w:rPr>
          <w:rFonts w:ascii="Times New Roman" w:eastAsia="Calibri" w:hAnsi="Times New Roman"/>
          <w:sz w:val="24"/>
          <w:szCs w:val="24"/>
        </w:rPr>
        <w:t>6..</w:t>
      </w:r>
      <w:proofErr w:type="gramEnd"/>
      <w:r>
        <w:rPr>
          <w:rFonts w:ascii="Times New Roman" w:eastAsia="Calibri" w:hAnsi="Times New Roman"/>
          <w:sz w:val="24"/>
          <w:szCs w:val="24"/>
        </w:rPr>
        <w:t>2 Detection of Flavonoids</w:t>
      </w:r>
    </w:p>
    <w:p w14:paraId="058B67D3"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The extract (2 ml) was treated with a few drops of concentrated sulfuric acid. The appearance of an orange coloration suggested the presence of flavonoids, although the intensity of the </w:t>
      </w:r>
      <w:proofErr w:type="spellStart"/>
      <w:r>
        <w:rPr>
          <w:rFonts w:ascii="Times New Roman" w:eastAsia="Calibri" w:hAnsi="Times New Roman"/>
          <w:sz w:val="24"/>
          <w:szCs w:val="24"/>
        </w:rPr>
        <w:t>colour</w:t>
      </w:r>
      <w:proofErr w:type="spellEnd"/>
      <w:r>
        <w:rPr>
          <w:rFonts w:ascii="Times New Roman" w:eastAsia="Calibri" w:hAnsi="Times New Roman"/>
          <w:sz w:val="24"/>
          <w:szCs w:val="24"/>
        </w:rPr>
        <w:t xml:space="preserve"> sometimes varied between samples.</w:t>
      </w:r>
    </w:p>
    <w:p w14:paraId="501AC42C"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2.6.3 Detection of Tannins</w:t>
      </w:r>
    </w:p>
    <w:p w14:paraId="2DE4A081"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Equal volumes of extract and distilled water were mixed, followed by the addition of ferric chloride solution. A greenish or dull green coloration indicated tannins.</w:t>
      </w:r>
    </w:p>
    <w:p w14:paraId="36EE4A82"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2.6.4 Detection of Saponins</w:t>
      </w:r>
    </w:p>
    <w:p w14:paraId="6EAD284D"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Two </w:t>
      </w:r>
      <w:proofErr w:type="spellStart"/>
      <w:r>
        <w:rPr>
          <w:rFonts w:ascii="Times New Roman" w:eastAsia="Calibri" w:hAnsi="Times New Roman"/>
          <w:sz w:val="24"/>
          <w:szCs w:val="24"/>
        </w:rPr>
        <w:t>millilitres</w:t>
      </w:r>
      <w:proofErr w:type="spellEnd"/>
      <w:r>
        <w:rPr>
          <w:rFonts w:ascii="Times New Roman" w:eastAsia="Calibri" w:hAnsi="Times New Roman"/>
          <w:sz w:val="24"/>
          <w:szCs w:val="24"/>
        </w:rPr>
        <w:t xml:space="preserve"> of the extract were diluted and shaken vigorously. Persistent frothing, lasting for several minutes, was interpreted as the presence of saponins. In some cases, foam stability appeared to depend on extract concentration.</w:t>
      </w:r>
    </w:p>
    <w:p w14:paraId="03F01254"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2.6.5 Detection of Resins</w:t>
      </w:r>
    </w:p>
    <w:p w14:paraId="2BFBD9D6"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The extract was treated with acetic anhydride and sulfuric acid. A gradual </w:t>
      </w:r>
      <w:proofErr w:type="spellStart"/>
      <w:r>
        <w:rPr>
          <w:rFonts w:ascii="Times New Roman" w:eastAsia="Calibri" w:hAnsi="Times New Roman"/>
          <w:sz w:val="24"/>
          <w:szCs w:val="24"/>
        </w:rPr>
        <w:t>colour</w:t>
      </w:r>
      <w:proofErr w:type="spellEnd"/>
      <w:r>
        <w:rPr>
          <w:rFonts w:ascii="Times New Roman" w:eastAsia="Calibri" w:hAnsi="Times New Roman"/>
          <w:sz w:val="24"/>
          <w:szCs w:val="24"/>
        </w:rPr>
        <w:t xml:space="preserve"> change from orange to yellow indicated resins.</w:t>
      </w:r>
    </w:p>
    <w:p w14:paraId="77E0BEDB"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2.6.6 Detection of Steroids</w:t>
      </w:r>
    </w:p>
    <w:p w14:paraId="0406C8C7"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A mixture of extract, acetic acid, and sulfuric acid produced a reddish-brown coloration, suggesting steroidal compounds.</w:t>
      </w:r>
    </w:p>
    <w:p w14:paraId="13513F74"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2.6.7 Detection of Terpenoids</w:t>
      </w:r>
    </w:p>
    <w:p w14:paraId="2EFC11B8"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Addition of acetic anhydride to the extract resulted in a bluish-green coloration, indicative of terpenoids.</w:t>
      </w:r>
    </w:p>
    <w:p w14:paraId="17408BC0"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2.6.8 Detection of Phenols</w:t>
      </w:r>
    </w:p>
    <w:p w14:paraId="223DF84E"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The extract was treated with neutral ferric chloride solution. A green or bluish-green </w:t>
      </w:r>
      <w:proofErr w:type="spellStart"/>
      <w:r>
        <w:rPr>
          <w:rFonts w:ascii="Times New Roman" w:eastAsia="Calibri" w:hAnsi="Times New Roman"/>
          <w:sz w:val="24"/>
          <w:szCs w:val="24"/>
        </w:rPr>
        <w:t>colour</w:t>
      </w:r>
      <w:proofErr w:type="spellEnd"/>
      <w:r>
        <w:rPr>
          <w:rFonts w:ascii="Times New Roman" w:eastAsia="Calibri" w:hAnsi="Times New Roman"/>
          <w:sz w:val="24"/>
          <w:szCs w:val="24"/>
        </w:rPr>
        <w:t xml:space="preserve"> confirmed the presence of phenolic compounds.</w:t>
      </w:r>
    </w:p>
    <w:p w14:paraId="3E6B7A9D"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2.6.9 Detection of Glycosides</w:t>
      </w:r>
    </w:p>
    <w:p w14:paraId="3C4BAE4E"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The extract was mixed with acetic acid containing ferric chloride, followed by careful addition of concentrated sulfuric acid. A reddish-brown ring at the interface suggested glycosides.</w:t>
      </w:r>
    </w:p>
    <w:p w14:paraId="3E6AB4F0"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2.6.10 Detection of Diterpenes</w:t>
      </w:r>
    </w:p>
    <w:p w14:paraId="1EAC236C"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Treatment with copper acetate solution produced a green coloration, indicating diterpenes.</w:t>
      </w:r>
    </w:p>
    <w:p w14:paraId="4CD79D9B"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2.6.11 Detection of Quinones</w:t>
      </w:r>
    </w:p>
    <w:p w14:paraId="06C62611"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Addition of sodium hydroxide solution to the extract resulted in a bluish-red precipitate, consistent with quinones.</w:t>
      </w:r>
    </w:p>
    <w:p w14:paraId="7AAF1D15"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2.6.12 Detection of Phytosterols</w:t>
      </w:r>
    </w:p>
    <w:p w14:paraId="2AFBB6B3"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The extract was mixed with chloroform and sulfuric acid. A golden-yellow coloration suggested the presence of phytosterols.</w:t>
      </w:r>
    </w:p>
    <w:p w14:paraId="159CC579" w14:textId="77777777" w:rsidR="0092710F" w:rsidRDefault="00000000">
      <w:pPr>
        <w:jc w:val="both"/>
        <w:rPr>
          <w:rFonts w:ascii="Times New Roman" w:eastAsia="Calibri" w:hAnsi="Times New Roman"/>
          <w:b/>
          <w:sz w:val="24"/>
          <w:szCs w:val="24"/>
        </w:rPr>
      </w:pPr>
      <w:r>
        <w:rPr>
          <w:rFonts w:ascii="Times New Roman" w:eastAsia="Calibri" w:hAnsi="Times New Roman"/>
          <w:b/>
          <w:sz w:val="24"/>
          <w:szCs w:val="24"/>
        </w:rPr>
        <w:t>2.7 SURFACE MORPHOLOGY ANALYSIS USING SCANNING ELECTRON MICROSCOPY (SEM)</w:t>
      </w:r>
    </w:p>
    <w:p w14:paraId="3A5081A2" w14:textId="77777777" w:rsidR="0092710F" w:rsidRDefault="00000000">
      <w:pPr>
        <w:jc w:val="both"/>
        <w:rPr>
          <w:rFonts w:ascii="Times New Roman" w:eastAsia="Calibri" w:hAnsi="Times New Roman"/>
          <w:sz w:val="24"/>
          <w:szCs w:val="24"/>
        </w:rPr>
      </w:pPr>
      <w:proofErr w:type="gramStart"/>
      <w:r>
        <w:rPr>
          <w:rFonts w:ascii="Times New Roman" w:eastAsia="Calibri" w:hAnsi="Times New Roman"/>
          <w:sz w:val="24"/>
          <w:szCs w:val="24"/>
        </w:rPr>
        <w:t>2.7.1  Preparation</w:t>
      </w:r>
      <w:proofErr w:type="gramEnd"/>
      <w:r>
        <w:rPr>
          <w:rFonts w:ascii="Times New Roman" w:eastAsia="Calibri" w:hAnsi="Times New Roman"/>
          <w:sz w:val="24"/>
          <w:szCs w:val="24"/>
        </w:rPr>
        <w:t xml:space="preserve"> of Mild Steel Coupons</w:t>
      </w:r>
    </w:p>
    <w:p w14:paraId="3D89F30D"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Mild steel coupons (Q-235 grade) were prepared by first rinsing with distilled water to remove surface contaminants. After drying, the samples were polished using silicon carbide (</w:t>
      </w:r>
      <w:proofErr w:type="spellStart"/>
      <w:r>
        <w:rPr>
          <w:rFonts w:ascii="Times New Roman" w:eastAsia="Calibri" w:hAnsi="Times New Roman"/>
          <w:sz w:val="24"/>
          <w:szCs w:val="24"/>
        </w:rPr>
        <w:t>SiC</w:t>
      </w:r>
      <w:proofErr w:type="spellEnd"/>
      <w:r>
        <w:rPr>
          <w:rFonts w:ascii="Times New Roman" w:eastAsia="Calibri" w:hAnsi="Times New Roman"/>
          <w:sz w:val="24"/>
          <w:szCs w:val="24"/>
        </w:rPr>
        <w:t xml:space="preserve">) emery papers of progressively finer grit sizes. This step was necessary to obtain a relatively uniform surface, although minor inconsistencies in finish may </w:t>
      </w:r>
      <w:r>
        <w:rPr>
          <w:rFonts w:ascii="Times New Roman" w:eastAsia="Calibri" w:hAnsi="Times New Roman"/>
          <w:sz w:val="24"/>
          <w:szCs w:val="24"/>
        </w:rPr>
        <w:lastRenderedPageBreak/>
        <w:t>still occur due to manual handling. A smooth starting surface is important, as it allows for clearer interpretation of subsequent corrosion features and inhibitor effects (Fischer et al., 2024)</w:t>
      </w:r>
    </w:p>
    <w:p w14:paraId="703E1356"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.2.7.2 Application of Plant Extracts</w:t>
      </w:r>
    </w:p>
    <w:p w14:paraId="1878AD60"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Each plant extract was applied to the steel surface using a clean, non-reactive brush. Care was taken to ensure even coverage, although achieving perfect uniformity across all samples is not always </w:t>
      </w:r>
      <w:proofErr w:type="spellStart"/>
      <w:proofErr w:type="gramStart"/>
      <w:r>
        <w:rPr>
          <w:rFonts w:ascii="Times New Roman" w:eastAsia="Calibri" w:hAnsi="Times New Roman"/>
          <w:sz w:val="24"/>
          <w:szCs w:val="24"/>
        </w:rPr>
        <w:t>straightforward.The</w:t>
      </w:r>
      <w:proofErr w:type="spellEnd"/>
      <w:proofErr w:type="gramEnd"/>
      <w:r>
        <w:rPr>
          <w:rFonts w:ascii="Times New Roman" w:eastAsia="Calibri" w:hAnsi="Times New Roman"/>
          <w:sz w:val="24"/>
          <w:szCs w:val="24"/>
        </w:rPr>
        <w:t xml:space="preserve"> coated samples were then left under ambient laboratory conditions for approximately 20 days. </w:t>
      </w:r>
    </w:p>
    <w:p w14:paraId="689FFB56"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2.7.3 SEM Imaging Procedure</w:t>
      </w:r>
    </w:p>
    <w:p w14:paraId="5C7A0CAC"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After the exposure period, the samples were prepared for SEM analysis. Each coupon was mounted onto an SEM stub using conductive adhesive tape.</w:t>
      </w:r>
    </w:p>
    <w:p w14:paraId="51451B0B"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To reduce charging effects during imaging, a thin gold layer (approximately 5 nm) was deposited using a sputter coater (Quorum Q150R Plus E). The coated samples were then introduced into the chamber of a Phenom </w:t>
      </w:r>
      <w:proofErr w:type="spellStart"/>
      <w:r>
        <w:rPr>
          <w:rFonts w:ascii="Times New Roman" w:eastAsia="Calibri" w:hAnsi="Times New Roman"/>
          <w:sz w:val="24"/>
          <w:szCs w:val="24"/>
        </w:rPr>
        <w:t>ProX</w:t>
      </w:r>
      <w:proofErr w:type="spellEnd"/>
      <w:r>
        <w:rPr>
          <w:rFonts w:ascii="Times New Roman" w:eastAsia="Calibri" w:hAnsi="Times New Roman"/>
          <w:sz w:val="24"/>
          <w:szCs w:val="24"/>
        </w:rPr>
        <w:t xml:space="preserve"> scanning electron microscope (Plate </w:t>
      </w:r>
      <w:proofErr w:type="gramStart"/>
      <w:r>
        <w:rPr>
          <w:rFonts w:ascii="Times New Roman" w:eastAsia="Calibri" w:hAnsi="Times New Roman"/>
          <w:sz w:val="24"/>
          <w:szCs w:val="24"/>
        </w:rPr>
        <w:t>vi )</w:t>
      </w:r>
      <w:proofErr w:type="gramEnd"/>
      <w:r>
        <w:rPr>
          <w:rFonts w:ascii="Times New Roman" w:eastAsia="Calibri" w:hAnsi="Times New Roman"/>
          <w:sz w:val="24"/>
          <w:szCs w:val="24"/>
        </w:rPr>
        <w:t>.</w:t>
      </w:r>
    </w:p>
    <w:p w14:paraId="632B58CC"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Initial alignment and focusing were performed using the integrated navigation system. Micrographs were subsequently captured at different magnifications, allowing detailed observation of surface features such as pits, cracks, and any protective films formed.</w:t>
      </w:r>
    </w:p>
    <w:p w14:paraId="10FA8838" w14:textId="77777777" w:rsidR="0092710F" w:rsidRDefault="00000000">
      <w:pPr>
        <w:jc w:val="both"/>
        <w:rPr>
          <w:rFonts w:ascii="Times New Roman" w:eastAsia="Calibri" w:hAnsi="Times New Roman"/>
          <w:sz w:val="24"/>
          <w:szCs w:val="24"/>
        </w:rPr>
      </w:pPr>
      <w:r>
        <w:rPr>
          <w:rFonts w:ascii="Times New Roman" w:hAnsi="Times New Roman"/>
          <w:noProof/>
          <w:sz w:val="24"/>
          <w:szCs w:val="24"/>
        </w:rPr>
        <w:drawing>
          <wp:inline distT="0" distB="0" distL="0" distR="0" wp14:anchorId="151F9149" wp14:editId="77154BD2">
            <wp:extent cx="4276725" cy="2733675"/>
            <wp:effectExtent l="0" t="0" r="9525" b="9525"/>
            <wp:docPr id="13" name="Picture 13" descr="C:\Users\USER\AppData\Local\Temp\ksohtml10592\wp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USER\AppData\Local\Temp\ksohtml10592\wps1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276725" cy="2733675"/>
                    </a:xfrm>
                    <a:prstGeom prst="rect">
                      <a:avLst/>
                    </a:prstGeom>
                    <a:noFill/>
                    <a:ln>
                      <a:noFill/>
                    </a:ln>
                  </pic:spPr>
                </pic:pic>
              </a:graphicData>
            </a:graphic>
          </wp:inline>
        </w:drawing>
      </w:r>
    </w:p>
    <w:p w14:paraId="7648745A"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Plate vi: Phenom </w:t>
      </w:r>
      <w:proofErr w:type="spellStart"/>
      <w:r>
        <w:rPr>
          <w:rFonts w:ascii="Times New Roman" w:eastAsia="Calibri" w:hAnsi="Times New Roman"/>
          <w:sz w:val="24"/>
          <w:szCs w:val="24"/>
        </w:rPr>
        <w:t>ProX</w:t>
      </w:r>
      <w:proofErr w:type="spellEnd"/>
      <w:r>
        <w:rPr>
          <w:rFonts w:ascii="Times New Roman" w:eastAsia="Calibri" w:hAnsi="Times New Roman"/>
          <w:sz w:val="24"/>
          <w:szCs w:val="24"/>
        </w:rPr>
        <w:t xml:space="preserve"> SEM instrument used for surface morphology analysis.</w:t>
      </w:r>
    </w:p>
    <w:p w14:paraId="54A4A0BF"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2.7.4 Image Analysis</w:t>
      </w:r>
    </w:p>
    <w:p w14:paraId="4AB7A98F"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SEM images were </w:t>
      </w:r>
      <w:proofErr w:type="spellStart"/>
      <w:r>
        <w:rPr>
          <w:rFonts w:ascii="Times New Roman" w:eastAsia="Calibri" w:hAnsi="Times New Roman"/>
          <w:sz w:val="24"/>
          <w:szCs w:val="24"/>
        </w:rPr>
        <w:t>analysed</w:t>
      </w:r>
      <w:proofErr w:type="spellEnd"/>
      <w:r>
        <w:rPr>
          <w:rFonts w:ascii="Times New Roman" w:eastAsia="Calibri" w:hAnsi="Times New Roman"/>
          <w:sz w:val="24"/>
          <w:szCs w:val="24"/>
        </w:rPr>
        <w:t xml:space="preserve"> using Image J software. Specific regions of interest were selected, and parameters such as surface coverage, particle distribution, roundness, and roughness were quantified.</w:t>
      </w:r>
    </w:p>
    <w:p w14:paraId="02F0BB8E"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These measurements provided a basis for comparing inhibited and uninhibited samples. </w:t>
      </w:r>
    </w:p>
    <w:p w14:paraId="6857D993" w14:textId="77777777" w:rsidR="0092710F" w:rsidRDefault="00000000">
      <w:pPr>
        <w:jc w:val="both"/>
        <w:rPr>
          <w:rFonts w:ascii="Times New Roman" w:eastAsia="Calibri" w:hAnsi="Times New Roman"/>
          <w:b/>
          <w:sz w:val="24"/>
          <w:szCs w:val="24"/>
        </w:rPr>
      </w:pPr>
      <w:r>
        <w:rPr>
          <w:rFonts w:ascii="Times New Roman" w:eastAsia="Calibri" w:hAnsi="Times New Roman"/>
          <w:b/>
          <w:sz w:val="24"/>
          <w:szCs w:val="24"/>
        </w:rPr>
        <w:t xml:space="preserve"> 3.0 RESULTS AND DISCUSSION</w:t>
      </w:r>
    </w:p>
    <w:p w14:paraId="0D42D5F1" w14:textId="6A170F1A" w:rsidR="0092710F" w:rsidRDefault="00912C31">
      <w:pPr>
        <w:jc w:val="both"/>
        <w:rPr>
          <w:rFonts w:ascii="Times New Roman" w:eastAsia="Calibri" w:hAnsi="Times New Roman"/>
          <w:sz w:val="24"/>
          <w:szCs w:val="24"/>
        </w:rPr>
      </w:pPr>
      <w:r>
        <w:rPr>
          <w:rFonts w:ascii="Times New Roman" w:eastAsia="Calibri" w:hAnsi="Times New Roman"/>
          <w:sz w:val="24"/>
          <w:szCs w:val="24"/>
        </w:rPr>
        <w:t>Table 1: The qualitative phytochemical screening of the selected plant extracts is presented.</w:t>
      </w:r>
    </w:p>
    <w:p w14:paraId="58163A7E"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 </w:t>
      </w:r>
    </w:p>
    <w:tbl>
      <w:tblPr>
        <w:tblStyle w:val="ListTable6Colorful1"/>
        <w:tblW w:w="9570" w:type="dxa"/>
        <w:tblBorders>
          <w:insideH w:val="outset" w:sz="6" w:space="0" w:color="auto"/>
          <w:insideV w:val="outset" w:sz="6" w:space="0" w:color="auto"/>
        </w:tblBorders>
        <w:tblLayout w:type="fixed"/>
        <w:tblLook w:val="04A0" w:firstRow="1" w:lastRow="0" w:firstColumn="1" w:lastColumn="0" w:noHBand="0" w:noVBand="1"/>
      </w:tblPr>
      <w:tblGrid>
        <w:gridCol w:w="1922"/>
        <w:gridCol w:w="1864"/>
        <w:gridCol w:w="1977"/>
        <w:gridCol w:w="2167"/>
        <w:gridCol w:w="1640"/>
      </w:tblGrid>
      <w:tr w:rsidR="0092710F" w14:paraId="346F6C62" w14:textId="77777777" w:rsidTr="0092710F">
        <w:trPr>
          <w:cnfStyle w:val="100000000000" w:firstRow="1" w:lastRow="0" w:firstColumn="0" w:lastColumn="0" w:oddVBand="0" w:evenVBand="0" w:oddHBand="0"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922" w:type="dxa"/>
            <w:tcBorders>
              <w:top w:val="single" w:sz="4" w:space="0" w:color="000000"/>
              <w:left w:val="nil"/>
              <w:right w:val="nil"/>
            </w:tcBorders>
          </w:tcPr>
          <w:p w14:paraId="67CED999" w14:textId="77777777" w:rsidR="0092710F" w:rsidRDefault="00000000">
            <w:pPr>
              <w:pStyle w:val="NormalWeb"/>
              <w:spacing w:after="0" w:afterAutospacing="0" w:line="360" w:lineRule="auto"/>
              <w:jc w:val="both"/>
              <w:rPr>
                <w:b w:val="0"/>
                <w:bCs w:val="0"/>
              </w:rPr>
            </w:pPr>
            <w:r>
              <w:rPr>
                <w:b w:val="0"/>
                <w:bCs w:val="0"/>
              </w:rPr>
              <w:t>TEST</w:t>
            </w:r>
          </w:p>
        </w:tc>
        <w:tc>
          <w:tcPr>
            <w:tcW w:w="1864" w:type="dxa"/>
            <w:tcBorders>
              <w:top w:val="single" w:sz="4" w:space="0" w:color="000000"/>
              <w:left w:val="nil"/>
              <w:right w:val="nil"/>
            </w:tcBorders>
          </w:tcPr>
          <w:p w14:paraId="057EBD05" w14:textId="77777777" w:rsidR="0092710F" w:rsidRDefault="00000000">
            <w:pPr>
              <w:pStyle w:val="NormalWeb"/>
              <w:spacing w:after="0" w:afterAutospacing="0" w:line="360" w:lineRule="auto"/>
              <w:jc w:val="both"/>
              <w:cnfStyle w:val="100000000000" w:firstRow="1" w:lastRow="0" w:firstColumn="0" w:lastColumn="0" w:oddVBand="0" w:evenVBand="0" w:oddHBand="0" w:evenHBand="0" w:firstRowFirstColumn="0" w:firstRowLastColumn="0" w:lastRowFirstColumn="0" w:lastRowLastColumn="0"/>
            </w:pPr>
            <w:r>
              <w:rPr>
                <w:b w:val="0"/>
                <w:bCs w:val="0"/>
                <w:i/>
              </w:rPr>
              <w:t xml:space="preserve">C. </w:t>
            </w:r>
            <w:proofErr w:type="spellStart"/>
            <w:r>
              <w:rPr>
                <w:b w:val="0"/>
                <w:bCs w:val="0"/>
                <w:i/>
              </w:rPr>
              <w:t>Procera</w:t>
            </w:r>
            <w:proofErr w:type="spellEnd"/>
            <w:r>
              <w:rPr>
                <w:b w:val="0"/>
                <w:bCs w:val="0"/>
                <w:i/>
              </w:rPr>
              <w:t xml:space="preserve"> </w:t>
            </w:r>
            <w:r>
              <w:rPr>
                <w:b w:val="0"/>
                <w:bCs w:val="0"/>
                <w:i/>
                <w:vertAlign w:val="subscript"/>
              </w:rPr>
              <w:t xml:space="preserve">+ </w:t>
            </w:r>
            <w:r>
              <w:rPr>
                <w:b w:val="0"/>
                <w:bCs w:val="0"/>
                <w:i/>
              </w:rPr>
              <w:t xml:space="preserve">E. </w:t>
            </w:r>
            <w:proofErr w:type="spellStart"/>
            <w:r>
              <w:rPr>
                <w:b w:val="0"/>
                <w:bCs w:val="0"/>
                <w:i/>
              </w:rPr>
              <w:t>Kamerunica</w:t>
            </w:r>
            <w:proofErr w:type="spellEnd"/>
            <w:r>
              <w:rPr>
                <w:b w:val="0"/>
                <w:bCs w:val="0"/>
                <w:i/>
              </w:rPr>
              <w:t xml:space="preserve"> </w:t>
            </w:r>
            <w:r>
              <w:rPr>
                <w:b w:val="0"/>
                <w:bCs w:val="0"/>
              </w:rPr>
              <w:t>Pax (50:50)</w:t>
            </w:r>
          </w:p>
        </w:tc>
        <w:tc>
          <w:tcPr>
            <w:tcW w:w="1977" w:type="dxa"/>
            <w:tcBorders>
              <w:top w:val="single" w:sz="4" w:space="0" w:color="000000"/>
              <w:left w:val="nil"/>
              <w:right w:val="nil"/>
            </w:tcBorders>
          </w:tcPr>
          <w:p w14:paraId="6A2614A6" w14:textId="77777777" w:rsidR="0092710F" w:rsidRDefault="00000000">
            <w:pPr>
              <w:pStyle w:val="NormalWeb"/>
              <w:spacing w:after="0" w:afterAutospacing="0" w:line="360" w:lineRule="auto"/>
              <w:ind w:leftChars="327" w:left="654"/>
              <w:jc w:val="both"/>
              <w:cnfStyle w:val="100000000000" w:firstRow="1" w:lastRow="0" w:firstColumn="0" w:lastColumn="0" w:oddVBand="0" w:evenVBand="0" w:oddHBand="0" w:evenHBand="0" w:firstRowFirstColumn="0" w:firstRowLastColumn="0" w:lastRowFirstColumn="0" w:lastRowLastColumn="0"/>
              <w:rPr>
                <w:b w:val="0"/>
                <w:bCs w:val="0"/>
              </w:rPr>
            </w:pPr>
            <w:proofErr w:type="spellStart"/>
            <w:r>
              <w:rPr>
                <w:b w:val="0"/>
                <w:bCs w:val="0"/>
                <w:i/>
              </w:rPr>
              <w:t>Cymbopog</w:t>
            </w:r>
            <w:proofErr w:type="spellEnd"/>
            <w:r>
              <w:rPr>
                <w:b w:val="0"/>
                <w:bCs w:val="0"/>
                <w:i/>
              </w:rPr>
              <w:t xml:space="preserve">-on </w:t>
            </w:r>
            <w:proofErr w:type="spellStart"/>
            <w:r>
              <w:rPr>
                <w:b w:val="0"/>
                <w:bCs w:val="0"/>
                <w:i/>
              </w:rPr>
              <w:t>citratus</w:t>
            </w:r>
            <w:proofErr w:type="spellEnd"/>
            <w:r>
              <w:rPr>
                <w:b w:val="0"/>
                <w:bCs w:val="0"/>
                <w:i/>
              </w:rPr>
              <w:t>,</w:t>
            </w:r>
          </w:p>
        </w:tc>
        <w:tc>
          <w:tcPr>
            <w:tcW w:w="2167" w:type="dxa"/>
            <w:tcBorders>
              <w:top w:val="single" w:sz="4" w:space="0" w:color="000000"/>
              <w:left w:val="nil"/>
              <w:right w:val="nil"/>
            </w:tcBorders>
          </w:tcPr>
          <w:p w14:paraId="51F3081C" w14:textId="77777777" w:rsidR="0092710F" w:rsidRDefault="00000000">
            <w:pPr>
              <w:pStyle w:val="NormalWeb"/>
              <w:spacing w:after="0" w:afterAutospacing="0" w:line="360" w:lineRule="auto"/>
              <w:ind w:firstLineChars="100" w:firstLine="240"/>
              <w:jc w:val="both"/>
              <w:cnfStyle w:val="100000000000" w:firstRow="1" w:lastRow="0" w:firstColumn="0" w:lastColumn="0" w:oddVBand="0" w:evenVBand="0" w:oddHBand="0" w:evenHBand="0" w:firstRowFirstColumn="0" w:firstRowLastColumn="0" w:lastRowFirstColumn="0" w:lastRowLastColumn="0"/>
            </w:pPr>
            <w:r>
              <w:rPr>
                <w:b w:val="0"/>
                <w:bCs w:val="0"/>
                <w:i/>
              </w:rPr>
              <w:t xml:space="preserve">Camellia </w:t>
            </w:r>
            <w:proofErr w:type="spellStart"/>
            <w:r>
              <w:rPr>
                <w:b w:val="0"/>
                <w:bCs w:val="0"/>
                <w:i/>
              </w:rPr>
              <w:t>sinesid</w:t>
            </w:r>
            <w:proofErr w:type="spellEnd"/>
          </w:p>
        </w:tc>
        <w:tc>
          <w:tcPr>
            <w:tcW w:w="1640" w:type="dxa"/>
            <w:tcBorders>
              <w:top w:val="single" w:sz="4" w:space="0" w:color="000000"/>
              <w:left w:val="nil"/>
              <w:right w:val="nil"/>
            </w:tcBorders>
          </w:tcPr>
          <w:p w14:paraId="738AF1E9" w14:textId="77777777" w:rsidR="0092710F" w:rsidRDefault="00000000">
            <w:pPr>
              <w:pStyle w:val="NormalWeb"/>
              <w:spacing w:after="0" w:afterAutospacing="0" w:line="360" w:lineRule="auto"/>
              <w:jc w:val="both"/>
              <w:cnfStyle w:val="100000000000" w:firstRow="1" w:lastRow="0" w:firstColumn="0" w:lastColumn="0" w:oddVBand="0" w:evenVBand="0" w:oddHBand="0" w:evenHBand="0" w:firstRowFirstColumn="0" w:firstRowLastColumn="0" w:lastRowFirstColumn="0" w:lastRowLastColumn="0"/>
            </w:pPr>
            <w:proofErr w:type="spellStart"/>
            <w:r>
              <w:rPr>
                <w:b w:val="0"/>
                <w:bCs w:val="0"/>
                <w:i/>
              </w:rPr>
              <w:t>Azadirachta</w:t>
            </w:r>
            <w:proofErr w:type="spellEnd"/>
            <w:r>
              <w:rPr>
                <w:b w:val="0"/>
                <w:bCs w:val="0"/>
                <w:i/>
              </w:rPr>
              <w:t xml:space="preserve"> indica.</w:t>
            </w:r>
          </w:p>
        </w:tc>
      </w:tr>
      <w:tr w:rsidR="0092710F" w14:paraId="0D38BA9F" w14:textId="77777777" w:rsidTr="0092710F">
        <w:trPr>
          <w:trHeight w:val="311"/>
        </w:trPr>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319DC571" w14:textId="77777777" w:rsidR="0092710F" w:rsidRDefault="00000000">
            <w:pPr>
              <w:pStyle w:val="NormalWeb"/>
              <w:spacing w:line="360" w:lineRule="auto"/>
              <w:jc w:val="both"/>
            </w:pPr>
            <w:r>
              <w:rPr>
                <w:b w:val="0"/>
                <w:bCs w:val="0"/>
              </w:rPr>
              <w:lastRenderedPageBreak/>
              <w:t>Phenol</w:t>
            </w:r>
          </w:p>
        </w:tc>
        <w:tc>
          <w:tcPr>
            <w:tcW w:w="1864" w:type="dxa"/>
            <w:tcBorders>
              <w:top w:val="nil"/>
              <w:left w:val="nil"/>
              <w:bottom w:val="nil"/>
              <w:right w:val="nil"/>
            </w:tcBorders>
          </w:tcPr>
          <w:p w14:paraId="0CAC51BA"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49C7FF99" w14:textId="77777777" w:rsidR="0092710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18A55ECF" w14:textId="77777777" w:rsidR="0092710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1B32F6F4"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41711993"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545C2048" w14:textId="77777777" w:rsidR="0092710F" w:rsidRDefault="00000000">
            <w:pPr>
              <w:pStyle w:val="NormalWeb"/>
              <w:spacing w:line="360" w:lineRule="auto"/>
              <w:jc w:val="both"/>
            </w:pPr>
            <w:r>
              <w:rPr>
                <w:b w:val="0"/>
                <w:bCs w:val="0"/>
              </w:rPr>
              <w:t>Flavonoids</w:t>
            </w:r>
          </w:p>
        </w:tc>
        <w:tc>
          <w:tcPr>
            <w:tcW w:w="1864" w:type="dxa"/>
            <w:tcBorders>
              <w:top w:val="nil"/>
              <w:left w:val="nil"/>
              <w:bottom w:val="nil"/>
              <w:right w:val="nil"/>
            </w:tcBorders>
          </w:tcPr>
          <w:p w14:paraId="6D4F3EAC"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1424487E" w14:textId="77777777" w:rsidR="0092710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4EFDD4ED" w14:textId="77777777" w:rsidR="0092710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7ADE690D"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199ECBB3"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2AEEEE00" w14:textId="77777777" w:rsidR="0092710F" w:rsidRDefault="00000000">
            <w:pPr>
              <w:pStyle w:val="NormalWeb"/>
              <w:spacing w:line="360" w:lineRule="auto"/>
              <w:jc w:val="both"/>
            </w:pPr>
            <w:r>
              <w:rPr>
                <w:b w:val="0"/>
                <w:bCs w:val="0"/>
              </w:rPr>
              <w:t>Alkaloids</w:t>
            </w:r>
          </w:p>
        </w:tc>
        <w:tc>
          <w:tcPr>
            <w:tcW w:w="1864" w:type="dxa"/>
            <w:tcBorders>
              <w:top w:val="nil"/>
              <w:left w:val="nil"/>
              <w:bottom w:val="nil"/>
              <w:right w:val="nil"/>
            </w:tcBorders>
          </w:tcPr>
          <w:p w14:paraId="2B2D486C"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03402996" w14:textId="77777777" w:rsidR="0092710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4F880482" w14:textId="77777777" w:rsidR="0092710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3021BEBB"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21FD7309"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7BF95B9B" w14:textId="77777777" w:rsidR="0092710F" w:rsidRDefault="00000000">
            <w:pPr>
              <w:pStyle w:val="NormalWeb"/>
              <w:spacing w:line="360" w:lineRule="auto"/>
              <w:jc w:val="both"/>
            </w:pPr>
            <w:r>
              <w:rPr>
                <w:b w:val="0"/>
                <w:bCs w:val="0"/>
              </w:rPr>
              <w:t>Tannins</w:t>
            </w:r>
          </w:p>
        </w:tc>
        <w:tc>
          <w:tcPr>
            <w:tcW w:w="1864" w:type="dxa"/>
            <w:tcBorders>
              <w:top w:val="nil"/>
              <w:left w:val="nil"/>
              <w:bottom w:val="nil"/>
              <w:right w:val="nil"/>
            </w:tcBorders>
          </w:tcPr>
          <w:p w14:paraId="283C3163"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283F61FB" w14:textId="77777777" w:rsidR="0092710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229EAACF" w14:textId="77777777" w:rsidR="0092710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3C0B8BC2"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3732A311"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1332E6C8" w14:textId="77777777" w:rsidR="0092710F" w:rsidRDefault="00000000">
            <w:pPr>
              <w:pStyle w:val="NormalWeb"/>
              <w:spacing w:line="360" w:lineRule="auto"/>
              <w:jc w:val="both"/>
            </w:pPr>
            <w:r>
              <w:rPr>
                <w:b w:val="0"/>
                <w:bCs w:val="0"/>
              </w:rPr>
              <w:t>Saponin</w:t>
            </w:r>
          </w:p>
        </w:tc>
        <w:tc>
          <w:tcPr>
            <w:tcW w:w="1864" w:type="dxa"/>
            <w:tcBorders>
              <w:top w:val="nil"/>
              <w:left w:val="nil"/>
              <w:bottom w:val="nil"/>
              <w:right w:val="nil"/>
            </w:tcBorders>
          </w:tcPr>
          <w:p w14:paraId="22CC3736"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0F6EE112" w14:textId="77777777" w:rsidR="0092710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2BBD29D6" w14:textId="77777777" w:rsidR="0092710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12FAB65C"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56F2D98B"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2CA68D22" w14:textId="77777777" w:rsidR="0092710F" w:rsidRDefault="00000000">
            <w:pPr>
              <w:pStyle w:val="NormalWeb"/>
              <w:spacing w:line="360" w:lineRule="auto"/>
              <w:jc w:val="both"/>
            </w:pPr>
            <w:r>
              <w:rPr>
                <w:b w:val="0"/>
                <w:bCs w:val="0"/>
              </w:rPr>
              <w:t>Cardenolides</w:t>
            </w:r>
          </w:p>
        </w:tc>
        <w:tc>
          <w:tcPr>
            <w:tcW w:w="1864" w:type="dxa"/>
            <w:tcBorders>
              <w:top w:val="nil"/>
              <w:left w:val="nil"/>
              <w:bottom w:val="nil"/>
              <w:right w:val="nil"/>
            </w:tcBorders>
          </w:tcPr>
          <w:p w14:paraId="0C810F8C"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4E3E1831" w14:textId="77777777" w:rsidR="0092710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3F3301B1" w14:textId="77777777" w:rsidR="0092710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22D4C0BD"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32FB836E"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3D907CE4" w14:textId="77777777" w:rsidR="0092710F" w:rsidRDefault="00000000">
            <w:pPr>
              <w:pStyle w:val="NormalWeb"/>
              <w:spacing w:line="360" w:lineRule="auto"/>
              <w:jc w:val="both"/>
            </w:pPr>
            <w:r>
              <w:rPr>
                <w:b w:val="0"/>
                <w:bCs w:val="0"/>
              </w:rPr>
              <w:t>Steroids</w:t>
            </w:r>
          </w:p>
        </w:tc>
        <w:tc>
          <w:tcPr>
            <w:tcW w:w="1864" w:type="dxa"/>
            <w:tcBorders>
              <w:top w:val="nil"/>
              <w:left w:val="nil"/>
              <w:bottom w:val="nil"/>
              <w:right w:val="nil"/>
            </w:tcBorders>
          </w:tcPr>
          <w:p w14:paraId="6B141709"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7CC496CC" w14:textId="77777777" w:rsidR="0092710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1CDA0AEB" w14:textId="77777777" w:rsidR="0092710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73E1A81E"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7516B86F"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75EDE89A" w14:textId="77777777" w:rsidR="0092710F" w:rsidRDefault="00000000">
            <w:pPr>
              <w:pStyle w:val="NormalWeb"/>
              <w:spacing w:line="360" w:lineRule="auto"/>
              <w:jc w:val="both"/>
            </w:pPr>
            <w:r>
              <w:rPr>
                <w:b w:val="0"/>
                <w:bCs w:val="0"/>
              </w:rPr>
              <w:t>Glycosides</w:t>
            </w:r>
          </w:p>
        </w:tc>
        <w:tc>
          <w:tcPr>
            <w:tcW w:w="1864" w:type="dxa"/>
            <w:tcBorders>
              <w:top w:val="nil"/>
              <w:left w:val="nil"/>
              <w:bottom w:val="nil"/>
              <w:right w:val="nil"/>
            </w:tcBorders>
          </w:tcPr>
          <w:p w14:paraId="43014D63"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2402A91B" w14:textId="77777777" w:rsidR="0092710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151E37FE" w14:textId="77777777" w:rsidR="0092710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4356D42E"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270F1A89"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03AE5E5C" w14:textId="77777777" w:rsidR="0092710F" w:rsidRDefault="00000000">
            <w:pPr>
              <w:pStyle w:val="NormalWeb"/>
              <w:spacing w:line="360" w:lineRule="auto"/>
              <w:jc w:val="both"/>
            </w:pPr>
            <w:r>
              <w:rPr>
                <w:b w:val="0"/>
                <w:bCs w:val="0"/>
              </w:rPr>
              <w:t>Diterpenes</w:t>
            </w:r>
          </w:p>
        </w:tc>
        <w:tc>
          <w:tcPr>
            <w:tcW w:w="1864" w:type="dxa"/>
            <w:tcBorders>
              <w:top w:val="nil"/>
              <w:left w:val="nil"/>
              <w:bottom w:val="nil"/>
              <w:right w:val="nil"/>
            </w:tcBorders>
          </w:tcPr>
          <w:p w14:paraId="53668F6A"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2098C4DA" w14:textId="77777777" w:rsidR="0092710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1FC4B5E4" w14:textId="77777777" w:rsidR="0092710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5882A55F"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50C60793"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0979B843" w14:textId="77777777" w:rsidR="0092710F" w:rsidRDefault="00000000">
            <w:pPr>
              <w:pStyle w:val="NormalWeb"/>
              <w:spacing w:line="360" w:lineRule="auto"/>
              <w:jc w:val="both"/>
            </w:pPr>
            <w:r>
              <w:rPr>
                <w:b w:val="0"/>
                <w:bCs w:val="0"/>
              </w:rPr>
              <w:t>Quinones</w:t>
            </w:r>
          </w:p>
        </w:tc>
        <w:tc>
          <w:tcPr>
            <w:tcW w:w="1864" w:type="dxa"/>
            <w:tcBorders>
              <w:top w:val="nil"/>
              <w:left w:val="nil"/>
              <w:bottom w:val="nil"/>
              <w:right w:val="nil"/>
            </w:tcBorders>
          </w:tcPr>
          <w:p w14:paraId="1D9EA88D"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6AB4E444" w14:textId="77777777" w:rsidR="0092710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38A5E3A3" w14:textId="77777777" w:rsidR="0092710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4F1AC360"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0AADDFE1"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581D7A1A" w14:textId="77777777" w:rsidR="0092710F" w:rsidRDefault="00000000">
            <w:pPr>
              <w:pStyle w:val="NormalWeb"/>
              <w:spacing w:line="360" w:lineRule="auto"/>
              <w:jc w:val="both"/>
            </w:pPr>
            <w:r>
              <w:rPr>
                <w:b w:val="0"/>
                <w:bCs w:val="0"/>
              </w:rPr>
              <w:t>Phytosterols</w:t>
            </w:r>
          </w:p>
        </w:tc>
        <w:tc>
          <w:tcPr>
            <w:tcW w:w="1864" w:type="dxa"/>
            <w:tcBorders>
              <w:top w:val="nil"/>
              <w:left w:val="nil"/>
              <w:bottom w:val="nil"/>
              <w:right w:val="nil"/>
            </w:tcBorders>
          </w:tcPr>
          <w:p w14:paraId="7DE22044"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66FCD553" w14:textId="77777777" w:rsidR="0092710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0C90BE7A" w14:textId="77777777" w:rsidR="0092710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27E80253"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59B18D8E"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4B727748" w14:textId="77777777" w:rsidR="0092710F" w:rsidRDefault="00000000">
            <w:pPr>
              <w:pStyle w:val="NormalWeb"/>
              <w:spacing w:line="360" w:lineRule="auto"/>
              <w:jc w:val="both"/>
            </w:pPr>
            <w:r>
              <w:rPr>
                <w:b w:val="0"/>
                <w:bCs w:val="0"/>
              </w:rPr>
              <w:t>Theaflavins</w:t>
            </w:r>
          </w:p>
        </w:tc>
        <w:tc>
          <w:tcPr>
            <w:tcW w:w="1864" w:type="dxa"/>
            <w:tcBorders>
              <w:top w:val="nil"/>
              <w:left w:val="nil"/>
              <w:bottom w:val="nil"/>
              <w:right w:val="nil"/>
            </w:tcBorders>
          </w:tcPr>
          <w:p w14:paraId="0156D602"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7B5CBDD3" w14:textId="77777777" w:rsidR="0092710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2FEB4336" w14:textId="77777777" w:rsidR="0092710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6F7E41DC" w14:textId="77777777" w:rsidR="0092710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32914E96" w14:textId="77777777" w:rsidTr="0092710F">
        <w:trPr>
          <w:trHeight w:val="416"/>
        </w:trPr>
        <w:tc>
          <w:tcPr>
            <w:cnfStyle w:val="001000000000" w:firstRow="0" w:lastRow="0" w:firstColumn="1" w:lastColumn="0" w:oddVBand="0" w:evenVBand="0" w:oddHBand="0" w:evenHBand="0" w:firstRowFirstColumn="0" w:firstRowLastColumn="0" w:lastRowFirstColumn="0" w:lastRowLastColumn="0"/>
            <w:tcW w:w="1922" w:type="dxa"/>
            <w:vMerge w:val="restart"/>
            <w:tcBorders>
              <w:top w:val="nil"/>
              <w:left w:val="nil"/>
              <w:bottom w:val="single" w:sz="4" w:space="0" w:color="000000"/>
              <w:right w:val="nil"/>
            </w:tcBorders>
          </w:tcPr>
          <w:p w14:paraId="0B906B83" w14:textId="77777777" w:rsidR="0092710F" w:rsidRDefault="00000000">
            <w:pPr>
              <w:pStyle w:val="NormalWeb"/>
              <w:jc w:val="both"/>
            </w:pPr>
            <w:r>
              <w:rPr>
                <w:b w:val="0"/>
                <w:bCs w:val="0"/>
              </w:rPr>
              <w:t xml:space="preserve"> Resins</w:t>
            </w:r>
          </w:p>
        </w:tc>
        <w:tc>
          <w:tcPr>
            <w:tcW w:w="1864" w:type="dxa"/>
            <w:tcBorders>
              <w:top w:val="nil"/>
              <w:left w:val="nil"/>
              <w:bottom w:val="nil"/>
              <w:right w:val="nil"/>
            </w:tcBorders>
          </w:tcPr>
          <w:p w14:paraId="3E793BC9" w14:textId="77777777" w:rsidR="0092710F" w:rsidRDefault="00000000">
            <w:pPr>
              <w:pStyle w:val="NormalWeb"/>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977" w:type="dxa"/>
            <w:tcBorders>
              <w:top w:val="nil"/>
              <w:left w:val="nil"/>
              <w:bottom w:val="nil"/>
              <w:right w:val="nil"/>
            </w:tcBorders>
          </w:tcPr>
          <w:p w14:paraId="4BF75487" w14:textId="77777777" w:rsidR="0092710F" w:rsidRDefault="00000000">
            <w:pPr>
              <w:pStyle w:val="NormalWeb"/>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2167" w:type="dxa"/>
            <w:tcBorders>
              <w:top w:val="nil"/>
              <w:left w:val="nil"/>
              <w:bottom w:val="nil"/>
              <w:right w:val="nil"/>
            </w:tcBorders>
          </w:tcPr>
          <w:p w14:paraId="6A7295F5" w14:textId="77777777" w:rsidR="0092710F" w:rsidRDefault="00000000">
            <w:pPr>
              <w:pStyle w:val="NormalWeb"/>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c>
          <w:tcPr>
            <w:tcW w:w="1640" w:type="dxa"/>
            <w:tcBorders>
              <w:top w:val="nil"/>
              <w:left w:val="nil"/>
              <w:bottom w:val="nil"/>
              <w:right w:val="nil"/>
            </w:tcBorders>
          </w:tcPr>
          <w:p w14:paraId="48EFCCD1" w14:textId="77777777" w:rsidR="0092710F" w:rsidRDefault="00000000">
            <w:pPr>
              <w:pStyle w:val="NormalWeb"/>
              <w:jc w:val="both"/>
              <w:cnfStyle w:val="000000000000" w:firstRow="0" w:lastRow="0" w:firstColumn="0" w:lastColumn="0" w:oddVBand="0" w:evenVBand="0" w:oddHBand="0" w:evenHBand="0" w:firstRowFirstColumn="0" w:firstRowLastColumn="0" w:lastRowFirstColumn="0" w:lastRowLastColumn="0"/>
              <w:rPr>
                <w:b/>
                <w:bCs/>
              </w:rPr>
            </w:pPr>
            <w:r>
              <w:rPr>
                <w:rFonts w:hint="eastAsia"/>
                <w:b/>
                <w:bCs/>
              </w:rPr>
              <w:t>+</w:t>
            </w:r>
          </w:p>
        </w:tc>
      </w:tr>
      <w:tr w:rsidR="0092710F" w14:paraId="5F869884" w14:textId="77777777" w:rsidTr="0092710F">
        <w:trPr>
          <w:trHeight w:val="77"/>
        </w:trPr>
        <w:tc>
          <w:tcPr>
            <w:cnfStyle w:val="001000000000" w:firstRow="0" w:lastRow="0" w:firstColumn="1" w:lastColumn="0" w:oddVBand="0" w:evenVBand="0" w:oddHBand="0" w:evenHBand="0" w:firstRowFirstColumn="0" w:firstRowLastColumn="0" w:lastRowFirstColumn="0" w:lastRowLastColumn="0"/>
            <w:tcW w:w="1922" w:type="dxa"/>
            <w:vMerge/>
            <w:tcBorders>
              <w:top w:val="nil"/>
              <w:left w:val="nil"/>
              <w:bottom w:val="single" w:sz="4" w:space="0" w:color="000000"/>
              <w:right w:val="nil"/>
            </w:tcBorders>
            <w:vAlign w:val="center"/>
          </w:tcPr>
          <w:p w14:paraId="0B80901C" w14:textId="77777777" w:rsidR="0092710F" w:rsidRDefault="0092710F">
            <w:pPr>
              <w:rPr>
                <w:rFonts w:ascii="Times New Roman" w:eastAsia="SimSun" w:hAnsi="Times New Roman"/>
                <w:b w:val="0"/>
                <w:bCs w:val="0"/>
                <w:sz w:val="24"/>
                <w:szCs w:val="24"/>
              </w:rPr>
            </w:pPr>
          </w:p>
        </w:tc>
        <w:tc>
          <w:tcPr>
            <w:tcW w:w="1864" w:type="dxa"/>
            <w:tcBorders>
              <w:top w:val="nil"/>
              <w:left w:val="nil"/>
              <w:bottom w:val="single" w:sz="4" w:space="0" w:color="000000"/>
              <w:right w:val="nil"/>
            </w:tcBorders>
          </w:tcPr>
          <w:p w14:paraId="5E253DD0" w14:textId="77777777" w:rsidR="0092710F" w:rsidRDefault="0092710F">
            <w:pPr>
              <w:pStyle w:val="NormalWeb"/>
              <w:jc w:val="both"/>
              <w:cnfStyle w:val="000000000000" w:firstRow="0" w:lastRow="0" w:firstColumn="0" w:lastColumn="0" w:oddVBand="0" w:evenVBand="0" w:oddHBand="0" w:evenHBand="0" w:firstRowFirstColumn="0" w:firstRowLastColumn="0" w:lastRowFirstColumn="0" w:lastRowLastColumn="0"/>
            </w:pPr>
          </w:p>
        </w:tc>
        <w:tc>
          <w:tcPr>
            <w:tcW w:w="1977" w:type="dxa"/>
            <w:tcBorders>
              <w:top w:val="nil"/>
              <w:left w:val="nil"/>
              <w:bottom w:val="single" w:sz="4" w:space="0" w:color="000000"/>
              <w:right w:val="nil"/>
            </w:tcBorders>
          </w:tcPr>
          <w:p w14:paraId="55C144E1" w14:textId="77777777" w:rsidR="0092710F" w:rsidRDefault="0092710F">
            <w:pPr>
              <w:pStyle w:val="NormalWeb"/>
              <w:jc w:val="both"/>
              <w:cnfStyle w:val="000000000000" w:firstRow="0" w:lastRow="0" w:firstColumn="0" w:lastColumn="0" w:oddVBand="0" w:evenVBand="0" w:oddHBand="0" w:evenHBand="0" w:firstRowFirstColumn="0" w:firstRowLastColumn="0" w:lastRowFirstColumn="0" w:lastRowLastColumn="0"/>
            </w:pPr>
          </w:p>
        </w:tc>
        <w:tc>
          <w:tcPr>
            <w:tcW w:w="2167" w:type="dxa"/>
            <w:tcBorders>
              <w:top w:val="nil"/>
              <w:left w:val="nil"/>
              <w:bottom w:val="single" w:sz="4" w:space="0" w:color="000000"/>
              <w:right w:val="nil"/>
            </w:tcBorders>
          </w:tcPr>
          <w:p w14:paraId="727C504A" w14:textId="77777777" w:rsidR="0092710F" w:rsidRDefault="0092710F">
            <w:pPr>
              <w:pStyle w:val="NormalWeb"/>
              <w:jc w:val="both"/>
              <w:cnfStyle w:val="000000000000" w:firstRow="0" w:lastRow="0" w:firstColumn="0" w:lastColumn="0" w:oddVBand="0" w:evenVBand="0" w:oddHBand="0" w:evenHBand="0" w:firstRowFirstColumn="0" w:firstRowLastColumn="0" w:lastRowFirstColumn="0" w:lastRowLastColumn="0"/>
            </w:pPr>
          </w:p>
        </w:tc>
        <w:tc>
          <w:tcPr>
            <w:tcW w:w="1640" w:type="dxa"/>
            <w:tcBorders>
              <w:top w:val="nil"/>
              <w:left w:val="nil"/>
              <w:bottom w:val="single" w:sz="4" w:space="0" w:color="000000"/>
              <w:right w:val="nil"/>
            </w:tcBorders>
          </w:tcPr>
          <w:p w14:paraId="26211DF2" w14:textId="77777777" w:rsidR="0092710F" w:rsidRDefault="0092710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bl>
    <w:p w14:paraId="4995E45B" w14:textId="77777777" w:rsidR="0092710F" w:rsidRDefault="00000000">
      <w:pPr>
        <w:pStyle w:val="articlecardabstractabstract-sc-8nze5h-0"/>
        <w:jc w:val="both"/>
        <w:rPr>
          <w:rFonts w:eastAsia="Calibri"/>
        </w:rPr>
      </w:pPr>
      <w:r>
        <w:t xml:space="preserve"> </w:t>
      </w:r>
      <w:proofErr w:type="gramStart"/>
      <w:r>
        <w:rPr>
          <w:i/>
        </w:rPr>
        <w:t>.</w:t>
      </w:r>
      <w:r>
        <w:t>Key</w:t>
      </w:r>
      <w:proofErr w:type="gramEnd"/>
      <w:r>
        <w:t>: + indicate presence of compounds – indicate absence of compounds</w:t>
      </w:r>
    </w:p>
    <w:p w14:paraId="16666030" w14:textId="77777777" w:rsidR="0092710F" w:rsidRDefault="0092710F">
      <w:pPr>
        <w:jc w:val="both"/>
        <w:rPr>
          <w:rFonts w:ascii="Times New Roman" w:eastAsia="Calibri" w:hAnsi="Times New Roman"/>
          <w:sz w:val="24"/>
          <w:szCs w:val="24"/>
        </w:rPr>
      </w:pPr>
    </w:p>
    <w:p w14:paraId="7084BED7" w14:textId="11AB4DF0"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Phytochemical Screening Table 1 focused on identifying the dominant bioactive constituents present in the leaf extracts of </w:t>
      </w:r>
      <w:r>
        <w:rPr>
          <w:rFonts w:ascii="Times New Roman" w:eastAsia="Calibri" w:hAnsi="Times New Roman"/>
          <w:i/>
          <w:sz w:val="24"/>
          <w:szCs w:val="24"/>
        </w:rPr>
        <w:t xml:space="preserve">Calotropis </w:t>
      </w:r>
      <w:proofErr w:type="spellStart"/>
      <w:r>
        <w:rPr>
          <w:rFonts w:ascii="Times New Roman" w:eastAsia="Calibri" w:hAnsi="Times New Roman"/>
          <w:i/>
          <w:sz w:val="24"/>
          <w:szCs w:val="24"/>
        </w:rPr>
        <w:t>procera</w:t>
      </w:r>
      <w:proofErr w:type="spellEnd"/>
      <w:r>
        <w:rPr>
          <w:rFonts w:ascii="Times New Roman" w:eastAsia="Calibri" w:hAnsi="Times New Roman"/>
          <w:i/>
          <w:sz w:val="24"/>
          <w:szCs w:val="24"/>
        </w:rPr>
        <w:t xml:space="preserve">, Euphorbia </w:t>
      </w:r>
      <w:proofErr w:type="spellStart"/>
      <w:r>
        <w:rPr>
          <w:rFonts w:ascii="Times New Roman" w:eastAsia="Calibri" w:hAnsi="Times New Roman"/>
          <w:i/>
          <w:sz w:val="24"/>
          <w:szCs w:val="24"/>
        </w:rPr>
        <w:t>kamerunica</w:t>
      </w:r>
      <w:proofErr w:type="spellEnd"/>
      <w:r>
        <w:rPr>
          <w:rFonts w:ascii="Times New Roman" w:eastAsia="Calibri" w:hAnsi="Times New Roman"/>
          <w:i/>
          <w:sz w:val="24"/>
          <w:szCs w:val="24"/>
        </w:rPr>
        <w:t xml:space="preserve"> Pax, Cymbopogon </w:t>
      </w:r>
      <w:proofErr w:type="spellStart"/>
      <w:r>
        <w:rPr>
          <w:rFonts w:ascii="Times New Roman" w:eastAsia="Calibri" w:hAnsi="Times New Roman"/>
          <w:i/>
          <w:sz w:val="24"/>
          <w:szCs w:val="24"/>
        </w:rPr>
        <w:t>citratus</w:t>
      </w:r>
      <w:proofErr w:type="spellEnd"/>
      <w:r>
        <w:rPr>
          <w:rFonts w:ascii="Times New Roman" w:eastAsia="Calibri" w:hAnsi="Times New Roman"/>
          <w:i/>
          <w:sz w:val="24"/>
          <w:szCs w:val="24"/>
        </w:rPr>
        <w:t>, Camellia sinensis,</w:t>
      </w:r>
      <w:r>
        <w:rPr>
          <w:rFonts w:ascii="Times New Roman" w:eastAsia="Calibri" w:hAnsi="Times New Roman"/>
          <w:sz w:val="24"/>
          <w:szCs w:val="24"/>
        </w:rPr>
        <w:t xml:space="preserve"> and </w:t>
      </w:r>
      <w:proofErr w:type="spellStart"/>
      <w:r>
        <w:rPr>
          <w:rFonts w:ascii="Times New Roman" w:eastAsia="Calibri" w:hAnsi="Times New Roman"/>
          <w:i/>
          <w:sz w:val="24"/>
          <w:szCs w:val="24"/>
        </w:rPr>
        <w:t>Azadirachta</w:t>
      </w:r>
      <w:proofErr w:type="spellEnd"/>
      <w:r>
        <w:rPr>
          <w:rFonts w:ascii="Times New Roman" w:eastAsia="Calibri" w:hAnsi="Times New Roman"/>
          <w:i/>
          <w:sz w:val="24"/>
          <w:szCs w:val="24"/>
        </w:rPr>
        <w:t xml:space="preserve"> indica</w:t>
      </w:r>
      <w:r>
        <w:rPr>
          <w:rFonts w:ascii="Times New Roman" w:eastAsia="Calibri" w:hAnsi="Times New Roman"/>
          <w:sz w:val="24"/>
          <w:szCs w:val="24"/>
        </w:rPr>
        <w:t xml:space="preserve">. In addition to the individual extracts, a binary mixture of </w:t>
      </w:r>
      <w:r>
        <w:rPr>
          <w:rFonts w:ascii="Times New Roman" w:eastAsia="Calibri" w:hAnsi="Times New Roman"/>
          <w:i/>
          <w:sz w:val="24"/>
          <w:szCs w:val="24"/>
        </w:rPr>
        <w:t xml:space="preserve">Calotropis </w:t>
      </w:r>
      <w:proofErr w:type="spellStart"/>
      <w:r>
        <w:rPr>
          <w:rFonts w:ascii="Times New Roman" w:eastAsia="Calibri" w:hAnsi="Times New Roman"/>
          <w:i/>
          <w:sz w:val="24"/>
          <w:szCs w:val="24"/>
        </w:rPr>
        <w:t>procera</w:t>
      </w:r>
      <w:proofErr w:type="spellEnd"/>
      <w:r>
        <w:rPr>
          <w:rFonts w:ascii="Times New Roman" w:eastAsia="Calibri" w:hAnsi="Times New Roman"/>
          <w:i/>
          <w:sz w:val="24"/>
          <w:szCs w:val="24"/>
        </w:rPr>
        <w:t xml:space="preserve"> </w:t>
      </w:r>
      <w:r>
        <w:rPr>
          <w:rFonts w:ascii="Times New Roman" w:eastAsia="Calibri" w:hAnsi="Times New Roman"/>
          <w:sz w:val="24"/>
          <w:szCs w:val="24"/>
        </w:rPr>
        <w:t xml:space="preserve">and </w:t>
      </w:r>
      <w:r>
        <w:rPr>
          <w:rFonts w:ascii="Times New Roman" w:eastAsia="Calibri" w:hAnsi="Times New Roman"/>
          <w:i/>
          <w:sz w:val="24"/>
          <w:szCs w:val="24"/>
        </w:rPr>
        <w:t xml:space="preserve">Euphorbia </w:t>
      </w:r>
      <w:proofErr w:type="spellStart"/>
      <w:r>
        <w:rPr>
          <w:rFonts w:ascii="Times New Roman" w:eastAsia="Calibri" w:hAnsi="Times New Roman"/>
          <w:i/>
          <w:sz w:val="24"/>
          <w:szCs w:val="24"/>
        </w:rPr>
        <w:t>kamerunica</w:t>
      </w:r>
      <w:proofErr w:type="spellEnd"/>
      <w:r>
        <w:rPr>
          <w:rFonts w:ascii="Times New Roman" w:eastAsia="Calibri" w:hAnsi="Times New Roman"/>
          <w:i/>
          <w:sz w:val="24"/>
          <w:szCs w:val="24"/>
        </w:rPr>
        <w:t xml:space="preserve"> Pax</w:t>
      </w:r>
      <w:r>
        <w:rPr>
          <w:rFonts w:ascii="Times New Roman" w:eastAsia="Calibri" w:hAnsi="Times New Roman"/>
          <w:sz w:val="24"/>
          <w:szCs w:val="24"/>
        </w:rPr>
        <w:t xml:space="preserve"> (50:50) was examined, partly to explore whether combining two chemically active systems might yield a more pronounced inhibitory response.</w:t>
      </w:r>
    </w:p>
    <w:p w14:paraId="2F9A4128" w14:textId="73D99C78"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As indicated in Table 1, the extracts contain a wide range of phytochemicals—phenols, flavonoids, alkaloids, tannins, saponins, steroids, glycosides, diterpenes, quinones, phytosterols, theaflavins, and resins. These classes of compounds are frequently associated with corrosion inhibition, largely because of their ability to interact with metal surfaces through adsorption and, in some cases, weak complex formation (Verma </w:t>
      </w:r>
      <w:r>
        <w:rPr>
          <w:rFonts w:ascii="Times New Roman" w:eastAsia="Calibri" w:hAnsi="Times New Roman"/>
          <w:iCs/>
          <w:sz w:val="24"/>
          <w:szCs w:val="24"/>
        </w:rPr>
        <w:t>et al</w:t>
      </w:r>
      <w:r>
        <w:rPr>
          <w:rFonts w:ascii="Times New Roman" w:eastAsia="Calibri" w:hAnsi="Times New Roman"/>
          <w:i/>
          <w:sz w:val="24"/>
          <w:szCs w:val="24"/>
        </w:rPr>
        <w:t>.</w:t>
      </w:r>
      <w:r>
        <w:rPr>
          <w:rFonts w:ascii="Times New Roman" w:eastAsia="Calibri" w:hAnsi="Times New Roman"/>
          <w:sz w:val="24"/>
          <w:szCs w:val="24"/>
        </w:rPr>
        <w:t xml:space="preserve">, 2021; Soltani </w:t>
      </w:r>
      <w:r>
        <w:rPr>
          <w:rFonts w:ascii="Times New Roman" w:eastAsia="Calibri" w:hAnsi="Times New Roman"/>
          <w:iCs/>
          <w:sz w:val="24"/>
          <w:szCs w:val="24"/>
        </w:rPr>
        <w:t>et al</w:t>
      </w:r>
      <w:r>
        <w:rPr>
          <w:rFonts w:ascii="Times New Roman" w:eastAsia="Calibri" w:hAnsi="Times New Roman"/>
          <w:i/>
          <w:sz w:val="24"/>
          <w:szCs w:val="24"/>
        </w:rPr>
        <w:t>.</w:t>
      </w:r>
      <w:r>
        <w:rPr>
          <w:rFonts w:ascii="Times New Roman" w:eastAsia="Calibri" w:hAnsi="Times New Roman"/>
          <w:sz w:val="24"/>
          <w:szCs w:val="24"/>
        </w:rPr>
        <w:t>, 2025). Still, it would be an oversimplification to assume that mere presence guarantees effectiveness; the relative abundance and molecular structure of these constituents often matter just as much.</w:t>
      </w:r>
    </w:p>
    <w:p w14:paraId="4BC26988"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A more careful look at the dataset reveals subtle but meaningful differences among the extracts. The blended system of </w:t>
      </w:r>
      <w:r>
        <w:rPr>
          <w:rFonts w:ascii="Times New Roman" w:eastAsia="Calibri" w:hAnsi="Times New Roman"/>
          <w:i/>
          <w:sz w:val="24"/>
          <w:szCs w:val="24"/>
        </w:rPr>
        <w:t xml:space="preserve">Calotropis </w:t>
      </w:r>
      <w:proofErr w:type="spellStart"/>
      <w:r>
        <w:rPr>
          <w:rFonts w:ascii="Times New Roman" w:eastAsia="Calibri" w:hAnsi="Times New Roman"/>
          <w:i/>
          <w:sz w:val="24"/>
          <w:szCs w:val="24"/>
        </w:rPr>
        <w:t>procera</w:t>
      </w:r>
      <w:proofErr w:type="spellEnd"/>
      <w:r>
        <w:rPr>
          <w:rFonts w:ascii="Times New Roman" w:eastAsia="Calibri" w:hAnsi="Times New Roman"/>
          <w:sz w:val="24"/>
          <w:szCs w:val="24"/>
        </w:rPr>
        <w:t xml:space="preserve"> and </w:t>
      </w:r>
      <w:r>
        <w:rPr>
          <w:rFonts w:ascii="Times New Roman" w:eastAsia="Calibri" w:hAnsi="Times New Roman"/>
          <w:i/>
          <w:sz w:val="24"/>
          <w:szCs w:val="24"/>
        </w:rPr>
        <w:t xml:space="preserve">Euphorbia </w:t>
      </w:r>
      <w:proofErr w:type="spellStart"/>
      <w:r>
        <w:rPr>
          <w:rFonts w:ascii="Times New Roman" w:eastAsia="Calibri" w:hAnsi="Times New Roman"/>
          <w:i/>
          <w:sz w:val="24"/>
          <w:szCs w:val="24"/>
        </w:rPr>
        <w:t>kamerunica</w:t>
      </w:r>
      <w:proofErr w:type="spellEnd"/>
      <w:r>
        <w:rPr>
          <w:rFonts w:ascii="Times New Roman" w:eastAsia="Calibri" w:hAnsi="Times New Roman"/>
          <w:i/>
          <w:sz w:val="24"/>
          <w:szCs w:val="24"/>
        </w:rPr>
        <w:t xml:space="preserve"> Pax</w:t>
      </w:r>
      <w:r>
        <w:rPr>
          <w:rFonts w:ascii="Times New Roman" w:eastAsia="Calibri" w:hAnsi="Times New Roman"/>
          <w:sz w:val="24"/>
          <w:szCs w:val="24"/>
        </w:rPr>
        <w:t>, for instance, did not show the presence of theaflavins</w:t>
      </w:r>
      <w:r>
        <w:rPr>
          <w:rFonts w:ascii="Times New Roman" w:eastAsia="Calibri" w:hAnsi="Times New Roman"/>
          <w:i/>
          <w:sz w:val="24"/>
          <w:szCs w:val="24"/>
        </w:rPr>
        <w:t xml:space="preserve">. Cymbopogon </w:t>
      </w:r>
      <w:proofErr w:type="spellStart"/>
      <w:r>
        <w:rPr>
          <w:rFonts w:ascii="Times New Roman" w:eastAsia="Calibri" w:hAnsi="Times New Roman"/>
          <w:i/>
          <w:sz w:val="24"/>
          <w:szCs w:val="24"/>
        </w:rPr>
        <w:t>citratus</w:t>
      </w:r>
      <w:proofErr w:type="spellEnd"/>
      <w:r>
        <w:rPr>
          <w:rFonts w:ascii="Times New Roman" w:eastAsia="Calibri" w:hAnsi="Times New Roman"/>
          <w:sz w:val="24"/>
          <w:szCs w:val="24"/>
        </w:rPr>
        <w:t xml:space="preserve"> lacked both theaflavins and cardenolides, while </w:t>
      </w:r>
      <w:r>
        <w:rPr>
          <w:rFonts w:ascii="Times New Roman" w:eastAsia="Calibri" w:hAnsi="Times New Roman"/>
          <w:i/>
          <w:sz w:val="24"/>
          <w:szCs w:val="24"/>
        </w:rPr>
        <w:t>Camellia sinensis</w:t>
      </w:r>
      <w:r>
        <w:rPr>
          <w:rFonts w:ascii="Times New Roman" w:eastAsia="Calibri" w:hAnsi="Times New Roman"/>
          <w:sz w:val="24"/>
          <w:szCs w:val="24"/>
        </w:rPr>
        <w:t xml:space="preserve"> did not exhibit detectable levels of cardenolides, diterpenes, or resins. In the case of</w:t>
      </w:r>
      <w:r>
        <w:rPr>
          <w:rFonts w:ascii="Times New Roman" w:eastAsia="Calibri" w:hAnsi="Times New Roman"/>
          <w:i/>
          <w:sz w:val="24"/>
          <w:szCs w:val="24"/>
        </w:rPr>
        <w:t xml:space="preserve"> </w:t>
      </w:r>
      <w:proofErr w:type="spellStart"/>
      <w:r>
        <w:rPr>
          <w:rFonts w:ascii="Times New Roman" w:eastAsia="Calibri" w:hAnsi="Times New Roman"/>
          <w:i/>
          <w:sz w:val="24"/>
          <w:szCs w:val="24"/>
        </w:rPr>
        <w:t>Azadirachta</w:t>
      </w:r>
      <w:proofErr w:type="spellEnd"/>
      <w:r>
        <w:rPr>
          <w:rFonts w:ascii="Times New Roman" w:eastAsia="Calibri" w:hAnsi="Times New Roman"/>
          <w:i/>
          <w:sz w:val="24"/>
          <w:szCs w:val="24"/>
        </w:rPr>
        <w:t xml:space="preserve"> indica,</w:t>
      </w:r>
      <w:r>
        <w:rPr>
          <w:rFonts w:ascii="Times New Roman" w:eastAsia="Calibri" w:hAnsi="Times New Roman"/>
          <w:sz w:val="24"/>
          <w:szCs w:val="24"/>
        </w:rPr>
        <w:t xml:space="preserve"> cardenolides, quinones, and theaflavins were absent. These variations may appear minor at first glance, yet they could influence how each extract behaves at the metal–solution interface, particularly in terms of adsorption strength and film stability (</w:t>
      </w:r>
      <w:proofErr w:type="spellStart"/>
      <w:r>
        <w:rPr>
          <w:rFonts w:ascii="Times New Roman" w:eastAsia="Calibri" w:hAnsi="Times New Roman"/>
          <w:sz w:val="24"/>
          <w:szCs w:val="24"/>
        </w:rPr>
        <w:t>Chatepa</w:t>
      </w:r>
      <w:proofErr w:type="spellEnd"/>
      <w:r>
        <w:rPr>
          <w:rFonts w:ascii="Times New Roman" w:eastAsia="Calibri" w:hAnsi="Times New Roman"/>
          <w:sz w:val="24"/>
          <w:szCs w:val="24"/>
        </w:rPr>
        <w:t xml:space="preserve"> et al., 2024).</w:t>
      </w:r>
    </w:p>
    <w:p w14:paraId="7C57639D"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Flavonoids, detected in most of the extracts, seem especially relevant. Their antioxidant character and electron-rich structures allow them to interact with reactive intermediates formed during metal oxidation. In practical terms, this may slow down </w:t>
      </w:r>
      <w:r>
        <w:rPr>
          <w:rFonts w:ascii="Times New Roman" w:eastAsia="Calibri" w:hAnsi="Times New Roman"/>
          <w:sz w:val="24"/>
          <w:szCs w:val="24"/>
        </w:rPr>
        <w:lastRenderedPageBreak/>
        <w:t>the progression of corrosion by stabilizing these intermediates, though the extent of this effect likely depends on concentration and environmental conditions (</w:t>
      </w:r>
      <w:proofErr w:type="spellStart"/>
      <w:r>
        <w:rPr>
          <w:rFonts w:ascii="Times New Roman" w:eastAsia="Calibri" w:hAnsi="Times New Roman"/>
          <w:sz w:val="24"/>
          <w:szCs w:val="24"/>
        </w:rPr>
        <w:t>Pllares</w:t>
      </w:r>
      <w:proofErr w:type="spellEnd"/>
      <w:r>
        <w:rPr>
          <w:rFonts w:ascii="Times New Roman" w:eastAsia="Calibri" w:hAnsi="Times New Roman"/>
          <w:sz w:val="24"/>
          <w:szCs w:val="24"/>
        </w:rPr>
        <w:t xml:space="preserve"> </w:t>
      </w:r>
      <w:r>
        <w:rPr>
          <w:rFonts w:ascii="Times New Roman" w:eastAsia="Calibri" w:hAnsi="Times New Roman"/>
          <w:iCs/>
          <w:sz w:val="24"/>
          <w:szCs w:val="24"/>
        </w:rPr>
        <w:t>et al.</w:t>
      </w:r>
      <w:r>
        <w:rPr>
          <w:rFonts w:ascii="Times New Roman" w:eastAsia="Calibri" w:hAnsi="Times New Roman"/>
          <w:sz w:val="24"/>
          <w:szCs w:val="24"/>
        </w:rPr>
        <w:t>, 2025).</w:t>
      </w:r>
    </w:p>
    <w:p w14:paraId="3F957CBD"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Tannins were also consistently present. Their role is often linked to their ability to form complexes with metal ions, producing a somewhat adherent layer on the surface. Such layers are not always perfectly uniform, but even partial coverage can reduce the exposure of active sites to corrosive species. In acidic media, where dissolution rates are typically higher, this kind of interaction may be particularly beneficial.</w:t>
      </w:r>
    </w:p>
    <w:p w14:paraId="64DF3E7E"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Alkaloids introduce another dimension to the inhibition process. With nitrogen atoms capable of donating lone pair electrons, these molecules tend to adsorb onto metal surfaces through donor–acceptor interactions. This adsorption may block both anodic and cathodic sites, thereby reducing overall corrosion kinetics. That said, adsorption strength can vary depending on the specific alkaloid structure and the nature of the metal surface.</w:t>
      </w:r>
    </w:p>
    <w:p w14:paraId="636D4DD3"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Saponins, though sometimes discussed less prominently, appear to play a supporting role. Their surface-active properties can improve the dispersion of other inhibitor molecules, making it easier for a more continuous film to form. In systems where uneven coverage might otherwise lead to localized attack pitting, for instance this improved spreading could make a noticeable difference.</w:t>
      </w:r>
    </w:p>
    <w:p w14:paraId="734F80A0"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Phenolic compounds were detected across all samples and likely contribute significantly to inhibition </w:t>
      </w:r>
      <w:proofErr w:type="spellStart"/>
      <w:r>
        <w:rPr>
          <w:rFonts w:ascii="Times New Roman" w:eastAsia="Calibri" w:hAnsi="Times New Roman"/>
          <w:sz w:val="24"/>
          <w:szCs w:val="24"/>
        </w:rPr>
        <w:t>behaviour</w:t>
      </w:r>
      <w:proofErr w:type="spellEnd"/>
      <w:r>
        <w:rPr>
          <w:rFonts w:ascii="Times New Roman" w:eastAsia="Calibri" w:hAnsi="Times New Roman"/>
          <w:sz w:val="24"/>
          <w:szCs w:val="24"/>
        </w:rPr>
        <w:t>. Their aromatic systems and hydroxyl groups facilitate interaction with the metal surface, often leading to adsorption layers that reduce electron transfer at the interface (Verma</w:t>
      </w:r>
      <w:r>
        <w:rPr>
          <w:rFonts w:ascii="Times New Roman" w:eastAsia="Calibri" w:hAnsi="Times New Roman"/>
          <w:i/>
          <w:sz w:val="24"/>
          <w:szCs w:val="24"/>
        </w:rPr>
        <w:t xml:space="preserve"> et al</w:t>
      </w:r>
      <w:r>
        <w:rPr>
          <w:rFonts w:ascii="Times New Roman" w:eastAsia="Calibri" w:hAnsi="Times New Roman"/>
          <w:sz w:val="24"/>
          <w:szCs w:val="24"/>
        </w:rPr>
        <w:t>., 2021). However, such interactions are rarely uniform, and some degree of desorption or rearrangement may occur over time, especially under fluctuating conditions.</w:t>
      </w:r>
    </w:p>
    <w:p w14:paraId="4C066652"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Other constituent’s glycosides, steroids, and diterpenes may not act as primary inhibitors on their own, yet their presence alongside more active compounds could enhance overall performance. In complex mixtures like plant extracts, such cooperative effects are often observed, even if they are not always easy to isolate experimentally.</w:t>
      </w:r>
    </w:p>
    <w:p w14:paraId="2C903CB8"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The inclusion of a blended extract of</w:t>
      </w:r>
      <w:r>
        <w:rPr>
          <w:rFonts w:ascii="Times New Roman" w:eastAsia="Calibri" w:hAnsi="Times New Roman"/>
          <w:i/>
          <w:sz w:val="24"/>
          <w:szCs w:val="24"/>
        </w:rPr>
        <w:t xml:space="preserve"> Calotropis </w:t>
      </w:r>
      <w:proofErr w:type="spellStart"/>
      <w:r>
        <w:rPr>
          <w:rFonts w:ascii="Times New Roman" w:eastAsia="Calibri" w:hAnsi="Times New Roman"/>
          <w:i/>
          <w:sz w:val="24"/>
          <w:szCs w:val="24"/>
        </w:rPr>
        <w:t>procera</w:t>
      </w:r>
      <w:proofErr w:type="spellEnd"/>
      <w:r>
        <w:rPr>
          <w:rFonts w:ascii="Times New Roman" w:eastAsia="Calibri" w:hAnsi="Times New Roman"/>
          <w:i/>
          <w:sz w:val="24"/>
          <w:szCs w:val="24"/>
        </w:rPr>
        <w:t xml:space="preserve"> </w:t>
      </w:r>
      <w:r>
        <w:rPr>
          <w:rFonts w:ascii="Times New Roman" w:eastAsia="Calibri" w:hAnsi="Times New Roman"/>
          <w:sz w:val="24"/>
          <w:szCs w:val="24"/>
        </w:rPr>
        <w:t xml:space="preserve">and </w:t>
      </w:r>
      <w:r>
        <w:rPr>
          <w:rFonts w:ascii="Times New Roman" w:eastAsia="Calibri" w:hAnsi="Times New Roman"/>
          <w:i/>
          <w:sz w:val="24"/>
          <w:szCs w:val="24"/>
        </w:rPr>
        <w:t xml:space="preserve">Euphorbia </w:t>
      </w:r>
      <w:proofErr w:type="spellStart"/>
      <w:r>
        <w:rPr>
          <w:rFonts w:ascii="Times New Roman" w:eastAsia="Calibri" w:hAnsi="Times New Roman"/>
          <w:i/>
          <w:sz w:val="24"/>
          <w:szCs w:val="24"/>
        </w:rPr>
        <w:t>kamerunica</w:t>
      </w:r>
      <w:proofErr w:type="spellEnd"/>
      <w:r>
        <w:rPr>
          <w:rFonts w:ascii="Times New Roman" w:eastAsia="Calibri" w:hAnsi="Times New Roman"/>
          <w:i/>
          <w:sz w:val="24"/>
          <w:szCs w:val="24"/>
        </w:rPr>
        <w:t xml:space="preserve"> </w:t>
      </w:r>
      <w:r>
        <w:rPr>
          <w:rFonts w:ascii="Times New Roman" w:eastAsia="Calibri" w:hAnsi="Times New Roman"/>
          <w:sz w:val="24"/>
          <w:szCs w:val="24"/>
        </w:rPr>
        <w:t xml:space="preserve">Pax was intended to probe this possibility. Both plants are known to contain a variety of secondary metabolites, including flavonoids, alkaloids, and terpenoids (Mali et </w:t>
      </w:r>
      <w:proofErr w:type="gramStart"/>
      <w:r>
        <w:rPr>
          <w:rFonts w:ascii="Times New Roman" w:eastAsia="Calibri" w:hAnsi="Times New Roman"/>
          <w:sz w:val="24"/>
          <w:szCs w:val="24"/>
        </w:rPr>
        <w:t>al .</w:t>
      </w:r>
      <w:proofErr w:type="gramEnd"/>
      <w:r>
        <w:rPr>
          <w:rFonts w:ascii="Times New Roman" w:eastAsia="Calibri" w:hAnsi="Times New Roman"/>
          <w:sz w:val="24"/>
          <w:szCs w:val="24"/>
        </w:rPr>
        <w:t xml:space="preserve">, 2026, Patil et </w:t>
      </w:r>
      <w:proofErr w:type="gramStart"/>
      <w:r>
        <w:rPr>
          <w:rFonts w:ascii="Times New Roman" w:eastAsia="Calibri" w:hAnsi="Times New Roman"/>
          <w:sz w:val="24"/>
          <w:szCs w:val="24"/>
        </w:rPr>
        <w:t>al .</w:t>
      </w:r>
      <w:proofErr w:type="gramEnd"/>
      <w:r>
        <w:rPr>
          <w:rFonts w:ascii="Times New Roman" w:eastAsia="Calibri" w:hAnsi="Times New Roman"/>
          <w:sz w:val="24"/>
          <w:szCs w:val="24"/>
        </w:rPr>
        <w:t xml:space="preserve">,2026). Combining them may increase the diversity of adsorption sites and interaction modes, which, in principle, could strengthen the protective film. The phytochemical profile observed for </w:t>
      </w:r>
      <w:r>
        <w:rPr>
          <w:rFonts w:ascii="Times New Roman" w:eastAsia="Calibri" w:hAnsi="Times New Roman"/>
          <w:i/>
          <w:sz w:val="24"/>
          <w:szCs w:val="24"/>
        </w:rPr>
        <w:t xml:space="preserve">Cymbopogon </w:t>
      </w:r>
      <w:proofErr w:type="spellStart"/>
      <w:r>
        <w:rPr>
          <w:rFonts w:ascii="Times New Roman" w:eastAsia="Calibri" w:hAnsi="Times New Roman"/>
          <w:i/>
          <w:sz w:val="24"/>
          <w:szCs w:val="24"/>
        </w:rPr>
        <w:t>citratus</w:t>
      </w:r>
      <w:proofErr w:type="spellEnd"/>
      <w:r>
        <w:rPr>
          <w:rFonts w:ascii="Times New Roman" w:eastAsia="Calibri" w:hAnsi="Times New Roman"/>
          <w:sz w:val="24"/>
          <w:szCs w:val="24"/>
        </w:rPr>
        <w:t xml:space="preserve"> aligns with earlier reports describing its richness in flavonoids, phenolics, and terpenoids (Gupta </w:t>
      </w:r>
      <w:r>
        <w:rPr>
          <w:rFonts w:ascii="Times New Roman" w:eastAsia="Calibri" w:hAnsi="Times New Roman"/>
          <w:i/>
          <w:sz w:val="24"/>
          <w:szCs w:val="24"/>
        </w:rPr>
        <w:t>et al</w:t>
      </w:r>
      <w:r>
        <w:rPr>
          <w:rFonts w:ascii="Times New Roman" w:eastAsia="Calibri" w:hAnsi="Times New Roman"/>
          <w:sz w:val="24"/>
          <w:szCs w:val="24"/>
        </w:rPr>
        <w:t>., 2023). These constituents are often associated with both antioxidant activity and surface interaction, suggesting a reasonable potential for corrosion control.</w:t>
      </w:r>
    </w:p>
    <w:p w14:paraId="34762C05"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Likewise,</w:t>
      </w:r>
      <w:r>
        <w:rPr>
          <w:rFonts w:ascii="Times New Roman" w:eastAsia="Calibri" w:hAnsi="Times New Roman"/>
          <w:i/>
          <w:sz w:val="24"/>
          <w:szCs w:val="24"/>
        </w:rPr>
        <w:t xml:space="preserve"> Camellia sinensis</w:t>
      </w:r>
      <w:r>
        <w:rPr>
          <w:rFonts w:ascii="Times New Roman" w:eastAsia="Calibri" w:hAnsi="Times New Roman"/>
          <w:sz w:val="24"/>
          <w:szCs w:val="24"/>
        </w:rPr>
        <w:t xml:space="preserve"> is widely recognized for its high polyphenol content, particularly catechins. These molecules are known to form relatively stable adsorption layers, which may help explain the corrosion-inhibiting </w:t>
      </w:r>
      <w:proofErr w:type="spellStart"/>
      <w:r>
        <w:rPr>
          <w:rFonts w:ascii="Times New Roman" w:eastAsia="Calibri" w:hAnsi="Times New Roman"/>
          <w:sz w:val="24"/>
          <w:szCs w:val="24"/>
        </w:rPr>
        <w:t>behaviour</w:t>
      </w:r>
      <w:proofErr w:type="spellEnd"/>
      <w:r>
        <w:rPr>
          <w:rFonts w:ascii="Times New Roman" w:eastAsia="Calibri" w:hAnsi="Times New Roman"/>
          <w:sz w:val="24"/>
          <w:szCs w:val="24"/>
        </w:rPr>
        <w:t xml:space="preserve"> reported in similar systems (Gaikwad</w:t>
      </w:r>
      <w:r>
        <w:rPr>
          <w:rFonts w:ascii="Times New Roman" w:eastAsia="Calibri" w:hAnsi="Times New Roman"/>
          <w:i/>
          <w:sz w:val="24"/>
          <w:szCs w:val="24"/>
        </w:rPr>
        <w:t xml:space="preserve"> </w:t>
      </w:r>
      <w:r>
        <w:rPr>
          <w:rFonts w:ascii="Times New Roman" w:eastAsia="Calibri" w:hAnsi="Times New Roman"/>
          <w:iCs/>
          <w:sz w:val="24"/>
          <w:szCs w:val="24"/>
        </w:rPr>
        <w:t>et al</w:t>
      </w:r>
      <w:r>
        <w:rPr>
          <w:rFonts w:ascii="Times New Roman" w:eastAsia="Calibri" w:hAnsi="Times New Roman"/>
          <w:sz w:val="24"/>
          <w:szCs w:val="24"/>
        </w:rPr>
        <w:t xml:space="preserve">., 2026; pal </w:t>
      </w:r>
      <w:r>
        <w:rPr>
          <w:rFonts w:ascii="Times New Roman" w:eastAsia="Calibri" w:hAnsi="Times New Roman"/>
          <w:iCs/>
          <w:sz w:val="24"/>
          <w:szCs w:val="24"/>
        </w:rPr>
        <w:t>et al</w:t>
      </w:r>
      <w:r>
        <w:rPr>
          <w:rFonts w:ascii="Times New Roman" w:eastAsia="Calibri" w:hAnsi="Times New Roman"/>
          <w:sz w:val="24"/>
          <w:szCs w:val="24"/>
        </w:rPr>
        <w:t>., 2026).</w:t>
      </w:r>
    </w:p>
    <w:p w14:paraId="3483991A"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For </w:t>
      </w:r>
      <w:proofErr w:type="spellStart"/>
      <w:r>
        <w:rPr>
          <w:rFonts w:ascii="Times New Roman" w:eastAsia="Calibri" w:hAnsi="Times New Roman"/>
          <w:i/>
          <w:sz w:val="24"/>
          <w:szCs w:val="24"/>
        </w:rPr>
        <w:t>Azadirachta</w:t>
      </w:r>
      <w:proofErr w:type="spellEnd"/>
      <w:r>
        <w:rPr>
          <w:rFonts w:ascii="Times New Roman" w:eastAsia="Calibri" w:hAnsi="Times New Roman"/>
          <w:i/>
          <w:sz w:val="24"/>
          <w:szCs w:val="24"/>
        </w:rPr>
        <w:t xml:space="preserve"> indica</w:t>
      </w:r>
      <w:r>
        <w:rPr>
          <w:rFonts w:ascii="Times New Roman" w:eastAsia="Calibri" w:hAnsi="Times New Roman"/>
          <w:sz w:val="24"/>
          <w:szCs w:val="24"/>
        </w:rPr>
        <w:t>, the presence of alkaloids, flavonoids, phenols, and terpenoids observed here is consistent with existing literature (</w:t>
      </w:r>
      <w:proofErr w:type="spellStart"/>
      <w:r>
        <w:rPr>
          <w:rFonts w:ascii="Times New Roman" w:eastAsia="Calibri" w:hAnsi="Times New Roman"/>
          <w:sz w:val="24"/>
          <w:szCs w:val="24"/>
        </w:rPr>
        <w:t>lslam</w:t>
      </w:r>
      <w:proofErr w:type="spellEnd"/>
      <w:r>
        <w:rPr>
          <w:rFonts w:ascii="Times New Roman" w:eastAsia="Calibri" w:hAnsi="Times New Roman"/>
          <w:sz w:val="24"/>
          <w:szCs w:val="24"/>
        </w:rPr>
        <w:t xml:space="preserve"> </w:t>
      </w:r>
      <w:r>
        <w:rPr>
          <w:rFonts w:ascii="Times New Roman" w:eastAsia="Calibri" w:hAnsi="Times New Roman"/>
          <w:iCs/>
          <w:sz w:val="24"/>
          <w:szCs w:val="24"/>
        </w:rPr>
        <w:t>et al</w:t>
      </w:r>
      <w:r>
        <w:rPr>
          <w:rFonts w:ascii="Times New Roman" w:eastAsia="Calibri" w:hAnsi="Times New Roman"/>
          <w:sz w:val="24"/>
          <w:szCs w:val="24"/>
        </w:rPr>
        <w:t>., 2026; Gaikwad et al</w:t>
      </w:r>
      <w:r>
        <w:rPr>
          <w:rFonts w:ascii="Times New Roman" w:eastAsia="Calibri" w:hAnsi="Times New Roman"/>
          <w:i/>
          <w:sz w:val="24"/>
          <w:szCs w:val="24"/>
        </w:rPr>
        <w:t>.</w:t>
      </w:r>
      <w:r>
        <w:rPr>
          <w:rFonts w:ascii="Times New Roman" w:eastAsia="Calibri" w:hAnsi="Times New Roman"/>
          <w:sz w:val="24"/>
          <w:szCs w:val="24"/>
        </w:rPr>
        <w:t>, 2026). These compounds contribute to its broad chemical reactivity and may account for its effectiveness in corrosion inhibition, although the absence of certain groups like quinones could influence its performance under specific conditions.</w:t>
      </w:r>
    </w:p>
    <w:p w14:paraId="379559C1"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  </w:t>
      </w:r>
    </w:p>
    <w:p w14:paraId="77A11CBF"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lastRenderedPageBreak/>
        <w:t>The phytochemical screening results suggest that all selected extracts possess constituents capable of interacting with metal surfaces through adsorption and, to some extent, complexation. These interactions are central to the formation of protective films that reduce corrosion rates. The actual inhibition performance will depend not only on what is present, but also on how these compounds behave collectively in the corrosive medium. Nonetheless, the findings provide a reasonable basis for considering these plant extracts as environmentally acceptable alternatives to conventional inhibitors, particularly given their availability and relatively low toxicity (Soltani</w:t>
      </w:r>
      <w:r>
        <w:rPr>
          <w:rFonts w:ascii="Times New Roman" w:eastAsia="Calibri" w:hAnsi="Times New Roman"/>
          <w:i/>
          <w:sz w:val="24"/>
          <w:szCs w:val="24"/>
        </w:rPr>
        <w:t xml:space="preserve"> </w:t>
      </w:r>
      <w:r>
        <w:rPr>
          <w:rFonts w:ascii="Times New Roman" w:eastAsia="Calibri" w:hAnsi="Times New Roman"/>
          <w:iCs/>
          <w:sz w:val="24"/>
          <w:szCs w:val="24"/>
        </w:rPr>
        <w:t>et al</w:t>
      </w:r>
      <w:r>
        <w:rPr>
          <w:rFonts w:ascii="Times New Roman" w:eastAsia="Calibri" w:hAnsi="Times New Roman"/>
          <w:sz w:val="24"/>
          <w:szCs w:val="24"/>
        </w:rPr>
        <w:t>., 2025).</w:t>
      </w:r>
    </w:p>
    <w:p w14:paraId="7AD8D135" w14:textId="77777777" w:rsidR="0092710F" w:rsidRDefault="00000000">
      <w:pPr>
        <w:jc w:val="both"/>
        <w:rPr>
          <w:rFonts w:ascii="Times New Roman" w:eastAsia="Calibri" w:hAnsi="Times New Roman"/>
          <w:b/>
          <w:sz w:val="24"/>
          <w:szCs w:val="24"/>
        </w:rPr>
      </w:pPr>
      <w:r>
        <w:rPr>
          <w:rFonts w:ascii="Times New Roman" w:eastAsia="Calibri" w:hAnsi="Times New Roman"/>
          <w:sz w:val="24"/>
          <w:szCs w:val="24"/>
        </w:rPr>
        <w:t xml:space="preserve"> </w:t>
      </w:r>
    </w:p>
    <w:p w14:paraId="6ADEC7FA" w14:textId="77777777" w:rsidR="0092710F" w:rsidRDefault="00000000">
      <w:pPr>
        <w:jc w:val="both"/>
        <w:rPr>
          <w:rFonts w:ascii="Times New Roman" w:eastAsia="Calibri" w:hAnsi="Times New Roman"/>
          <w:b/>
          <w:sz w:val="24"/>
          <w:szCs w:val="24"/>
        </w:rPr>
      </w:pPr>
      <w:r>
        <w:rPr>
          <w:rFonts w:ascii="Times New Roman" w:eastAsia="Calibri" w:hAnsi="Times New Roman"/>
          <w:b/>
          <w:sz w:val="24"/>
          <w:szCs w:val="24"/>
        </w:rPr>
        <w:t>3.2 Surface Morphology of Plant Extract–Coated Mild Steel</w:t>
      </w:r>
    </w:p>
    <w:p w14:paraId="7FAAA70B" w14:textId="77777777" w:rsidR="0092710F" w:rsidRDefault="0092710F">
      <w:pPr>
        <w:jc w:val="both"/>
        <w:rPr>
          <w:rFonts w:ascii="Times New Roman" w:eastAsia="Calibri" w:hAnsi="Times New Roman"/>
          <w:sz w:val="24"/>
          <w:szCs w:val="24"/>
        </w:rPr>
      </w:pPr>
    </w:p>
    <w:p w14:paraId="50D7607C" w14:textId="77777777" w:rsidR="0092710F" w:rsidRDefault="0092710F">
      <w:pPr>
        <w:jc w:val="both"/>
        <w:rPr>
          <w:rFonts w:ascii="Times New Roman" w:eastAsia="Calibri" w:hAnsi="Times New Roman"/>
          <w:sz w:val="24"/>
          <w:szCs w:val="24"/>
        </w:rPr>
      </w:pPr>
    </w:p>
    <w:p w14:paraId="719D48E4" w14:textId="77777777" w:rsidR="0092710F" w:rsidRDefault="00000000">
      <w:pPr>
        <w:tabs>
          <w:tab w:val="left" w:pos="1935"/>
          <w:tab w:val="center" w:pos="4807"/>
        </w:tabs>
        <w:ind w:firstLineChars="550" w:firstLine="1320"/>
        <w:jc w:val="both"/>
        <w:rPr>
          <w:rFonts w:ascii="Times New Roman" w:eastAsia="Calibri" w:hAnsi="Times New Roman"/>
          <w:sz w:val="24"/>
          <w:szCs w:val="24"/>
        </w:rPr>
      </w:pPr>
      <w:r>
        <w:rPr>
          <w:rFonts w:ascii="Times New Roman" w:hAnsi="Times New Roman"/>
          <w:noProof/>
          <w:sz w:val="24"/>
          <w:szCs w:val="24"/>
        </w:rPr>
        <w:drawing>
          <wp:inline distT="0" distB="0" distL="0" distR="0" wp14:anchorId="070AC13C" wp14:editId="42A3DDB5">
            <wp:extent cx="5080635" cy="3066415"/>
            <wp:effectExtent l="0" t="0" r="5715" b="635"/>
            <wp:docPr id="44" name="Picture 44" descr="C:\Users\USER\AppData\Local\Temp\ksohtml10592\wps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Users\USER\AppData\Local\Temp\ksohtml10592\wps2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080635" cy="3066415"/>
                    </a:xfrm>
                    <a:prstGeom prst="rect">
                      <a:avLst/>
                    </a:prstGeom>
                    <a:noFill/>
                    <a:ln>
                      <a:noFill/>
                    </a:ln>
                  </pic:spPr>
                </pic:pic>
              </a:graphicData>
            </a:graphic>
          </wp:inline>
        </w:drawing>
      </w:r>
    </w:p>
    <w:p w14:paraId="3A02367C" w14:textId="77777777" w:rsidR="0092710F" w:rsidRDefault="00000000">
      <w:pPr>
        <w:tabs>
          <w:tab w:val="left" w:pos="1935"/>
          <w:tab w:val="center" w:pos="4807"/>
        </w:tabs>
        <w:ind w:firstLineChars="600" w:firstLine="1440"/>
        <w:jc w:val="both"/>
        <w:rPr>
          <w:rFonts w:ascii="Times New Roman" w:hAnsi="Times New Roman"/>
          <w:sz w:val="24"/>
          <w:szCs w:val="24"/>
        </w:rPr>
      </w:pPr>
      <w:r>
        <w:rPr>
          <w:rFonts w:ascii="Times New Roman" w:eastAsia="Calibri" w:hAnsi="Times New Roman"/>
          <w:sz w:val="24"/>
          <w:szCs w:val="24"/>
        </w:rPr>
        <w:t>Plate vii: S</w:t>
      </w:r>
      <w:r>
        <w:rPr>
          <w:rFonts w:ascii="Times New Roman" w:hAnsi="Times New Roman"/>
          <w:sz w:val="24"/>
          <w:szCs w:val="24"/>
        </w:rPr>
        <w:t>urface Morphology of</w:t>
      </w:r>
      <w:r>
        <w:rPr>
          <w:rFonts w:ascii="Times New Roman" w:hAnsi="Times New Roman"/>
          <w:i/>
          <w:sz w:val="24"/>
          <w:szCs w:val="24"/>
        </w:rPr>
        <w:t xml:space="preserve"> Camellia </w:t>
      </w:r>
      <w:proofErr w:type="gramStart"/>
      <w:r>
        <w:rPr>
          <w:rFonts w:ascii="Times New Roman" w:hAnsi="Times New Roman"/>
          <w:i/>
          <w:sz w:val="24"/>
          <w:szCs w:val="24"/>
        </w:rPr>
        <w:t>sinensis</w:t>
      </w:r>
      <w:r>
        <w:rPr>
          <w:rFonts w:ascii="Times New Roman" w:hAnsi="Times New Roman"/>
          <w:sz w:val="24"/>
          <w:szCs w:val="24"/>
        </w:rPr>
        <w:t xml:space="preserve"> .</w:t>
      </w:r>
      <w:proofErr w:type="gramEnd"/>
    </w:p>
    <w:p w14:paraId="01F0FD01" w14:textId="77777777" w:rsidR="0092710F" w:rsidRDefault="0092710F">
      <w:pPr>
        <w:tabs>
          <w:tab w:val="left" w:pos="1935"/>
          <w:tab w:val="center" w:pos="4807"/>
        </w:tabs>
        <w:jc w:val="both"/>
        <w:rPr>
          <w:rFonts w:ascii="Times New Roman" w:eastAsia="Calibri" w:hAnsi="Times New Roman"/>
          <w:sz w:val="24"/>
          <w:szCs w:val="24"/>
        </w:rPr>
      </w:pPr>
    </w:p>
    <w:p w14:paraId="1526CD8F" w14:textId="77777777" w:rsidR="0092710F" w:rsidRDefault="0092710F">
      <w:pPr>
        <w:tabs>
          <w:tab w:val="left" w:pos="1935"/>
          <w:tab w:val="center" w:pos="4807"/>
        </w:tabs>
        <w:jc w:val="both"/>
        <w:rPr>
          <w:rFonts w:ascii="Times New Roman" w:eastAsia="Calibri" w:hAnsi="Times New Roman"/>
          <w:sz w:val="24"/>
          <w:szCs w:val="24"/>
        </w:rPr>
      </w:pPr>
    </w:p>
    <w:p w14:paraId="0CA8914A" w14:textId="77777777" w:rsidR="0092710F" w:rsidRDefault="0092710F">
      <w:pPr>
        <w:tabs>
          <w:tab w:val="left" w:pos="1935"/>
          <w:tab w:val="center" w:pos="4807"/>
        </w:tabs>
        <w:jc w:val="both"/>
        <w:rPr>
          <w:rFonts w:ascii="Times New Roman" w:eastAsia="Calibri" w:hAnsi="Times New Roman"/>
          <w:sz w:val="24"/>
          <w:szCs w:val="24"/>
        </w:rPr>
      </w:pPr>
    </w:p>
    <w:p w14:paraId="39DA800D" w14:textId="77777777" w:rsidR="0092710F" w:rsidRDefault="0092710F">
      <w:pPr>
        <w:tabs>
          <w:tab w:val="left" w:pos="1935"/>
          <w:tab w:val="center" w:pos="4807"/>
        </w:tabs>
        <w:jc w:val="both"/>
        <w:rPr>
          <w:rFonts w:ascii="Times New Roman" w:eastAsia="Calibri" w:hAnsi="Times New Roman"/>
          <w:sz w:val="24"/>
          <w:szCs w:val="24"/>
        </w:rPr>
      </w:pPr>
    </w:p>
    <w:p w14:paraId="0E6F4718" w14:textId="77777777" w:rsidR="0092710F" w:rsidRDefault="0092710F">
      <w:pPr>
        <w:tabs>
          <w:tab w:val="left" w:pos="1935"/>
          <w:tab w:val="center" w:pos="4807"/>
        </w:tabs>
        <w:jc w:val="both"/>
        <w:rPr>
          <w:rFonts w:ascii="Times New Roman" w:eastAsia="Calibri" w:hAnsi="Times New Roman"/>
          <w:sz w:val="24"/>
          <w:szCs w:val="24"/>
        </w:rPr>
      </w:pPr>
    </w:p>
    <w:p w14:paraId="5E072B6C"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3.2.1 The surface condition of mild steel specimens treated with</w:t>
      </w:r>
      <w:r>
        <w:rPr>
          <w:rFonts w:ascii="Times New Roman" w:eastAsia="Calibri" w:hAnsi="Times New Roman"/>
          <w:i/>
          <w:iCs/>
          <w:sz w:val="24"/>
          <w:szCs w:val="24"/>
        </w:rPr>
        <w:t xml:space="preserve"> Camellia sinensis </w:t>
      </w:r>
      <w:r>
        <w:rPr>
          <w:rFonts w:ascii="Times New Roman" w:eastAsia="Calibri" w:hAnsi="Times New Roman"/>
          <w:sz w:val="24"/>
          <w:szCs w:val="24"/>
        </w:rPr>
        <w:t xml:space="preserve">extract was examined using scanning electron microscopy (SEM), with representative micrographs </w:t>
      </w:r>
      <w:proofErr w:type="gramStart"/>
      <w:r>
        <w:rPr>
          <w:rFonts w:ascii="Times New Roman" w:eastAsia="Calibri" w:hAnsi="Times New Roman"/>
          <w:sz w:val="24"/>
          <w:szCs w:val="24"/>
        </w:rPr>
        <w:t>at  magnification</w:t>
      </w:r>
      <w:proofErr w:type="gramEnd"/>
      <w:r>
        <w:rPr>
          <w:rFonts w:ascii="Times New Roman" w:eastAsia="Calibri" w:hAnsi="Times New Roman"/>
          <w:sz w:val="24"/>
          <w:szCs w:val="24"/>
        </w:rPr>
        <w:t xml:space="preserve"> Plate vii.</w:t>
      </w:r>
    </w:p>
    <w:p w14:paraId="5419C7EB" w14:textId="77777777" w:rsidR="0092710F" w:rsidRDefault="00000000">
      <w:pPr>
        <w:tabs>
          <w:tab w:val="left" w:pos="1935"/>
          <w:tab w:val="center" w:pos="4807"/>
        </w:tabs>
        <w:jc w:val="both"/>
        <w:rPr>
          <w:rFonts w:ascii="Times New Roman" w:eastAsia="Calibri" w:hAnsi="Times New Roman"/>
          <w:sz w:val="24"/>
          <w:szCs w:val="24"/>
        </w:rPr>
      </w:pPr>
      <w:r>
        <w:rPr>
          <w:rFonts w:ascii="Times New Roman" w:eastAsia="Calibri" w:hAnsi="Times New Roman"/>
          <w:sz w:val="24"/>
          <w:szCs w:val="24"/>
        </w:rPr>
        <w:t xml:space="preserve"> SEM analysis offers a direct means of observing how inhibitor molecules interact with the metal surface, often revealing details that bulk measurements alone cannot capture (Verma</w:t>
      </w:r>
      <w:r>
        <w:rPr>
          <w:rFonts w:ascii="Times New Roman" w:eastAsia="Calibri" w:hAnsi="Times New Roman"/>
          <w:i/>
          <w:sz w:val="24"/>
          <w:szCs w:val="24"/>
        </w:rPr>
        <w:t xml:space="preserve"> et al</w:t>
      </w:r>
      <w:r>
        <w:rPr>
          <w:rFonts w:ascii="Times New Roman" w:eastAsia="Calibri" w:hAnsi="Times New Roman"/>
          <w:sz w:val="24"/>
          <w:szCs w:val="24"/>
        </w:rPr>
        <w:t>., 2021). Inspection of the micrographs points to a surface that is far from uniform. Rather than a smooth, continuous coating, the images show (Plate vi) a mixture of textures clusters of deposited material, visible grain boundaries, scattered microcracks, and small porous regions. This kind of irregularity suggests that adsorption has indeed taken place, but not in a way that produces a fully coherent protective layer. Some areas appear reasonably well covered, while others remain exposed or only thinly protected.</w:t>
      </w:r>
    </w:p>
    <w:p w14:paraId="7C175B9B"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The scattered particulate features observed across the surface are consistent with adsorption of phytochemical constituents, likely involving polyphenolic compounds </w:t>
      </w:r>
      <w:r>
        <w:rPr>
          <w:rFonts w:ascii="Times New Roman" w:eastAsia="Calibri" w:hAnsi="Times New Roman"/>
          <w:sz w:val="24"/>
          <w:szCs w:val="24"/>
        </w:rPr>
        <w:lastRenderedPageBreak/>
        <w:t>and other molecules containing heteroatoms. These species tend to attach to the steel surface through electron donation or weak coordination interactions. In doing so, they may reduce the number of active corrosion sites. Even so, the discontinuous nature of the film raises questions about how effectively it can resist sustained exposure to aggressive environments.</w:t>
      </w:r>
    </w:p>
    <w:p w14:paraId="27225653"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Particular attention should be given to the grain boundaries and microcracks visible in the images. These features are often energetically less stable than the surrounding matrix and tend to act as preferred sites for localized electrochemical activity. Once exposed, they can facilitate the ingress of chloride ions and moisture, both of which are known to accelerate localized corrosion processes such as pitting as stated by </w:t>
      </w:r>
      <w:proofErr w:type="gramStart"/>
      <w:r>
        <w:rPr>
          <w:rFonts w:ascii="Times New Roman" w:eastAsia="Calibri" w:hAnsi="Times New Roman"/>
          <w:sz w:val="24"/>
          <w:szCs w:val="24"/>
        </w:rPr>
        <w:t xml:space="preserve">Chen  </w:t>
      </w:r>
      <w:r>
        <w:rPr>
          <w:rFonts w:ascii="Times New Roman" w:eastAsia="Calibri" w:hAnsi="Times New Roman"/>
          <w:i/>
          <w:sz w:val="24"/>
          <w:szCs w:val="24"/>
        </w:rPr>
        <w:t>et al</w:t>
      </w:r>
      <w:r>
        <w:rPr>
          <w:rFonts w:ascii="Times New Roman" w:eastAsia="Calibri" w:hAnsi="Times New Roman"/>
          <w:sz w:val="24"/>
          <w:szCs w:val="24"/>
        </w:rPr>
        <w:t>.</w:t>
      </w:r>
      <w:proofErr w:type="gramEnd"/>
      <w:r>
        <w:rPr>
          <w:rFonts w:ascii="Times New Roman" w:eastAsia="Calibri" w:hAnsi="Times New Roman"/>
          <w:sz w:val="24"/>
          <w:szCs w:val="24"/>
        </w:rPr>
        <w:t>, 2026.</w:t>
      </w:r>
    </w:p>
    <w:p w14:paraId="6B56824B"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The presence of porous domains adds another layer of complexity. Such regions may trap electrolyte, effectively creating micro-environments where corrosion reactions can proceed more rapidly. What emerges from the overall morphology is a kind of balance adsorption working to protect the surface, while structural imperfections continue to provide pathways for degradation. The implication is fairly clear: coverage alone is not sufficient; uniformity matters just as much.</w:t>
      </w:r>
    </w:p>
    <w:p w14:paraId="70D176C5" w14:textId="77777777" w:rsidR="0092710F" w:rsidRDefault="0092710F">
      <w:pPr>
        <w:jc w:val="both"/>
        <w:rPr>
          <w:rFonts w:ascii="Times New Roman" w:eastAsia="Calibri" w:hAnsi="Times New Roman"/>
          <w:sz w:val="24"/>
          <w:szCs w:val="24"/>
        </w:rPr>
      </w:pPr>
    </w:p>
    <w:p w14:paraId="2EC669C4" w14:textId="77777777" w:rsidR="0092710F" w:rsidRDefault="0092710F">
      <w:pPr>
        <w:spacing w:line="480" w:lineRule="auto"/>
        <w:jc w:val="both"/>
        <w:rPr>
          <w:rFonts w:ascii="Times New Roman" w:eastAsia="Calibri" w:hAnsi="Times New Roman"/>
          <w:sz w:val="24"/>
          <w:szCs w:val="24"/>
        </w:rPr>
      </w:pPr>
    </w:p>
    <w:p w14:paraId="0CD443F8" w14:textId="77777777" w:rsidR="0092710F" w:rsidRDefault="0092710F">
      <w:pPr>
        <w:spacing w:line="480" w:lineRule="auto"/>
        <w:jc w:val="both"/>
        <w:rPr>
          <w:rFonts w:ascii="Times New Roman" w:eastAsia="Calibri" w:hAnsi="Times New Roman"/>
          <w:sz w:val="24"/>
          <w:szCs w:val="24"/>
        </w:rPr>
      </w:pPr>
    </w:p>
    <w:p w14:paraId="46404AAC" w14:textId="77777777" w:rsidR="0092710F" w:rsidRDefault="00000000">
      <w:pPr>
        <w:spacing w:line="480" w:lineRule="auto"/>
        <w:jc w:val="both"/>
        <w:rPr>
          <w:rFonts w:ascii="Times New Roman" w:eastAsia="Calibri" w:hAnsi="Times New Roman"/>
          <w:sz w:val="24"/>
          <w:szCs w:val="24"/>
        </w:rPr>
      </w:pPr>
      <w:r>
        <w:rPr>
          <w:rFonts w:ascii="Times New Roman" w:hAnsi="Times New Roman"/>
          <w:noProof/>
          <w:sz w:val="24"/>
          <w:szCs w:val="24"/>
        </w:rPr>
        <w:drawing>
          <wp:inline distT="0" distB="0" distL="0" distR="0" wp14:anchorId="237D4A76" wp14:editId="189E6550">
            <wp:extent cx="4797425" cy="2980055"/>
            <wp:effectExtent l="0" t="0" r="3175" b="10795"/>
            <wp:docPr id="1" name="Picture 1" descr="C:\Users\USER\AppData\Local\Temp\ksohtml25456\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AppData\Local\Temp\ksohtml25456\wps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797425" cy="2980055"/>
                    </a:xfrm>
                    <a:prstGeom prst="rect">
                      <a:avLst/>
                    </a:prstGeom>
                    <a:noFill/>
                    <a:ln>
                      <a:noFill/>
                    </a:ln>
                  </pic:spPr>
                </pic:pic>
              </a:graphicData>
            </a:graphic>
          </wp:inline>
        </w:drawing>
      </w:r>
    </w:p>
    <w:p w14:paraId="2B7D9090" w14:textId="77777777" w:rsidR="0092710F" w:rsidRDefault="00000000">
      <w:pPr>
        <w:tabs>
          <w:tab w:val="left" w:pos="2160"/>
        </w:tabs>
        <w:ind w:firstLineChars="200" w:firstLine="480"/>
        <w:jc w:val="both"/>
        <w:rPr>
          <w:rFonts w:ascii="Times New Roman" w:eastAsia="Calibri" w:hAnsi="Times New Roman"/>
          <w:bCs/>
          <w:i/>
          <w:sz w:val="24"/>
          <w:szCs w:val="24"/>
        </w:rPr>
      </w:pPr>
      <w:r>
        <w:rPr>
          <w:rFonts w:ascii="Times New Roman" w:eastAsia="Calibri" w:hAnsi="Times New Roman"/>
          <w:sz w:val="24"/>
          <w:szCs w:val="24"/>
        </w:rPr>
        <w:t>Plate viii:</w:t>
      </w:r>
      <w:r>
        <w:rPr>
          <w:rFonts w:ascii="Times New Roman" w:eastAsia="Calibri" w:hAnsi="Times New Roman"/>
          <w:b/>
          <w:sz w:val="24"/>
          <w:szCs w:val="24"/>
        </w:rPr>
        <w:t xml:space="preserve"> </w:t>
      </w:r>
      <w:r>
        <w:rPr>
          <w:rFonts w:ascii="Times New Roman" w:eastAsia="Calibri" w:hAnsi="Times New Roman"/>
          <w:sz w:val="24"/>
          <w:szCs w:val="24"/>
        </w:rPr>
        <w:t>S</w:t>
      </w:r>
      <w:r>
        <w:rPr>
          <w:rFonts w:ascii="Times New Roman" w:hAnsi="Times New Roman"/>
          <w:sz w:val="24"/>
          <w:szCs w:val="24"/>
        </w:rPr>
        <w:t xml:space="preserve">urface Morphology </w:t>
      </w:r>
      <w:r>
        <w:rPr>
          <w:rFonts w:ascii="Times New Roman" w:eastAsia="Calibri" w:hAnsi="Times New Roman"/>
          <w:bCs/>
          <w:i/>
          <w:sz w:val="24"/>
          <w:szCs w:val="24"/>
        </w:rPr>
        <w:t xml:space="preserve">Cymbopogon </w:t>
      </w:r>
      <w:proofErr w:type="spellStart"/>
      <w:r>
        <w:rPr>
          <w:rFonts w:ascii="Times New Roman" w:eastAsia="Calibri" w:hAnsi="Times New Roman"/>
          <w:bCs/>
          <w:i/>
          <w:sz w:val="24"/>
          <w:szCs w:val="24"/>
        </w:rPr>
        <w:t>citratus</w:t>
      </w:r>
      <w:proofErr w:type="spellEnd"/>
    </w:p>
    <w:p w14:paraId="0B1FA341" w14:textId="77777777" w:rsidR="0092710F" w:rsidRDefault="0092710F">
      <w:pPr>
        <w:tabs>
          <w:tab w:val="left" w:pos="2160"/>
        </w:tabs>
        <w:ind w:firstLineChars="200" w:firstLine="480"/>
        <w:jc w:val="both"/>
        <w:rPr>
          <w:rFonts w:ascii="Times New Roman" w:eastAsia="Calibri" w:hAnsi="Times New Roman"/>
          <w:bCs/>
          <w:i/>
          <w:sz w:val="24"/>
          <w:szCs w:val="24"/>
        </w:rPr>
      </w:pPr>
    </w:p>
    <w:p w14:paraId="57C6BE44"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 3.2.2 At first glance, Sample</w:t>
      </w:r>
      <w:r>
        <w:rPr>
          <w:rFonts w:ascii="Times New Roman" w:eastAsia="Calibri" w:hAnsi="Times New Roman"/>
          <w:i/>
          <w:iCs/>
          <w:sz w:val="24"/>
          <w:szCs w:val="24"/>
        </w:rPr>
        <w:t xml:space="preserve"> </w:t>
      </w:r>
      <w:proofErr w:type="spellStart"/>
      <w:proofErr w:type="gramStart"/>
      <w:r>
        <w:rPr>
          <w:rFonts w:ascii="Times New Roman" w:eastAsia="Calibri" w:hAnsi="Times New Roman"/>
          <w:i/>
          <w:iCs/>
          <w:sz w:val="24"/>
          <w:szCs w:val="24"/>
        </w:rPr>
        <w:t>C.citratus</w:t>
      </w:r>
      <w:proofErr w:type="spellEnd"/>
      <w:proofErr w:type="gramEnd"/>
      <w:r>
        <w:rPr>
          <w:rFonts w:ascii="Times New Roman" w:eastAsia="Calibri" w:hAnsi="Times New Roman"/>
          <w:sz w:val="24"/>
          <w:szCs w:val="24"/>
        </w:rPr>
        <w:t xml:space="preserve"> plate </w:t>
      </w:r>
      <w:proofErr w:type="gramStart"/>
      <w:r>
        <w:rPr>
          <w:rFonts w:ascii="Times New Roman" w:eastAsia="Calibri" w:hAnsi="Times New Roman"/>
          <w:sz w:val="24"/>
          <w:szCs w:val="24"/>
        </w:rPr>
        <w:t>viii  the</w:t>
      </w:r>
      <w:proofErr w:type="gramEnd"/>
      <w:r>
        <w:rPr>
          <w:rFonts w:ascii="Times New Roman" w:eastAsia="Calibri" w:hAnsi="Times New Roman"/>
          <w:sz w:val="24"/>
          <w:szCs w:val="24"/>
        </w:rPr>
        <w:t xml:space="preserve"> micrographs point to a surface that is uneven and somewhat disrupted. Rather than a continuous, smooth film, the coating appears patchy, with areas of rough texture interspersed with more compact regions. Features such as granular clusters, microcracks, voids, and porous patches are clearly visible, suggesting that the surface has undergone both chemical interaction and structural modification during exposure.</w:t>
      </w:r>
    </w:p>
    <w:p w14:paraId="7E7E25BE"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The roughened texture may be read in more than one way. On one hand, it indicates that adsorption has taken place; on the other, it hints that the process is far from </w:t>
      </w:r>
      <w:r>
        <w:rPr>
          <w:rFonts w:ascii="Times New Roman" w:eastAsia="Calibri" w:hAnsi="Times New Roman"/>
          <w:sz w:val="24"/>
          <w:szCs w:val="24"/>
        </w:rPr>
        <w:lastRenderedPageBreak/>
        <w:t>uniform. The cracks and voids observed are particularly telling. From a mechanical standpoint, they introduced area of weakness. Electrochemically, they are even more consequential, as they tend to act as initiation sites for localized corrosion. Grain boundaries and other microstructural discontinuities often behave in a similar way, providing pathways for anodic reactions to proceed more readily.</w:t>
      </w:r>
    </w:p>
    <w:p w14:paraId="487AF192"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The granular deposits scattered across the surface are likely a mixture of corrosion products and adsorbed organic matter from the extract. In systems involving plant-derived inhibitors, such deposits are often interpreted as evidence of adsorption, where molecules assemble on the surface in clusters rather than forming a perfectly ordered layer (Zhang </w:t>
      </w:r>
      <w:r>
        <w:rPr>
          <w:rFonts w:ascii="Times New Roman" w:eastAsia="Calibri" w:hAnsi="Times New Roman"/>
          <w:iCs/>
          <w:sz w:val="24"/>
          <w:szCs w:val="24"/>
        </w:rPr>
        <w:t>et al</w:t>
      </w:r>
      <w:r>
        <w:rPr>
          <w:rFonts w:ascii="Times New Roman" w:eastAsia="Calibri" w:hAnsi="Times New Roman"/>
          <w:sz w:val="24"/>
          <w:szCs w:val="24"/>
        </w:rPr>
        <w:t>., 2026). Still, their irregular distribution suggests that coverage is incomplete.</w:t>
      </w:r>
    </w:p>
    <w:p w14:paraId="2F923825"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Porosity adds another layer of complexity. The presence of small, open pores can allow electrolyte to penetrate and remain in contact with the metal surface. This tends to increase local conductivity and, in turn, facilitates ongoing electrochemical reactions. Earlier work has shown that even modest increases in surface porosity can raise susceptibility to corrosion, particularly in chloride-rich environments where aggressive ions exploit such openings (Li</w:t>
      </w:r>
      <w:r>
        <w:rPr>
          <w:rFonts w:ascii="Times New Roman" w:eastAsia="Calibri" w:hAnsi="Times New Roman"/>
          <w:i/>
          <w:sz w:val="24"/>
          <w:szCs w:val="24"/>
        </w:rPr>
        <w:t xml:space="preserve"> </w:t>
      </w:r>
      <w:r>
        <w:rPr>
          <w:rFonts w:ascii="Times New Roman" w:eastAsia="Calibri" w:hAnsi="Times New Roman"/>
          <w:iCs/>
          <w:sz w:val="24"/>
          <w:szCs w:val="24"/>
        </w:rPr>
        <w:t>et al</w:t>
      </w:r>
      <w:r>
        <w:rPr>
          <w:rFonts w:ascii="Times New Roman" w:eastAsia="Calibri" w:hAnsi="Times New Roman"/>
          <w:i/>
          <w:sz w:val="24"/>
          <w:szCs w:val="24"/>
        </w:rPr>
        <w:t>.</w:t>
      </w:r>
      <w:r>
        <w:rPr>
          <w:rFonts w:ascii="Times New Roman" w:eastAsia="Calibri" w:hAnsi="Times New Roman"/>
          <w:sz w:val="24"/>
          <w:szCs w:val="24"/>
        </w:rPr>
        <w:t>, 2026).</w:t>
      </w:r>
    </w:p>
    <w:p w14:paraId="1780AF92"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Microcracks and shallow pits further reinforce the impression that corrosion is active, albeit moderated. These features often develop in regions where the inhibitor film is either thin or weakly attached. Once initiated, localized attack can progress beneath the film, making it difficult to arrest without achieving more consistent coverage.</w:t>
      </w:r>
    </w:p>
    <w:p w14:paraId="3EDC3C7F" w14:textId="77777777" w:rsidR="0092710F" w:rsidRDefault="0092710F">
      <w:pPr>
        <w:jc w:val="both"/>
        <w:rPr>
          <w:rFonts w:ascii="Times New Roman" w:eastAsia="Calibri" w:hAnsi="Times New Roman"/>
          <w:sz w:val="24"/>
          <w:szCs w:val="24"/>
        </w:rPr>
      </w:pPr>
    </w:p>
    <w:p w14:paraId="2209A06A" w14:textId="77777777" w:rsidR="0092710F" w:rsidRDefault="0092710F">
      <w:pPr>
        <w:jc w:val="both"/>
        <w:rPr>
          <w:rFonts w:ascii="Times New Roman" w:eastAsia="Calibri" w:hAnsi="Times New Roman"/>
          <w:sz w:val="24"/>
          <w:szCs w:val="24"/>
        </w:rPr>
      </w:pPr>
    </w:p>
    <w:p w14:paraId="665BD8E6" w14:textId="77777777" w:rsidR="0092710F" w:rsidRDefault="0092710F">
      <w:pPr>
        <w:jc w:val="both"/>
        <w:rPr>
          <w:rFonts w:ascii="Times New Roman" w:eastAsia="Calibri" w:hAnsi="Times New Roman"/>
          <w:sz w:val="24"/>
          <w:szCs w:val="24"/>
        </w:rPr>
      </w:pPr>
    </w:p>
    <w:p w14:paraId="6C9CD9F3" w14:textId="77777777" w:rsidR="0092710F" w:rsidRDefault="0092710F">
      <w:pPr>
        <w:jc w:val="both"/>
        <w:rPr>
          <w:rFonts w:ascii="Times New Roman" w:eastAsia="Calibri" w:hAnsi="Times New Roman"/>
          <w:sz w:val="24"/>
          <w:szCs w:val="24"/>
        </w:rPr>
      </w:pPr>
    </w:p>
    <w:p w14:paraId="58623CC8" w14:textId="77777777" w:rsidR="0092710F" w:rsidRDefault="00000000">
      <w:pPr>
        <w:jc w:val="both"/>
        <w:rPr>
          <w:rFonts w:ascii="Times New Roman" w:hAnsi="Times New Roman"/>
          <w:sz w:val="24"/>
          <w:szCs w:val="24"/>
        </w:rPr>
      </w:pPr>
      <w:r>
        <w:rPr>
          <w:rFonts w:ascii="Times New Roman" w:eastAsia="Calibri" w:hAnsi="Times New Roman"/>
          <w:sz w:val="24"/>
          <w:szCs w:val="24"/>
        </w:rPr>
        <w:t xml:space="preserve"> </w:t>
      </w:r>
      <w:r>
        <w:rPr>
          <w:rFonts w:ascii="Times New Roman" w:hAnsi="Times New Roman"/>
          <w:noProof/>
          <w:sz w:val="24"/>
          <w:szCs w:val="24"/>
        </w:rPr>
        <w:drawing>
          <wp:inline distT="0" distB="0" distL="0" distR="0" wp14:anchorId="0FA17CBE" wp14:editId="413B2DDC">
            <wp:extent cx="5173980" cy="3050540"/>
            <wp:effectExtent l="0" t="0" r="7620" b="16510"/>
            <wp:docPr id="2" name="Picture 2" descr="C:\Users\USER\AppData\Local\Temp\ksohtml25456\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AppData\Local\Temp\ksohtml25456\wps1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173980" cy="3050540"/>
                    </a:xfrm>
                    <a:prstGeom prst="rect">
                      <a:avLst/>
                    </a:prstGeom>
                    <a:noFill/>
                    <a:ln>
                      <a:noFill/>
                    </a:ln>
                  </pic:spPr>
                </pic:pic>
              </a:graphicData>
            </a:graphic>
          </wp:inline>
        </w:drawing>
      </w:r>
      <w:r>
        <w:rPr>
          <w:rFonts w:ascii="Times New Roman" w:hAnsi="Times New Roman"/>
          <w:sz w:val="24"/>
          <w:szCs w:val="24"/>
        </w:rPr>
        <w:t xml:space="preserve"> </w:t>
      </w:r>
    </w:p>
    <w:p w14:paraId="4BC2A816" w14:textId="77777777" w:rsidR="0092710F" w:rsidRDefault="00000000">
      <w:pPr>
        <w:ind w:firstLineChars="150" w:firstLine="360"/>
        <w:jc w:val="both"/>
        <w:rPr>
          <w:rFonts w:ascii="Times New Roman" w:eastAsia="Calibri" w:hAnsi="Times New Roman"/>
          <w:i/>
          <w:iCs/>
          <w:sz w:val="24"/>
          <w:szCs w:val="24"/>
        </w:rPr>
      </w:pPr>
      <w:r>
        <w:rPr>
          <w:rFonts w:ascii="Times New Roman" w:eastAsia="Calibri" w:hAnsi="Times New Roman"/>
          <w:sz w:val="24"/>
          <w:szCs w:val="24"/>
        </w:rPr>
        <w:t xml:space="preserve"> Plate ix: S</w:t>
      </w:r>
      <w:r>
        <w:rPr>
          <w:rFonts w:ascii="Times New Roman" w:hAnsi="Times New Roman"/>
          <w:sz w:val="24"/>
          <w:szCs w:val="24"/>
        </w:rPr>
        <w:t xml:space="preserve">urface Morphology of </w:t>
      </w:r>
      <w:r>
        <w:rPr>
          <w:rFonts w:ascii="Times New Roman" w:eastAsia="Calibri" w:hAnsi="Times New Roman"/>
          <w:i/>
          <w:iCs/>
          <w:sz w:val="24"/>
          <w:szCs w:val="24"/>
        </w:rPr>
        <w:t xml:space="preserve">Calotropis </w:t>
      </w:r>
      <w:proofErr w:type="spellStart"/>
      <w:r>
        <w:rPr>
          <w:rFonts w:ascii="Times New Roman" w:eastAsia="Calibri" w:hAnsi="Times New Roman"/>
          <w:i/>
          <w:iCs/>
          <w:sz w:val="24"/>
          <w:szCs w:val="24"/>
        </w:rPr>
        <w:t>procera</w:t>
      </w:r>
      <w:proofErr w:type="spellEnd"/>
      <w:r>
        <w:rPr>
          <w:rFonts w:ascii="Times New Roman" w:eastAsia="Calibri" w:hAnsi="Times New Roman"/>
          <w:i/>
          <w:iCs/>
          <w:sz w:val="24"/>
          <w:szCs w:val="24"/>
        </w:rPr>
        <w:t xml:space="preserve"> </w:t>
      </w:r>
      <w:r>
        <w:rPr>
          <w:rFonts w:ascii="Times New Roman" w:eastAsia="Calibri" w:hAnsi="Times New Roman"/>
          <w:sz w:val="24"/>
          <w:szCs w:val="24"/>
        </w:rPr>
        <w:t xml:space="preserve">and </w:t>
      </w:r>
      <w:r>
        <w:rPr>
          <w:rFonts w:ascii="Times New Roman" w:eastAsia="Calibri" w:hAnsi="Times New Roman"/>
          <w:i/>
          <w:iCs/>
          <w:sz w:val="24"/>
          <w:szCs w:val="24"/>
        </w:rPr>
        <w:t xml:space="preserve">Euphorbia </w:t>
      </w:r>
      <w:proofErr w:type="spellStart"/>
      <w:r>
        <w:rPr>
          <w:rFonts w:ascii="Times New Roman" w:eastAsia="Calibri" w:hAnsi="Times New Roman"/>
          <w:i/>
          <w:iCs/>
          <w:sz w:val="24"/>
          <w:szCs w:val="24"/>
        </w:rPr>
        <w:t>kamerunica</w:t>
      </w:r>
      <w:proofErr w:type="spellEnd"/>
    </w:p>
    <w:p w14:paraId="05B72F42" w14:textId="77777777" w:rsidR="0092710F" w:rsidRDefault="0092710F">
      <w:pPr>
        <w:ind w:firstLineChars="150" w:firstLine="360"/>
        <w:jc w:val="both"/>
        <w:rPr>
          <w:rFonts w:ascii="Times New Roman" w:eastAsia="Calibri" w:hAnsi="Times New Roman"/>
          <w:i/>
          <w:iCs/>
          <w:sz w:val="24"/>
          <w:szCs w:val="24"/>
        </w:rPr>
      </w:pPr>
    </w:p>
    <w:p w14:paraId="5F9CB398"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3.2.3The surface condition of Sample, treated with a combined extract of</w:t>
      </w:r>
      <w:r>
        <w:rPr>
          <w:rFonts w:ascii="Times New Roman" w:eastAsia="Calibri" w:hAnsi="Times New Roman"/>
          <w:i/>
          <w:iCs/>
          <w:sz w:val="24"/>
          <w:szCs w:val="24"/>
        </w:rPr>
        <w:t xml:space="preserve"> Calotropis </w:t>
      </w:r>
      <w:proofErr w:type="spellStart"/>
      <w:r>
        <w:rPr>
          <w:rFonts w:ascii="Times New Roman" w:eastAsia="Calibri" w:hAnsi="Times New Roman"/>
          <w:i/>
          <w:iCs/>
          <w:sz w:val="24"/>
          <w:szCs w:val="24"/>
        </w:rPr>
        <w:t>procera</w:t>
      </w:r>
      <w:proofErr w:type="spellEnd"/>
      <w:r>
        <w:rPr>
          <w:rFonts w:ascii="Times New Roman" w:eastAsia="Calibri" w:hAnsi="Times New Roman"/>
          <w:i/>
          <w:iCs/>
          <w:sz w:val="24"/>
          <w:szCs w:val="24"/>
        </w:rPr>
        <w:t xml:space="preserve"> </w:t>
      </w:r>
      <w:r>
        <w:rPr>
          <w:rFonts w:ascii="Times New Roman" w:eastAsia="Calibri" w:hAnsi="Times New Roman"/>
          <w:sz w:val="24"/>
          <w:szCs w:val="24"/>
        </w:rPr>
        <w:t xml:space="preserve">and </w:t>
      </w:r>
      <w:r>
        <w:rPr>
          <w:rFonts w:ascii="Times New Roman" w:eastAsia="Calibri" w:hAnsi="Times New Roman"/>
          <w:i/>
          <w:iCs/>
          <w:sz w:val="24"/>
          <w:szCs w:val="24"/>
        </w:rPr>
        <w:t xml:space="preserve">Euphorbia </w:t>
      </w:r>
      <w:proofErr w:type="spellStart"/>
      <w:r>
        <w:rPr>
          <w:rFonts w:ascii="Times New Roman" w:eastAsia="Calibri" w:hAnsi="Times New Roman"/>
          <w:i/>
          <w:iCs/>
          <w:sz w:val="24"/>
          <w:szCs w:val="24"/>
        </w:rPr>
        <w:t>kamerunica</w:t>
      </w:r>
      <w:proofErr w:type="spellEnd"/>
      <w:r>
        <w:rPr>
          <w:rFonts w:ascii="Times New Roman" w:eastAsia="Calibri" w:hAnsi="Times New Roman"/>
          <w:i/>
          <w:iCs/>
          <w:sz w:val="24"/>
          <w:szCs w:val="24"/>
        </w:rPr>
        <w:t>,</w:t>
      </w:r>
      <w:r>
        <w:rPr>
          <w:rFonts w:ascii="Times New Roman" w:eastAsia="Calibri" w:hAnsi="Times New Roman"/>
          <w:sz w:val="24"/>
          <w:szCs w:val="24"/>
        </w:rPr>
        <w:t xml:space="preserve"> was examined through SEM imaging Plate </w:t>
      </w:r>
      <w:proofErr w:type="gramStart"/>
      <w:r>
        <w:rPr>
          <w:rFonts w:ascii="Times New Roman" w:eastAsia="Calibri" w:hAnsi="Times New Roman"/>
          <w:sz w:val="24"/>
          <w:szCs w:val="24"/>
        </w:rPr>
        <w:t>ix .</w:t>
      </w:r>
      <w:proofErr w:type="gramEnd"/>
    </w:p>
    <w:p w14:paraId="19A2A60A"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Morphology of </w:t>
      </w:r>
      <w:proofErr w:type="gramStart"/>
      <w:r>
        <w:rPr>
          <w:rFonts w:ascii="Times New Roman" w:eastAsia="Calibri" w:hAnsi="Times New Roman"/>
          <w:sz w:val="24"/>
          <w:szCs w:val="24"/>
        </w:rPr>
        <w:t>sample  Plate</w:t>
      </w:r>
      <w:proofErr w:type="gramEnd"/>
      <w:r>
        <w:rPr>
          <w:rFonts w:ascii="Times New Roman" w:eastAsia="Calibri" w:hAnsi="Times New Roman"/>
          <w:sz w:val="24"/>
          <w:szCs w:val="24"/>
        </w:rPr>
        <w:t xml:space="preserve"> </w:t>
      </w:r>
      <w:proofErr w:type="gramStart"/>
      <w:r>
        <w:rPr>
          <w:rFonts w:ascii="Times New Roman" w:eastAsia="Calibri" w:hAnsi="Times New Roman"/>
          <w:sz w:val="24"/>
          <w:szCs w:val="24"/>
        </w:rPr>
        <w:t>iv  was</w:t>
      </w:r>
      <w:proofErr w:type="gramEnd"/>
      <w:r>
        <w:rPr>
          <w:rFonts w:ascii="Times New Roman" w:eastAsia="Calibri" w:hAnsi="Times New Roman"/>
          <w:sz w:val="24"/>
          <w:szCs w:val="24"/>
        </w:rPr>
        <w:t xml:space="preserve">  observed at a field of view of 537 µm under an accelerating voltage of 15 kV, using a backscattered electron detector in full mode. Even at first glance, the surface does not present as uniform; rather, it shows a fragmented and uneven topology that reflects competing surface processes.</w:t>
      </w:r>
    </w:p>
    <w:p w14:paraId="0FC87C9E"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lastRenderedPageBreak/>
        <w:t xml:space="preserve">Closer inspection reveals a mixture of roughened region granular deposits, pores, and fine fissures. These features suggest that two processes are occurring side by side: adsorption of inhibitor constituents and ongoing localized corrosion. The pores and fissures, in particular, deserve attention. They are not merely passive features; they may serve as entry points for electrolyte penetration. In humid or chloride-containing environments, such discontinuities tend to trap moisture and facilitate ion movement, conditions that </w:t>
      </w:r>
      <w:proofErr w:type="spellStart"/>
      <w:r>
        <w:rPr>
          <w:rFonts w:ascii="Times New Roman" w:eastAsia="Calibri" w:hAnsi="Times New Roman"/>
          <w:sz w:val="24"/>
          <w:szCs w:val="24"/>
        </w:rPr>
        <w:t>favour</w:t>
      </w:r>
      <w:proofErr w:type="spellEnd"/>
      <w:r>
        <w:rPr>
          <w:rFonts w:ascii="Times New Roman" w:eastAsia="Calibri" w:hAnsi="Times New Roman"/>
          <w:sz w:val="24"/>
          <w:szCs w:val="24"/>
        </w:rPr>
        <w:t xml:space="preserve"> further corrosion if the protective layer is not sufficiently coherent.</w:t>
      </w:r>
    </w:p>
    <w:p w14:paraId="1961689B" w14:textId="77777777" w:rsidR="0092710F" w:rsidRDefault="0092710F">
      <w:pPr>
        <w:jc w:val="both"/>
        <w:rPr>
          <w:rFonts w:ascii="Times New Roman" w:eastAsia="Calibri" w:hAnsi="Times New Roman"/>
          <w:sz w:val="24"/>
          <w:szCs w:val="24"/>
        </w:rPr>
      </w:pPr>
    </w:p>
    <w:p w14:paraId="48F6C66B" w14:textId="77777777" w:rsidR="0092710F" w:rsidRDefault="0092710F">
      <w:pPr>
        <w:jc w:val="both"/>
        <w:rPr>
          <w:rFonts w:ascii="Times New Roman" w:eastAsia="Calibri" w:hAnsi="Times New Roman"/>
          <w:sz w:val="24"/>
          <w:szCs w:val="24"/>
        </w:rPr>
      </w:pPr>
    </w:p>
    <w:p w14:paraId="3E26D4FB" w14:textId="77777777" w:rsidR="0092710F" w:rsidRDefault="00000000">
      <w:pPr>
        <w:spacing w:line="480" w:lineRule="auto"/>
        <w:jc w:val="both"/>
        <w:rPr>
          <w:rFonts w:ascii="Times New Roman" w:eastAsia="Calibri" w:hAnsi="Times New Roman"/>
          <w:sz w:val="24"/>
          <w:szCs w:val="24"/>
        </w:rPr>
      </w:pPr>
      <w:r>
        <w:rPr>
          <w:rFonts w:ascii="Times New Roman" w:hAnsi="Times New Roman"/>
          <w:sz w:val="24"/>
          <w:szCs w:val="24"/>
        </w:rPr>
        <w:t xml:space="preserve"> </w:t>
      </w:r>
      <w:r>
        <w:rPr>
          <w:rFonts w:ascii="Times New Roman" w:hAnsi="Times New Roman"/>
          <w:noProof/>
          <w:sz w:val="24"/>
          <w:szCs w:val="24"/>
        </w:rPr>
        <w:drawing>
          <wp:inline distT="0" distB="0" distL="0" distR="0" wp14:anchorId="165B2A8A" wp14:editId="427BACE6">
            <wp:extent cx="5657850" cy="2886075"/>
            <wp:effectExtent l="0" t="0" r="0" b="9525"/>
            <wp:docPr id="4" name="Picture 4" descr="C:\Users\USER\AppData\Local\Temp\ksohtml25456\wp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USER\AppData\Local\Temp\ksohtml25456\wps2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657850" cy="2886075"/>
                    </a:xfrm>
                    <a:prstGeom prst="rect">
                      <a:avLst/>
                    </a:prstGeom>
                    <a:noFill/>
                    <a:ln>
                      <a:noFill/>
                    </a:ln>
                  </pic:spPr>
                </pic:pic>
              </a:graphicData>
            </a:graphic>
          </wp:inline>
        </w:drawing>
      </w:r>
      <w:r>
        <w:rPr>
          <w:rFonts w:ascii="Times New Roman" w:eastAsia="Calibri" w:hAnsi="Times New Roman"/>
          <w:sz w:val="24"/>
          <w:szCs w:val="24"/>
        </w:rPr>
        <w:t xml:space="preserve">Plate </w:t>
      </w:r>
      <w:proofErr w:type="gramStart"/>
      <w:r>
        <w:rPr>
          <w:rFonts w:ascii="Times New Roman" w:eastAsia="Calibri" w:hAnsi="Times New Roman"/>
          <w:sz w:val="24"/>
          <w:szCs w:val="24"/>
        </w:rPr>
        <w:t>x :</w:t>
      </w:r>
      <w:proofErr w:type="gramEnd"/>
      <w:r>
        <w:rPr>
          <w:rFonts w:ascii="Times New Roman" w:eastAsia="Calibri" w:hAnsi="Times New Roman"/>
          <w:sz w:val="24"/>
          <w:szCs w:val="24"/>
        </w:rPr>
        <w:t xml:space="preserve"> Surface morphology of sample </w:t>
      </w:r>
      <w:proofErr w:type="spellStart"/>
      <w:r>
        <w:rPr>
          <w:rFonts w:ascii="Times New Roman" w:eastAsia="Calibri" w:hAnsi="Times New Roman"/>
          <w:i/>
          <w:sz w:val="24"/>
          <w:szCs w:val="24"/>
        </w:rPr>
        <w:t>Azadirachta</w:t>
      </w:r>
      <w:proofErr w:type="spellEnd"/>
      <w:r>
        <w:rPr>
          <w:rFonts w:ascii="Times New Roman" w:eastAsia="Calibri" w:hAnsi="Times New Roman"/>
          <w:i/>
          <w:sz w:val="24"/>
          <w:szCs w:val="24"/>
        </w:rPr>
        <w:t xml:space="preserve"> indica</w:t>
      </w:r>
      <w:r>
        <w:rPr>
          <w:rFonts w:ascii="Times New Roman" w:eastAsia="Calibri" w:hAnsi="Times New Roman"/>
          <w:sz w:val="24"/>
          <w:szCs w:val="24"/>
        </w:rPr>
        <w:t>.</w:t>
      </w:r>
    </w:p>
    <w:p w14:paraId="72C5806A" w14:textId="77777777" w:rsidR="0092710F" w:rsidRDefault="00000000">
      <w:pPr>
        <w:jc w:val="both"/>
        <w:rPr>
          <w:rFonts w:ascii="Times New Roman" w:hAnsi="Times New Roman"/>
          <w:sz w:val="24"/>
          <w:szCs w:val="24"/>
        </w:rPr>
      </w:pPr>
      <w:r>
        <w:rPr>
          <w:rFonts w:ascii="Times New Roman" w:eastAsia="Calibri" w:hAnsi="Times New Roman"/>
          <w:sz w:val="24"/>
          <w:szCs w:val="24"/>
        </w:rPr>
        <w:t xml:space="preserve">3.2.4 Examination of the mild steel surface treated with </w:t>
      </w:r>
      <w:proofErr w:type="spellStart"/>
      <w:r>
        <w:rPr>
          <w:rFonts w:ascii="Times New Roman" w:eastAsia="Calibri" w:hAnsi="Times New Roman"/>
          <w:i/>
          <w:iCs/>
          <w:sz w:val="24"/>
          <w:szCs w:val="24"/>
        </w:rPr>
        <w:t>Azadirachta</w:t>
      </w:r>
      <w:proofErr w:type="spellEnd"/>
      <w:r>
        <w:rPr>
          <w:rFonts w:ascii="Times New Roman" w:eastAsia="Calibri" w:hAnsi="Times New Roman"/>
          <w:i/>
          <w:iCs/>
          <w:sz w:val="24"/>
          <w:szCs w:val="24"/>
        </w:rPr>
        <w:t xml:space="preserve"> indica</w:t>
      </w:r>
      <w:r>
        <w:rPr>
          <w:rFonts w:ascii="Times New Roman" w:eastAsia="Calibri" w:hAnsi="Times New Roman"/>
          <w:sz w:val="24"/>
          <w:szCs w:val="24"/>
        </w:rPr>
        <w:t xml:space="preserve"> extract</w:t>
      </w:r>
    </w:p>
    <w:p w14:paraId="1DDC5D8B"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Plate x reveals a texture that is far from uniform. Rather than a smooth, continuous layer, the surface appears interrupted by micro-pores, shallow voids, fine fissures, and scattered cracks. These features are not unexpected in corrosion environments; they tend to reflect a surface undergoing competing processes film formation on one hand and localized breakdown on the other.</w:t>
      </w:r>
    </w:p>
    <w:p w14:paraId="29FD5ADD"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Some of the pores and voids appear sufficiently open to permit electrolyte ingress. In practical terms, such openings may serve as entry points for chloride-containing solutions, especially under prolonged exposure. Yet, this interpretation should be treated with some caution. Not all voids necessarily translate to active corrosion sites; some may simply represent regions where adsorption was incomplete or where drying effects during sample preparation introduced minor artefacts.</w:t>
      </w:r>
    </w:p>
    <w:p w14:paraId="7793A10E"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In contrast to these depressions, clusters of denser material are also visible. These </w:t>
      </w:r>
      <w:proofErr w:type="gramStart"/>
      <w:r>
        <w:rPr>
          <w:rFonts w:ascii="Times New Roman" w:eastAsia="Calibri" w:hAnsi="Times New Roman"/>
          <w:sz w:val="24"/>
          <w:szCs w:val="24"/>
        </w:rPr>
        <w:t>aggregated  area</w:t>
      </w:r>
      <w:proofErr w:type="gramEnd"/>
      <w:r>
        <w:rPr>
          <w:rFonts w:ascii="Times New Roman" w:eastAsia="Calibri" w:hAnsi="Times New Roman"/>
          <w:sz w:val="24"/>
          <w:szCs w:val="24"/>
        </w:rPr>
        <w:t xml:space="preserve"> likely correspond either to corrosion products iron oxides or hydroxides or to accumulated phytochemical residues from the extract. Their presence suggests that adsorption has occurred, albeit unevenly. Where these clusters are more compact, they may contribute to </w:t>
      </w:r>
      <w:proofErr w:type="spellStart"/>
      <w:r>
        <w:rPr>
          <w:rFonts w:ascii="Times New Roman" w:eastAsia="Calibri" w:hAnsi="Times New Roman"/>
          <w:sz w:val="24"/>
          <w:szCs w:val="24"/>
        </w:rPr>
        <w:t>localised</w:t>
      </w:r>
      <w:proofErr w:type="spellEnd"/>
      <w:r>
        <w:rPr>
          <w:rFonts w:ascii="Times New Roman" w:eastAsia="Calibri" w:hAnsi="Times New Roman"/>
          <w:sz w:val="24"/>
          <w:szCs w:val="24"/>
        </w:rPr>
        <w:t xml:space="preserve"> surface stability by acting as a barrier, even if that protection is not continuous across the entire substrate.</w:t>
      </w:r>
    </w:p>
    <w:p w14:paraId="75968EF1" w14:textId="77777777" w:rsidR="0092710F" w:rsidRDefault="0092710F">
      <w:pPr>
        <w:tabs>
          <w:tab w:val="left" w:pos="360"/>
        </w:tabs>
        <w:jc w:val="both"/>
        <w:rPr>
          <w:rFonts w:ascii="Times New Roman" w:eastAsia="Calibri" w:hAnsi="Times New Roman"/>
          <w:bCs/>
          <w:sz w:val="24"/>
          <w:szCs w:val="24"/>
        </w:rPr>
      </w:pPr>
    </w:p>
    <w:p w14:paraId="2BF6B34E" w14:textId="77777777" w:rsidR="0092710F" w:rsidRDefault="00000000">
      <w:pPr>
        <w:spacing w:line="480" w:lineRule="auto"/>
        <w:jc w:val="both"/>
        <w:rPr>
          <w:rFonts w:ascii="Times New Roman" w:hAnsi="Times New Roman"/>
          <w:sz w:val="24"/>
          <w:szCs w:val="24"/>
        </w:rPr>
      </w:pPr>
      <w:r>
        <w:rPr>
          <w:rFonts w:ascii="Times New Roman" w:hAnsi="Times New Roman"/>
          <w:sz w:val="24"/>
          <w:szCs w:val="24"/>
        </w:rPr>
        <w:t xml:space="preserve"> </w:t>
      </w:r>
    </w:p>
    <w:p w14:paraId="324985A3" w14:textId="77777777" w:rsidR="0092710F" w:rsidRDefault="00000000">
      <w:pPr>
        <w:spacing w:line="480" w:lineRule="auto"/>
        <w:ind w:firstLineChars="150" w:firstLine="360"/>
        <w:jc w:val="both"/>
        <w:rPr>
          <w:rFonts w:ascii="Times New Roman" w:eastAsia="Calibri" w:hAnsi="Times New Roman"/>
          <w:sz w:val="24"/>
          <w:szCs w:val="24"/>
        </w:rPr>
      </w:pPr>
      <w:r>
        <w:rPr>
          <w:rFonts w:ascii="Times New Roman" w:hAnsi="Times New Roman"/>
          <w:noProof/>
          <w:sz w:val="24"/>
          <w:szCs w:val="24"/>
        </w:rPr>
        <w:lastRenderedPageBreak/>
        <w:drawing>
          <wp:inline distT="0" distB="0" distL="0" distR="0" wp14:anchorId="1DA4D94F" wp14:editId="583178CD">
            <wp:extent cx="5197475" cy="2814320"/>
            <wp:effectExtent l="0" t="0" r="3175" b="5080"/>
            <wp:docPr id="5" name="Picture 5" descr="C:\Users\USER\AppData\Local\Temp\ksohtml25456\wp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USER\AppData\Local\Temp\ksohtml25456\wps2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197475" cy="2814320"/>
                    </a:xfrm>
                    <a:prstGeom prst="rect">
                      <a:avLst/>
                    </a:prstGeom>
                    <a:noFill/>
                    <a:ln>
                      <a:noFill/>
                    </a:ln>
                  </pic:spPr>
                </pic:pic>
              </a:graphicData>
            </a:graphic>
          </wp:inline>
        </w:drawing>
      </w:r>
    </w:p>
    <w:p w14:paraId="499890EF" w14:textId="77777777" w:rsidR="0092710F" w:rsidRDefault="00000000">
      <w:pPr>
        <w:ind w:firstLineChars="150" w:firstLine="360"/>
        <w:jc w:val="both"/>
        <w:rPr>
          <w:rFonts w:ascii="Times New Roman" w:eastAsia="Calibri" w:hAnsi="Times New Roman"/>
          <w:sz w:val="24"/>
          <w:szCs w:val="24"/>
        </w:rPr>
      </w:pPr>
      <w:r>
        <w:rPr>
          <w:rFonts w:ascii="Times New Roman" w:eastAsia="Calibri" w:hAnsi="Times New Roman"/>
          <w:sz w:val="24"/>
          <w:szCs w:val="24"/>
        </w:rPr>
        <w:t>Plate xi: Sample uncoated mild steel without inhibitor</w:t>
      </w:r>
    </w:p>
    <w:p w14:paraId="7CFD0F0A"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 </w:t>
      </w:r>
    </w:p>
    <w:p w14:paraId="1336FA42"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3.2.5 The untreated mild steel surface Plate xi presents a useful reference point for interpreting the </w:t>
      </w:r>
      <w:proofErr w:type="spellStart"/>
      <w:r>
        <w:rPr>
          <w:rFonts w:ascii="Times New Roman" w:eastAsia="Calibri" w:hAnsi="Times New Roman"/>
          <w:sz w:val="24"/>
          <w:szCs w:val="24"/>
        </w:rPr>
        <w:t>behaviour</w:t>
      </w:r>
      <w:proofErr w:type="spellEnd"/>
      <w:r>
        <w:rPr>
          <w:rFonts w:ascii="Times New Roman" w:eastAsia="Calibri" w:hAnsi="Times New Roman"/>
          <w:sz w:val="24"/>
          <w:szCs w:val="24"/>
        </w:rPr>
        <w:t xml:space="preserve"> of the inhibitor treated specimens. SEM micrographs (Plate xi), obtained at a field of view of 537 µm and an accelerating voltage of 15 kV, reveal a surface that has undergone extensive deterioration. Rather than a continuous metallic surface, what emerges is a patchwork of rough area shallow depressions, and well-defined pits. These features are characteristic of steel exposed directly to a corrosive medium, where electrochemical reactions proceed without restraint. In such conditions, anodic dissolution of iron and cathodic reduction processes occur simultaneously across multiple sites, often leading to uneven material loss.</w:t>
      </w:r>
    </w:p>
    <w:p w14:paraId="3F2B60C3"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The pits are particularly revealing. Many appear isolated at first glance, yet closer inspection suggests that some are beginning to coalesce, forming broader region of degradation. This progression from discrete pits to interconnected zones is consistent with established descriptions of corrosion evolution in chloride-containing environments. At the same time, the accumulation of corrosion products across parts of the surface adds another layer of complexity. These deposits may temporarily shield underlying metal, but they are rarely stable enough to provide sustained protection.</w:t>
      </w:r>
    </w:p>
    <w:p w14:paraId="7E2BE7D0" w14:textId="77777777" w:rsidR="0092710F" w:rsidRDefault="0092710F">
      <w:pPr>
        <w:jc w:val="both"/>
        <w:rPr>
          <w:rFonts w:ascii="Times New Roman" w:eastAsia="Calibri" w:hAnsi="Times New Roman"/>
          <w:sz w:val="24"/>
          <w:szCs w:val="24"/>
        </w:rPr>
      </w:pPr>
    </w:p>
    <w:p w14:paraId="756901A2" w14:textId="77777777" w:rsidR="0092710F" w:rsidRDefault="0092710F">
      <w:pPr>
        <w:jc w:val="both"/>
        <w:rPr>
          <w:rFonts w:ascii="Times New Roman" w:eastAsia="Calibri" w:hAnsi="Times New Roman"/>
          <w:sz w:val="24"/>
          <w:szCs w:val="24"/>
        </w:rPr>
      </w:pPr>
    </w:p>
    <w:p w14:paraId="5870936B" w14:textId="77777777" w:rsidR="0092710F" w:rsidRDefault="0092710F">
      <w:pPr>
        <w:jc w:val="both"/>
        <w:rPr>
          <w:rFonts w:ascii="Times New Roman" w:eastAsia="Calibri" w:hAnsi="Times New Roman"/>
          <w:sz w:val="24"/>
          <w:szCs w:val="24"/>
        </w:rPr>
      </w:pPr>
    </w:p>
    <w:p w14:paraId="71D45B8A" w14:textId="77777777" w:rsidR="0092710F" w:rsidRDefault="0092710F">
      <w:pPr>
        <w:jc w:val="both"/>
        <w:rPr>
          <w:rFonts w:ascii="Times New Roman" w:eastAsia="Calibri" w:hAnsi="Times New Roman"/>
          <w:sz w:val="24"/>
          <w:szCs w:val="24"/>
        </w:rPr>
      </w:pPr>
    </w:p>
    <w:p w14:paraId="7AC8BE02" w14:textId="77777777" w:rsidR="0092710F" w:rsidRDefault="0092710F">
      <w:pPr>
        <w:jc w:val="both"/>
        <w:rPr>
          <w:rFonts w:ascii="Times New Roman" w:eastAsia="Calibri" w:hAnsi="Times New Roman"/>
          <w:sz w:val="24"/>
          <w:szCs w:val="24"/>
        </w:rPr>
      </w:pPr>
    </w:p>
    <w:p w14:paraId="022E3CC1" w14:textId="77777777" w:rsidR="0092710F" w:rsidRDefault="0092710F">
      <w:pPr>
        <w:jc w:val="both"/>
        <w:rPr>
          <w:rFonts w:ascii="Times New Roman" w:eastAsia="Calibri" w:hAnsi="Times New Roman"/>
          <w:sz w:val="24"/>
          <w:szCs w:val="24"/>
        </w:rPr>
      </w:pPr>
    </w:p>
    <w:p w14:paraId="42DD6C7D" w14:textId="77777777" w:rsidR="0092710F" w:rsidRDefault="0092710F">
      <w:pPr>
        <w:jc w:val="both"/>
        <w:rPr>
          <w:rFonts w:ascii="Times New Roman" w:eastAsia="Calibri" w:hAnsi="Times New Roman"/>
          <w:sz w:val="24"/>
          <w:szCs w:val="24"/>
        </w:rPr>
      </w:pPr>
    </w:p>
    <w:p w14:paraId="4397CFFA" w14:textId="77777777" w:rsidR="0092710F" w:rsidRDefault="0092710F">
      <w:pPr>
        <w:jc w:val="both"/>
        <w:rPr>
          <w:rFonts w:ascii="Times New Roman" w:eastAsia="Calibri" w:hAnsi="Times New Roman"/>
          <w:sz w:val="24"/>
          <w:szCs w:val="24"/>
        </w:rPr>
      </w:pPr>
    </w:p>
    <w:p w14:paraId="32128F20" w14:textId="77777777" w:rsidR="0092710F" w:rsidRDefault="0092710F">
      <w:pPr>
        <w:jc w:val="both"/>
        <w:rPr>
          <w:rFonts w:ascii="Times New Roman" w:eastAsia="Calibri" w:hAnsi="Times New Roman"/>
          <w:sz w:val="24"/>
          <w:szCs w:val="24"/>
        </w:rPr>
      </w:pPr>
    </w:p>
    <w:p w14:paraId="0D098848" w14:textId="77777777" w:rsidR="0092710F" w:rsidRDefault="0092710F">
      <w:pPr>
        <w:jc w:val="both"/>
        <w:rPr>
          <w:rFonts w:ascii="Times New Roman" w:eastAsia="Calibri" w:hAnsi="Times New Roman"/>
          <w:sz w:val="24"/>
          <w:szCs w:val="24"/>
        </w:rPr>
      </w:pPr>
    </w:p>
    <w:p w14:paraId="41BDFAD6" w14:textId="77777777" w:rsidR="0092710F" w:rsidRDefault="0092710F">
      <w:pPr>
        <w:jc w:val="both"/>
        <w:rPr>
          <w:rFonts w:ascii="Times New Roman" w:eastAsia="Calibri" w:hAnsi="Times New Roman"/>
          <w:sz w:val="24"/>
          <w:szCs w:val="24"/>
        </w:rPr>
      </w:pPr>
    </w:p>
    <w:p w14:paraId="304CC4ED" w14:textId="77777777" w:rsidR="0092710F" w:rsidRDefault="0092710F">
      <w:pPr>
        <w:jc w:val="both"/>
        <w:rPr>
          <w:rFonts w:ascii="Times New Roman" w:eastAsia="Calibri" w:hAnsi="Times New Roman"/>
          <w:sz w:val="24"/>
          <w:szCs w:val="24"/>
        </w:rPr>
      </w:pPr>
    </w:p>
    <w:p w14:paraId="0C2B8221" w14:textId="77777777" w:rsidR="0092710F" w:rsidRDefault="0092710F">
      <w:pPr>
        <w:jc w:val="both"/>
        <w:rPr>
          <w:rFonts w:ascii="Times New Roman" w:eastAsia="Calibri" w:hAnsi="Times New Roman"/>
          <w:sz w:val="24"/>
          <w:szCs w:val="24"/>
        </w:rPr>
      </w:pPr>
    </w:p>
    <w:p w14:paraId="7C2BF125" w14:textId="77777777" w:rsidR="0092710F" w:rsidRDefault="0092710F">
      <w:pPr>
        <w:jc w:val="both"/>
        <w:rPr>
          <w:rFonts w:ascii="Times New Roman" w:eastAsia="Calibri" w:hAnsi="Times New Roman"/>
          <w:sz w:val="24"/>
          <w:szCs w:val="24"/>
        </w:rPr>
      </w:pPr>
    </w:p>
    <w:p w14:paraId="3CCF0B62" w14:textId="77777777" w:rsidR="0092710F" w:rsidRDefault="0092710F">
      <w:pPr>
        <w:jc w:val="both"/>
        <w:rPr>
          <w:rFonts w:ascii="Times New Roman" w:eastAsia="Calibri" w:hAnsi="Times New Roman"/>
          <w:sz w:val="24"/>
          <w:szCs w:val="24"/>
        </w:rPr>
      </w:pPr>
    </w:p>
    <w:p w14:paraId="6DF47AA7" w14:textId="77777777" w:rsidR="0092710F" w:rsidRDefault="0092710F">
      <w:pPr>
        <w:jc w:val="both"/>
        <w:rPr>
          <w:rFonts w:ascii="Times New Roman" w:eastAsia="Calibri" w:hAnsi="Times New Roman"/>
          <w:sz w:val="24"/>
          <w:szCs w:val="24"/>
        </w:rPr>
      </w:pPr>
    </w:p>
    <w:p w14:paraId="57124084" w14:textId="77777777" w:rsidR="0092710F" w:rsidRDefault="00000000">
      <w:pPr>
        <w:spacing w:line="480" w:lineRule="auto"/>
        <w:rPr>
          <w:rFonts w:ascii="Times New Roman" w:eastAsia="Calibri" w:hAnsi="Times New Roman"/>
          <w:b/>
          <w:bCs/>
          <w:sz w:val="24"/>
          <w:szCs w:val="24"/>
        </w:rPr>
      </w:pPr>
      <w:r>
        <w:rPr>
          <w:rFonts w:ascii="Times New Roman" w:hAnsi="Times New Roman"/>
          <w:b/>
          <w:bCs/>
          <w:sz w:val="24"/>
          <w:szCs w:val="24"/>
        </w:rPr>
        <w:t xml:space="preserve">3.3 </w:t>
      </w:r>
      <w:r>
        <w:rPr>
          <w:rFonts w:ascii="Times New Roman" w:eastAsia="Calibri" w:hAnsi="Times New Roman"/>
          <w:b/>
          <w:bCs/>
          <w:sz w:val="24"/>
          <w:szCs w:val="24"/>
        </w:rPr>
        <w:t>Image J Based Surface Morphologies of samples.</w:t>
      </w:r>
    </w:p>
    <w:p w14:paraId="7241FEDD" w14:textId="77777777" w:rsidR="0092710F" w:rsidRDefault="00000000">
      <w:pPr>
        <w:spacing w:line="480" w:lineRule="auto"/>
        <w:rPr>
          <w:rFonts w:ascii="Times New Roman" w:hAnsi="Times New Roman"/>
          <w:sz w:val="24"/>
          <w:szCs w:val="24"/>
        </w:rPr>
      </w:pPr>
      <w:r>
        <w:rPr>
          <w:rFonts w:ascii="Times New Roman" w:hAnsi="Times New Roman"/>
          <w:noProof/>
          <w:sz w:val="24"/>
          <w:szCs w:val="24"/>
        </w:rPr>
        <w:drawing>
          <wp:inline distT="0" distB="0" distL="0" distR="0" wp14:anchorId="7CF426C9" wp14:editId="3D80F6D0">
            <wp:extent cx="2619375" cy="2623185"/>
            <wp:effectExtent l="0" t="0" r="9525" b="5715"/>
            <wp:docPr id="8" name="Picture 8" descr="C:\Users\USER\AppData\Local\Temp\ksohtml25456\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USER\AppData\Local\Temp\ksohtml25456\wps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619375" cy="262318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78964E7" wp14:editId="0CF0B582">
            <wp:extent cx="2595245" cy="2552065"/>
            <wp:effectExtent l="0" t="0" r="14605" b="635"/>
            <wp:docPr id="7" name="Picture 7" descr="C:\Users\USER\AppData\Local\Temp\ksohtml25456\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USER\AppData\Local\Temp\ksohtml25456\wps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595245" cy="2552065"/>
                    </a:xfrm>
                    <a:prstGeom prst="rect">
                      <a:avLst/>
                    </a:prstGeom>
                    <a:noFill/>
                    <a:ln>
                      <a:noFill/>
                    </a:ln>
                  </pic:spPr>
                </pic:pic>
              </a:graphicData>
            </a:graphic>
          </wp:inline>
        </w:drawing>
      </w:r>
    </w:p>
    <w:p w14:paraId="68DB483D" w14:textId="77777777" w:rsidR="0092710F" w:rsidRDefault="00000000">
      <w:pPr>
        <w:spacing w:line="480" w:lineRule="auto"/>
        <w:rPr>
          <w:rFonts w:ascii="Times New Roman" w:eastAsia="Calibri" w:hAnsi="Times New Roman"/>
          <w:sz w:val="24"/>
          <w:szCs w:val="24"/>
        </w:rPr>
      </w:pPr>
      <w:r>
        <w:rPr>
          <w:rFonts w:ascii="Times New Roman" w:eastAsia="Calibri" w:hAnsi="Times New Roman"/>
          <w:sz w:val="24"/>
          <w:szCs w:val="24"/>
        </w:rPr>
        <w:t xml:space="preserve">Plate </w:t>
      </w:r>
      <w:proofErr w:type="gramStart"/>
      <w:r>
        <w:rPr>
          <w:rFonts w:ascii="Times New Roman" w:eastAsia="Calibri" w:hAnsi="Times New Roman"/>
          <w:sz w:val="24"/>
          <w:szCs w:val="24"/>
        </w:rPr>
        <w:t>xii :</w:t>
      </w:r>
      <w:proofErr w:type="gramEnd"/>
      <w:r>
        <w:rPr>
          <w:rFonts w:ascii="Times New Roman" w:eastAsia="Calibri" w:hAnsi="Times New Roman"/>
          <w:sz w:val="24"/>
          <w:szCs w:val="24"/>
        </w:rPr>
        <w:t xml:space="preserve"> Image J Based Surface Morphology of</w:t>
      </w:r>
      <w:r>
        <w:rPr>
          <w:rFonts w:ascii="Times New Roman" w:eastAsia="Calibri" w:hAnsi="Times New Roman"/>
          <w:i/>
          <w:sz w:val="24"/>
          <w:szCs w:val="24"/>
        </w:rPr>
        <w:t xml:space="preserve"> Camellia sinensis</w:t>
      </w:r>
    </w:p>
    <w:p w14:paraId="3F6F31FD"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3.3.1 The Image J processed micrograph of the </w:t>
      </w:r>
      <w:r>
        <w:rPr>
          <w:rFonts w:ascii="Times New Roman" w:eastAsia="Calibri" w:hAnsi="Times New Roman"/>
          <w:i/>
          <w:sz w:val="24"/>
          <w:szCs w:val="24"/>
        </w:rPr>
        <w:t xml:space="preserve">Camellia </w:t>
      </w:r>
      <w:proofErr w:type="gramStart"/>
      <w:r>
        <w:rPr>
          <w:rFonts w:ascii="Times New Roman" w:eastAsia="Calibri" w:hAnsi="Times New Roman"/>
          <w:i/>
          <w:sz w:val="24"/>
          <w:szCs w:val="24"/>
        </w:rPr>
        <w:t>sinensis</w:t>
      </w:r>
      <w:r>
        <w:rPr>
          <w:rFonts w:ascii="Times New Roman" w:eastAsia="Calibri" w:hAnsi="Times New Roman"/>
          <w:sz w:val="24"/>
          <w:szCs w:val="24"/>
        </w:rPr>
        <w:t xml:space="preserve">  treated</w:t>
      </w:r>
      <w:proofErr w:type="gramEnd"/>
      <w:r>
        <w:rPr>
          <w:rFonts w:ascii="Times New Roman" w:eastAsia="Calibri" w:hAnsi="Times New Roman"/>
          <w:sz w:val="24"/>
          <w:szCs w:val="24"/>
        </w:rPr>
        <w:t xml:space="preserve"> mild steel surface Plate xii offers a more measured, quantitative perspective on the topography previously observed in SEM images. Rather than relying solely on visual interpretation, the pixel intensity mapping introduces a numerical dimension to surface assessment. The grayscale values superimposed on the image correspond to variations in height, allowing subtle differences in elevation often overlooked in conventional imaging to be examined with greater precision.</w:t>
      </w:r>
    </w:p>
    <w:p w14:paraId="27DD8AFB"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Brighter regions, associated with higher intensity values, appear to mark localized protrusions on the surface. These raised areas are plausibly linked to either the accumulation of corrosion products or the adsorption of organic constituents from the plant extract. In practical terms, such zones may represent points where the inhibitor has adhered more effectively, forming small islands of protection. By contrast, the darker regions less intense and visually recessed suggest depressions or discontinuities. These are typically the areas where corrosion activity may persist, manifesting as shallow pits or early-stage crevice-like features.</w:t>
      </w:r>
    </w:p>
    <w:p w14:paraId="79299160"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What emerges is not a uniformly protected surface, but a patchwork. Some sections seem reasonably shielded, while others remain exposed or only weakly covered. This unevenness may not be entirely surprising. Plant extracts, unlike purified synthetic inhibitors, contain a mixture of compounds with varying affinities for the metal surface. It seems likely that this chemical diversity contributes to the irregular adsorption pattern observed here. In addition, microstructural features within the steel grain boundaries, inclusions, or residual stress may further complicate the adsorption process by creating localized electrochemical differences.</w:t>
      </w:r>
    </w:p>
    <w:p w14:paraId="4ABB1A0B"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Recent work in corrosion science has increasingly turned to digital image analysis as a way of moving beyond descriptive accounts of surface damage. Pixel-based metrics, including intensity distribution and texture segmentation, have been used to quantify corrosion severity with a degree of objectivity that earlier methods lacked (Iman</w:t>
      </w:r>
      <w:r>
        <w:rPr>
          <w:rFonts w:ascii="Times New Roman" w:eastAsia="Calibri" w:hAnsi="Times New Roman"/>
          <w:i/>
          <w:sz w:val="24"/>
          <w:szCs w:val="24"/>
        </w:rPr>
        <w:t xml:space="preserve"> et al</w:t>
      </w:r>
      <w:r>
        <w:rPr>
          <w:rFonts w:ascii="Times New Roman" w:eastAsia="Calibri" w:hAnsi="Times New Roman"/>
          <w:sz w:val="24"/>
          <w:szCs w:val="24"/>
        </w:rPr>
        <w:t xml:space="preserve">., 2023). Similar approaches applied to cold-worked steels suggest that parameters </w:t>
      </w:r>
      <w:r>
        <w:rPr>
          <w:rFonts w:ascii="Times New Roman" w:eastAsia="Calibri" w:hAnsi="Times New Roman"/>
          <w:sz w:val="24"/>
          <w:szCs w:val="24"/>
        </w:rPr>
        <w:lastRenderedPageBreak/>
        <w:t xml:space="preserve">such as roughness and active area fraction can strongly influence where corrosion begins and how it spreads (Cui </w:t>
      </w:r>
      <w:r>
        <w:rPr>
          <w:rFonts w:ascii="Times New Roman" w:eastAsia="Calibri" w:hAnsi="Times New Roman"/>
          <w:i/>
          <w:sz w:val="24"/>
          <w:szCs w:val="24"/>
        </w:rPr>
        <w:t>et al</w:t>
      </w:r>
      <w:r>
        <w:rPr>
          <w:rFonts w:ascii="Times New Roman" w:eastAsia="Calibri" w:hAnsi="Times New Roman"/>
          <w:sz w:val="24"/>
          <w:szCs w:val="24"/>
        </w:rPr>
        <w:t xml:space="preserve">., 2021). The present observations sit comfortably within this line of thinking. There is also a growing interest in combining such morphological data with predictive models sometimes involving machine learning to anticipate corrosion </w:t>
      </w:r>
      <w:proofErr w:type="spellStart"/>
      <w:r>
        <w:rPr>
          <w:rFonts w:ascii="Times New Roman" w:eastAsia="Calibri" w:hAnsi="Times New Roman"/>
          <w:sz w:val="24"/>
          <w:szCs w:val="24"/>
        </w:rPr>
        <w:t>behaviour</w:t>
      </w:r>
      <w:proofErr w:type="spellEnd"/>
      <w:r>
        <w:rPr>
          <w:rFonts w:ascii="Times New Roman" w:eastAsia="Calibri" w:hAnsi="Times New Roman"/>
          <w:sz w:val="24"/>
          <w:szCs w:val="24"/>
        </w:rPr>
        <w:t xml:space="preserve"> from surface descriptors alone (Zhang </w:t>
      </w:r>
      <w:r>
        <w:rPr>
          <w:rFonts w:ascii="Times New Roman" w:eastAsia="Calibri" w:hAnsi="Times New Roman"/>
          <w:i/>
          <w:sz w:val="24"/>
          <w:szCs w:val="24"/>
        </w:rPr>
        <w:t>et al</w:t>
      </w:r>
      <w:r>
        <w:rPr>
          <w:rFonts w:ascii="Times New Roman" w:eastAsia="Calibri" w:hAnsi="Times New Roman"/>
          <w:sz w:val="24"/>
          <w:szCs w:val="24"/>
        </w:rPr>
        <w:t xml:space="preserve">., 2025). While promising, such approaches may still require careful validation, particularly when dealing with complex natural inhibitors. </w:t>
      </w:r>
    </w:p>
    <w:p w14:paraId="06E2EFBE" w14:textId="77777777" w:rsidR="0092710F" w:rsidRDefault="0092710F">
      <w:pPr>
        <w:jc w:val="both"/>
        <w:rPr>
          <w:rFonts w:ascii="Times New Roman" w:eastAsia="Calibri" w:hAnsi="Times New Roman"/>
          <w:b/>
          <w:sz w:val="24"/>
          <w:szCs w:val="24"/>
        </w:rPr>
      </w:pPr>
    </w:p>
    <w:p w14:paraId="4B13F409" w14:textId="77777777" w:rsidR="0092710F" w:rsidRDefault="0092710F">
      <w:pPr>
        <w:spacing w:line="480" w:lineRule="auto"/>
        <w:jc w:val="both"/>
        <w:rPr>
          <w:rFonts w:ascii="Times New Roman" w:hAnsi="Times New Roman"/>
          <w:sz w:val="24"/>
          <w:szCs w:val="24"/>
        </w:rPr>
      </w:pPr>
    </w:p>
    <w:p w14:paraId="5785D6F5" w14:textId="77777777" w:rsidR="0092710F" w:rsidRDefault="00000000">
      <w:pPr>
        <w:spacing w:line="480" w:lineRule="auto"/>
        <w:jc w:val="both"/>
        <w:rPr>
          <w:rFonts w:ascii="Times New Roman" w:hAnsi="Times New Roman"/>
          <w:sz w:val="24"/>
          <w:szCs w:val="24"/>
        </w:rPr>
      </w:pPr>
      <w:r>
        <w:rPr>
          <w:rFonts w:ascii="Times New Roman" w:hAnsi="Times New Roman"/>
          <w:noProof/>
          <w:sz w:val="24"/>
          <w:szCs w:val="24"/>
        </w:rPr>
        <w:drawing>
          <wp:inline distT="0" distB="0" distL="0" distR="0" wp14:anchorId="096FE990" wp14:editId="255FE8AB">
            <wp:extent cx="4635500" cy="2892425"/>
            <wp:effectExtent l="0" t="0" r="12700" b="3175"/>
            <wp:docPr id="39" name="Picture 39" descr="C:\Users\USER\AppData\Local\Temp\ksohtml25456\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Users\USER\AppData\Local\Temp\ksohtml25456\wps1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635500" cy="2892425"/>
                    </a:xfrm>
                    <a:prstGeom prst="rect">
                      <a:avLst/>
                    </a:prstGeom>
                    <a:noFill/>
                    <a:ln>
                      <a:noFill/>
                    </a:ln>
                  </pic:spPr>
                </pic:pic>
              </a:graphicData>
            </a:graphic>
          </wp:inline>
        </w:drawing>
      </w:r>
      <w:r>
        <w:rPr>
          <w:rFonts w:ascii="Times New Roman" w:hAnsi="Times New Roman"/>
          <w:sz w:val="24"/>
          <w:szCs w:val="24"/>
        </w:rPr>
        <w:t xml:space="preserve"> </w:t>
      </w:r>
    </w:p>
    <w:p w14:paraId="44945F1A" w14:textId="77777777" w:rsidR="0092710F" w:rsidRDefault="00000000">
      <w:pPr>
        <w:spacing w:after="100" w:afterAutospacing="1"/>
        <w:jc w:val="both"/>
        <w:rPr>
          <w:rFonts w:ascii="Times New Roman" w:hAnsi="Times New Roman"/>
          <w:i/>
          <w:sz w:val="24"/>
          <w:szCs w:val="24"/>
        </w:rPr>
      </w:pPr>
      <w:r>
        <w:rPr>
          <w:rFonts w:ascii="Times New Roman" w:hAnsi="Times New Roman"/>
          <w:sz w:val="24"/>
          <w:szCs w:val="24"/>
        </w:rPr>
        <w:t xml:space="preserve">Plate xiii: Image J based surface morphology analyses </w:t>
      </w:r>
      <w:proofErr w:type="gramStart"/>
      <w:r>
        <w:rPr>
          <w:rFonts w:ascii="Times New Roman" w:hAnsi="Times New Roman"/>
          <w:sz w:val="24"/>
          <w:szCs w:val="24"/>
        </w:rPr>
        <w:t xml:space="preserve">of  </w:t>
      </w:r>
      <w:r>
        <w:rPr>
          <w:rFonts w:ascii="Times New Roman" w:hAnsi="Times New Roman"/>
          <w:i/>
          <w:sz w:val="24"/>
          <w:szCs w:val="24"/>
        </w:rPr>
        <w:t>Cymbopogon</w:t>
      </w:r>
      <w:proofErr w:type="gramEnd"/>
      <w:r>
        <w:rPr>
          <w:rFonts w:ascii="Times New Roman" w:hAnsi="Times New Roman"/>
          <w:i/>
          <w:sz w:val="24"/>
          <w:szCs w:val="24"/>
        </w:rPr>
        <w:t xml:space="preserve"> </w:t>
      </w:r>
      <w:proofErr w:type="spellStart"/>
      <w:r>
        <w:rPr>
          <w:rFonts w:ascii="Times New Roman" w:hAnsi="Times New Roman"/>
          <w:i/>
          <w:sz w:val="24"/>
          <w:szCs w:val="24"/>
        </w:rPr>
        <w:t>citratu</w:t>
      </w:r>
      <w:proofErr w:type="spellEnd"/>
    </w:p>
    <w:p w14:paraId="0B114A15" w14:textId="77777777" w:rsidR="0092710F" w:rsidRDefault="00000000">
      <w:pPr>
        <w:spacing w:after="100" w:afterAutospacing="1"/>
        <w:jc w:val="both"/>
        <w:rPr>
          <w:rFonts w:ascii="Times New Roman" w:eastAsia="Calibri" w:hAnsi="Times New Roman"/>
          <w:sz w:val="24"/>
          <w:szCs w:val="24"/>
        </w:rPr>
      </w:pPr>
      <w:r>
        <w:rPr>
          <w:rFonts w:ascii="Times New Roman" w:eastAsia="Calibri" w:hAnsi="Times New Roman"/>
          <w:sz w:val="24"/>
          <w:szCs w:val="24"/>
        </w:rPr>
        <w:t xml:space="preserve">3.3.2 To move beyond visual inspection of the SEM images, the micrographs for Sample </w:t>
      </w:r>
      <w:r>
        <w:rPr>
          <w:rFonts w:ascii="Times New Roman" w:eastAsia="Calibri" w:hAnsi="Times New Roman"/>
          <w:i/>
          <w:iCs/>
          <w:sz w:val="24"/>
          <w:szCs w:val="24"/>
        </w:rPr>
        <w:t xml:space="preserve">C. </w:t>
      </w:r>
      <w:proofErr w:type="spellStart"/>
      <w:r>
        <w:rPr>
          <w:rFonts w:ascii="Times New Roman" w:eastAsia="Calibri" w:hAnsi="Times New Roman"/>
          <w:i/>
          <w:iCs/>
          <w:sz w:val="24"/>
          <w:szCs w:val="24"/>
        </w:rPr>
        <w:t>citratus</w:t>
      </w:r>
      <w:proofErr w:type="spellEnd"/>
      <w:r>
        <w:rPr>
          <w:rFonts w:ascii="Times New Roman" w:eastAsia="Calibri" w:hAnsi="Times New Roman"/>
          <w:sz w:val="24"/>
          <w:szCs w:val="24"/>
        </w:rPr>
        <w:t xml:space="preserve"> were </w:t>
      </w:r>
      <w:proofErr w:type="spellStart"/>
      <w:r>
        <w:rPr>
          <w:rFonts w:ascii="Times New Roman" w:eastAsia="Calibri" w:hAnsi="Times New Roman"/>
          <w:sz w:val="24"/>
          <w:szCs w:val="24"/>
        </w:rPr>
        <w:t>analysed</w:t>
      </w:r>
      <w:proofErr w:type="spellEnd"/>
      <w:r>
        <w:rPr>
          <w:rFonts w:ascii="Times New Roman" w:eastAsia="Calibri" w:hAnsi="Times New Roman"/>
          <w:sz w:val="24"/>
          <w:szCs w:val="24"/>
        </w:rPr>
        <w:t xml:space="preserve"> using Image J Plate xiii. </w:t>
      </w:r>
      <w:proofErr w:type="gramStart"/>
      <w:r>
        <w:rPr>
          <w:rFonts w:ascii="Times New Roman" w:eastAsia="Calibri" w:hAnsi="Times New Roman"/>
          <w:sz w:val="24"/>
          <w:szCs w:val="24"/>
        </w:rPr>
        <w:t>Sample  allows</w:t>
      </w:r>
      <w:proofErr w:type="gramEnd"/>
      <w:r>
        <w:rPr>
          <w:rFonts w:ascii="Times New Roman" w:eastAsia="Calibri" w:hAnsi="Times New Roman"/>
          <w:sz w:val="24"/>
          <w:szCs w:val="24"/>
        </w:rPr>
        <w:t xml:space="preserve"> the surface features to be expressed in measurable terms rather than descriptive impressions alone. The processed morphology map (Plate xiii) displays clear spatial variation in intensity, represented by a gradient of </w:t>
      </w:r>
      <w:proofErr w:type="spellStart"/>
      <w:r>
        <w:rPr>
          <w:rFonts w:ascii="Times New Roman" w:eastAsia="Calibri" w:hAnsi="Times New Roman"/>
          <w:sz w:val="24"/>
          <w:szCs w:val="24"/>
        </w:rPr>
        <w:t>colours</w:t>
      </w:r>
      <w:proofErr w:type="spellEnd"/>
      <w:r>
        <w:rPr>
          <w:rFonts w:ascii="Times New Roman" w:eastAsia="Calibri" w:hAnsi="Times New Roman"/>
          <w:sz w:val="24"/>
          <w:szCs w:val="24"/>
        </w:rPr>
        <w:t xml:space="preserve"> that correspond to differences in surface condition and, by implication, inhibitor performance across the steel surface. Areas rendered in red tend to coincide with zones where the protective layer appears thinned, discontinuous, or locally disrupted. Such regions may reasonably be interpreted as early-stage corrosion sites, where incomplete adsorption permits electrochemical activity to persist. In practical terms, these are the kinds </w:t>
      </w:r>
      <w:proofErr w:type="gramStart"/>
      <w:r>
        <w:rPr>
          <w:rFonts w:ascii="Times New Roman" w:eastAsia="Calibri" w:hAnsi="Times New Roman"/>
          <w:sz w:val="24"/>
          <w:szCs w:val="24"/>
        </w:rPr>
        <w:t>of</w:t>
      </w:r>
      <w:r>
        <w:rPr>
          <w:rFonts w:ascii="Times New Roman" w:eastAsia="Calibri" w:hAnsi="Times New Roman"/>
          <w:sz w:val="24"/>
          <w:szCs w:val="24"/>
          <w:rtl/>
        </w:rPr>
        <w:t xml:space="preserve"> </w:t>
      </w:r>
      <w:r>
        <w:rPr>
          <w:rFonts w:ascii="Times New Roman" w:eastAsia="Calibri" w:hAnsi="Times New Roman"/>
          <w:sz w:val="24"/>
          <w:szCs w:val="24"/>
        </w:rPr>
        <w:t xml:space="preserve"> region</w:t>
      </w:r>
      <w:proofErr w:type="gramEnd"/>
      <w:r>
        <w:rPr>
          <w:rFonts w:ascii="Times New Roman" w:eastAsia="Calibri" w:hAnsi="Times New Roman"/>
          <w:sz w:val="24"/>
          <w:szCs w:val="24"/>
        </w:rPr>
        <w:t xml:space="preserve"> where one would expect pit initiation under chloride-rich conditions, particularly if the inhibitor film lacks sufficient cohesion.</w:t>
      </w:r>
    </w:p>
    <w:p w14:paraId="3153AEBE"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Elsewhere, darker or lower-intensity regions suggest comparatively uniform coverage. In these zones, adsorption of constituents from </w:t>
      </w:r>
      <w:r>
        <w:rPr>
          <w:rFonts w:ascii="Times New Roman" w:eastAsia="Calibri" w:hAnsi="Times New Roman"/>
          <w:i/>
          <w:sz w:val="24"/>
          <w:szCs w:val="24"/>
        </w:rPr>
        <w:t xml:space="preserve">Cymbopogon </w:t>
      </w:r>
      <w:proofErr w:type="spellStart"/>
      <w:r>
        <w:rPr>
          <w:rFonts w:ascii="Times New Roman" w:eastAsia="Calibri" w:hAnsi="Times New Roman"/>
          <w:i/>
          <w:sz w:val="24"/>
          <w:szCs w:val="24"/>
        </w:rPr>
        <w:t>citratus</w:t>
      </w:r>
      <w:proofErr w:type="spellEnd"/>
      <w:r>
        <w:rPr>
          <w:rFonts w:ascii="Times New Roman" w:eastAsia="Calibri" w:hAnsi="Times New Roman"/>
          <w:sz w:val="24"/>
          <w:szCs w:val="24"/>
        </w:rPr>
        <w:t xml:space="preserve"> seems more effective, producing a film that is at least locally continuous. The distinction between </w:t>
      </w:r>
      <w:proofErr w:type="gramStart"/>
      <w:r>
        <w:rPr>
          <w:rFonts w:ascii="Times New Roman" w:eastAsia="Calibri" w:hAnsi="Times New Roman"/>
          <w:sz w:val="24"/>
          <w:szCs w:val="24"/>
        </w:rPr>
        <w:t>these area</w:t>
      </w:r>
      <w:proofErr w:type="gramEnd"/>
      <w:r>
        <w:rPr>
          <w:rFonts w:ascii="Times New Roman" w:eastAsia="Calibri" w:hAnsi="Times New Roman"/>
          <w:sz w:val="24"/>
          <w:szCs w:val="24"/>
        </w:rPr>
        <w:t xml:space="preserve"> is not trivial; it reflects how uneven adsorption, rather than complete failure of inhibition, often governs the </w:t>
      </w:r>
      <w:proofErr w:type="spellStart"/>
      <w:r>
        <w:rPr>
          <w:rFonts w:ascii="Times New Roman" w:eastAsia="Calibri" w:hAnsi="Times New Roman"/>
          <w:sz w:val="24"/>
          <w:szCs w:val="24"/>
        </w:rPr>
        <w:t>behaviour</w:t>
      </w:r>
      <w:proofErr w:type="spellEnd"/>
      <w:r>
        <w:rPr>
          <w:rFonts w:ascii="Times New Roman" w:eastAsia="Calibri" w:hAnsi="Times New Roman"/>
          <w:sz w:val="24"/>
          <w:szCs w:val="24"/>
        </w:rPr>
        <w:t xml:space="preserve"> of plant-derived systems.</w:t>
      </w:r>
    </w:p>
    <w:p w14:paraId="726381D1"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The numerical spread of intensity values reinforces this point. Rather than clustering tightly, the values are distributed over a wide range, pointing to electrochemical heterogeneity across the surface. This variability may arise from differences in </w:t>
      </w:r>
      <w:r>
        <w:rPr>
          <w:rFonts w:ascii="Times New Roman" w:eastAsia="Calibri" w:hAnsi="Times New Roman"/>
          <w:sz w:val="24"/>
          <w:szCs w:val="24"/>
        </w:rPr>
        <w:lastRenderedPageBreak/>
        <w:t xml:space="preserve">molecular size, polarity, and functional groups among the extract’s constituents. As noted by Soltani </w:t>
      </w:r>
      <w:r>
        <w:rPr>
          <w:rFonts w:ascii="Times New Roman" w:eastAsia="Calibri" w:hAnsi="Times New Roman"/>
          <w:i/>
          <w:sz w:val="24"/>
          <w:szCs w:val="24"/>
        </w:rPr>
        <w:t>et al</w:t>
      </w:r>
      <w:r>
        <w:rPr>
          <w:rFonts w:ascii="Times New Roman" w:eastAsia="Calibri" w:hAnsi="Times New Roman"/>
          <w:sz w:val="24"/>
          <w:szCs w:val="24"/>
        </w:rPr>
        <w:t>. (2025), such heterogeneity is almost expected in plant-based inhibitors, where multiple compounds compete for adsorption sites, sometimes with unequal affinity.</w:t>
      </w:r>
    </w:p>
    <w:p w14:paraId="6E78241C" w14:textId="77777777" w:rsidR="0092710F" w:rsidRDefault="0092710F">
      <w:pPr>
        <w:jc w:val="both"/>
        <w:rPr>
          <w:rFonts w:ascii="Times New Roman" w:eastAsia="Calibri" w:hAnsi="Times New Roman"/>
          <w:sz w:val="24"/>
          <w:szCs w:val="24"/>
        </w:rPr>
      </w:pPr>
    </w:p>
    <w:p w14:paraId="120E49AD" w14:textId="77777777" w:rsidR="0092710F" w:rsidRDefault="00000000">
      <w:pPr>
        <w:spacing w:line="480" w:lineRule="auto"/>
        <w:jc w:val="both"/>
        <w:rPr>
          <w:rFonts w:ascii="Times New Roman" w:hAnsi="Times New Roman"/>
          <w:bCs/>
          <w:sz w:val="24"/>
          <w:szCs w:val="24"/>
        </w:rPr>
      </w:pPr>
      <w:r>
        <w:rPr>
          <w:rFonts w:ascii="Times New Roman" w:hAnsi="Times New Roman"/>
          <w:bCs/>
          <w:sz w:val="24"/>
          <w:szCs w:val="24"/>
        </w:rPr>
        <w:t xml:space="preserve"> </w:t>
      </w:r>
    </w:p>
    <w:p w14:paraId="492D1CEE" w14:textId="77777777" w:rsidR="0092710F" w:rsidRDefault="00000000">
      <w:pPr>
        <w:spacing w:line="480" w:lineRule="auto"/>
        <w:rPr>
          <w:rFonts w:ascii="Times New Roman" w:hAnsi="Times New Roman"/>
          <w:sz w:val="24"/>
          <w:szCs w:val="24"/>
        </w:rPr>
      </w:pPr>
      <w:r>
        <w:rPr>
          <w:rFonts w:ascii="Times New Roman" w:hAnsi="Times New Roman"/>
          <w:noProof/>
          <w:sz w:val="24"/>
          <w:szCs w:val="24"/>
        </w:rPr>
        <w:drawing>
          <wp:inline distT="0" distB="0" distL="0" distR="0" wp14:anchorId="6B6DBA2A" wp14:editId="6B8BD97D">
            <wp:extent cx="4754880" cy="2730500"/>
            <wp:effectExtent l="0" t="0" r="7620" b="12700"/>
            <wp:docPr id="41" name="Picture 41" descr="C:\Users\USER\AppData\Local\Temp\ksohtml25456\wp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USER\AppData\Local\Temp\ksohtml25456\wps2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754880" cy="2730500"/>
                    </a:xfrm>
                    <a:prstGeom prst="rect">
                      <a:avLst/>
                    </a:prstGeom>
                    <a:noFill/>
                    <a:ln>
                      <a:noFill/>
                    </a:ln>
                  </pic:spPr>
                </pic:pic>
              </a:graphicData>
            </a:graphic>
          </wp:inline>
        </w:drawing>
      </w:r>
    </w:p>
    <w:p w14:paraId="62BBC14F" w14:textId="77777777" w:rsidR="0092710F" w:rsidRDefault="00000000">
      <w:pPr>
        <w:spacing w:line="480" w:lineRule="auto"/>
        <w:rPr>
          <w:rFonts w:ascii="Times New Roman" w:hAnsi="Times New Roman"/>
          <w:bCs/>
          <w:sz w:val="24"/>
          <w:szCs w:val="24"/>
        </w:rPr>
      </w:pPr>
      <w:r>
        <w:rPr>
          <w:rFonts w:ascii="Times New Roman" w:hAnsi="Times New Roman"/>
          <w:bCs/>
          <w:sz w:val="24"/>
          <w:szCs w:val="24"/>
        </w:rPr>
        <w:t>Plate xiv: Image analyzed morphology of</w:t>
      </w:r>
      <w:r>
        <w:rPr>
          <w:rFonts w:ascii="Times New Roman" w:eastAsia="Calibri" w:hAnsi="Times New Roman"/>
          <w:sz w:val="24"/>
          <w:szCs w:val="24"/>
        </w:rPr>
        <w:t xml:space="preserve"> </w:t>
      </w:r>
      <w:proofErr w:type="spellStart"/>
      <w:r>
        <w:rPr>
          <w:rFonts w:ascii="Times New Roman" w:hAnsi="Times New Roman"/>
          <w:bCs/>
          <w:i/>
          <w:sz w:val="24"/>
          <w:szCs w:val="24"/>
        </w:rPr>
        <w:t>calotropis</w:t>
      </w:r>
      <w:proofErr w:type="spellEnd"/>
      <w:r>
        <w:rPr>
          <w:rFonts w:ascii="Times New Roman" w:hAnsi="Times New Roman"/>
          <w:bCs/>
          <w:i/>
          <w:sz w:val="24"/>
          <w:szCs w:val="24"/>
        </w:rPr>
        <w:t xml:space="preserve"> </w:t>
      </w:r>
      <w:proofErr w:type="spellStart"/>
      <w:r>
        <w:rPr>
          <w:rFonts w:ascii="Times New Roman" w:hAnsi="Times New Roman"/>
          <w:bCs/>
          <w:i/>
          <w:sz w:val="24"/>
          <w:szCs w:val="24"/>
        </w:rPr>
        <w:t>procera</w:t>
      </w:r>
      <w:proofErr w:type="spellEnd"/>
      <w:r>
        <w:rPr>
          <w:rFonts w:ascii="Times New Roman" w:hAnsi="Times New Roman"/>
          <w:bCs/>
          <w:i/>
          <w:sz w:val="24"/>
          <w:szCs w:val="24"/>
        </w:rPr>
        <w:t xml:space="preserve"> and </w:t>
      </w:r>
      <w:proofErr w:type="spellStart"/>
      <w:r>
        <w:rPr>
          <w:rFonts w:ascii="Times New Roman" w:hAnsi="Times New Roman"/>
          <w:bCs/>
          <w:i/>
          <w:sz w:val="24"/>
          <w:szCs w:val="24"/>
        </w:rPr>
        <w:t>euphobia</w:t>
      </w:r>
      <w:proofErr w:type="spellEnd"/>
      <w:r>
        <w:rPr>
          <w:rFonts w:ascii="Times New Roman" w:hAnsi="Times New Roman"/>
          <w:bCs/>
          <w:i/>
          <w:sz w:val="24"/>
          <w:szCs w:val="24"/>
        </w:rPr>
        <w:t xml:space="preserve"> </w:t>
      </w:r>
      <w:proofErr w:type="spellStart"/>
      <w:r>
        <w:rPr>
          <w:rFonts w:ascii="Times New Roman" w:hAnsi="Times New Roman"/>
          <w:bCs/>
          <w:i/>
          <w:sz w:val="24"/>
          <w:szCs w:val="24"/>
        </w:rPr>
        <w:t>kamerunica</w:t>
      </w:r>
      <w:proofErr w:type="spellEnd"/>
    </w:p>
    <w:p w14:paraId="57F3CE49"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3.3.3 To quantify these observations, the SEM images were further processed using Image J for Sample </w:t>
      </w:r>
      <w:proofErr w:type="spellStart"/>
      <w:r>
        <w:rPr>
          <w:rFonts w:ascii="Times New Roman" w:hAnsi="Times New Roman"/>
          <w:bCs/>
          <w:i/>
          <w:sz w:val="24"/>
          <w:szCs w:val="24"/>
        </w:rPr>
        <w:t>calotropis</w:t>
      </w:r>
      <w:proofErr w:type="spellEnd"/>
      <w:r>
        <w:rPr>
          <w:rFonts w:ascii="Times New Roman" w:hAnsi="Times New Roman"/>
          <w:bCs/>
          <w:i/>
          <w:sz w:val="24"/>
          <w:szCs w:val="24"/>
        </w:rPr>
        <w:t xml:space="preserve"> </w:t>
      </w:r>
      <w:proofErr w:type="spellStart"/>
      <w:r>
        <w:rPr>
          <w:rFonts w:ascii="Times New Roman" w:hAnsi="Times New Roman"/>
          <w:bCs/>
          <w:i/>
          <w:sz w:val="24"/>
          <w:szCs w:val="24"/>
        </w:rPr>
        <w:t>procera</w:t>
      </w:r>
      <w:proofErr w:type="spellEnd"/>
      <w:r>
        <w:rPr>
          <w:rFonts w:ascii="Times New Roman" w:hAnsi="Times New Roman"/>
          <w:bCs/>
          <w:i/>
          <w:sz w:val="24"/>
          <w:szCs w:val="24"/>
        </w:rPr>
        <w:t xml:space="preserve"> and </w:t>
      </w:r>
      <w:proofErr w:type="spellStart"/>
      <w:r>
        <w:rPr>
          <w:rFonts w:ascii="Times New Roman" w:hAnsi="Times New Roman"/>
          <w:bCs/>
          <w:i/>
          <w:sz w:val="24"/>
          <w:szCs w:val="24"/>
        </w:rPr>
        <w:t>euphobia</w:t>
      </w:r>
      <w:proofErr w:type="spellEnd"/>
      <w:r>
        <w:rPr>
          <w:rFonts w:ascii="Times New Roman" w:hAnsi="Times New Roman"/>
          <w:bCs/>
          <w:i/>
          <w:sz w:val="24"/>
          <w:szCs w:val="24"/>
        </w:rPr>
        <w:t xml:space="preserve"> </w:t>
      </w:r>
      <w:proofErr w:type="spellStart"/>
      <w:r>
        <w:rPr>
          <w:rFonts w:ascii="Times New Roman" w:hAnsi="Times New Roman"/>
          <w:bCs/>
          <w:i/>
          <w:sz w:val="24"/>
          <w:szCs w:val="24"/>
        </w:rPr>
        <w:t>kamerunica</w:t>
      </w:r>
      <w:proofErr w:type="spellEnd"/>
      <w:r>
        <w:rPr>
          <w:rFonts w:ascii="Times New Roman" w:hAnsi="Times New Roman"/>
          <w:bCs/>
          <w:i/>
          <w:sz w:val="24"/>
          <w:szCs w:val="24"/>
        </w:rPr>
        <w:t xml:space="preserve"> </w:t>
      </w:r>
      <w:r>
        <w:rPr>
          <w:rFonts w:ascii="Times New Roman" w:hAnsi="Times New Roman"/>
          <w:bCs/>
          <w:iCs/>
          <w:sz w:val="24"/>
          <w:szCs w:val="24"/>
        </w:rPr>
        <w:t xml:space="preserve">mixture blend Plate xiv. </w:t>
      </w:r>
      <w:r>
        <w:rPr>
          <w:rFonts w:ascii="Times New Roman" w:eastAsia="Calibri" w:hAnsi="Times New Roman"/>
          <w:sz w:val="24"/>
          <w:szCs w:val="24"/>
        </w:rPr>
        <w:t>The resulting morphology map Plate xiv reinforces what is already apparent visually: the surface is irregular, fractured, and far from uniformly protected.</w:t>
      </w:r>
    </w:p>
    <w:p w14:paraId="3F3DB783"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Cracks, voids, and elongated fissures are distributed across the analyzed area. Measurements indicate that micro-crevice widths fall within the range of approximately 1.140 µm to 1.357 µm. These are not negligible dimensions. Defects of this scale are large enough to permit deep penetration of corrosive species, potentially allowing corrosion to progress beneath the surface rather than remaining superficial.</w:t>
      </w:r>
    </w:p>
    <w:p w14:paraId="3DB5F322"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The contrast in the processed images offers additional clues. Brighter regions tend to correspond to areas where some form of surface layer either inhibitor residue or corrosion product remains attached. </w:t>
      </w:r>
      <w:proofErr w:type="gramStart"/>
      <w:r>
        <w:rPr>
          <w:rFonts w:ascii="Times New Roman" w:eastAsia="Calibri" w:hAnsi="Times New Roman"/>
          <w:sz w:val="24"/>
          <w:szCs w:val="24"/>
        </w:rPr>
        <w:t>These area</w:t>
      </w:r>
      <w:proofErr w:type="gramEnd"/>
      <w:r>
        <w:rPr>
          <w:rFonts w:ascii="Times New Roman" w:eastAsia="Calibri" w:hAnsi="Times New Roman"/>
          <w:sz w:val="24"/>
          <w:szCs w:val="24"/>
          <w:rtl/>
        </w:rPr>
        <w:t xml:space="preserve"> </w:t>
      </w:r>
      <w:r>
        <w:rPr>
          <w:rFonts w:ascii="Times New Roman" w:eastAsia="Calibri" w:hAnsi="Times New Roman"/>
          <w:sz w:val="24"/>
          <w:szCs w:val="24"/>
        </w:rPr>
        <w:t>may represent zones of partial passivation. Darker regions, by contrast, appear more depleted, suggesting either desorption of the inhibitor or areas where adsorption never fully occurred. Such zones are likely more vulnerable to continued attack.</w:t>
      </w:r>
    </w:p>
    <w:p w14:paraId="083D3154"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What emerges is a pattern of uneven adsorption. The inhibitor does not appear to spread or bind uniformly across the surface. Instead, it forms patches of coverage interspersed with exposed areas. This kind of </w:t>
      </w:r>
      <w:proofErr w:type="spellStart"/>
      <w:r>
        <w:rPr>
          <w:rFonts w:ascii="Times New Roman" w:eastAsia="Calibri" w:hAnsi="Times New Roman"/>
          <w:sz w:val="24"/>
          <w:szCs w:val="24"/>
        </w:rPr>
        <w:t>behaviour</w:t>
      </w:r>
      <w:proofErr w:type="spellEnd"/>
      <w:r>
        <w:rPr>
          <w:rFonts w:ascii="Times New Roman" w:eastAsia="Calibri" w:hAnsi="Times New Roman"/>
          <w:sz w:val="24"/>
          <w:szCs w:val="24"/>
        </w:rPr>
        <w:t xml:space="preserve"> is common in plant-derived systems, where multiple compounds with different affinities compete for surface sites (Cui </w:t>
      </w:r>
      <w:r>
        <w:rPr>
          <w:rFonts w:ascii="Times New Roman" w:eastAsia="Calibri" w:hAnsi="Times New Roman"/>
          <w:i/>
          <w:iCs/>
          <w:sz w:val="24"/>
          <w:szCs w:val="24"/>
        </w:rPr>
        <w:t>et al</w:t>
      </w:r>
      <w:r>
        <w:rPr>
          <w:rFonts w:ascii="Times New Roman" w:eastAsia="Calibri" w:hAnsi="Times New Roman"/>
          <w:sz w:val="24"/>
          <w:szCs w:val="24"/>
        </w:rPr>
        <w:t xml:space="preserve">., 2021; Li </w:t>
      </w:r>
      <w:r>
        <w:rPr>
          <w:rFonts w:ascii="Times New Roman" w:eastAsia="Calibri" w:hAnsi="Times New Roman"/>
          <w:i/>
          <w:sz w:val="24"/>
          <w:szCs w:val="24"/>
        </w:rPr>
        <w:t>et al</w:t>
      </w:r>
      <w:r>
        <w:rPr>
          <w:rFonts w:ascii="Times New Roman" w:eastAsia="Calibri" w:hAnsi="Times New Roman"/>
          <w:sz w:val="24"/>
          <w:szCs w:val="24"/>
        </w:rPr>
        <w:t>., 2022). The result is a mixed inhibition mechanism effective in parts, but inconsistent overall.</w:t>
      </w:r>
    </w:p>
    <w:p w14:paraId="2E9A0C0E" w14:textId="77777777" w:rsidR="0092710F" w:rsidRDefault="0092710F">
      <w:pPr>
        <w:jc w:val="both"/>
        <w:rPr>
          <w:rFonts w:ascii="Times New Roman" w:eastAsia="Calibri" w:hAnsi="Times New Roman"/>
          <w:sz w:val="24"/>
          <w:szCs w:val="24"/>
        </w:rPr>
      </w:pPr>
    </w:p>
    <w:p w14:paraId="66CD32D3" w14:textId="77777777" w:rsidR="0092710F" w:rsidRDefault="0092710F">
      <w:pPr>
        <w:spacing w:line="480" w:lineRule="auto"/>
        <w:jc w:val="both"/>
        <w:rPr>
          <w:rFonts w:ascii="Times New Roman" w:eastAsia="Calibri" w:hAnsi="Times New Roman"/>
          <w:sz w:val="24"/>
          <w:szCs w:val="24"/>
        </w:rPr>
      </w:pPr>
    </w:p>
    <w:p w14:paraId="6923BC44" w14:textId="24CD6AAC" w:rsidR="0092710F" w:rsidRDefault="002572B8">
      <w:pPr>
        <w:spacing w:line="480" w:lineRule="auto"/>
        <w:jc w:val="both"/>
        <w:rPr>
          <w:rFonts w:ascii="Times New Roman" w:eastAsia="Calibri" w:hAnsi="Times New Roman"/>
          <w:sz w:val="24"/>
          <w:szCs w:val="24"/>
        </w:rPr>
      </w:pPr>
      <w:r>
        <w:rPr>
          <w:rFonts w:ascii="Times New Roman" w:hAnsi="Times New Roman"/>
          <w:noProof/>
          <w:sz w:val="24"/>
          <w:szCs w:val="24"/>
        </w:rPr>
        <w:drawing>
          <wp:inline distT="0" distB="0" distL="0" distR="0" wp14:anchorId="4B7E0547" wp14:editId="3C9D5FB7">
            <wp:extent cx="2719070" cy="2208530"/>
            <wp:effectExtent l="0" t="0" r="5080" b="1270"/>
            <wp:docPr id="42" name="Picture 42" descr="C:\Users\USER\AppData\Local\Temp\ksohtml25456\wp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Users\USER\AppData\Local\Temp\ksohtml25456\wps2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719070" cy="220853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778210DD" wp14:editId="53CDD9F5">
            <wp:extent cx="2456815" cy="2215515"/>
            <wp:effectExtent l="0" t="0" r="635" b="13335"/>
            <wp:docPr id="47" name="Picture 47" descr="C:\Users\USER\AppData\Local\Temp\ksohtml25456\wps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Users\USER\AppData\Local\Temp\ksohtml25456\wps2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456815" cy="2215515"/>
                    </a:xfrm>
                    <a:prstGeom prst="rect">
                      <a:avLst/>
                    </a:prstGeom>
                    <a:noFill/>
                    <a:ln>
                      <a:noFill/>
                    </a:ln>
                  </pic:spPr>
                </pic:pic>
              </a:graphicData>
            </a:graphic>
          </wp:inline>
        </w:drawing>
      </w:r>
    </w:p>
    <w:p w14:paraId="1AFA60F6" w14:textId="18E7A714" w:rsidR="0092710F" w:rsidRDefault="00000000">
      <w:pPr>
        <w:spacing w:line="480" w:lineRule="auto"/>
        <w:jc w:val="both"/>
        <w:rPr>
          <w:rFonts w:ascii="Times New Roman" w:hAnsi="Times New Roman"/>
          <w:sz w:val="24"/>
          <w:szCs w:val="24"/>
        </w:rPr>
      </w:pPr>
      <w:r>
        <w:rPr>
          <w:rFonts w:ascii="Times New Roman" w:hAnsi="Times New Roman"/>
          <w:sz w:val="24"/>
          <w:szCs w:val="24"/>
        </w:rPr>
        <w:t xml:space="preserve"> </w:t>
      </w:r>
    </w:p>
    <w:p w14:paraId="12667232" w14:textId="13EC5D64" w:rsidR="0092710F" w:rsidRDefault="002572B8">
      <w:pPr>
        <w:spacing w:line="480" w:lineRule="auto"/>
        <w:ind w:firstLineChars="150" w:firstLine="360"/>
        <w:jc w:val="both"/>
        <w:rPr>
          <w:rFonts w:ascii="Times New Roman" w:eastAsia="Calibri" w:hAnsi="Times New Roman"/>
          <w:sz w:val="24"/>
          <w:szCs w:val="24"/>
        </w:rPr>
      </w:pPr>
      <w:r>
        <w:rPr>
          <w:rFonts w:ascii="Times New Roman" w:eastAsia="Calibri" w:hAnsi="Times New Roman"/>
          <w:sz w:val="24"/>
          <w:szCs w:val="24"/>
        </w:rPr>
        <w:t xml:space="preserve">Plate xv: Image J surface image analyses of sample </w:t>
      </w:r>
      <w:proofErr w:type="spellStart"/>
      <w:proofErr w:type="gramStart"/>
      <w:r>
        <w:rPr>
          <w:rFonts w:ascii="Times New Roman" w:eastAsia="Calibri" w:hAnsi="Times New Roman"/>
          <w:i/>
          <w:sz w:val="24"/>
          <w:szCs w:val="24"/>
        </w:rPr>
        <w:t>A.Indica</w:t>
      </w:r>
      <w:proofErr w:type="spellEnd"/>
      <w:proofErr w:type="gramEnd"/>
    </w:p>
    <w:p w14:paraId="7F379DCF"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3.3.4 Processing the SEM images through Image </w:t>
      </w:r>
      <w:proofErr w:type="gramStart"/>
      <w:r>
        <w:rPr>
          <w:rFonts w:ascii="Times New Roman" w:eastAsia="Calibri" w:hAnsi="Times New Roman"/>
          <w:sz w:val="24"/>
          <w:szCs w:val="24"/>
        </w:rPr>
        <w:t>J  brings</w:t>
      </w:r>
      <w:proofErr w:type="gramEnd"/>
      <w:r>
        <w:rPr>
          <w:rFonts w:ascii="Times New Roman" w:eastAsia="Calibri" w:hAnsi="Times New Roman"/>
          <w:sz w:val="24"/>
          <w:szCs w:val="24"/>
        </w:rPr>
        <w:t xml:space="preserve"> out the spatial variability more clearly. The </w:t>
      </w:r>
      <w:proofErr w:type="spellStart"/>
      <w:r>
        <w:rPr>
          <w:rFonts w:ascii="Times New Roman" w:eastAsia="Calibri" w:hAnsi="Times New Roman"/>
          <w:sz w:val="24"/>
          <w:szCs w:val="24"/>
        </w:rPr>
        <w:t>colour</w:t>
      </w:r>
      <w:proofErr w:type="spellEnd"/>
      <w:r>
        <w:rPr>
          <w:rFonts w:ascii="Times New Roman" w:eastAsia="Calibri" w:hAnsi="Times New Roman"/>
          <w:sz w:val="24"/>
          <w:szCs w:val="24"/>
        </w:rPr>
        <w:t xml:space="preserve"> mapping (Plate xv) highlights differences that are less obvious in grayscale micrographs. Bright red regions tend to correspond to raised areas either deposits of corrosion products or zones where the inhibitor film is relatively intact. In contrast, cyan and darker regions mark lower region including shallow pits and </w:t>
      </w:r>
      <w:proofErr w:type="spellStart"/>
      <w:r>
        <w:rPr>
          <w:rFonts w:ascii="Times New Roman" w:eastAsia="Calibri" w:hAnsi="Times New Roman"/>
          <w:sz w:val="24"/>
          <w:szCs w:val="24"/>
        </w:rPr>
        <w:t>microvoids</w:t>
      </w:r>
      <w:proofErr w:type="spellEnd"/>
      <w:r>
        <w:rPr>
          <w:rFonts w:ascii="Times New Roman" w:eastAsia="Calibri" w:hAnsi="Times New Roman"/>
          <w:sz w:val="24"/>
          <w:szCs w:val="24"/>
        </w:rPr>
        <w:t>.</w:t>
      </w:r>
    </w:p>
    <w:p w14:paraId="13AE1081"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What stands out is not just the presence of these features, but their distribution. Elevated and depressed regions are interspersed rather than segregated, giving the surface a patchwork character. This pattern suggests that adsorption of the </w:t>
      </w:r>
      <w:proofErr w:type="spellStart"/>
      <w:r>
        <w:rPr>
          <w:rFonts w:ascii="Times New Roman" w:eastAsia="Calibri" w:hAnsi="Times New Roman"/>
          <w:i/>
          <w:sz w:val="24"/>
          <w:szCs w:val="24"/>
        </w:rPr>
        <w:t>Azadirachta</w:t>
      </w:r>
      <w:proofErr w:type="spellEnd"/>
      <w:r>
        <w:rPr>
          <w:rFonts w:ascii="Times New Roman" w:eastAsia="Calibri" w:hAnsi="Times New Roman"/>
          <w:i/>
          <w:sz w:val="24"/>
          <w:szCs w:val="24"/>
        </w:rPr>
        <w:t xml:space="preserve"> indica</w:t>
      </w:r>
      <w:r>
        <w:rPr>
          <w:rFonts w:ascii="Times New Roman" w:eastAsia="Calibri" w:hAnsi="Times New Roman"/>
          <w:sz w:val="24"/>
          <w:szCs w:val="24"/>
        </w:rPr>
        <w:t xml:space="preserve"> constituents does occur, but not with complete uniformity.</w:t>
      </w:r>
    </w:p>
    <w:p w14:paraId="17BBD38C"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Such heterogeneity is often reported for plant-based inhibitors. Because the extract contains multiple compounds with different polarities and functional groups, adsorption tends to proceed unevenly. Some molecules may bind strongly to active sites, while others remain weakly associated or are displaced over time (Soltani </w:t>
      </w:r>
      <w:r>
        <w:rPr>
          <w:rFonts w:ascii="Times New Roman" w:eastAsia="Calibri" w:hAnsi="Times New Roman"/>
          <w:i/>
          <w:sz w:val="24"/>
          <w:szCs w:val="24"/>
        </w:rPr>
        <w:t>et al</w:t>
      </w:r>
      <w:r>
        <w:rPr>
          <w:rFonts w:ascii="Times New Roman" w:eastAsia="Calibri" w:hAnsi="Times New Roman"/>
          <w:sz w:val="24"/>
          <w:szCs w:val="24"/>
        </w:rPr>
        <w:t>., 2025).</w:t>
      </w:r>
    </w:p>
    <w:p w14:paraId="1BAF5B8F"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The darker area particularly those approaching black are of greater concern. These are likely locations of material loss, where the protective film has either failed to form or has broken down. In chloride-containing environment such region could evolve into stable pits if exposure continues.</w:t>
      </w:r>
    </w:p>
    <w:p w14:paraId="31582B2E" w14:textId="77777777" w:rsidR="0092710F" w:rsidRDefault="00000000">
      <w:pPr>
        <w:spacing w:line="48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14:anchorId="22573230" wp14:editId="062D2DB6">
            <wp:extent cx="4737735" cy="3010535"/>
            <wp:effectExtent l="0" t="0" r="5715" b="18415"/>
            <wp:docPr id="49" name="Picture 49" descr="C:\Users\USER\AppData\Local\Temp\ksohtml25456\wps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Users\USER\AppData\Local\Temp\ksohtml25456\wps3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737735" cy="3010535"/>
                    </a:xfrm>
                    <a:prstGeom prst="rect">
                      <a:avLst/>
                    </a:prstGeom>
                    <a:noFill/>
                    <a:ln>
                      <a:noFill/>
                    </a:ln>
                  </pic:spPr>
                </pic:pic>
              </a:graphicData>
            </a:graphic>
          </wp:inline>
        </w:drawing>
      </w:r>
    </w:p>
    <w:p w14:paraId="1E7D6053" w14:textId="77777777" w:rsidR="0092710F" w:rsidRDefault="00000000">
      <w:pPr>
        <w:spacing w:line="480" w:lineRule="auto"/>
        <w:jc w:val="both"/>
        <w:rPr>
          <w:rFonts w:ascii="Times New Roman" w:eastAsia="Calibri" w:hAnsi="Times New Roman"/>
          <w:sz w:val="24"/>
          <w:szCs w:val="24"/>
        </w:rPr>
      </w:pPr>
      <w:r>
        <w:rPr>
          <w:rFonts w:ascii="Times New Roman" w:hAnsi="Times New Roman"/>
          <w:sz w:val="24"/>
          <w:szCs w:val="24"/>
        </w:rPr>
        <w:t xml:space="preserve">               Plate </w:t>
      </w:r>
      <w:proofErr w:type="gramStart"/>
      <w:r>
        <w:rPr>
          <w:rFonts w:ascii="Times New Roman" w:hAnsi="Times New Roman"/>
          <w:sz w:val="24"/>
          <w:szCs w:val="24"/>
        </w:rPr>
        <w:t>xvi :</w:t>
      </w:r>
      <w:proofErr w:type="gramEnd"/>
      <w:r>
        <w:rPr>
          <w:rFonts w:ascii="Times New Roman" w:hAnsi="Times New Roman"/>
          <w:sz w:val="24"/>
          <w:szCs w:val="24"/>
        </w:rPr>
        <w:t xml:space="preserve"> Sample uncoated mild steel in image J software analysis</w:t>
      </w:r>
    </w:p>
    <w:p w14:paraId="4AE5171C"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 xml:space="preserve"> 3.3.4 When the SEM images are processed using Image J the extent of surface heterogeneity becomes even more apparent Plate </w:t>
      </w:r>
      <w:proofErr w:type="spellStart"/>
      <w:proofErr w:type="gramStart"/>
      <w:r>
        <w:rPr>
          <w:rFonts w:ascii="Times New Roman" w:eastAsia="Calibri" w:hAnsi="Times New Roman"/>
          <w:sz w:val="24"/>
          <w:szCs w:val="24"/>
        </w:rPr>
        <w:t>xvi.When</w:t>
      </w:r>
      <w:proofErr w:type="spellEnd"/>
      <w:proofErr w:type="gramEnd"/>
      <w:r>
        <w:rPr>
          <w:rFonts w:ascii="Times New Roman" w:eastAsia="Calibri" w:hAnsi="Times New Roman"/>
          <w:sz w:val="24"/>
          <w:szCs w:val="24"/>
        </w:rPr>
        <w:t xml:space="preserve"> the SEM images are processed using Image J Plate xvi, the extent of surface heterogeneity becomes even more apparent. The </w:t>
      </w:r>
      <w:proofErr w:type="spellStart"/>
      <w:r>
        <w:rPr>
          <w:rFonts w:ascii="Times New Roman" w:eastAsia="Calibri" w:hAnsi="Times New Roman"/>
          <w:sz w:val="24"/>
          <w:szCs w:val="24"/>
        </w:rPr>
        <w:t>colour</w:t>
      </w:r>
      <w:proofErr w:type="spellEnd"/>
      <w:r>
        <w:rPr>
          <w:rFonts w:ascii="Times New Roman" w:eastAsia="Calibri" w:hAnsi="Times New Roman"/>
          <w:sz w:val="24"/>
          <w:szCs w:val="24"/>
        </w:rPr>
        <w:t xml:space="preserve"> segmentation offers a more intuitive way to distinguish between regions of differing condition. Areas rendered in red correspond to zones of high intensity, typically associated with dense accumulations of corrosion products. These may include iron oxides such as </w:t>
      </w:r>
      <w:proofErr w:type="spellStart"/>
      <w:r>
        <w:rPr>
          <w:rFonts w:ascii="Times New Roman" w:eastAsia="Calibri" w:hAnsi="Times New Roman"/>
          <w:sz w:val="24"/>
          <w:szCs w:val="24"/>
        </w:rPr>
        <w:t>Fe₂O</w:t>
      </w:r>
      <w:proofErr w:type="spellEnd"/>
      <w:r>
        <w:rPr>
          <w:rFonts w:ascii="Times New Roman" w:eastAsia="Calibri" w:hAnsi="Times New Roman"/>
          <w:sz w:val="24"/>
          <w:szCs w:val="24"/>
        </w:rPr>
        <w:t xml:space="preserve">₃ or </w:t>
      </w:r>
      <w:proofErr w:type="spellStart"/>
      <w:r>
        <w:rPr>
          <w:rFonts w:ascii="Times New Roman" w:eastAsia="Calibri" w:hAnsi="Times New Roman"/>
          <w:sz w:val="24"/>
          <w:szCs w:val="24"/>
        </w:rPr>
        <w:t>Fe₃O</w:t>
      </w:r>
      <w:proofErr w:type="spellEnd"/>
      <w:r>
        <w:rPr>
          <w:rFonts w:ascii="Times New Roman" w:eastAsia="Calibri" w:hAnsi="Times New Roman"/>
          <w:sz w:val="24"/>
          <w:szCs w:val="24"/>
        </w:rPr>
        <w:t>₄, formed during prolonged exposure. While such layers can sometimes slow further attack, they are often porous or loosely adherent, limiting their protective value.</w:t>
      </w:r>
    </w:p>
    <w:p w14:paraId="51B46789"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In contrast, blue regions appear comparatively less degraded, though not necessarily intact. These areas may represent zones where corrosion has progressed more slowly, perhaps due to local compositional variations or transient environmental conditions. The darker area approaching black are more concerning, as they correspond to pits and voids where material loss has occurred.</w:t>
      </w:r>
    </w:p>
    <w:p w14:paraId="10F4CEDC"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What is striking is the sheer distribution of these features. Pits are not confined to isolated area but are scattered widely across the surface. This pattern strongly suggests pitting corrosion as a dominant mechanism. Given the presence of chloride ions, this interpretation seems reasonable.</w:t>
      </w:r>
    </w:p>
    <w:p w14:paraId="1AB08A77" w14:textId="77777777" w:rsidR="0092710F" w:rsidRDefault="00000000">
      <w:pPr>
        <w:jc w:val="both"/>
        <w:rPr>
          <w:rFonts w:ascii="Times New Roman" w:eastAsia="Calibri" w:hAnsi="Times New Roman"/>
          <w:sz w:val="24"/>
          <w:szCs w:val="24"/>
        </w:rPr>
      </w:pPr>
      <w:r>
        <w:rPr>
          <w:rFonts w:ascii="Times New Roman" w:eastAsia="Calibri" w:hAnsi="Times New Roman"/>
          <w:sz w:val="24"/>
          <w:szCs w:val="24"/>
        </w:rPr>
        <w:t>Image-based approaches such as this have become increasingly common in corrosion analysis, as they allow for both visual and quantitative assessment of degradation patterns (Kumar</w:t>
      </w:r>
      <w:r>
        <w:rPr>
          <w:rFonts w:ascii="Times New Roman" w:eastAsia="Calibri" w:hAnsi="Times New Roman"/>
          <w:i/>
          <w:sz w:val="24"/>
          <w:szCs w:val="24"/>
        </w:rPr>
        <w:t xml:space="preserve"> et al.</w:t>
      </w:r>
      <w:r>
        <w:rPr>
          <w:rFonts w:ascii="Times New Roman" w:eastAsia="Calibri" w:hAnsi="Times New Roman"/>
          <w:sz w:val="24"/>
          <w:szCs w:val="24"/>
        </w:rPr>
        <w:t xml:space="preserve">, 2024). Even so, one should be cautious not to over-interpret </w:t>
      </w:r>
      <w:proofErr w:type="spellStart"/>
      <w:r>
        <w:rPr>
          <w:rFonts w:ascii="Times New Roman" w:eastAsia="Calibri" w:hAnsi="Times New Roman"/>
          <w:sz w:val="24"/>
          <w:szCs w:val="24"/>
        </w:rPr>
        <w:t>colour</w:t>
      </w:r>
      <w:proofErr w:type="spellEnd"/>
      <w:r>
        <w:rPr>
          <w:rFonts w:ascii="Times New Roman" w:eastAsia="Calibri" w:hAnsi="Times New Roman"/>
          <w:sz w:val="24"/>
          <w:szCs w:val="24"/>
        </w:rPr>
        <w:t xml:space="preserve"> differences as strictly quantitative measures without supporting calibration.</w:t>
      </w:r>
    </w:p>
    <w:p w14:paraId="01BCC815" w14:textId="77777777" w:rsidR="0092710F" w:rsidRDefault="0092710F">
      <w:pPr>
        <w:jc w:val="both"/>
        <w:rPr>
          <w:rFonts w:ascii="Times New Roman" w:eastAsia="Calibri" w:hAnsi="Times New Roman"/>
          <w:b/>
          <w:bCs/>
          <w:sz w:val="24"/>
          <w:szCs w:val="24"/>
        </w:rPr>
      </w:pPr>
    </w:p>
    <w:p w14:paraId="425480BB" w14:textId="77777777" w:rsidR="0092710F" w:rsidRDefault="0092710F">
      <w:pPr>
        <w:jc w:val="both"/>
        <w:rPr>
          <w:rFonts w:ascii="Times New Roman" w:eastAsia="Calibri" w:hAnsi="Times New Roman"/>
          <w:sz w:val="24"/>
          <w:szCs w:val="24"/>
        </w:rPr>
      </w:pPr>
    </w:p>
    <w:p w14:paraId="3EDB5B21" w14:textId="77777777" w:rsidR="0092710F" w:rsidRDefault="0092710F">
      <w:pPr>
        <w:jc w:val="both"/>
        <w:rPr>
          <w:rFonts w:ascii="Times New Roman" w:eastAsia="Calibri" w:hAnsi="Times New Roman"/>
          <w:sz w:val="24"/>
          <w:szCs w:val="24"/>
        </w:rPr>
      </w:pPr>
    </w:p>
    <w:p w14:paraId="0043DFA0" w14:textId="77777777" w:rsidR="0092710F" w:rsidRDefault="0092710F">
      <w:pPr>
        <w:jc w:val="both"/>
        <w:rPr>
          <w:rFonts w:ascii="Times New Roman" w:eastAsia="Calibri" w:hAnsi="Times New Roman"/>
          <w:sz w:val="24"/>
          <w:szCs w:val="24"/>
        </w:rPr>
      </w:pPr>
    </w:p>
    <w:p w14:paraId="46E6C069" w14:textId="77777777" w:rsidR="0092710F" w:rsidRDefault="0092710F">
      <w:pPr>
        <w:jc w:val="both"/>
        <w:rPr>
          <w:rFonts w:ascii="Times New Roman" w:eastAsia="Calibri" w:hAnsi="Times New Roman"/>
          <w:b/>
          <w:sz w:val="24"/>
          <w:szCs w:val="24"/>
        </w:rPr>
      </w:pPr>
    </w:p>
    <w:p w14:paraId="1D705A55" w14:textId="77777777" w:rsidR="0092710F" w:rsidRDefault="0092710F">
      <w:pPr>
        <w:jc w:val="both"/>
        <w:rPr>
          <w:rFonts w:ascii="Times New Roman" w:eastAsia="Calibri" w:hAnsi="Times New Roman"/>
          <w:b/>
          <w:sz w:val="24"/>
          <w:szCs w:val="24"/>
        </w:rPr>
      </w:pPr>
    </w:p>
    <w:p w14:paraId="7A463D1A" w14:textId="77777777" w:rsidR="0092710F" w:rsidRDefault="0092710F">
      <w:pPr>
        <w:jc w:val="both"/>
        <w:rPr>
          <w:rFonts w:ascii="Times New Roman" w:eastAsia="Calibri" w:hAnsi="Times New Roman"/>
          <w:sz w:val="24"/>
          <w:szCs w:val="24"/>
        </w:rPr>
      </w:pPr>
    </w:p>
    <w:p w14:paraId="73A3008F" w14:textId="77777777" w:rsidR="0092710F" w:rsidRDefault="0092710F">
      <w:pPr>
        <w:jc w:val="both"/>
        <w:rPr>
          <w:rFonts w:ascii="Times New Roman" w:eastAsia="Calibri" w:hAnsi="Times New Roman"/>
          <w:b/>
          <w:sz w:val="24"/>
          <w:szCs w:val="24"/>
        </w:rPr>
      </w:pPr>
    </w:p>
    <w:p w14:paraId="2E96FFAE" w14:textId="77777777" w:rsidR="001C43F4" w:rsidRPr="00747403" w:rsidRDefault="001C43F4" w:rsidP="001C43F4">
      <w:pPr>
        <w:spacing w:before="100" w:beforeAutospacing="1" w:after="100" w:afterAutospacing="1"/>
        <w:outlineLvl w:val="2"/>
        <w:rPr>
          <w:rFonts w:ascii="Times New Roman" w:eastAsia="Times New Roman" w:hAnsi="Times New Roman" w:cs="Times New Roman"/>
          <w:b/>
          <w:bCs/>
          <w:sz w:val="27"/>
          <w:szCs w:val="27"/>
        </w:rPr>
      </w:pPr>
      <w:r w:rsidRPr="00747403">
        <w:rPr>
          <w:rFonts w:ascii="Times New Roman" w:eastAsia="Times New Roman" w:hAnsi="Times New Roman" w:cs="Times New Roman"/>
          <w:b/>
          <w:bCs/>
          <w:sz w:val="27"/>
          <w:szCs w:val="27"/>
        </w:rPr>
        <w:lastRenderedPageBreak/>
        <w:t>Conclusion</w:t>
      </w:r>
    </w:p>
    <w:p w14:paraId="71DB7C44" w14:textId="77777777" w:rsidR="001C43F4" w:rsidRPr="00747403" w:rsidRDefault="001C43F4" w:rsidP="001C43F4">
      <w:pPr>
        <w:spacing w:before="100" w:beforeAutospacing="1" w:after="100" w:afterAutospacing="1"/>
        <w:rPr>
          <w:rFonts w:ascii="Times New Roman" w:eastAsia="Times New Roman" w:hAnsi="Times New Roman" w:cs="Times New Roman"/>
          <w:sz w:val="24"/>
          <w:szCs w:val="24"/>
        </w:rPr>
      </w:pPr>
      <w:r w:rsidRPr="00747403">
        <w:rPr>
          <w:rFonts w:ascii="Times New Roman" w:eastAsia="Times New Roman" w:hAnsi="Times New Roman" w:cs="Times New Roman"/>
          <w:sz w:val="24"/>
          <w:szCs w:val="24"/>
        </w:rPr>
        <w:t xml:space="preserve">The study assessed the surface morphology of Q235 mild steel treated with selected plant extracts and a 50:50 blend of </w:t>
      </w:r>
      <w:r w:rsidRPr="00747403">
        <w:rPr>
          <w:rFonts w:ascii="Times New Roman" w:eastAsia="Times New Roman" w:hAnsi="Times New Roman" w:cs="Times New Roman"/>
          <w:i/>
          <w:iCs/>
          <w:sz w:val="24"/>
          <w:szCs w:val="24"/>
        </w:rPr>
        <w:t xml:space="preserve">Calotropis </w:t>
      </w:r>
      <w:proofErr w:type="spellStart"/>
      <w:r w:rsidRPr="00747403">
        <w:rPr>
          <w:rFonts w:ascii="Times New Roman" w:eastAsia="Times New Roman" w:hAnsi="Times New Roman" w:cs="Times New Roman"/>
          <w:i/>
          <w:iCs/>
          <w:sz w:val="24"/>
          <w:szCs w:val="24"/>
        </w:rPr>
        <w:t>procera</w:t>
      </w:r>
      <w:proofErr w:type="spellEnd"/>
      <w:r w:rsidRPr="00747403">
        <w:rPr>
          <w:rFonts w:ascii="Times New Roman" w:eastAsia="Times New Roman" w:hAnsi="Times New Roman" w:cs="Times New Roman"/>
          <w:sz w:val="24"/>
          <w:szCs w:val="24"/>
        </w:rPr>
        <w:t xml:space="preserve"> and </w:t>
      </w:r>
      <w:r w:rsidRPr="00747403">
        <w:rPr>
          <w:rFonts w:ascii="Times New Roman" w:eastAsia="Times New Roman" w:hAnsi="Times New Roman" w:cs="Times New Roman"/>
          <w:i/>
          <w:iCs/>
          <w:sz w:val="24"/>
          <w:szCs w:val="24"/>
        </w:rPr>
        <w:t xml:space="preserve">Euphorbia </w:t>
      </w:r>
      <w:proofErr w:type="spellStart"/>
      <w:r w:rsidRPr="00747403">
        <w:rPr>
          <w:rFonts w:ascii="Times New Roman" w:eastAsia="Times New Roman" w:hAnsi="Times New Roman" w:cs="Times New Roman"/>
          <w:i/>
          <w:iCs/>
          <w:sz w:val="24"/>
          <w:szCs w:val="24"/>
        </w:rPr>
        <w:t>kamerunica</w:t>
      </w:r>
      <w:proofErr w:type="spellEnd"/>
      <w:r w:rsidRPr="00747403">
        <w:rPr>
          <w:rFonts w:ascii="Times New Roman" w:eastAsia="Times New Roman" w:hAnsi="Times New Roman" w:cs="Times New Roman"/>
          <w:sz w:val="24"/>
          <w:szCs w:val="24"/>
        </w:rPr>
        <w:t xml:space="preserve">. Qualitative phytochemical screening showed that the extracts contained several classes of secondary metabolites that may interact with steel surfaces through adsorption. SEM observations indicated that untreated mild steel developed pronounced surface deterioration, including pitting, cracks, roughened areas, and corrosion-product accumulation. In contrast, plant-extract-treated samples showed evidence of organic surface deposits and fewer visible defects, suggesting partial surface protection under the conditions studied. ImageJ-assisted processing further showed that surface coverage was uneven, with variations in intensity, porosity, roughness, and localized discontinuities. The blended extract appeared to produce more extensive surface coverage than some individual extracts, although the study did not directly quantify corrosion rate, inhibition efficiency, adsorption isotherms, or synergistic effects. Therefore, the findings should be interpreted as surface-morphology evidence of possible protective </w:t>
      </w:r>
      <w:proofErr w:type="spellStart"/>
      <w:r w:rsidRPr="00747403">
        <w:rPr>
          <w:rFonts w:ascii="Times New Roman" w:eastAsia="Times New Roman" w:hAnsi="Times New Roman" w:cs="Times New Roman"/>
          <w:sz w:val="24"/>
          <w:szCs w:val="24"/>
        </w:rPr>
        <w:t>behaviour</w:t>
      </w:r>
      <w:proofErr w:type="spellEnd"/>
      <w:r w:rsidRPr="00747403">
        <w:rPr>
          <w:rFonts w:ascii="Times New Roman" w:eastAsia="Times New Roman" w:hAnsi="Times New Roman" w:cs="Times New Roman"/>
          <w:sz w:val="24"/>
          <w:szCs w:val="24"/>
        </w:rPr>
        <w:t xml:space="preserve"> rather than definitive proof of corrosion inhibition.</w:t>
      </w:r>
    </w:p>
    <w:p w14:paraId="0C3B368A" w14:textId="77777777" w:rsidR="001C43F4" w:rsidRPr="00747403" w:rsidRDefault="001C43F4" w:rsidP="001C43F4">
      <w:pPr>
        <w:spacing w:before="100" w:beforeAutospacing="1" w:after="100" w:afterAutospacing="1"/>
        <w:outlineLvl w:val="2"/>
        <w:rPr>
          <w:rFonts w:ascii="Times New Roman" w:eastAsia="Times New Roman" w:hAnsi="Times New Roman" w:cs="Times New Roman"/>
          <w:b/>
          <w:bCs/>
          <w:sz w:val="27"/>
          <w:szCs w:val="27"/>
        </w:rPr>
      </w:pPr>
      <w:r w:rsidRPr="00747403">
        <w:rPr>
          <w:rFonts w:ascii="Times New Roman" w:eastAsia="Times New Roman" w:hAnsi="Times New Roman" w:cs="Times New Roman"/>
          <w:b/>
          <w:bCs/>
          <w:sz w:val="27"/>
          <w:szCs w:val="27"/>
        </w:rPr>
        <w:t>Limitation</w:t>
      </w:r>
    </w:p>
    <w:p w14:paraId="56A80D18" w14:textId="77777777" w:rsidR="001C43F4" w:rsidRPr="00747403" w:rsidRDefault="001C43F4" w:rsidP="001C43F4">
      <w:pPr>
        <w:spacing w:before="100" w:beforeAutospacing="1" w:after="100" w:afterAutospacing="1"/>
        <w:rPr>
          <w:rFonts w:ascii="Times New Roman" w:eastAsia="Times New Roman" w:hAnsi="Times New Roman" w:cs="Times New Roman"/>
          <w:sz w:val="24"/>
          <w:szCs w:val="24"/>
        </w:rPr>
      </w:pPr>
      <w:r w:rsidRPr="00747403">
        <w:rPr>
          <w:rFonts w:ascii="Times New Roman" w:eastAsia="Times New Roman" w:hAnsi="Times New Roman" w:cs="Times New Roman"/>
          <w:sz w:val="24"/>
          <w:szCs w:val="24"/>
        </w:rPr>
        <w:t xml:space="preserve">This study was limited to qualitative phytochemical screening, SEM observation, and ImageJ-assisted surface analysis. Direct corrosion measurements, such as weight-loss analysis, </w:t>
      </w:r>
      <w:proofErr w:type="spellStart"/>
      <w:r w:rsidRPr="00747403">
        <w:rPr>
          <w:rFonts w:ascii="Times New Roman" w:eastAsia="Times New Roman" w:hAnsi="Times New Roman" w:cs="Times New Roman"/>
          <w:sz w:val="24"/>
          <w:szCs w:val="24"/>
        </w:rPr>
        <w:t>potentiodynamic</w:t>
      </w:r>
      <w:proofErr w:type="spellEnd"/>
      <w:r w:rsidRPr="00747403">
        <w:rPr>
          <w:rFonts w:ascii="Times New Roman" w:eastAsia="Times New Roman" w:hAnsi="Times New Roman" w:cs="Times New Roman"/>
          <w:sz w:val="24"/>
          <w:szCs w:val="24"/>
        </w:rPr>
        <w:t xml:space="preserve"> polarization, or electrochemical impedance spectroscopy, were not reported. The plant extracts were not chemically standardized, and active compounds were not quantified. Exposure conditions, coating thickness, and replicate variability were not fully described. ImageJ analysis may also depend on image quality, thresholding choices, and region selection. Therefore, the findings provide preliminary morphological evidence only. Future studies should include replicated electrochemical tests, quantitative inhibition efficiency, adsorption modelling, and chemical characterization of extract constituents.</w:t>
      </w:r>
    </w:p>
    <w:p w14:paraId="2C6AF92D" w14:textId="77777777" w:rsidR="001C43F4" w:rsidRPr="000839CE" w:rsidRDefault="001C43F4" w:rsidP="001C43F4">
      <w:pPr>
        <w:rPr>
          <w:rFonts w:ascii="Times New Roman" w:hAnsi="Times New Roman" w:cs="Times New Roman"/>
          <w:b/>
        </w:rPr>
      </w:pPr>
      <w:r w:rsidRPr="000839CE">
        <w:rPr>
          <w:rFonts w:ascii="Times New Roman" w:hAnsi="Times New Roman" w:cs="Times New Roman"/>
          <w:b/>
        </w:rPr>
        <w:t>Declaration of AI Use</w:t>
      </w:r>
    </w:p>
    <w:p w14:paraId="1EE60C4A" w14:textId="77777777" w:rsidR="001C43F4" w:rsidRPr="000839CE" w:rsidRDefault="001C43F4" w:rsidP="001C43F4">
      <w:pPr>
        <w:rPr>
          <w:rFonts w:ascii="Times New Roman" w:hAnsi="Times New Roman" w:cs="Times New Roman"/>
        </w:rPr>
      </w:pPr>
    </w:p>
    <w:p w14:paraId="7A723DA8" w14:textId="77777777" w:rsidR="001C43F4" w:rsidRPr="000839CE" w:rsidRDefault="001C43F4" w:rsidP="001C43F4">
      <w:pPr>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68FA462" w14:textId="77777777" w:rsidR="00C56AE8" w:rsidRPr="00C56AE8" w:rsidRDefault="00C56AE8" w:rsidP="00C56AE8">
      <w:pPr>
        <w:jc w:val="both"/>
        <w:rPr>
          <w:rFonts w:ascii="Times New Roman" w:hAnsi="Times New Roman"/>
          <w:b/>
          <w:bCs/>
          <w:sz w:val="24"/>
          <w:szCs w:val="24"/>
        </w:rPr>
      </w:pPr>
      <w:r w:rsidRPr="00C56AE8">
        <w:rPr>
          <w:rFonts w:ascii="Times New Roman" w:hAnsi="Times New Roman"/>
          <w:b/>
          <w:bCs/>
          <w:sz w:val="24"/>
          <w:szCs w:val="24"/>
        </w:rPr>
        <w:t>COMPETING INTERESTS DISCLAIMER:</w:t>
      </w:r>
    </w:p>
    <w:p w14:paraId="5FA217D2" w14:textId="77777777" w:rsidR="00C56AE8" w:rsidRPr="00C56AE8" w:rsidRDefault="00C56AE8" w:rsidP="00C56AE8">
      <w:pPr>
        <w:jc w:val="both"/>
        <w:rPr>
          <w:rFonts w:ascii="Times New Roman" w:hAnsi="Times New Roman"/>
          <w:b/>
          <w:bCs/>
          <w:sz w:val="24"/>
          <w:szCs w:val="24"/>
        </w:rPr>
      </w:pPr>
    </w:p>
    <w:p w14:paraId="1F9B85DC" w14:textId="6878B36B" w:rsidR="001C43F4" w:rsidRDefault="00C56AE8" w:rsidP="00C56AE8">
      <w:pPr>
        <w:jc w:val="both"/>
        <w:rPr>
          <w:rFonts w:ascii="Times New Roman" w:hAnsi="Times New Roman"/>
          <w:b/>
          <w:bCs/>
          <w:sz w:val="24"/>
          <w:szCs w:val="24"/>
        </w:rPr>
      </w:pPr>
      <w:r w:rsidRPr="00C56AE8">
        <w:rPr>
          <w:rFonts w:ascii="Times New Roman" w:hAnsi="Times New Roman"/>
          <w:b/>
          <w:bCs/>
          <w:sz w:val="24"/>
          <w:szCs w:val="24"/>
        </w:rPr>
        <w:t>Authors have declared that they have no known competing financial interests OR non-financial interests OR personal relationships that could have appeared to influence the work reported in this paper.</w:t>
      </w:r>
    </w:p>
    <w:p w14:paraId="741F9799" w14:textId="77777777" w:rsidR="00C56AE8" w:rsidRDefault="00C56AE8" w:rsidP="00C56AE8">
      <w:pPr>
        <w:jc w:val="both"/>
        <w:rPr>
          <w:rFonts w:ascii="Times New Roman" w:hAnsi="Times New Roman"/>
          <w:b/>
          <w:bCs/>
          <w:sz w:val="24"/>
          <w:szCs w:val="24"/>
        </w:rPr>
      </w:pPr>
    </w:p>
    <w:p w14:paraId="380C9A6D" w14:textId="77777777" w:rsidR="0092710F" w:rsidRDefault="00000000">
      <w:pPr>
        <w:ind w:left="720" w:hanging="720"/>
        <w:jc w:val="both"/>
        <w:rPr>
          <w:rFonts w:ascii="Times New Roman" w:hAnsi="Times New Roman"/>
          <w:b/>
          <w:bCs/>
          <w:sz w:val="24"/>
          <w:szCs w:val="24"/>
        </w:rPr>
      </w:pPr>
      <w:r>
        <w:rPr>
          <w:rFonts w:ascii="Times New Roman" w:hAnsi="Times New Roman"/>
          <w:b/>
          <w:bCs/>
          <w:sz w:val="24"/>
          <w:szCs w:val="24"/>
        </w:rPr>
        <w:t>REFERENCES</w:t>
      </w:r>
    </w:p>
    <w:p w14:paraId="568D21A9" w14:textId="77777777" w:rsidR="0092710F" w:rsidRDefault="0092710F">
      <w:pPr>
        <w:jc w:val="both"/>
        <w:rPr>
          <w:rFonts w:ascii="Times New Roman" w:hAnsi="Times New Roman" w:cs="Times New Roman"/>
        </w:rPr>
      </w:pPr>
    </w:p>
    <w:p w14:paraId="7F5136F8"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lastRenderedPageBreak/>
        <w:t xml:space="preserve">Abboud, Y., &amp; </w:t>
      </w:r>
      <w:proofErr w:type="spellStart"/>
      <w:r>
        <w:rPr>
          <w:rFonts w:ascii="Times New Roman" w:eastAsia="DengXian" w:hAnsi="Times New Roman" w:cs="Times New Roman"/>
          <w:sz w:val="24"/>
          <w:szCs w:val="24"/>
          <w:lang w:bidi="ar"/>
        </w:rPr>
        <w:t>Benhiba</w:t>
      </w:r>
      <w:proofErr w:type="spellEnd"/>
      <w:r>
        <w:rPr>
          <w:rFonts w:ascii="Times New Roman" w:eastAsia="DengXian" w:hAnsi="Times New Roman" w:cs="Times New Roman"/>
          <w:sz w:val="24"/>
          <w:szCs w:val="24"/>
          <w:lang w:bidi="ar"/>
        </w:rPr>
        <w:t>, F. (2022). Green corrosion inhibitors for steel in acidic media: Recent advances and mechanistic insights. Journal of Molecular Liquids, 368, 120135. https://doi.org/10.1016/j.molliq.2022.120135⁠</w:t>
      </w:r>
    </w:p>
    <w:p w14:paraId="69B6BB7B" w14:textId="77777777" w:rsidR="0092710F" w:rsidRDefault="00000000">
      <w:pPr>
        <w:ind w:left="720" w:hanging="720"/>
        <w:jc w:val="both"/>
        <w:rPr>
          <w:rFonts w:ascii="Times New Roman" w:hAnsi="Times New Roman" w:cs="Times New Roman"/>
        </w:rPr>
      </w:pPr>
      <w:proofErr w:type="spellStart"/>
      <w:r>
        <w:rPr>
          <w:rFonts w:ascii="Times New Roman" w:eastAsia="DengXian" w:hAnsi="Times New Roman" w:cs="Times New Roman"/>
          <w:sz w:val="24"/>
          <w:szCs w:val="24"/>
          <w:lang w:bidi="ar"/>
        </w:rPr>
        <w:t>Alrefaee</w:t>
      </w:r>
      <w:proofErr w:type="spellEnd"/>
      <w:r>
        <w:rPr>
          <w:rFonts w:ascii="Times New Roman" w:eastAsia="DengXian" w:hAnsi="Times New Roman" w:cs="Times New Roman"/>
          <w:sz w:val="24"/>
          <w:szCs w:val="24"/>
          <w:lang w:bidi="ar"/>
        </w:rPr>
        <w:t xml:space="preserve">, S. H., Rhee, K. Y., Verma, C., Quraishi, M. A., &amp; </w:t>
      </w:r>
      <w:proofErr w:type="spellStart"/>
      <w:r>
        <w:rPr>
          <w:rFonts w:ascii="Times New Roman" w:eastAsia="DengXian" w:hAnsi="Times New Roman" w:cs="Times New Roman"/>
          <w:sz w:val="24"/>
          <w:szCs w:val="24"/>
          <w:lang w:bidi="ar"/>
        </w:rPr>
        <w:t>Ebenso</w:t>
      </w:r>
      <w:proofErr w:type="spellEnd"/>
      <w:r>
        <w:rPr>
          <w:rFonts w:ascii="Times New Roman" w:eastAsia="DengXian" w:hAnsi="Times New Roman" w:cs="Times New Roman"/>
          <w:sz w:val="24"/>
          <w:szCs w:val="24"/>
          <w:lang w:bidi="ar"/>
        </w:rPr>
        <w:t>, E. E. (2021). Challenges and advantages of using plant extract as inhibitors in modern corrosion inhibition systems: Recent advancements. Journal of Molecular Liquids, 321, 114666. https://doi.org/10.1016/j.molliq.2020.114666⁠</w:t>
      </w:r>
    </w:p>
    <w:p w14:paraId="22435366"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Association of Official Analytical Chemists. (2023). Official methods of analysis of AOAC International (21st ed.). AOAC International.</w:t>
      </w:r>
    </w:p>
    <w:p w14:paraId="0BE3313F"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ASTM International. (2021). ASTM G1-03(2021): Standard practice for preparing, cleaning, and evaluating corrosion test specimens. ASTM International. https://www.astm.org⁠</w:t>
      </w:r>
    </w:p>
    <w:p w14:paraId="25E4F26A" w14:textId="77777777" w:rsidR="0092710F" w:rsidRDefault="00000000">
      <w:pPr>
        <w:ind w:left="720" w:hanging="720"/>
        <w:jc w:val="both"/>
        <w:rPr>
          <w:rFonts w:ascii="Times New Roman" w:hAnsi="Times New Roman" w:cs="Times New Roman"/>
        </w:rPr>
      </w:pPr>
      <w:proofErr w:type="spellStart"/>
      <w:r>
        <w:rPr>
          <w:rFonts w:ascii="Times New Roman" w:eastAsia="DengXian" w:hAnsi="Times New Roman" w:cs="Times New Roman"/>
          <w:sz w:val="24"/>
          <w:szCs w:val="24"/>
          <w:lang w:bidi="ar"/>
        </w:rPr>
        <w:t>Azzouni</w:t>
      </w:r>
      <w:proofErr w:type="spellEnd"/>
      <w:r>
        <w:rPr>
          <w:rFonts w:ascii="Times New Roman" w:eastAsia="DengXian" w:hAnsi="Times New Roman" w:cs="Times New Roman"/>
          <w:sz w:val="24"/>
          <w:szCs w:val="24"/>
          <w:lang w:bidi="ar"/>
        </w:rPr>
        <w:t>, D., Alaoui Mrani, S., Bertani, R., Alanazi, M. M., En</w:t>
      </w:r>
      <w:r>
        <w:rPr>
          <w:rFonts w:ascii="Times New Roman" w:eastAsia="DengXian" w:hAnsi="Times New Roman" w:cs="Times New Roman"/>
          <w:sz w:val="24"/>
          <w:szCs w:val="24"/>
          <w:lang w:bidi="ar"/>
        </w:rPr>
        <w:noBreakHyphen/>
      </w:r>
      <w:proofErr w:type="spellStart"/>
      <w:r>
        <w:rPr>
          <w:rFonts w:ascii="Times New Roman" w:eastAsia="DengXian" w:hAnsi="Times New Roman" w:cs="Times New Roman"/>
          <w:sz w:val="24"/>
          <w:szCs w:val="24"/>
          <w:lang w:bidi="ar"/>
        </w:rPr>
        <w:t>Nabety</w:t>
      </w:r>
      <w:proofErr w:type="spellEnd"/>
      <w:r>
        <w:rPr>
          <w:rFonts w:ascii="Times New Roman" w:eastAsia="DengXian" w:hAnsi="Times New Roman" w:cs="Times New Roman"/>
          <w:sz w:val="24"/>
          <w:szCs w:val="24"/>
          <w:lang w:bidi="ar"/>
        </w:rPr>
        <w:t xml:space="preserve">, G., &amp; Taleb, M. (2024). Experimental and theoretical investigation of the inhibitor efficiency of Eucalyptus globulus leaf essential oil on mild steel corrosion in a molar hydrochloric acid medium. Molecules, 29(14), 3323. </w:t>
      </w:r>
      <w:hyperlink r:id="rId24" w:history="1">
        <w:r w:rsidR="0092710F">
          <w:rPr>
            <w:rStyle w:val="Hyperlink"/>
            <w:rFonts w:ascii="Times New Roman" w:hAnsi="Times New Roman" w:cs="Times New Roman"/>
          </w:rPr>
          <w:t>https://doi.org/10.3390/molecules29143323</w:t>
        </w:r>
      </w:hyperlink>
    </w:p>
    <w:p w14:paraId="5B348CA5" w14:textId="77777777" w:rsidR="0092710F" w:rsidRDefault="00000000">
      <w:pPr>
        <w:ind w:left="720" w:hanging="720"/>
        <w:jc w:val="both"/>
        <w:rPr>
          <w:rFonts w:ascii="Times New Roman" w:hAnsi="Times New Roman" w:cs="Times New Roman"/>
        </w:rPr>
      </w:pPr>
      <w:proofErr w:type="spellStart"/>
      <w:r>
        <w:rPr>
          <w:rFonts w:ascii="Times New Roman" w:eastAsia="DengXian" w:hAnsi="Times New Roman" w:cs="Times New Roman"/>
          <w:sz w:val="24"/>
          <w:szCs w:val="24"/>
          <w:lang w:bidi="ar"/>
        </w:rPr>
        <w:t>Chatepa</w:t>
      </w:r>
      <w:proofErr w:type="spellEnd"/>
      <w:r>
        <w:rPr>
          <w:rFonts w:ascii="Times New Roman" w:eastAsia="DengXian" w:hAnsi="Times New Roman" w:cs="Times New Roman"/>
          <w:sz w:val="24"/>
          <w:szCs w:val="24"/>
          <w:lang w:bidi="ar"/>
        </w:rPr>
        <w:t xml:space="preserve">, L. E. C., </w:t>
      </w:r>
      <w:proofErr w:type="spellStart"/>
      <w:r>
        <w:rPr>
          <w:rFonts w:ascii="Times New Roman" w:eastAsia="DengXian" w:hAnsi="Times New Roman" w:cs="Times New Roman"/>
          <w:sz w:val="24"/>
          <w:szCs w:val="24"/>
          <w:lang w:bidi="ar"/>
        </w:rPr>
        <w:t>Mwamatope</w:t>
      </w:r>
      <w:proofErr w:type="spellEnd"/>
      <w:r>
        <w:rPr>
          <w:rFonts w:ascii="Times New Roman" w:eastAsia="DengXian" w:hAnsi="Times New Roman" w:cs="Times New Roman"/>
          <w:sz w:val="24"/>
          <w:szCs w:val="24"/>
          <w:lang w:bidi="ar"/>
        </w:rPr>
        <w:t xml:space="preserve">, B., </w:t>
      </w:r>
      <w:proofErr w:type="spellStart"/>
      <w:r>
        <w:rPr>
          <w:rFonts w:ascii="Times New Roman" w:eastAsia="DengXian" w:hAnsi="Times New Roman" w:cs="Times New Roman"/>
          <w:sz w:val="24"/>
          <w:szCs w:val="24"/>
          <w:lang w:bidi="ar"/>
        </w:rPr>
        <w:t>Chikowe</w:t>
      </w:r>
      <w:proofErr w:type="spellEnd"/>
      <w:r>
        <w:rPr>
          <w:rFonts w:ascii="Times New Roman" w:eastAsia="DengXian" w:hAnsi="Times New Roman" w:cs="Times New Roman"/>
          <w:sz w:val="24"/>
          <w:szCs w:val="24"/>
          <w:lang w:bidi="ar"/>
        </w:rPr>
        <w:t xml:space="preserve">, I., &amp; Masamba, K. G. (2024). Effects of solvent extraction on the phytoconstituents and in vitro antioxidant activity properties of leaf extracts of two selected medicinal plants from Malawi. BMC Complementary Medicine and Therapies, 24(1), Article 4619.DOI: </w:t>
      </w:r>
      <w:hyperlink r:id="rId25" w:history="1">
        <w:r w:rsidR="0092710F">
          <w:rPr>
            <w:rStyle w:val="Hyperlink"/>
            <w:rFonts w:ascii="Times New Roman" w:hAnsi="Times New Roman" w:cs="Times New Roman"/>
          </w:rPr>
          <w:t>https://doi.org/10.1186/s12906-024-04619-7</w:t>
        </w:r>
      </w:hyperlink>
    </w:p>
    <w:p w14:paraId="0A04825E"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Chen, W., Zhang, Y., Li, H., &amp; Liu, J. (2026). The role of grain orientation in NaCl</w:t>
      </w:r>
      <w:r>
        <w:rPr>
          <w:rFonts w:ascii="Times New Roman" w:eastAsia="DengXian" w:hAnsi="Times New Roman" w:cs="Times New Roman"/>
          <w:sz w:val="24"/>
          <w:szCs w:val="24"/>
          <w:lang w:bidi="ar"/>
        </w:rPr>
        <w:noBreakHyphen/>
        <w:t>induced corrosion and stress corrosion cracking of Ti60 alloy at 600 °C. Materials Letters, 407, 140047. Elsevier. DOI: https://doi.org/10.1016/j.matlet.2026.140047.</w:t>
      </w:r>
    </w:p>
    <w:p w14:paraId="6A09FD41"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Cui, Z., Li, Y., &amp; Zhang, X. (2021). Surface morphology and corrosion evolution of steel in chloride media: Image-based analysis. Corrosion Science, 185, 109401. </w:t>
      </w:r>
      <w:hyperlink r:id="rId26" w:history="1">
        <w:r w:rsidR="0092710F">
          <w:rPr>
            <w:rStyle w:val="Hyperlink"/>
            <w:rFonts w:ascii="Times New Roman" w:hAnsi="Times New Roman" w:cs="Times New Roman"/>
          </w:rPr>
          <w:t>https://doi.org/10.1016/j.corsci.2021.109401</w:t>
        </w:r>
      </w:hyperlink>
    </w:p>
    <w:p w14:paraId="1C458DCB"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De </w:t>
      </w:r>
      <w:proofErr w:type="spellStart"/>
      <w:proofErr w:type="gramStart"/>
      <w:r>
        <w:rPr>
          <w:rFonts w:ascii="Times New Roman" w:eastAsia="DengXian" w:hAnsi="Times New Roman" w:cs="Times New Roman"/>
          <w:sz w:val="24"/>
          <w:szCs w:val="24"/>
          <w:lang w:bidi="ar"/>
        </w:rPr>
        <w:t>caso,F</w:t>
      </w:r>
      <w:proofErr w:type="spellEnd"/>
      <w:r>
        <w:rPr>
          <w:rFonts w:ascii="Times New Roman" w:eastAsia="DengXian" w:hAnsi="Times New Roman" w:cs="Times New Roman"/>
          <w:sz w:val="24"/>
          <w:szCs w:val="24"/>
          <w:lang w:bidi="ar"/>
        </w:rPr>
        <w:t>.</w:t>
      </w:r>
      <w:proofErr w:type="gramEnd"/>
      <w:r>
        <w:rPr>
          <w:rFonts w:ascii="Times New Roman" w:eastAsia="DengXian" w:hAnsi="Times New Roman" w:cs="Times New Roman"/>
          <w:sz w:val="24"/>
          <w:szCs w:val="24"/>
          <w:lang w:bidi="ar"/>
        </w:rPr>
        <w:t xml:space="preserve">, </w:t>
      </w:r>
      <w:proofErr w:type="spellStart"/>
      <w:proofErr w:type="gramStart"/>
      <w:r>
        <w:rPr>
          <w:rFonts w:ascii="Times New Roman" w:eastAsia="DengXian" w:hAnsi="Times New Roman" w:cs="Times New Roman"/>
          <w:sz w:val="24"/>
          <w:szCs w:val="24"/>
          <w:lang w:bidi="ar"/>
        </w:rPr>
        <w:t>Aiello,M.A</w:t>
      </w:r>
      <w:proofErr w:type="spellEnd"/>
      <w:r>
        <w:rPr>
          <w:rFonts w:ascii="Times New Roman" w:eastAsia="DengXian" w:hAnsi="Times New Roman" w:cs="Times New Roman"/>
          <w:sz w:val="24"/>
          <w:szCs w:val="24"/>
          <w:lang w:bidi="ar"/>
        </w:rPr>
        <w:t>.</w:t>
      </w:r>
      <w:proofErr w:type="gramEnd"/>
      <w:r>
        <w:rPr>
          <w:rFonts w:ascii="Times New Roman" w:eastAsia="DengXian" w:hAnsi="Times New Roman" w:cs="Times New Roman"/>
          <w:sz w:val="24"/>
          <w:szCs w:val="24"/>
          <w:lang w:bidi="ar"/>
        </w:rPr>
        <w:t xml:space="preserve">, Cascardi, A., (2022). Experimental and numerical evaluation of the structural performance of corroded reinforced concrete beams under different corrosion </w:t>
      </w:r>
      <w:proofErr w:type="spellStart"/>
      <w:proofErr w:type="gramStart"/>
      <w:r>
        <w:rPr>
          <w:rFonts w:ascii="Times New Roman" w:eastAsia="DengXian" w:hAnsi="Times New Roman" w:cs="Times New Roman"/>
          <w:sz w:val="24"/>
          <w:szCs w:val="24"/>
          <w:lang w:bidi="ar"/>
        </w:rPr>
        <w:t>schemes.</w:t>
      </w:r>
      <w:r>
        <w:rPr>
          <w:rFonts w:ascii="Times New Roman" w:eastAsia="DengXian" w:hAnsi="Times New Roman" w:cs="Times New Roman"/>
          <w:i/>
          <w:iCs/>
          <w:sz w:val="24"/>
          <w:szCs w:val="24"/>
          <w:lang w:bidi="ar"/>
        </w:rPr>
        <w:t>Structures</w:t>
      </w:r>
      <w:proofErr w:type="spellEnd"/>
      <w:proofErr w:type="gramEnd"/>
      <w:r>
        <w:rPr>
          <w:rFonts w:ascii="Times New Roman" w:eastAsia="DengXian" w:hAnsi="Times New Roman" w:cs="Times New Roman"/>
          <w:i/>
          <w:iCs/>
          <w:sz w:val="24"/>
          <w:szCs w:val="24"/>
          <w:lang w:bidi="ar"/>
        </w:rPr>
        <w:t xml:space="preserve"> </w:t>
      </w:r>
      <w:r>
        <w:rPr>
          <w:rFonts w:ascii="Times New Roman" w:eastAsia="DengXian" w:hAnsi="Times New Roman" w:cs="Times New Roman"/>
          <w:sz w:val="24"/>
          <w:szCs w:val="24"/>
          <w:lang w:bidi="ar"/>
        </w:rPr>
        <w:t>45,2318-2331.https://doi.org/10.1016/j.istruc.2022.10.043.⁠</w:t>
      </w:r>
    </w:p>
    <w:p w14:paraId="335D5CCB" w14:textId="77777777" w:rsidR="0092710F" w:rsidRDefault="00000000">
      <w:pPr>
        <w:ind w:leftChars="777" w:left="1564" w:hangingChars="4" w:hanging="10"/>
        <w:jc w:val="both"/>
        <w:rPr>
          <w:rFonts w:ascii="Times New Roman" w:hAnsi="Times New Roman" w:cs="Times New Roman"/>
        </w:rPr>
      </w:pPr>
      <w:r>
        <w:rPr>
          <w:rFonts w:ascii="Times New Roman" w:eastAsia="DengXian" w:hAnsi="Times New Roman" w:cs="Times New Roman"/>
          <w:sz w:val="24"/>
          <w:szCs w:val="24"/>
          <w:lang w:bidi="ar"/>
        </w:rPr>
        <w:t xml:space="preserve">DOI: </w:t>
      </w:r>
      <w:hyperlink r:id="rId27" w:history="1">
        <w:r w:rsidR="0092710F">
          <w:rPr>
            <w:rStyle w:val="Hyperlink"/>
            <w:rFonts w:ascii="Times New Roman" w:hAnsi="Times New Roman" w:cs="Times New Roman"/>
          </w:rPr>
          <w:t>https://doi.org/10.1155/joch/5568823</w:t>
        </w:r>
      </w:hyperlink>
    </w:p>
    <w:p w14:paraId="1FBDAC7E"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El-Etre, A. Y., Abdallah, M., &amp; Obot, I. B. (2021). Plant extracts as eco-friendly corrosion inhibitors for metals in aggressive media: A review. Journal of Molecular Structure, 1231, 129927. https://doi.org/10.1016/j.molstruc.2021.129927⁠</w:t>
      </w:r>
    </w:p>
    <w:p w14:paraId="4A8F21F5"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Fischer, E. R., Hansen, B. T., Nair, V., Hoyt, F. H., Schwartz, C. L., &amp; Dorward, D. W. (2024). Scanning electron microscopy: Preparative techniques and imaging protocols for biological specimens. Current Protocols, 4(5), e1034. </w:t>
      </w:r>
      <w:hyperlink r:id="rId28" w:history="1">
        <w:r w:rsidR="0092710F">
          <w:rPr>
            <w:rStyle w:val="Hyperlink"/>
            <w:rFonts w:ascii="Times New Roman" w:hAnsi="Times New Roman" w:cs="Times New Roman"/>
          </w:rPr>
          <w:t>https://doi.org/10.1002/cpz1.1034</w:t>
        </w:r>
      </w:hyperlink>
    </w:p>
    <w:p w14:paraId="70169914"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Gaikwad, P., </w:t>
      </w:r>
      <w:proofErr w:type="spellStart"/>
      <w:r>
        <w:rPr>
          <w:rFonts w:ascii="Times New Roman" w:eastAsia="DengXian" w:hAnsi="Times New Roman" w:cs="Times New Roman"/>
          <w:sz w:val="24"/>
          <w:szCs w:val="24"/>
          <w:lang w:bidi="ar"/>
        </w:rPr>
        <w:t>Tipugade</w:t>
      </w:r>
      <w:proofErr w:type="spellEnd"/>
      <w:r>
        <w:rPr>
          <w:rFonts w:ascii="Times New Roman" w:eastAsia="DengXian" w:hAnsi="Times New Roman" w:cs="Times New Roman"/>
          <w:sz w:val="24"/>
          <w:szCs w:val="24"/>
          <w:lang w:bidi="ar"/>
        </w:rPr>
        <w:t xml:space="preserve">, S., &amp; </w:t>
      </w:r>
      <w:proofErr w:type="spellStart"/>
      <w:r>
        <w:rPr>
          <w:rFonts w:ascii="Times New Roman" w:eastAsia="DengXian" w:hAnsi="Times New Roman" w:cs="Times New Roman"/>
          <w:sz w:val="24"/>
          <w:szCs w:val="24"/>
          <w:lang w:bidi="ar"/>
        </w:rPr>
        <w:t>Patkale</w:t>
      </w:r>
      <w:proofErr w:type="spellEnd"/>
      <w:r>
        <w:rPr>
          <w:rFonts w:ascii="Times New Roman" w:eastAsia="DengXian" w:hAnsi="Times New Roman" w:cs="Times New Roman"/>
          <w:sz w:val="24"/>
          <w:szCs w:val="24"/>
          <w:lang w:bidi="ar"/>
        </w:rPr>
        <w:t xml:space="preserve">, D. (2026). </w:t>
      </w:r>
      <w:proofErr w:type="spellStart"/>
      <w:r>
        <w:rPr>
          <w:rFonts w:ascii="Times New Roman" w:eastAsia="DengXian" w:hAnsi="Times New Roman" w:cs="Times New Roman"/>
          <w:sz w:val="24"/>
          <w:szCs w:val="24"/>
          <w:lang w:bidi="ar"/>
        </w:rPr>
        <w:t>Azadirachta</w:t>
      </w:r>
      <w:proofErr w:type="spellEnd"/>
      <w:r>
        <w:rPr>
          <w:rFonts w:ascii="Times New Roman" w:eastAsia="DengXian" w:hAnsi="Times New Roman" w:cs="Times New Roman"/>
          <w:sz w:val="24"/>
          <w:szCs w:val="24"/>
          <w:lang w:bidi="ar"/>
        </w:rPr>
        <w:t xml:space="preserve"> indica (Neem): A comprehensive insight into phytochemistry, pharmacological potential and future perspectives. International Journal of Pharmaceutical Sciences, 4(5), 7709–772. DOI: https://doi.org/10.5281/zenodo.20428466</w:t>
      </w:r>
    </w:p>
    <w:p w14:paraId="2DFB95BE"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Goldstein, J. I., Newbury, D. E., Michael, J. R., Ritchie, N. W. M., Scott, J. H. J., &amp; Joy, D. C. (2022). Scanning electron microscopy and X-ray microanalysis (5th ed.). Springer.</w:t>
      </w:r>
    </w:p>
    <w:p w14:paraId="27AC6F12"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lastRenderedPageBreak/>
        <w:t xml:space="preserve">Gupta, N., Sharma, N., Panwar, V., Kumar, V., &amp; </w:t>
      </w:r>
      <w:proofErr w:type="spellStart"/>
      <w:r>
        <w:rPr>
          <w:rFonts w:ascii="Times New Roman" w:eastAsia="DengXian" w:hAnsi="Times New Roman" w:cs="Times New Roman"/>
          <w:sz w:val="24"/>
          <w:szCs w:val="24"/>
          <w:lang w:bidi="ar"/>
        </w:rPr>
        <w:t>Adnew</w:t>
      </w:r>
      <w:proofErr w:type="spellEnd"/>
      <w:r>
        <w:rPr>
          <w:rFonts w:ascii="Times New Roman" w:eastAsia="DengXian" w:hAnsi="Times New Roman" w:cs="Times New Roman"/>
          <w:sz w:val="24"/>
          <w:szCs w:val="24"/>
          <w:lang w:bidi="ar"/>
        </w:rPr>
        <w:t xml:space="preserve">, W. (2026). Biological activities and metabolomic profiling of Cymbopogon </w:t>
      </w:r>
      <w:proofErr w:type="spellStart"/>
      <w:r>
        <w:rPr>
          <w:rFonts w:ascii="Times New Roman" w:eastAsia="DengXian" w:hAnsi="Times New Roman" w:cs="Times New Roman"/>
          <w:sz w:val="24"/>
          <w:szCs w:val="24"/>
          <w:lang w:bidi="ar"/>
        </w:rPr>
        <w:t>citratus</w:t>
      </w:r>
      <w:proofErr w:type="spellEnd"/>
      <w:r>
        <w:rPr>
          <w:rFonts w:ascii="Times New Roman" w:eastAsia="DengXian" w:hAnsi="Times New Roman" w:cs="Times New Roman"/>
          <w:sz w:val="24"/>
          <w:szCs w:val="24"/>
          <w:lang w:bidi="ar"/>
        </w:rPr>
        <w:t xml:space="preserve"> leaf extract using LC–MS analysis. Journal of Chemistry, 2026, Article 5568823. Wiley.</w:t>
      </w:r>
    </w:p>
    <w:p w14:paraId="1D2DBF3C"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Harborne, J. B. (1998). Phytochemical methods: A guide to modern techniques of plant analysis (3rd ed.). Chapman &amp; Hall.</w:t>
      </w:r>
    </w:p>
    <w:p w14:paraId="7F0E3563"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Hrir, H., </w:t>
      </w:r>
      <w:proofErr w:type="spellStart"/>
      <w:r>
        <w:rPr>
          <w:rFonts w:ascii="Times New Roman" w:eastAsia="DengXian" w:hAnsi="Times New Roman" w:cs="Times New Roman"/>
          <w:sz w:val="24"/>
          <w:szCs w:val="24"/>
          <w:lang w:bidi="ar"/>
        </w:rPr>
        <w:t>Ait</w:t>
      </w:r>
      <w:proofErr w:type="spellEnd"/>
      <w:r>
        <w:rPr>
          <w:rFonts w:ascii="Times New Roman" w:eastAsia="DengXian" w:hAnsi="Times New Roman" w:cs="Times New Roman"/>
          <w:sz w:val="24"/>
          <w:szCs w:val="24"/>
          <w:lang w:bidi="ar"/>
        </w:rPr>
        <w:t xml:space="preserve"> Layachi, O., </w:t>
      </w:r>
      <w:proofErr w:type="spellStart"/>
      <w:r>
        <w:rPr>
          <w:rFonts w:ascii="Times New Roman" w:eastAsia="DengXian" w:hAnsi="Times New Roman" w:cs="Times New Roman"/>
          <w:sz w:val="24"/>
          <w:szCs w:val="24"/>
          <w:lang w:bidi="ar"/>
        </w:rPr>
        <w:t>Boudouma</w:t>
      </w:r>
      <w:proofErr w:type="spellEnd"/>
      <w:r>
        <w:rPr>
          <w:rFonts w:ascii="Times New Roman" w:eastAsia="DengXian" w:hAnsi="Times New Roman" w:cs="Times New Roman"/>
          <w:sz w:val="24"/>
          <w:szCs w:val="24"/>
          <w:lang w:bidi="ar"/>
        </w:rPr>
        <w:t xml:space="preserve">, A., El </w:t>
      </w:r>
      <w:proofErr w:type="spellStart"/>
      <w:r>
        <w:rPr>
          <w:rFonts w:ascii="Times New Roman" w:eastAsia="DengXian" w:hAnsi="Times New Roman" w:cs="Times New Roman"/>
          <w:sz w:val="24"/>
          <w:szCs w:val="24"/>
          <w:lang w:bidi="ar"/>
        </w:rPr>
        <w:t>Bouari</w:t>
      </w:r>
      <w:proofErr w:type="spellEnd"/>
      <w:r>
        <w:rPr>
          <w:rFonts w:ascii="Times New Roman" w:eastAsia="DengXian" w:hAnsi="Times New Roman" w:cs="Times New Roman"/>
          <w:sz w:val="24"/>
          <w:szCs w:val="24"/>
          <w:lang w:bidi="ar"/>
        </w:rPr>
        <w:t xml:space="preserve">, A., </w:t>
      </w:r>
      <w:proofErr w:type="spellStart"/>
      <w:r>
        <w:rPr>
          <w:rFonts w:ascii="Times New Roman" w:eastAsia="DengXian" w:hAnsi="Times New Roman" w:cs="Times New Roman"/>
          <w:sz w:val="24"/>
          <w:szCs w:val="24"/>
          <w:lang w:bidi="ar"/>
        </w:rPr>
        <w:t>Ait</w:t>
      </w:r>
      <w:proofErr w:type="spellEnd"/>
      <w:r>
        <w:rPr>
          <w:rFonts w:ascii="Times New Roman" w:eastAsia="DengXian" w:hAnsi="Times New Roman" w:cs="Times New Roman"/>
          <w:sz w:val="24"/>
          <w:szCs w:val="24"/>
          <w:lang w:bidi="ar"/>
        </w:rPr>
        <w:t xml:space="preserve"> </w:t>
      </w:r>
      <w:proofErr w:type="spellStart"/>
      <w:r>
        <w:rPr>
          <w:rFonts w:ascii="Times New Roman" w:eastAsia="DengXian" w:hAnsi="Times New Roman" w:cs="Times New Roman"/>
          <w:sz w:val="24"/>
          <w:szCs w:val="24"/>
          <w:lang w:bidi="ar"/>
        </w:rPr>
        <w:t>Sidimou</w:t>
      </w:r>
      <w:proofErr w:type="spellEnd"/>
      <w:r>
        <w:rPr>
          <w:rFonts w:ascii="Times New Roman" w:eastAsia="DengXian" w:hAnsi="Times New Roman" w:cs="Times New Roman"/>
          <w:sz w:val="24"/>
          <w:szCs w:val="24"/>
          <w:lang w:bidi="ar"/>
        </w:rPr>
        <w:t xml:space="preserve">, A., El Marrakchi, M., &amp; </w:t>
      </w:r>
      <w:proofErr w:type="spellStart"/>
      <w:r>
        <w:rPr>
          <w:rFonts w:ascii="Times New Roman" w:eastAsia="DengXian" w:hAnsi="Times New Roman" w:cs="Times New Roman"/>
          <w:sz w:val="24"/>
          <w:szCs w:val="24"/>
          <w:lang w:bidi="ar"/>
        </w:rPr>
        <w:t>Khoumri</w:t>
      </w:r>
      <w:proofErr w:type="spellEnd"/>
      <w:r>
        <w:rPr>
          <w:rFonts w:ascii="Times New Roman" w:eastAsia="DengXian" w:hAnsi="Times New Roman" w:cs="Times New Roman"/>
          <w:sz w:val="24"/>
          <w:szCs w:val="24"/>
          <w:lang w:bidi="ar"/>
        </w:rPr>
        <w:t>, E. (2024). Electrochemical corrosion behavior of α</w:t>
      </w:r>
      <w:r>
        <w:rPr>
          <w:rFonts w:ascii="Times New Roman" w:eastAsia="DengXian" w:hAnsi="Times New Roman" w:cs="Times New Roman"/>
          <w:sz w:val="24"/>
          <w:szCs w:val="24"/>
          <w:lang w:bidi="ar"/>
        </w:rPr>
        <w:noBreakHyphen/>
        <w:t xml:space="preserve">titanium alloys in simulated biological environments (comparative study). RSC Advances, 14(51), 38110–38119. </w:t>
      </w:r>
      <w:hyperlink r:id="rId29" w:history="1">
        <w:r w:rsidR="0092710F">
          <w:rPr>
            <w:rStyle w:val="Hyperlink"/>
            <w:rFonts w:ascii="Times New Roman" w:hAnsi="Times New Roman" w:cs="Times New Roman"/>
          </w:rPr>
          <w:t>https://doi.org/10.1039/d4ra05869k</w:t>
        </w:r>
      </w:hyperlink>
    </w:p>
    <w:p w14:paraId="5F2319F0"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Imam, A., Khan, M. A., &amp; Singh, R. (2023). Digital image processing techniques for corrosion surface evaluation of mild steel. Measurement, 207, 112324. https://doi.org/10.1016/j.measurement.2023.112324⁠</w:t>
      </w:r>
    </w:p>
    <w:p w14:paraId="60A6F982"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Islam, M. S., Hoque, M. N., Alam, M. A., &amp; Islam, S. (2026). Pharmacological actions of </w:t>
      </w:r>
      <w:proofErr w:type="spellStart"/>
      <w:r>
        <w:rPr>
          <w:rFonts w:ascii="Times New Roman" w:eastAsia="DengXian" w:hAnsi="Times New Roman" w:cs="Times New Roman"/>
          <w:sz w:val="24"/>
          <w:szCs w:val="24"/>
          <w:lang w:bidi="ar"/>
        </w:rPr>
        <w:t>Azadirachta</w:t>
      </w:r>
      <w:proofErr w:type="spellEnd"/>
      <w:r>
        <w:rPr>
          <w:rFonts w:ascii="Times New Roman" w:eastAsia="DengXian" w:hAnsi="Times New Roman" w:cs="Times New Roman"/>
          <w:sz w:val="24"/>
          <w:szCs w:val="24"/>
          <w:lang w:bidi="ar"/>
        </w:rPr>
        <w:t xml:space="preserve"> indica leaf ethanolic extract: A multi</w:t>
      </w:r>
      <w:r>
        <w:rPr>
          <w:rFonts w:ascii="Times New Roman" w:eastAsia="DengXian" w:hAnsi="Times New Roman" w:cs="Times New Roman"/>
          <w:sz w:val="24"/>
          <w:szCs w:val="24"/>
          <w:lang w:bidi="ar"/>
        </w:rPr>
        <w:noBreakHyphen/>
        <w:t>platform approach for standardization and assessment of therapeutic potential. Journal of Advanced Biotechnology and Experimental Therapeutics, 9(2), 264–279. DOI: https://doi.org/10.5455/jabet.2026.20 (doi.org in Bing)</w:t>
      </w:r>
    </w:p>
    <w:p w14:paraId="00BECA98"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Kumar, R., Singh, A., &amp; Sharma, P. (2024). Image-based corrosion assessment of mild steel in acidic media using machine learning and SEM analysis. Journal of Materials Research and Technology, 28, Article 2345. https://doi.org/10.1016/j.jmrt.2024.01.045⁠</w:t>
      </w:r>
    </w:p>
    <w:p w14:paraId="326EDEF2"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Li, J., </w:t>
      </w:r>
      <w:proofErr w:type="spellStart"/>
      <w:r>
        <w:rPr>
          <w:rFonts w:ascii="Times New Roman" w:eastAsia="DengXian" w:hAnsi="Times New Roman" w:cs="Times New Roman"/>
          <w:sz w:val="24"/>
          <w:szCs w:val="24"/>
          <w:lang w:bidi="ar"/>
        </w:rPr>
        <w:t>Katsamenis</w:t>
      </w:r>
      <w:proofErr w:type="spellEnd"/>
      <w:r>
        <w:rPr>
          <w:rFonts w:ascii="Times New Roman" w:eastAsia="DengXian" w:hAnsi="Times New Roman" w:cs="Times New Roman"/>
          <w:sz w:val="24"/>
          <w:szCs w:val="24"/>
          <w:lang w:bidi="ar"/>
        </w:rPr>
        <w:t>, O. L., &amp; Limbert, G. (2026). Integrating serial block</w:t>
      </w:r>
      <w:r>
        <w:rPr>
          <w:rFonts w:ascii="Times New Roman" w:eastAsia="DengXian" w:hAnsi="Times New Roman" w:cs="Times New Roman"/>
          <w:sz w:val="24"/>
          <w:szCs w:val="24"/>
          <w:lang w:bidi="ar"/>
        </w:rPr>
        <w:noBreakHyphen/>
        <w:t>face SEM with voxel</w:t>
      </w:r>
      <w:r>
        <w:rPr>
          <w:rFonts w:ascii="Times New Roman" w:eastAsia="DengXian" w:hAnsi="Times New Roman" w:cs="Times New Roman"/>
          <w:sz w:val="24"/>
          <w:szCs w:val="24"/>
          <w:lang w:bidi="ar"/>
        </w:rPr>
        <w:noBreakHyphen/>
        <w:t xml:space="preserve">based finite element analysis for micromechanical modelling of anisotropic soft tissues. Biomechanics and Modeling in Mechanobiology, 25(6), 1123–1140. https://doi.org/10.1007/s10237-026-01623-4 </w:t>
      </w:r>
    </w:p>
    <w:p w14:paraId="626BA675" w14:textId="77777777" w:rsidR="0092710F" w:rsidRDefault="00000000">
      <w:pPr>
        <w:ind w:left="720" w:hanging="720"/>
        <w:jc w:val="both"/>
        <w:rPr>
          <w:rFonts w:ascii="Times New Roman" w:eastAsia="DengXian" w:hAnsi="Times New Roman" w:cs="Times New Roman"/>
          <w:sz w:val="24"/>
          <w:szCs w:val="24"/>
          <w:lang w:bidi="ar"/>
        </w:rPr>
      </w:pPr>
      <w:r>
        <w:rPr>
          <w:rFonts w:ascii="Times New Roman" w:eastAsia="DengXian" w:hAnsi="Times New Roman" w:cs="Times New Roman"/>
          <w:sz w:val="24"/>
          <w:szCs w:val="24"/>
          <w:lang w:bidi="ar"/>
        </w:rPr>
        <w:t xml:space="preserve">Li, X., Wang, H., &amp; Zhao, Y. (2022). Adsorption behavior of plant-derived corrosion inhibitors on steel surfaces: A mechanistic review. Corrosion Science, 200, 110123. </w:t>
      </w:r>
      <w:hyperlink r:id="rId30" w:history="1">
        <w:r w:rsidR="0092710F">
          <w:rPr>
            <w:rStyle w:val="Hyperlink"/>
            <w:rFonts w:ascii="Times New Roman" w:hAnsi="Times New Roman" w:cs="Times New Roman"/>
          </w:rPr>
          <w:t>https://doi.org/10.1016/j.corsci.2022.110123⁠</w:t>
        </w:r>
      </w:hyperlink>
    </w:p>
    <w:p w14:paraId="56DDB2DA"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Li, Y., Sun, J., &amp; Wu, H. (2026). Degradation and service life prediction of reinforced concrete beams under coupled fatigue loading and chloride ingress: A review. Case Studies in </w:t>
      </w:r>
      <w:proofErr w:type="spellStart"/>
      <w:r>
        <w:rPr>
          <w:rFonts w:ascii="Times New Roman" w:eastAsia="DengXian" w:hAnsi="Times New Roman" w:cs="Times New Roman"/>
          <w:sz w:val="24"/>
          <w:szCs w:val="24"/>
          <w:lang w:bidi="ar"/>
        </w:rPr>
        <w:t>Constru</w:t>
      </w:r>
      <w:proofErr w:type="spellEnd"/>
    </w:p>
    <w:p w14:paraId="12233D59"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Li, Y., Zhang, H., Wang, L., &amp; Chen, J. (2024). Comparative investigation of the corrosion behavior of biomedical zinc alloys in oxygen</w:t>
      </w:r>
      <w:r>
        <w:rPr>
          <w:rFonts w:ascii="Times New Roman" w:eastAsia="DengXian" w:hAnsi="Times New Roman" w:cs="Times New Roman"/>
          <w:sz w:val="24"/>
          <w:szCs w:val="24"/>
          <w:lang w:bidi="ar"/>
        </w:rPr>
        <w:noBreakHyphen/>
        <w:t xml:space="preserve">enriched simulated body fluid environments. Corrosion Science, 39, 108811. https://doi.org/10.1016/j.corsci.2024.108811 </w:t>
      </w:r>
    </w:p>
    <w:p w14:paraId="6CF5453D" w14:textId="77777777" w:rsidR="0092710F" w:rsidRDefault="00000000">
      <w:pPr>
        <w:ind w:left="720" w:hanging="720"/>
        <w:jc w:val="both"/>
        <w:rPr>
          <w:rFonts w:ascii="Times New Roman" w:eastAsia="DengXian" w:hAnsi="Times New Roman" w:cs="Times New Roman"/>
          <w:sz w:val="24"/>
          <w:szCs w:val="24"/>
          <w:lang w:bidi="ar"/>
        </w:rPr>
      </w:pPr>
      <w:r>
        <w:rPr>
          <w:rFonts w:ascii="Times New Roman" w:eastAsia="DengXian" w:hAnsi="Times New Roman" w:cs="Times New Roman"/>
          <w:sz w:val="24"/>
          <w:szCs w:val="24"/>
          <w:lang w:bidi="ar"/>
        </w:rPr>
        <w:t xml:space="preserve">Mali, R. G., </w:t>
      </w:r>
      <w:proofErr w:type="spellStart"/>
      <w:r>
        <w:rPr>
          <w:rFonts w:ascii="Times New Roman" w:eastAsia="DengXian" w:hAnsi="Times New Roman" w:cs="Times New Roman"/>
          <w:sz w:val="24"/>
          <w:szCs w:val="24"/>
          <w:lang w:bidi="ar"/>
        </w:rPr>
        <w:t>Yeole</w:t>
      </w:r>
      <w:proofErr w:type="spellEnd"/>
      <w:r>
        <w:rPr>
          <w:rFonts w:ascii="Times New Roman" w:eastAsia="DengXian" w:hAnsi="Times New Roman" w:cs="Times New Roman"/>
          <w:sz w:val="24"/>
          <w:szCs w:val="24"/>
          <w:lang w:bidi="ar"/>
        </w:rPr>
        <w:t xml:space="preserve">, K., Pardeshi, C., &amp; Wadekar, R. (2026). Calotropis </w:t>
      </w:r>
      <w:proofErr w:type="spellStart"/>
      <w:r>
        <w:rPr>
          <w:rFonts w:ascii="Times New Roman" w:eastAsia="DengXian" w:hAnsi="Times New Roman" w:cs="Times New Roman"/>
          <w:sz w:val="24"/>
          <w:szCs w:val="24"/>
          <w:lang w:bidi="ar"/>
        </w:rPr>
        <w:t>procera</w:t>
      </w:r>
      <w:proofErr w:type="spellEnd"/>
      <w:r>
        <w:rPr>
          <w:rFonts w:ascii="Times New Roman" w:eastAsia="DengXian" w:hAnsi="Times New Roman" w:cs="Times New Roman"/>
          <w:sz w:val="24"/>
          <w:szCs w:val="24"/>
          <w:lang w:bidi="ar"/>
        </w:rPr>
        <w:t xml:space="preserve">: From ethnomedicine to modern therapeutics — phytochemistry, pharmacology, toxicity, and patent perspectives. The Journal of Phytopharmacology, 15(2), 181–191. DOI: </w:t>
      </w:r>
      <w:hyperlink r:id="rId31" w:history="1">
        <w:r w:rsidR="0092710F">
          <w:rPr>
            <w:rStyle w:val="Hyperlink"/>
            <w:rFonts w:ascii="Times New Roman" w:hAnsi="Times New Roman" w:cs="Times New Roman"/>
          </w:rPr>
          <w:t>https://doi.org/10.31254/phyto.2026.15209.</w:t>
        </w:r>
      </w:hyperlink>
    </w:p>
    <w:p w14:paraId="186E210F" w14:textId="77777777" w:rsidR="0092710F" w:rsidRDefault="00000000">
      <w:pPr>
        <w:ind w:left="720" w:hanging="720"/>
        <w:jc w:val="both"/>
        <w:rPr>
          <w:rFonts w:ascii="Times New Roman" w:eastAsia="DengXian" w:hAnsi="Times New Roman" w:cs="Times New Roman"/>
          <w:sz w:val="24"/>
          <w:szCs w:val="24"/>
          <w:lang w:bidi="ar"/>
        </w:rPr>
      </w:pPr>
      <w:r>
        <w:rPr>
          <w:rFonts w:ascii="Times New Roman" w:eastAsia="DengXian" w:hAnsi="Times New Roman"/>
          <w:sz w:val="24"/>
          <w:szCs w:val="24"/>
        </w:rPr>
        <w:t xml:space="preserve">Maheshwaran, L., Nadarajah, L., </w:t>
      </w:r>
      <w:proofErr w:type="spellStart"/>
      <w:r>
        <w:rPr>
          <w:rFonts w:ascii="Times New Roman" w:eastAsia="DengXian" w:hAnsi="Times New Roman"/>
          <w:sz w:val="24"/>
          <w:szCs w:val="24"/>
        </w:rPr>
        <w:t>Senadeera</w:t>
      </w:r>
      <w:proofErr w:type="spellEnd"/>
      <w:r>
        <w:rPr>
          <w:rFonts w:ascii="Times New Roman" w:eastAsia="DengXian" w:hAnsi="Times New Roman"/>
          <w:sz w:val="24"/>
          <w:szCs w:val="24"/>
        </w:rPr>
        <w:t>, S. P. N. N., Ranaweera, C. B., Chandana, A. K., &amp; Pathirana, R. N. (2024). Phytochemical testing methodologies and principles for preliminary screening/qualitative testing. Asian Plant Research Journal, 12(5), 11–38. https://doi.org/10.9734/APRJ/2024/v12i5267⁠� �</w:t>
      </w:r>
    </w:p>
    <w:p w14:paraId="53F70581"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Nigeria National Accreditation System. (2023). Accreditation certificate: Pearls Scientific Laboratory Services (ISO/IEC 17025:2017). </w:t>
      </w:r>
      <w:proofErr w:type="spellStart"/>
      <w:r>
        <w:rPr>
          <w:rFonts w:ascii="Times New Roman" w:eastAsia="DengXian" w:hAnsi="Times New Roman" w:cs="Times New Roman"/>
          <w:sz w:val="24"/>
          <w:szCs w:val="24"/>
          <w:lang w:bidi="ar"/>
        </w:rPr>
        <w:t>NiNAS</w:t>
      </w:r>
      <w:proofErr w:type="spellEnd"/>
      <w:r>
        <w:rPr>
          <w:rFonts w:ascii="Times New Roman" w:eastAsia="DengXian" w:hAnsi="Times New Roman" w:cs="Times New Roman"/>
          <w:sz w:val="24"/>
          <w:szCs w:val="24"/>
          <w:lang w:bidi="ar"/>
        </w:rPr>
        <w:t xml:space="preserve">. Retrieved from </w:t>
      </w:r>
      <w:hyperlink r:id="rId32" w:history="1">
        <w:r w:rsidR="0092710F">
          <w:rPr>
            <w:rStyle w:val="Hyperlink"/>
            <w:rFonts w:ascii="Times New Roman" w:hAnsi="Times New Roman" w:cs="Times New Roman"/>
          </w:rPr>
          <w:t>https://ninas.ng/wp-content/uploads/2023/11/Pearls-Accreditation-Certificate.pdf</w:t>
        </w:r>
      </w:hyperlink>
    </w:p>
    <w:p w14:paraId="469B0386"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Pal, B., Garg, A. P., &amp; Gupta, D. (2026). Phytochemical constituents of Cymbopogon </w:t>
      </w:r>
      <w:proofErr w:type="spellStart"/>
      <w:r>
        <w:rPr>
          <w:rFonts w:ascii="Times New Roman" w:eastAsia="DengXian" w:hAnsi="Times New Roman" w:cs="Times New Roman"/>
          <w:sz w:val="24"/>
          <w:szCs w:val="24"/>
          <w:lang w:bidi="ar"/>
        </w:rPr>
        <w:t>citratus</w:t>
      </w:r>
      <w:proofErr w:type="spellEnd"/>
      <w:r>
        <w:rPr>
          <w:rFonts w:ascii="Times New Roman" w:eastAsia="DengXian" w:hAnsi="Times New Roman" w:cs="Times New Roman"/>
          <w:sz w:val="24"/>
          <w:szCs w:val="24"/>
          <w:lang w:bidi="ar"/>
        </w:rPr>
        <w:t xml:space="preserve"> and their antimicrobial, antioxidant, and cytoprotective effects: </w:t>
      </w:r>
      <w:r>
        <w:rPr>
          <w:rFonts w:ascii="Times New Roman" w:eastAsia="DengXian" w:hAnsi="Times New Roman" w:cs="Times New Roman"/>
          <w:sz w:val="24"/>
          <w:szCs w:val="24"/>
          <w:lang w:bidi="ar"/>
        </w:rPr>
        <w:lastRenderedPageBreak/>
        <w:t xml:space="preserve">Mechanistic insights and biomedical relevance. Medicinal Insights, Online First. DOI: </w:t>
      </w:r>
      <w:hyperlink r:id="rId33" w:history="1">
        <w:r w:rsidR="0092710F">
          <w:rPr>
            <w:rStyle w:val="Hyperlink"/>
            <w:rFonts w:ascii="Times New Roman" w:hAnsi="Times New Roman" w:cs="Times New Roman"/>
          </w:rPr>
          <w:t>https://doi.org/10.36922/MI02552014</w:t>
        </w:r>
      </w:hyperlink>
    </w:p>
    <w:p w14:paraId="43E30778"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 </w:t>
      </w:r>
      <w:proofErr w:type="spellStart"/>
      <w:r>
        <w:rPr>
          <w:rFonts w:ascii="Times New Roman" w:eastAsia="DengXian" w:hAnsi="Times New Roman" w:cs="Times New Roman"/>
          <w:sz w:val="24"/>
          <w:szCs w:val="24"/>
          <w:lang w:bidi="ar"/>
        </w:rPr>
        <w:t>Pallarés</w:t>
      </w:r>
      <w:proofErr w:type="spellEnd"/>
      <w:r>
        <w:rPr>
          <w:rFonts w:ascii="Times New Roman" w:eastAsia="DengXian" w:hAnsi="Times New Roman" w:cs="Times New Roman"/>
          <w:sz w:val="24"/>
          <w:szCs w:val="24"/>
          <w:lang w:bidi="ar"/>
        </w:rPr>
        <w:t xml:space="preserve">, N., Berrada, H., Ferrer, E., Rached, W., Pinela, J., </w:t>
      </w:r>
      <w:proofErr w:type="spellStart"/>
      <w:r>
        <w:rPr>
          <w:rFonts w:ascii="Times New Roman" w:eastAsia="DengXian" w:hAnsi="Times New Roman" w:cs="Times New Roman"/>
          <w:sz w:val="24"/>
          <w:szCs w:val="24"/>
          <w:lang w:bidi="ar"/>
        </w:rPr>
        <w:t>Mandim</w:t>
      </w:r>
      <w:proofErr w:type="spellEnd"/>
      <w:r>
        <w:rPr>
          <w:rFonts w:ascii="Times New Roman" w:eastAsia="DengXian" w:hAnsi="Times New Roman" w:cs="Times New Roman"/>
          <w:sz w:val="24"/>
          <w:szCs w:val="24"/>
          <w:lang w:bidi="ar"/>
        </w:rPr>
        <w:t xml:space="preserve">, F., Pires, T. C. S. P., </w:t>
      </w:r>
      <w:proofErr w:type="spellStart"/>
      <w:r>
        <w:rPr>
          <w:rFonts w:ascii="Times New Roman" w:eastAsia="DengXian" w:hAnsi="Times New Roman" w:cs="Times New Roman"/>
          <w:sz w:val="24"/>
          <w:szCs w:val="24"/>
          <w:lang w:bidi="ar"/>
        </w:rPr>
        <w:t>Finimundy</w:t>
      </w:r>
      <w:proofErr w:type="spellEnd"/>
      <w:r>
        <w:rPr>
          <w:rFonts w:ascii="Times New Roman" w:eastAsia="DengXian" w:hAnsi="Times New Roman" w:cs="Times New Roman"/>
          <w:sz w:val="24"/>
          <w:szCs w:val="24"/>
          <w:lang w:bidi="ar"/>
        </w:rPr>
        <w:t xml:space="preserve">, T. C., Barba, F. J., &amp; Barros, L. (2025). Green and innovative extraction: Phenolic profiles and biological activities of underutilized plant extracts using pulsed electric fields and maceration. Foods, 14(2), 222. DOI: </w:t>
      </w:r>
      <w:hyperlink r:id="rId34" w:history="1">
        <w:r w:rsidR="0092710F">
          <w:rPr>
            <w:rStyle w:val="Hyperlink"/>
            <w:rFonts w:ascii="Times New Roman" w:hAnsi="Times New Roman" w:cs="Times New Roman"/>
          </w:rPr>
          <w:t>https://doi.org/10.3390/foods14020222</w:t>
        </w:r>
      </w:hyperlink>
    </w:p>
    <w:p w14:paraId="77A24D9F"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Patil, R., et al. (2026). Dissecting tissue</w:t>
      </w:r>
      <w:r>
        <w:rPr>
          <w:rFonts w:ascii="Times New Roman" w:eastAsia="DengXian" w:hAnsi="Times New Roman" w:cs="Times New Roman"/>
          <w:sz w:val="24"/>
          <w:szCs w:val="24"/>
          <w:lang w:bidi="ar"/>
        </w:rPr>
        <w:noBreakHyphen/>
        <w:t xml:space="preserve">specific metabolite profiling and </w:t>
      </w:r>
      <w:proofErr w:type="spellStart"/>
      <w:r>
        <w:rPr>
          <w:rFonts w:ascii="Times New Roman" w:eastAsia="DengXian" w:hAnsi="Times New Roman" w:cs="Times New Roman"/>
          <w:sz w:val="24"/>
          <w:szCs w:val="24"/>
          <w:lang w:bidi="ar"/>
        </w:rPr>
        <w:t>jasmonic</w:t>
      </w:r>
      <w:proofErr w:type="spellEnd"/>
      <w:r>
        <w:rPr>
          <w:rFonts w:ascii="Times New Roman" w:eastAsia="DengXian" w:hAnsi="Times New Roman" w:cs="Times New Roman"/>
          <w:sz w:val="24"/>
          <w:szCs w:val="24"/>
          <w:lang w:bidi="ar"/>
        </w:rPr>
        <w:t xml:space="preserve"> acid</w:t>
      </w:r>
      <w:r>
        <w:rPr>
          <w:rFonts w:ascii="Times New Roman" w:eastAsia="DengXian" w:hAnsi="Times New Roman" w:cs="Times New Roman"/>
          <w:sz w:val="24"/>
          <w:szCs w:val="24"/>
          <w:lang w:bidi="ar"/>
        </w:rPr>
        <w:noBreakHyphen/>
        <w:t xml:space="preserve">induced calotropin in Calotropis </w:t>
      </w:r>
      <w:proofErr w:type="spellStart"/>
      <w:r>
        <w:rPr>
          <w:rFonts w:ascii="Times New Roman" w:eastAsia="DengXian" w:hAnsi="Times New Roman" w:cs="Times New Roman"/>
          <w:sz w:val="24"/>
          <w:szCs w:val="24"/>
          <w:lang w:bidi="ar"/>
        </w:rPr>
        <w:t>procera</w:t>
      </w:r>
      <w:proofErr w:type="spellEnd"/>
      <w:r>
        <w:rPr>
          <w:rFonts w:ascii="Times New Roman" w:eastAsia="DengXian" w:hAnsi="Times New Roman" w:cs="Times New Roman"/>
          <w:sz w:val="24"/>
          <w:szCs w:val="24"/>
          <w:lang w:bidi="ar"/>
        </w:rPr>
        <w:t xml:space="preserve">: Biotechnological production and analytical validation. Industrial Crops and Products, 210, 116543. DOI: </w:t>
      </w:r>
      <w:hyperlink r:id="rId35" w:history="1">
        <w:r w:rsidR="0092710F">
          <w:rPr>
            <w:rStyle w:val="Hyperlink"/>
            <w:rFonts w:ascii="Times New Roman" w:hAnsi="Times New Roman" w:cs="Times New Roman"/>
          </w:rPr>
          <w:t>https://doi.org/10.1016/j.indcrop.2026.116543.</w:t>
        </w:r>
      </w:hyperlink>
    </w:p>
    <w:p w14:paraId="2888D475"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phytoconstituents and in vitro antioxidant activity properties of leaf extracts of two selected medicinal plants from Malawi. BMC Complementary Medicine and Therapies, 24(1), 4619. </w:t>
      </w:r>
      <w:hyperlink r:id="rId36" w:history="1">
        <w:r w:rsidR="0092710F">
          <w:rPr>
            <w:rStyle w:val="Hyperlink"/>
            <w:rFonts w:ascii="Times New Roman" w:hAnsi="Times New Roman" w:cs="Times New Roman"/>
          </w:rPr>
          <w:t>https://doi.org/10.1186/s12906-024-04619</w:t>
        </w:r>
      </w:hyperlink>
    </w:p>
    <w:p w14:paraId="244B648C" w14:textId="77777777" w:rsidR="0092710F" w:rsidRDefault="00000000">
      <w:pPr>
        <w:pStyle w:val="Heading3"/>
        <w:widowControl/>
        <w:ind w:left="785" w:hangingChars="327" w:hanging="785"/>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color w:val="auto"/>
        </w:rPr>
        <w:t xml:space="preserve">Premium Time Newspaper 0f June, (2022) “Another </w:t>
      </w:r>
      <w:proofErr w:type="spellStart"/>
      <w:r>
        <w:rPr>
          <w:rFonts w:ascii="Times New Roman" w:hAnsi="Times New Roman" w:cs="Times New Roman"/>
          <w:color w:val="auto"/>
        </w:rPr>
        <w:t>oill</w:t>
      </w:r>
      <w:proofErr w:type="spellEnd"/>
      <w:r>
        <w:rPr>
          <w:rFonts w:ascii="Times New Roman" w:hAnsi="Times New Roman" w:cs="Times New Roman"/>
          <w:color w:val="auto"/>
        </w:rPr>
        <w:t xml:space="preserve"> spill in Niger Delta” </w:t>
      </w:r>
      <w:proofErr w:type="spellStart"/>
      <w:r>
        <w:rPr>
          <w:rFonts w:ascii="Times New Roman" w:hAnsi="Times New Roman" w:cs="Times New Roman"/>
          <w:color w:val="auto"/>
        </w:rPr>
        <w:t>news paper</w:t>
      </w:r>
      <w:proofErr w:type="spellEnd"/>
      <w:r>
        <w:rPr>
          <w:rFonts w:ascii="Times New Roman" w:hAnsi="Times New Roman" w:cs="Times New Roman"/>
          <w:color w:val="auto"/>
        </w:rPr>
        <w:t xml:space="preserve"> </w:t>
      </w:r>
      <w:proofErr w:type="gramStart"/>
      <w:r>
        <w:rPr>
          <w:rFonts w:ascii="Times New Roman" w:hAnsi="Times New Roman" w:cs="Times New Roman"/>
          <w:color w:val="auto"/>
        </w:rPr>
        <w:t>article  by</w:t>
      </w:r>
      <w:proofErr w:type="gramEnd"/>
      <w:r>
        <w:rPr>
          <w:rFonts w:ascii="Times New Roman" w:hAnsi="Times New Roman" w:cs="Times New Roman"/>
          <w:color w:val="auto"/>
        </w:rPr>
        <w:t xml:space="preserve"> The National Oil Spill Detection and </w:t>
      </w:r>
      <w:proofErr w:type="spellStart"/>
      <w:r>
        <w:rPr>
          <w:rFonts w:ascii="Times New Roman" w:hAnsi="Times New Roman" w:cs="Times New Roman"/>
          <w:color w:val="auto"/>
        </w:rPr>
        <w:t>Reponse</w:t>
      </w:r>
      <w:proofErr w:type="spellEnd"/>
      <w:r>
        <w:rPr>
          <w:rFonts w:ascii="Times New Roman" w:hAnsi="Times New Roman" w:cs="Times New Roman"/>
          <w:color w:val="auto"/>
        </w:rPr>
        <w:t xml:space="preserve"> Agency (NOSDRA).</w:t>
      </w:r>
      <w:r>
        <w:rPr>
          <w:rFonts w:ascii="Times New Roman" w:hAnsi="Times New Roman" w:cs="Times New Roman"/>
        </w:rPr>
        <w:t xml:space="preserve"> </w:t>
      </w:r>
      <w:hyperlink r:id="rId37" w:history="1">
        <w:r w:rsidR="0092710F">
          <w:rPr>
            <w:rStyle w:val="Hyperlink"/>
            <w:rFonts w:ascii="Times New Roman" w:hAnsi="Times New Roman" w:cs="Times New Roman"/>
          </w:rPr>
          <w:t>https://www.premiumtimesng.com/environment/another</w:t>
        </w:r>
      </w:hyperlink>
      <w:r>
        <w:rPr>
          <w:rFonts w:ascii="Times New Roman" w:hAnsi="Times New Roman" w:cs="Times New Roman"/>
        </w:rPr>
        <w:t xml:space="preserve"> </w:t>
      </w:r>
      <w:r>
        <w:rPr>
          <w:rFonts w:ascii="Times New Roman" w:hAnsi="Times New Roman" w:cs="Times New Roman"/>
          <w:color w:val="auto"/>
        </w:rPr>
        <w:t xml:space="preserve">oil spill occurs in </w:t>
      </w:r>
      <w:proofErr w:type="spellStart"/>
      <w:r>
        <w:rPr>
          <w:rFonts w:ascii="Times New Roman" w:hAnsi="Times New Roman" w:cs="Times New Roman"/>
          <w:color w:val="auto"/>
        </w:rPr>
        <w:t>niger</w:t>
      </w:r>
      <w:proofErr w:type="spellEnd"/>
      <w:r>
        <w:rPr>
          <w:rFonts w:ascii="Times New Roman" w:hAnsi="Times New Roman" w:cs="Times New Roman"/>
          <w:color w:val="auto"/>
        </w:rPr>
        <w:t xml:space="preserve"> delta</w:t>
      </w:r>
      <w:r>
        <w:rPr>
          <w:rFonts w:ascii="Times New Roman" w:hAnsi="Times New Roman" w:cs="Times New Roman"/>
        </w:rPr>
        <w:tab/>
        <w:t>`</w:t>
      </w:r>
      <w:r>
        <w:rPr>
          <w:rFonts w:ascii="Times New Roman" w:hAnsi="Times New Roman" w:cs="Times New Roman"/>
        </w:rPr>
        <w:tab/>
      </w:r>
    </w:p>
    <w:p w14:paraId="7B5D12BE"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Rani, B. E. A., &amp; Basu, B. B. J. (2023). Plant-derived corrosion inhibitors: Adsorption, surface interaction and inhibition efficiency. Corrosion Science, 210, 110784. https://doi.org/10.1016/j.corsci.2022.110784⁠</w:t>
      </w:r>
    </w:p>
    <w:p w14:paraId="3CA4F298"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Schneider, C. A., Rasband, W. S., &amp; </w:t>
      </w:r>
      <w:proofErr w:type="spellStart"/>
      <w:r>
        <w:rPr>
          <w:rFonts w:ascii="Times New Roman" w:eastAsia="DengXian" w:hAnsi="Times New Roman" w:cs="Times New Roman"/>
          <w:sz w:val="24"/>
          <w:szCs w:val="24"/>
          <w:lang w:bidi="ar"/>
        </w:rPr>
        <w:t>Eliceiri</w:t>
      </w:r>
      <w:proofErr w:type="spellEnd"/>
      <w:r>
        <w:rPr>
          <w:rFonts w:ascii="Times New Roman" w:eastAsia="DengXian" w:hAnsi="Times New Roman" w:cs="Times New Roman"/>
          <w:sz w:val="24"/>
          <w:szCs w:val="24"/>
          <w:lang w:bidi="ar"/>
        </w:rPr>
        <w:t>, K. W. (2021). NIH ImageJ: 25 years of image analysis. Nature Methods, 18, 145–150. https://doi.org/10.1038/s41592-021-01105-3⁠</w:t>
      </w:r>
    </w:p>
    <w:p w14:paraId="1EFB7688"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Soltani, N., Tavakoli, M., &amp; Ramezanzadeh, B. (2025). Green corrosion inhibitors from plant extracts: Adsorption mechanisms and surface protection behavior. Journal of Cleaner Production, 420, 139152. https://doi.org/10.1016/j.jclepro.2025.139152.</w:t>
      </w:r>
    </w:p>
    <w:p w14:paraId="2FFEF38F"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Umoren, S. A., </w:t>
      </w:r>
      <w:proofErr w:type="spellStart"/>
      <w:r>
        <w:rPr>
          <w:rFonts w:ascii="Times New Roman" w:eastAsia="DengXian" w:hAnsi="Times New Roman" w:cs="Times New Roman"/>
          <w:sz w:val="24"/>
          <w:szCs w:val="24"/>
          <w:lang w:bidi="ar"/>
        </w:rPr>
        <w:t>Eduok</w:t>
      </w:r>
      <w:proofErr w:type="spellEnd"/>
      <w:r>
        <w:rPr>
          <w:rFonts w:ascii="Times New Roman" w:eastAsia="DengXian" w:hAnsi="Times New Roman" w:cs="Times New Roman"/>
          <w:sz w:val="24"/>
          <w:szCs w:val="24"/>
          <w:lang w:bidi="ar"/>
        </w:rPr>
        <w:t>, U. M., &amp; Solomon, M. M. (2024). Green corrosion inhibition of mild steel in acidic media: Experimental and surface analysis approaches. Journal of Cleaner Production, 395, 136–148. https://doi.org/10.1016/j.jclepro.2023.136148⁠</w:t>
      </w:r>
    </w:p>
    <w:p w14:paraId="62D2789C"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Umoren, S. A., Solomon, M. M., &amp; </w:t>
      </w:r>
      <w:proofErr w:type="spellStart"/>
      <w:r>
        <w:rPr>
          <w:rFonts w:ascii="Times New Roman" w:eastAsia="DengXian" w:hAnsi="Times New Roman" w:cs="Times New Roman"/>
          <w:sz w:val="24"/>
          <w:szCs w:val="24"/>
          <w:lang w:bidi="ar"/>
        </w:rPr>
        <w:t>Eduok</w:t>
      </w:r>
      <w:proofErr w:type="spellEnd"/>
      <w:r>
        <w:rPr>
          <w:rFonts w:ascii="Times New Roman" w:eastAsia="DengXian" w:hAnsi="Times New Roman" w:cs="Times New Roman"/>
          <w:sz w:val="24"/>
          <w:szCs w:val="24"/>
          <w:lang w:bidi="ar"/>
        </w:rPr>
        <w:t>, U. M. (2020). Plant extracts as eco</w:t>
      </w:r>
      <w:r>
        <w:rPr>
          <w:rFonts w:ascii="Times New Roman" w:eastAsia="DengXian" w:hAnsi="Times New Roman" w:cs="Times New Roman"/>
          <w:sz w:val="24"/>
          <w:szCs w:val="24"/>
          <w:lang w:bidi="ar"/>
        </w:rPr>
        <w:noBreakHyphen/>
        <w:t xml:space="preserve">friendly corrosion inhibitors for metals in acidic media: A review. Journal of Environmental Chemical Engineering, 8(5), 104123. </w:t>
      </w:r>
      <w:hyperlink r:id="rId38" w:history="1">
        <w:r w:rsidR="0092710F">
          <w:rPr>
            <w:rStyle w:val="Hyperlink"/>
            <w:rFonts w:ascii="Times New Roman" w:hAnsi="Times New Roman" w:cs="Times New Roman"/>
          </w:rPr>
          <w:t>https://doi.org/10.1016/j.jece.2020.104123.</w:t>
        </w:r>
      </w:hyperlink>
    </w:p>
    <w:p w14:paraId="3F69D356"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Verma, C., Chauhan, D. S., Aslam, R., Banerjee, P., Aslam, J., Quadri, T. W., Zehra, S., Verma, D. K., Quraishi, M. A., Dubey, S., </w:t>
      </w:r>
      <w:proofErr w:type="spellStart"/>
      <w:r>
        <w:rPr>
          <w:rFonts w:ascii="Times New Roman" w:eastAsia="DengXian" w:hAnsi="Times New Roman" w:cs="Times New Roman"/>
          <w:sz w:val="24"/>
          <w:szCs w:val="24"/>
          <w:lang w:bidi="ar"/>
        </w:rPr>
        <w:t>Alfantazi</w:t>
      </w:r>
      <w:proofErr w:type="spellEnd"/>
      <w:r>
        <w:rPr>
          <w:rFonts w:ascii="Times New Roman" w:eastAsia="DengXian" w:hAnsi="Times New Roman" w:cs="Times New Roman"/>
          <w:sz w:val="24"/>
          <w:szCs w:val="24"/>
          <w:lang w:bidi="ar"/>
        </w:rPr>
        <w:t xml:space="preserve">, A., &amp; Rasheed, T. (2024). Principles and theories of green chemistry for corrosion science and engineering: Design and application. Green Chemistry, 26(8), 4270–4357. </w:t>
      </w:r>
      <w:hyperlink r:id="rId39" w:history="1">
        <w:r w:rsidR="0092710F">
          <w:rPr>
            <w:rStyle w:val="Hyperlink"/>
            <w:rFonts w:ascii="Times New Roman" w:hAnsi="Times New Roman" w:cs="Times New Roman"/>
          </w:rPr>
          <w:t>https://doi.org/10.1039/D3GC05207A</w:t>
        </w:r>
      </w:hyperlink>
    </w:p>
    <w:p w14:paraId="59DD5BD6"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Verma, C., Ebenso, E. E., &amp; Quraishi, M. A. (2021). Green corrosion inhibitors for mild steel in acidic media: Mechanism and adsorption studies. Journal of Environmental Chemical Engineering, 9, 105738. https://doi.org/10.1016/j.jece.2021.105738⁠</w:t>
      </w:r>
    </w:p>
    <w:p w14:paraId="1C191987"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Yasaman, Z., Fardi, A., &amp; </w:t>
      </w:r>
      <w:proofErr w:type="spellStart"/>
      <w:r>
        <w:rPr>
          <w:rFonts w:ascii="Times New Roman" w:eastAsia="DengXian" w:hAnsi="Times New Roman" w:cs="Times New Roman"/>
          <w:sz w:val="24"/>
          <w:szCs w:val="24"/>
          <w:lang w:bidi="ar"/>
        </w:rPr>
        <w:t>Heidarzadeh</w:t>
      </w:r>
      <w:proofErr w:type="spellEnd"/>
      <w:r>
        <w:rPr>
          <w:rFonts w:ascii="Times New Roman" w:eastAsia="DengXian" w:hAnsi="Times New Roman" w:cs="Times New Roman"/>
          <w:sz w:val="24"/>
          <w:szCs w:val="24"/>
          <w:lang w:bidi="ar"/>
        </w:rPr>
        <w:t>, A. (2026). Defect morphology</w:t>
      </w:r>
      <w:r>
        <w:rPr>
          <w:rFonts w:ascii="Times New Roman" w:eastAsia="DengXian" w:hAnsi="Times New Roman" w:cs="Times New Roman"/>
          <w:sz w:val="24"/>
          <w:szCs w:val="24"/>
          <w:lang w:bidi="ar"/>
        </w:rPr>
        <w:noBreakHyphen/>
        <w:t>dependent microstructure and corrosion behavior in selective laser melted 17</w:t>
      </w:r>
      <w:r>
        <w:rPr>
          <w:rFonts w:ascii="Times New Roman" w:eastAsia="DengXian" w:hAnsi="Times New Roman" w:cs="Times New Roman"/>
          <w:sz w:val="24"/>
          <w:szCs w:val="24"/>
          <w:lang w:bidi="ar"/>
        </w:rPr>
        <w:noBreakHyphen/>
        <w:t xml:space="preserve">4PH stainless steel studied by SEM. Metals and Materials International, 32(6), 1452–1468. </w:t>
      </w:r>
      <w:hyperlink r:id="rId40" w:history="1">
        <w:r w:rsidR="0092710F">
          <w:rPr>
            <w:rStyle w:val="Hyperlink"/>
            <w:rFonts w:ascii="Times New Roman" w:hAnsi="Times New Roman" w:cs="Times New Roman"/>
          </w:rPr>
          <w:t>https://doi.org/10.1007/s12540-026-01234-7</w:t>
        </w:r>
      </w:hyperlink>
    </w:p>
    <w:p w14:paraId="09F52265"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lastRenderedPageBreak/>
        <w:t xml:space="preserve">Zhang, D., Gao, L., &amp; Zhou, G. (2023). Scanning electron microscopy in corrosion science: Surface morphology and film characterization. Materials Characterization, 198, 112125. </w:t>
      </w:r>
      <w:hyperlink r:id="rId41" w:history="1">
        <w:r w:rsidR="0092710F">
          <w:rPr>
            <w:rStyle w:val="Hyperlink"/>
            <w:rFonts w:ascii="Times New Roman" w:hAnsi="Times New Roman" w:cs="Times New Roman"/>
          </w:rPr>
          <w:t>https://doi.org/10.1016/j.matchar.2023.112125⁠</w:t>
        </w:r>
      </w:hyperlink>
    </w:p>
    <w:p w14:paraId="1C3521B5"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Zhang, L., Wang, X., &amp; Li, P. (2026). Cr</w:t>
      </w:r>
      <w:r>
        <w:rPr>
          <w:rFonts w:ascii="Times New Roman" w:eastAsia="DengXian" w:hAnsi="Times New Roman" w:cs="Times New Roman"/>
          <w:sz w:val="24"/>
          <w:szCs w:val="24"/>
          <w:lang w:bidi="ar"/>
        </w:rPr>
        <w:noBreakHyphen/>
        <w:t xml:space="preserve">induced enhancement of pitting resistance and passive film stability in alkaline chloride solutions: From electronic properties to pit morphology. Journal of Materials Research and Technology, 41, 6673–6687. Elsevier. DOI: </w:t>
      </w:r>
      <w:hyperlink r:id="rId42" w:history="1">
        <w:r w:rsidR="0092710F">
          <w:rPr>
            <w:rStyle w:val="Hyperlink"/>
            <w:rFonts w:ascii="Times New Roman" w:hAnsi="Times New Roman" w:cs="Times New Roman"/>
          </w:rPr>
          <w:t>https://doi.org/10.1016/j.jmrt.2026.6673.</w:t>
        </w:r>
      </w:hyperlink>
    </w:p>
    <w:p w14:paraId="3D5AEC41"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 xml:space="preserve">Zhang, Y., Li, H., Wang, X., &amp; Chen, J. (2024). A comparative study on the electrochemical corrosion </w:t>
      </w:r>
      <w:proofErr w:type="spellStart"/>
      <w:r>
        <w:rPr>
          <w:rFonts w:ascii="Times New Roman" w:eastAsia="DengXian" w:hAnsi="Times New Roman" w:cs="Times New Roman"/>
          <w:sz w:val="24"/>
          <w:szCs w:val="24"/>
          <w:lang w:bidi="ar"/>
        </w:rPr>
        <w:t>behaviour</w:t>
      </w:r>
      <w:proofErr w:type="spellEnd"/>
      <w:r>
        <w:rPr>
          <w:rFonts w:ascii="Times New Roman" w:eastAsia="DengXian" w:hAnsi="Times New Roman" w:cs="Times New Roman"/>
          <w:sz w:val="24"/>
          <w:szCs w:val="24"/>
          <w:lang w:bidi="ar"/>
        </w:rPr>
        <w:t xml:space="preserve"> of biomedical β-titanium alloy with </w:t>
      </w:r>
      <w:proofErr w:type="spellStart"/>
      <w:r>
        <w:rPr>
          <w:rFonts w:ascii="Times New Roman" w:eastAsia="DengXian" w:hAnsi="Times New Roman" w:cs="Times New Roman"/>
          <w:sz w:val="24"/>
          <w:szCs w:val="24"/>
          <w:lang w:bidi="ar"/>
        </w:rPr>
        <w:t>TiAlV</w:t>
      </w:r>
      <w:proofErr w:type="spellEnd"/>
      <w:r>
        <w:rPr>
          <w:rFonts w:ascii="Times New Roman" w:eastAsia="DengXian" w:hAnsi="Times New Roman" w:cs="Times New Roman"/>
          <w:sz w:val="24"/>
          <w:szCs w:val="24"/>
          <w:lang w:bidi="ar"/>
        </w:rPr>
        <w:t xml:space="preserve"> and titanium in Hank’s physiological solution and the impact of reactive oxygen species and immersion time. Journal of Bio- and Tribo-Corrosion. Advance online publication. </w:t>
      </w:r>
      <w:hyperlink r:id="rId43" w:history="1">
        <w:r w:rsidR="0092710F">
          <w:rPr>
            <w:rStyle w:val="Hyperlink"/>
            <w:rFonts w:ascii="Times New Roman" w:hAnsi="Times New Roman" w:cs="Times New Roman"/>
          </w:rPr>
          <w:t>https://doi.org/10.1007/s40735-024-00839-z⁠</w:t>
        </w:r>
      </w:hyperlink>
    </w:p>
    <w:p w14:paraId="642648BC" w14:textId="77777777" w:rsidR="0092710F" w:rsidRDefault="00000000">
      <w:pPr>
        <w:ind w:left="720" w:hanging="720"/>
        <w:jc w:val="both"/>
        <w:rPr>
          <w:rFonts w:ascii="Times New Roman" w:hAnsi="Times New Roman" w:cs="Times New Roman"/>
        </w:rPr>
      </w:pPr>
      <w:r>
        <w:rPr>
          <w:rFonts w:ascii="Times New Roman" w:eastAsia="DengXian" w:hAnsi="Times New Roman" w:cs="Times New Roman"/>
          <w:sz w:val="24"/>
          <w:szCs w:val="24"/>
          <w:lang w:bidi="ar"/>
        </w:rPr>
        <w:t>Zhu, M., Cao, J., &amp; Qian, L. (2026). Image</w:t>
      </w:r>
      <w:r>
        <w:rPr>
          <w:rFonts w:ascii="Times New Roman" w:eastAsia="DengXian" w:hAnsi="Times New Roman" w:cs="Times New Roman"/>
          <w:sz w:val="24"/>
          <w:szCs w:val="24"/>
          <w:lang w:bidi="ar"/>
        </w:rPr>
        <w:noBreakHyphen/>
        <w:t xml:space="preserve">based crack density quantification and damage classification in gun barrel forcing cones using SEM. Journal of Materials Engineering and Performance, 35(6), 2210–2225. </w:t>
      </w:r>
      <w:hyperlink r:id="rId44" w:history="1">
        <w:r w:rsidR="0092710F">
          <w:rPr>
            <w:rStyle w:val="Hyperlink"/>
            <w:rFonts w:ascii="Times New Roman" w:hAnsi="Times New Roman" w:cs="Times New Roman"/>
          </w:rPr>
          <w:t>https://doi.org/10.1007/s11665-026-07890-3</w:t>
        </w:r>
      </w:hyperlink>
    </w:p>
    <w:p w14:paraId="2BC14D4F" w14:textId="77777777" w:rsidR="0092710F" w:rsidRDefault="0092710F">
      <w:pPr>
        <w:ind w:left="720" w:hanging="720"/>
        <w:jc w:val="both"/>
        <w:rPr>
          <w:rFonts w:ascii="Times New Roman" w:hAnsi="Times New Roman"/>
          <w:b/>
          <w:bCs/>
          <w:sz w:val="24"/>
          <w:szCs w:val="24"/>
        </w:rPr>
      </w:pPr>
    </w:p>
    <w:sectPr w:rsidR="0092710F">
      <w:headerReference w:type="even" r:id="rId45"/>
      <w:headerReference w:type="default" r:id="rId46"/>
      <w:footerReference w:type="even" r:id="rId47"/>
      <w:footerReference w:type="default" r:id="rId48"/>
      <w:headerReference w:type="first" r:id="rId49"/>
      <w:footerReference w:type="first" r:id="rId50"/>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CECEC" w14:textId="77777777" w:rsidR="00D90337" w:rsidRDefault="00D90337" w:rsidP="008869E8">
      <w:r>
        <w:separator/>
      </w:r>
    </w:p>
  </w:endnote>
  <w:endnote w:type="continuationSeparator" w:id="0">
    <w:p w14:paraId="13849A46" w14:textId="77777777" w:rsidR="00D90337" w:rsidRDefault="00D90337" w:rsidP="00886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F8D68" w14:textId="77777777" w:rsidR="008869E8" w:rsidRDefault="00886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E367" w14:textId="77777777" w:rsidR="008869E8" w:rsidRDefault="008869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C4CC" w14:textId="77777777" w:rsidR="008869E8" w:rsidRDefault="00886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F2BCD" w14:textId="77777777" w:rsidR="00D90337" w:rsidRDefault="00D90337" w:rsidP="008869E8">
      <w:r>
        <w:separator/>
      </w:r>
    </w:p>
  </w:footnote>
  <w:footnote w:type="continuationSeparator" w:id="0">
    <w:p w14:paraId="6610726C" w14:textId="77777777" w:rsidR="00D90337" w:rsidRDefault="00D90337" w:rsidP="00886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9384" w14:textId="0C2EFDEB" w:rsidR="008869E8" w:rsidRDefault="008869E8">
    <w:pPr>
      <w:pStyle w:val="Header"/>
    </w:pPr>
    <w:r>
      <w:rPr>
        <w:noProof/>
      </w:rPr>
      <w:pict w14:anchorId="5FC463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390219" o:spid="_x0000_s1026"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DDF9" w14:textId="0D6F7BD9" w:rsidR="008869E8" w:rsidRDefault="008869E8">
    <w:pPr>
      <w:pStyle w:val="Header"/>
    </w:pPr>
    <w:r>
      <w:rPr>
        <w:noProof/>
      </w:rPr>
      <w:pict w14:anchorId="06D751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390220" o:spid="_x0000_s1027"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909B" w14:textId="2370A521" w:rsidR="008869E8" w:rsidRDefault="008869E8">
    <w:pPr>
      <w:pStyle w:val="Header"/>
    </w:pPr>
    <w:r>
      <w:rPr>
        <w:noProof/>
      </w:rPr>
      <w:pict w14:anchorId="7E01B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390218" o:spid="_x0000_s1025"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B2A5E62"/>
    <w:rsid w:val="000168F6"/>
    <w:rsid w:val="001C43F4"/>
    <w:rsid w:val="002572B8"/>
    <w:rsid w:val="008869E8"/>
    <w:rsid w:val="00912C31"/>
    <w:rsid w:val="0092710F"/>
    <w:rsid w:val="00AD22AF"/>
    <w:rsid w:val="00BD7095"/>
    <w:rsid w:val="00C56AE8"/>
    <w:rsid w:val="00CD7E74"/>
    <w:rsid w:val="00D90337"/>
    <w:rsid w:val="0AAD3C16"/>
    <w:rsid w:val="0B17431A"/>
    <w:rsid w:val="0EB2550F"/>
    <w:rsid w:val="19414DFD"/>
    <w:rsid w:val="2423656A"/>
    <w:rsid w:val="249A20E9"/>
    <w:rsid w:val="27B43987"/>
    <w:rsid w:val="2D011441"/>
    <w:rsid w:val="47C236CA"/>
    <w:rsid w:val="4A692A5B"/>
    <w:rsid w:val="57D9736E"/>
    <w:rsid w:val="587707DF"/>
    <w:rsid w:val="5F6F0822"/>
    <w:rsid w:val="63747452"/>
    <w:rsid w:val="67161AAD"/>
    <w:rsid w:val="69750F8C"/>
    <w:rsid w:val="76D43E72"/>
    <w:rsid w:val="7B2A5E62"/>
    <w:rsid w:val="7F0C4530"/>
  </w:rsids>
  <m:mathPr>
    <m:mathFont m:val="Cambria Math"/>
    <m:brkBin m:val="before"/>
    <m:brkBinSub m:val="--"/>
    <m:smallFrac m:val="0"/>
    <m:dispDef/>
    <m:lMargin m:val="0"/>
    <m:rMargin m:val="0"/>
    <m:defJc m:val="centerGroup"/>
    <m:wrapIndent m:val="1440"/>
    <m:intLim m:val="subSup"/>
    <m:naryLim m:val="undOvr"/>
  </m:mathPr>
  <w:themeFontLang w:val="en-US" w:eastAsia="zh-CN"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2976665"/>
  <w15:docId w15:val="{B2B8348E-4D1D-40B4-B4A6-18EBD3C7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3">
    <w:name w:val="heading 3"/>
    <w:basedOn w:val="Normal"/>
    <w:link w:val="Heading3Char"/>
    <w:uiPriority w:val="99"/>
    <w:qFormat/>
    <w:pPr>
      <w:keepNext/>
      <w:keepLines/>
      <w:widowControl w:val="0"/>
      <w:outlineLvl w:val="2"/>
    </w:pPr>
    <w:rPr>
      <w:rFonts w:ascii="Calibri Light" w:eastAsia="SimSun" w:hAnsi="Calibri Light"/>
      <w:color w:val="1F4E7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qFormat/>
    <w:rPr>
      <w:color w:val="954F72"/>
      <w:u w:val="single"/>
    </w:rPr>
  </w:style>
  <w:style w:type="character" w:styleId="Hyperlink">
    <w:name w:val="Hyperlink"/>
    <w:qFormat/>
    <w:rPr>
      <w:color w:val="0563C1"/>
      <w:u w:val="single"/>
    </w:rPr>
  </w:style>
  <w:style w:type="paragraph" w:styleId="NormalWeb">
    <w:name w:val="Normal (Web)"/>
    <w:basedOn w:val="Normal"/>
    <w:uiPriority w:val="99"/>
    <w:unhideWhenUsed/>
    <w:qFormat/>
    <w:pPr>
      <w:spacing w:after="100" w:afterAutospacing="1"/>
    </w:pPr>
    <w:rPr>
      <w:rFonts w:ascii="Times New Roman" w:hAnsi="Times New Roman"/>
      <w:sz w:val="24"/>
      <w:szCs w:val="24"/>
    </w:rPr>
  </w:style>
  <w:style w:type="paragraph" w:customStyle="1" w:styleId="Els-Author">
    <w:name w:val="Els-Author"/>
    <w:basedOn w:val="Normal"/>
    <w:next w:val="Normal"/>
    <w:pPr>
      <w:keepNext/>
      <w:suppressAutoHyphens/>
      <w:spacing w:before="100" w:beforeAutospacing="1" w:line="300" w:lineRule="exact"/>
      <w:jc w:val="center"/>
    </w:pPr>
    <w:rPr>
      <w:rFonts w:ascii="Times New Roman" w:eastAsia="Times New Roman" w:hAnsi="Times New Roman" w:cs="Times New Roman"/>
      <w:sz w:val="26"/>
      <w:szCs w:val="26"/>
    </w:rPr>
  </w:style>
  <w:style w:type="paragraph" w:customStyle="1" w:styleId="Els-Affiliation">
    <w:name w:val="Els-Affiliation"/>
    <w:basedOn w:val="Normal"/>
    <w:next w:val="Els-history"/>
    <w:qFormat/>
    <w:pPr>
      <w:suppressAutoHyphens/>
      <w:spacing w:before="100" w:beforeAutospacing="1" w:after="120" w:line="200" w:lineRule="exact"/>
      <w:jc w:val="center"/>
    </w:pPr>
    <w:rPr>
      <w:rFonts w:ascii="Times New Roman" w:eastAsia="Times New Roman" w:hAnsi="Times New Roman" w:cs="Times New Roman"/>
      <w:i/>
      <w:sz w:val="16"/>
      <w:szCs w:val="16"/>
    </w:rPr>
  </w:style>
  <w:style w:type="paragraph" w:customStyle="1" w:styleId="Els-history">
    <w:name w:val="Els-history"/>
    <w:basedOn w:val="Normal"/>
    <w:next w:val="Normal"/>
    <w:qFormat/>
    <w:pPr>
      <w:spacing w:before="100" w:beforeAutospacing="1" w:after="400" w:line="200" w:lineRule="exact"/>
      <w:jc w:val="center"/>
    </w:pPr>
    <w:rPr>
      <w:rFonts w:ascii="Times New Roman" w:eastAsia="Times New Roman" w:hAnsi="Times New Roman" w:cs="Times New Roman"/>
      <w:sz w:val="16"/>
      <w:szCs w:val="16"/>
    </w:rPr>
  </w:style>
  <w:style w:type="table" w:customStyle="1" w:styleId="ListTable6Colorful1">
    <w:name w:val="List Table 6 Colorful1"/>
    <w:basedOn w:val="TableNormal"/>
    <w:uiPriority w:val="51"/>
    <w:qFormat/>
    <w:rPr>
      <w:rFonts w:eastAsia="SimSun" w:cs="Times New Roman"/>
      <w:color w:val="000000"/>
    </w:rPr>
    <w:tblPr>
      <w:tblBorders>
        <w:top w:val="single" w:sz="4" w:space="0" w:color="000000"/>
        <w:bottom w:val="single" w:sz="4" w:space="0" w:color="000000"/>
      </w:tblBorders>
    </w:tblPr>
    <w:tblStylePr w:type="firstRow">
      <w:rPr>
        <w:rFonts w:ascii="Times New Roman" w:hAnsi="Times New Roman" w:cs="Times New Roman" w:hint="default"/>
        <w:b/>
        <w:bCs/>
      </w:rPr>
      <w:tblPr/>
      <w:tcPr>
        <w:tcBorders>
          <w:bottom w:val="single" w:sz="4" w:space="0" w:color="000000"/>
        </w:tcBorders>
      </w:tcPr>
    </w:tblStylePr>
    <w:tblStylePr w:type="lastRow">
      <w:rPr>
        <w:rFonts w:ascii="Times New Roman" w:hAnsi="Times New Roman" w:cs="Times New Roman" w:hint="default"/>
        <w:b/>
        <w:bCs/>
      </w:rPr>
      <w:tblPr/>
      <w:tcPr>
        <w:tcBorders>
          <w:top w:val="double" w:sz="2" w:space="0" w:color="00000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shd w:val="clear" w:color="auto" w:fill="CCCCCC"/>
      </w:tcPr>
    </w:tblStylePr>
    <w:tblStylePr w:type="band1Horz">
      <w:tblPr/>
      <w:tcPr>
        <w:shd w:val="clear" w:color="auto" w:fill="CCCCCC"/>
      </w:tcPr>
    </w:tblStylePr>
  </w:style>
  <w:style w:type="paragraph" w:customStyle="1" w:styleId="articlecardabstractabstract-sc-8nze5h-0">
    <w:name w:val="articlecardabstract__abstract-sc-8nze5h-0"/>
    <w:basedOn w:val="Normal"/>
    <w:qFormat/>
    <w:pPr>
      <w:spacing w:after="100" w:afterAutospacing="1"/>
    </w:pPr>
    <w:rPr>
      <w:rFonts w:ascii="Times New Roman" w:hAnsi="Times New Roman"/>
      <w:sz w:val="24"/>
      <w:szCs w:val="24"/>
    </w:rPr>
  </w:style>
  <w:style w:type="character" w:customStyle="1" w:styleId="15">
    <w:name w:val="15"/>
    <w:qFormat/>
    <w:rPr>
      <w:rFonts w:ascii="Calibri" w:hAnsi="Calibri" w:cs="Calibri" w:hint="eastAsia"/>
      <w:color w:val="0000FF"/>
      <w:u w:val="single"/>
    </w:rPr>
  </w:style>
  <w:style w:type="character" w:customStyle="1" w:styleId="Heading3Char">
    <w:name w:val="Heading 3 Char"/>
    <w:link w:val="Heading3"/>
    <w:rPr>
      <w:rFonts w:ascii="Calibri Light" w:eastAsia="SimSun" w:hAnsi="Calibri Light" w:cs="Times New Roman" w:hint="default"/>
      <w:color w:val="1F4E79"/>
      <w:sz w:val="24"/>
      <w:szCs w:val="24"/>
    </w:rPr>
  </w:style>
  <w:style w:type="paragraph" w:styleId="Header">
    <w:name w:val="header"/>
    <w:basedOn w:val="Normal"/>
    <w:link w:val="HeaderChar"/>
    <w:rsid w:val="008869E8"/>
    <w:pPr>
      <w:tabs>
        <w:tab w:val="center" w:pos="4513"/>
        <w:tab w:val="right" w:pos="9026"/>
      </w:tabs>
    </w:pPr>
  </w:style>
  <w:style w:type="character" w:customStyle="1" w:styleId="HeaderChar">
    <w:name w:val="Header Char"/>
    <w:basedOn w:val="DefaultParagraphFont"/>
    <w:link w:val="Header"/>
    <w:rsid w:val="008869E8"/>
    <w:rPr>
      <w:rFonts w:asciiTheme="minorHAnsi" w:eastAsiaTheme="minorEastAsia" w:hAnsiTheme="minorHAnsi" w:cstheme="minorBidi"/>
      <w:lang w:val="en-US" w:eastAsia="zh-CN"/>
    </w:rPr>
  </w:style>
  <w:style w:type="paragraph" w:styleId="Footer">
    <w:name w:val="footer"/>
    <w:basedOn w:val="Normal"/>
    <w:link w:val="FooterChar"/>
    <w:rsid w:val="008869E8"/>
    <w:pPr>
      <w:tabs>
        <w:tab w:val="center" w:pos="4513"/>
        <w:tab w:val="right" w:pos="9026"/>
      </w:tabs>
    </w:pPr>
  </w:style>
  <w:style w:type="character" w:customStyle="1" w:styleId="FooterChar">
    <w:name w:val="Footer Char"/>
    <w:basedOn w:val="DefaultParagraphFont"/>
    <w:link w:val="Footer"/>
    <w:rsid w:val="008869E8"/>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s://doi.org/10.1016/j.corsci.2021.109401" TargetMode="External"/><Relationship Id="rId39" Type="http://schemas.openxmlformats.org/officeDocument/2006/relationships/hyperlink" Target="https://doi.org/10.1039/D3GC05207A" TargetMode="External"/><Relationship Id="rId21" Type="http://schemas.openxmlformats.org/officeDocument/2006/relationships/image" Target="media/image16.jpeg"/><Relationship Id="rId34" Type="http://schemas.openxmlformats.org/officeDocument/2006/relationships/hyperlink" Target="https://doi.org/10.3390/foods14020222" TargetMode="External"/><Relationship Id="rId42" Type="http://schemas.openxmlformats.org/officeDocument/2006/relationships/hyperlink" Target="https://doi.org/10.1016/j.jmrt.2026.6673."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hyperlink" Target="https://doi.org/10.1039/d4ra05869k" TargetMode="External"/><Relationship Id="rId11" Type="http://schemas.openxmlformats.org/officeDocument/2006/relationships/image" Target="media/image6.png"/><Relationship Id="rId24" Type="http://schemas.openxmlformats.org/officeDocument/2006/relationships/hyperlink" Target="https://doi.org/10.3390/molecules29143323" TargetMode="External"/><Relationship Id="rId32" Type="http://schemas.openxmlformats.org/officeDocument/2006/relationships/hyperlink" Target="https://ninas.ng/wp-content/uploads/2023/11/Pearls-Accreditation-Certificate.pdf" TargetMode="External"/><Relationship Id="rId37" Type="http://schemas.openxmlformats.org/officeDocument/2006/relationships/hyperlink" Target="https://www.premiumtimesng.com/environment/another" TargetMode="External"/><Relationship Id="rId40" Type="http://schemas.openxmlformats.org/officeDocument/2006/relationships/hyperlink" Target="https://doi.org/10.1007/s12540-026-01234-7"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hyperlink" Target="https://doi.org/10.1002/cpz1.1034" TargetMode="External"/><Relationship Id="rId36" Type="http://schemas.openxmlformats.org/officeDocument/2006/relationships/hyperlink" Target="https://doi.org/10.1186/s12906-024-04619" TargetMode="External"/><Relationship Id="rId49" Type="http://schemas.openxmlformats.org/officeDocument/2006/relationships/header" Target="header3.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yperlink" Target="https://doi.org/10.31254/phyto.2026.15209." TargetMode="External"/><Relationship Id="rId44" Type="http://schemas.openxmlformats.org/officeDocument/2006/relationships/hyperlink" Target="https://doi.org/10.1007/s11665-026-07890-3"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hyperlink" Target="https://doi.org/10.1155/joch/5568823" TargetMode="External"/><Relationship Id="rId30" Type="http://schemas.openxmlformats.org/officeDocument/2006/relationships/hyperlink" Target="https://doi.org/10.1016/j.corsci.2022.110123&#8288;&#65533;" TargetMode="External"/><Relationship Id="rId35" Type="http://schemas.openxmlformats.org/officeDocument/2006/relationships/hyperlink" Target="https://doi.org/10.1016/j.indcrop.2026.116543." TargetMode="External"/><Relationship Id="rId43" Type="http://schemas.openxmlformats.org/officeDocument/2006/relationships/hyperlink" Target="https://doi.org/10.1007/s40735-024-00839-z&#8288;" TargetMode="External"/><Relationship Id="rId48" Type="http://schemas.openxmlformats.org/officeDocument/2006/relationships/footer" Target="footer2.xml"/><Relationship Id="rId8" Type="http://schemas.openxmlformats.org/officeDocument/2006/relationships/image" Target="media/image3.png"/><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hyperlink" Target="https://doi.org/10.1186/s12906-024-04619-7" TargetMode="External"/><Relationship Id="rId33" Type="http://schemas.openxmlformats.org/officeDocument/2006/relationships/hyperlink" Target="https://doi.org/10.36922/MI02552014" TargetMode="External"/><Relationship Id="rId38" Type="http://schemas.openxmlformats.org/officeDocument/2006/relationships/hyperlink" Target="https://doi.org/10.1016/j.jece.2020.104123." TargetMode="External"/><Relationship Id="rId46" Type="http://schemas.openxmlformats.org/officeDocument/2006/relationships/header" Target="header2.xml"/><Relationship Id="rId20" Type="http://schemas.openxmlformats.org/officeDocument/2006/relationships/image" Target="media/image15.jpeg"/><Relationship Id="rId41" Type="http://schemas.openxmlformats.org/officeDocument/2006/relationships/hyperlink" Target="https://doi.org/10.1016/j.matchar.2023.112125&#8288;" TargetMode="External"/><Relationship Id="rId1" Type="http://schemas.openxmlformats.org/officeDocument/2006/relationships/styles" Target="styles.xml"/><Relationship Id="rId6"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24</Pages>
  <Words>8892</Words>
  <Characters>50685</Characters>
  <Application>Microsoft Office Word</Application>
  <DocSecurity>0</DocSecurity>
  <Lines>422</Lines>
  <Paragraphs>118</Paragraphs>
  <ScaleCrop>false</ScaleCrop>
  <Company/>
  <LinksUpToDate>false</LinksUpToDate>
  <CharactersWithSpaces>59459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1166</cp:lastModifiedBy>
  <cp:revision>7</cp:revision>
  <dcterms:created xsi:type="dcterms:W3CDTF">2026-06-30T08:37:00Z</dcterms:created>
  <dcterms:modified xsi:type="dcterms:W3CDTF">2026-07-03T12:46:00Z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F792ABAADDF84782A1BE5F008109BA2C_13</vt:lpwstr>
  </property>
</Properties>
</file>