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D5A31" w14:textId="77777777" w:rsidR="007F6C7C" w:rsidRPr="007F6C7C" w:rsidRDefault="007F6C7C" w:rsidP="007F6C7C">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7F6C7C">
        <w:rPr>
          <w:rFonts w:ascii="Times New Roman" w:eastAsia="Times New Roman" w:hAnsi="Times New Roman" w:cs="Times New Roman"/>
          <w:b/>
          <w:bCs/>
          <w:i/>
          <w:iCs/>
          <w:sz w:val="36"/>
          <w:szCs w:val="36"/>
          <w:u w:val="single"/>
          <w:lang w:val="en-US" w:eastAsia="en-GB"/>
        </w:rPr>
        <w:t>Review Article</w:t>
      </w:r>
    </w:p>
    <w:p w14:paraId="2CBBA2A0" w14:textId="77777777" w:rsidR="00687ABD" w:rsidRPr="00687ABD" w:rsidRDefault="00687ABD" w:rsidP="00687ABD">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687ABD">
        <w:rPr>
          <w:rFonts w:ascii="Times New Roman" w:eastAsia="Times New Roman" w:hAnsi="Times New Roman" w:cs="Times New Roman"/>
          <w:b/>
          <w:bCs/>
          <w:sz w:val="36"/>
          <w:szCs w:val="36"/>
          <w:lang w:eastAsia="en-GB"/>
        </w:rPr>
        <w:t>Pearl Millet Production, Nutritional and Functional Properties, and Processing Techniques: A Global Comprehensive Review</w:t>
      </w:r>
    </w:p>
    <w:p w14:paraId="355A92B1" w14:textId="77777777" w:rsidR="00687ABD" w:rsidRPr="00687ABD" w:rsidRDefault="00687ABD" w:rsidP="00687AB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Abstract</w:t>
      </w:r>
    </w:p>
    <w:p w14:paraId="6EBA5D79"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Pearl millet (</w:t>
      </w:r>
      <w:r w:rsidRPr="00687ABD">
        <w:rPr>
          <w:rFonts w:ascii="Times New Roman" w:eastAsia="Times New Roman" w:hAnsi="Times New Roman" w:cs="Times New Roman"/>
          <w:i/>
          <w:iCs/>
          <w:sz w:val="24"/>
          <w:szCs w:val="24"/>
          <w:lang w:eastAsia="en-GB"/>
        </w:rPr>
        <w:t>Pennisetum glaucum</w:t>
      </w:r>
      <w:r w:rsidRPr="00687ABD">
        <w:rPr>
          <w:rFonts w:ascii="Times New Roman" w:eastAsia="Times New Roman" w:hAnsi="Times New Roman" w:cs="Times New Roman"/>
          <w:sz w:val="24"/>
          <w:szCs w:val="24"/>
          <w:lang w:eastAsia="en-GB"/>
        </w:rPr>
        <w:t xml:space="preserve"> (L.) R. Br.) is the most widely cultivated millet species worldwide and a staple cereal for tens of millions of people across the semi-arid tropics of Asia and Africa. Its exceptional tolerance of drought, heat and poor soils, combined with a favourable nutrient profile, has renewed international interest in the crop as a climate-resilient contributor to food and nutrition security. This review synthesises current evidence on the global production landscape, agronomic and genetic characteristics, nutritional composition, bioactive and functional properties, antinutritional constraints, and traditional and emerging processing technologies applied to pearl millet. The grain provides appreciable quantities of protein, dietary fibre, iron, zinc and phenolic compounds, and its low to moderate glycaemic index and gluten-free nature position it favourably for managing metabolic disorders and coeliac-related dietary restrictions. However, the nutritional value of pearl millet is constrained by antinutritional factors, principally phytic acid, tannins and goitrogenic C-</w:t>
      </w:r>
      <w:proofErr w:type="spellStart"/>
      <w:r w:rsidRPr="00687ABD">
        <w:rPr>
          <w:rFonts w:ascii="Times New Roman" w:eastAsia="Times New Roman" w:hAnsi="Times New Roman" w:cs="Times New Roman"/>
          <w:sz w:val="24"/>
          <w:szCs w:val="24"/>
          <w:lang w:eastAsia="en-GB"/>
        </w:rPr>
        <w:t>glycosylflavones</w:t>
      </w:r>
      <w:proofErr w:type="spellEnd"/>
      <w:r w:rsidRPr="00687ABD">
        <w:rPr>
          <w:rFonts w:ascii="Times New Roman" w:eastAsia="Times New Roman" w:hAnsi="Times New Roman" w:cs="Times New Roman"/>
          <w:sz w:val="24"/>
          <w:szCs w:val="24"/>
          <w:lang w:eastAsia="en-GB"/>
        </w:rPr>
        <w:t>, and by a short shelf life associated with rapid lipid rancidity. Processing interventions, ranging from traditional dehulling, soaking, germination and fermentation to modern extrusion, malting and non-thermal technologies, substantially modulate nutrient bioavailability, sensory quality and storage stability, although trade-offs between nutrient retention and antinutrient reduction remain incompletely resolved. Biofortification and genomics-assisted breeding programmes have made measurable progress in raising grain iron and zinc density and in improving abiotic stress tolerance. This review identifies persistent knowledge gaps in genotype-by-environment interactions affecting nutritional quality, in vivo bioavailability data, and the scalability of novel processing technologies, and proposes priority directions for future research and value-chain development.</w:t>
      </w:r>
    </w:p>
    <w:p w14:paraId="7EA0EE9A"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b/>
          <w:bCs/>
          <w:sz w:val="24"/>
          <w:szCs w:val="24"/>
          <w:lang w:eastAsia="en-GB"/>
        </w:rPr>
        <w:t>Keywords:</w:t>
      </w:r>
      <w:r w:rsidRPr="00687ABD">
        <w:rPr>
          <w:rFonts w:ascii="Times New Roman" w:eastAsia="Times New Roman" w:hAnsi="Times New Roman" w:cs="Times New Roman"/>
          <w:sz w:val="24"/>
          <w:szCs w:val="24"/>
          <w:lang w:eastAsia="en-GB"/>
        </w:rPr>
        <w:t xml:space="preserve"> pearl millet; </w:t>
      </w:r>
      <w:r w:rsidRPr="00687ABD">
        <w:rPr>
          <w:rFonts w:ascii="Times New Roman" w:eastAsia="Times New Roman" w:hAnsi="Times New Roman" w:cs="Times New Roman"/>
          <w:i/>
          <w:iCs/>
          <w:sz w:val="24"/>
          <w:szCs w:val="24"/>
          <w:lang w:eastAsia="en-GB"/>
        </w:rPr>
        <w:t>Pennisetum glaucum</w:t>
      </w:r>
      <w:r w:rsidRPr="00687ABD">
        <w:rPr>
          <w:rFonts w:ascii="Times New Roman" w:eastAsia="Times New Roman" w:hAnsi="Times New Roman" w:cs="Times New Roman"/>
          <w:sz w:val="24"/>
          <w:szCs w:val="24"/>
          <w:lang w:eastAsia="en-GB"/>
        </w:rPr>
        <w:t xml:space="preserve">; </w:t>
      </w:r>
      <w:proofErr w:type="spellStart"/>
      <w:r w:rsidRPr="00687ABD">
        <w:rPr>
          <w:rFonts w:ascii="Times New Roman" w:eastAsia="Times New Roman" w:hAnsi="Times New Roman" w:cs="Times New Roman"/>
          <w:sz w:val="24"/>
          <w:szCs w:val="24"/>
          <w:lang w:eastAsia="en-GB"/>
        </w:rPr>
        <w:t>nutricereal</w:t>
      </w:r>
      <w:proofErr w:type="spellEnd"/>
      <w:r w:rsidRPr="00687ABD">
        <w:rPr>
          <w:rFonts w:ascii="Times New Roman" w:eastAsia="Times New Roman" w:hAnsi="Times New Roman" w:cs="Times New Roman"/>
          <w:sz w:val="24"/>
          <w:szCs w:val="24"/>
          <w:lang w:eastAsia="en-GB"/>
        </w:rPr>
        <w:t>; climate resilience; antinutritional factors; food processing; functional foods</w:t>
      </w:r>
    </w:p>
    <w:p w14:paraId="7EEE8FB0" w14:textId="77777777" w:rsidR="00687ABD" w:rsidRPr="00687ABD" w:rsidRDefault="00687ABD" w:rsidP="00687AB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1. Introduction</w:t>
      </w:r>
    </w:p>
    <w:p w14:paraId="210B5BFC"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 xml:space="preserve">1.1 Global significance of pearl millet as a </w:t>
      </w:r>
      <w:proofErr w:type="spellStart"/>
      <w:r w:rsidRPr="00687ABD">
        <w:rPr>
          <w:rFonts w:ascii="Times New Roman" w:eastAsia="Times New Roman" w:hAnsi="Times New Roman" w:cs="Times New Roman"/>
          <w:b/>
          <w:bCs/>
          <w:sz w:val="24"/>
          <w:szCs w:val="24"/>
          <w:lang w:eastAsia="en-GB"/>
        </w:rPr>
        <w:t>nutricereal</w:t>
      </w:r>
      <w:proofErr w:type="spellEnd"/>
    </w:p>
    <w:p w14:paraId="4BD48E90"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Cereal grains supply the majority of calories consumed by the human population, yet this dependence is concentrated in three crops, namely wheat, rice and maize, which together leave global food systems vulnerable to climatic and economic shocks (Chaturvedi et al., 2023). This narrow reliance persists even as global hunger and dietary inadequacy remain widespread, with recent estimates indicating that more than 720 million people face hunger and around three billion lack access to a healthy diet, a context that has sharpened scientific and policy attention on nutrient-dense, climate-tolerant cereals as diversification options (Mesías et al., 2024). Pearl millet occupies a prominent position among these crops. It is grown on approximately 30 to 31 million hectares, chiefly across the semi-arid tropics of sub-Saharan Africa and the Indian subcontinent, and it accounts for close to half of total global </w:t>
      </w:r>
      <w:r w:rsidRPr="00687ABD">
        <w:rPr>
          <w:rFonts w:ascii="Times New Roman" w:eastAsia="Times New Roman" w:hAnsi="Times New Roman" w:cs="Times New Roman"/>
          <w:sz w:val="24"/>
          <w:szCs w:val="24"/>
          <w:lang w:eastAsia="en-GB"/>
        </w:rPr>
        <w:lastRenderedPageBreak/>
        <w:t>millet production (Satyavathi et al., 2021). The crop is a dietary staple for around 90 million people, many of whom live in regions where rainfall is scarce, erratic or confined to a short cropping window (</w:t>
      </w:r>
      <w:proofErr w:type="spellStart"/>
      <w:r w:rsidRPr="00687ABD">
        <w:rPr>
          <w:rFonts w:ascii="Times New Roman" w:eastAsia="Times New Roman" w:hAnsi="Times New Roman" w:cs="Times New Roman"/>
          <w:sz w:val="24"/>
          <w:szCs w:val="24"/>
          <w:lang w:eastAsia="en-GB"/>
        </w:rPr>
        <w:t>Nibhoria</w:t>
      </w:r>
      <w:proofErr w:type="spellEnd"/>
      <w:r w:rsidRPr="00687ABD">
        <w:rPr>
          <w:rFonts w:ascii="Times New Roman" w:eastAsia="Times New Roman" w:hAnsi="Times New Roman" w:cs="Times New Roman"/>
          <w:sz w:val="24"/>
          <w:szCs w:val="24"/>
          <w:lang w:eastAsia="en-GB"/>
        </w:rPr>
        <w:t xml:space="preserve"> et al., 2024). The designation of 2023 as the International Year of Millets by the Food and Agriculture Organization of the United Nations catalysed a substantial increase in research output, policy support and market interest directed at pearl millet and related species (FAO, 2024; Krishnan, 2024).</w:t>
      </w:r>
    </w:p>
    <w:p w14:paraId="346E171C"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Pearl millet belongs to the family </w:t>
      </w:r>
      <w:proofErr w:type="spellStart"/>
      <w:r w:rsidRPr="00687ABD">
        <w:rPr>
          <w:rFonts w:ascii="Times New Roman" w:eastAsia="Times New Roman" w:hAnsi="Times New Roman" w:cs="Times New Roman"/>
          <w:sz w:val="24"/>
          <w:szCs w:val="24"/>
          <w:lang w:eastAsia="en-GB"/>
        </w:rPr>
        <w:t>Poaceae</w:t>
      </w:r>
      <w:proofErr w:type="spellEnd"/>
      <w:r w:rsidRPr="00687ABD">
        <w:rPr>
          <w:rFonts w:ascii="Times New Roman" w:eastAsia="Times New Roman" w:hAnsi="Times New Roman" w:cs="Times New Roman"/>
          <w:sz w:val="24"/>
          <w:szCs w:val="24"/>
          <w:lang w:eastAsia="en-GB"/>
        </w:rPr>
        <w:t xml:space="preserve"> and is classified botanically as </w:t>
      </w:r>
      <w:r w:rsidRPr="00687ABD">
        <w:rPr>
          <w:rFonts w:ascii="Times New Roman" w:eastAsia="Times New Roman" w:hAnsi="Times New Roman" w:cs="Times New Roman"/>
          <w:i/>
          <w:iCs/>
          <w:sz w:val="24"/>
          <w:szCs w:val="24"/>
          <w:lang w:eastAsia="en-GB"/>
        </w:rPr>
        <w:t>Pennisetum glaucum</w:t>
      </w:r>
      <w:r w:rsidRPr="00687ABD">
        <w:rPr>
          <w:rFonts w:ascii="Times New Roman" w:eastAsia="Times New Roman" w:hAnsi="Times New Roman" w:cs="Times New Roman"/>
          <w:sz w:val="24"/>
          <w:szCs w:val="24"/>
          <w:lang w:eastAsia="en-GB"/>
        </w:rPr>
        <w:t xml:space="preserve"> (L.) R. Br., although the synonym </w:t>
      </w:r>
      <w:r w:rsidRPr="00687ABD">
        <w:rPr>
          <w:rFonts w:ascii="Times New Roman" w:eastAsia="Times New Roman" w:hAnsi="Times New Roman" w:cs="Times New Roman"/>
          <w:i/>
          <w:iCs/>
          <w:sz w:val="24"/>
          <w:szCs w:val="24"/>
          <w:lang w:eastAsia="en-GB"/>
        </w:rPr>
        <w:t>Cenchrus americanus</w:t>
      </w:r>
      <w:r w:rsidRPr="00687ABD">
        <w:rPr>
          <w:rFonts w:ascii="Times New Roman" w:eastAsia="Times New Roman" w:hAnsi="Times New Roman" w:cs="Times New Roman"/>
          <w:sz w:val="24"/>
          <w:szCs w:val="24"/>
          <w:lang w:eastAsia="en-GB"/>
        </w:rPr>
        <w:t xml:space="preserve"> (L.) Morrone is also encountered in the taxonomic literature. As a C4 grass, the crop possesses a photosynthetic pathway that confers high water-use efficiency and enables substantial dry matter accumulation even under conditions of intermittent drought and elevated temperature (</w:t>
      </w:r>
      <w:proofErr w:type="spellStart"/>
      <w:r w:rsidRPr="00687ABD">
        <w:rPr>
          <w:rFonts w:ascii="Times New Roman" w:eastAsia="Times New Roman" w:hAnsi="Times New Roman" w:cs="Times New Roman"/>
          <w:sz w:val="24"/>
          <w:szCs w:val="24"/>
          <w:lang w:eastAsia="en-GB"/>
        </w:rPr>
        <w:t>Nibhoria</w:t>
      </w:r>
      <w:proofErr w:type="spellEnd"/>
      <w:r w:rsidRPr="00687ABD">
        <w:rPr>
          <w:rFonts w:ascii="Times New Roman" w:eastAsia="Times New Roman" w:hAnsi="Times New Roman" w:cs="Times New Roman"/>
          <w:sz w:val="24"/>
          <w:szCs w:val="24"/>
          <w:lang w:eastAsia="en-GB"/>
        </w:rPr>
        <w:t xml:space="preserve"> et al., 2024). These agronomic attributes, together with a grain nutrient profile that compares favourably with, and in several respects exceeds, that of major cereals, have led to pearl millet being classified in India as a "</w:t>
      </w:r>
      <w:proofErr w:type="spellStart"/>
      <w:r w:rsidRPr="00687ABD">
        <w:rPr>
          <w:rFonts w:ascii="Times New Roman" w:eastAsia="Times New Roman" w:hAnsi="Times New Roman" w:cs="Times New Roman"/>
          <w:sz w:val="24"/>
          <w:szCs w:val="24"/>
          <w:lang w:eastAsia="en-GB"/>
        </w:rPr>
        <w:t>nutri</w:t>
      </w:r>
      <w:proofErr w:type="spellEnd"/>
      <w:r w:rsidRPr="00687ABD">
        <w:rPr>
          <w:rFonts w:ascii="Times New Roman" w:eastAsia="Times New Roman" w:hAnsi="Times New Roman" w:cs="Times New Roman"/>
          <w:sz w:val="24"/>
          <w:szCs w:val="24"/>
          <w:lang w:eastAsia="en-GB"/>
        </w:rPr>
        <w:t>-cereal", a designation intended to draw attention to its nutritional density relative to its historical status as a subsistence crop of marginal farming communities (Satyavathi et al., 2021).</w:t>
      </w:r>
    </w:p>
    <w:p w14:paraId="7E795D1E"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1.2 Botanical, agronomic and dietary context</w:t>
      </w:r>
    </w:p>
    <w:p w14:paraId="10F640D6"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Pearl millet is an annual, cross-pollinated, short-day grass that produces a cylindrical spike inflorescence bearing numerous small, oval grains typically ranging from grey to pale yellow in colour. It is cultivated principally for grain, although it also serves as an important source of fodder, forage and construction material in rural economies (</w:t>
      </w:r>
      <w:proofErr w:type="spellStart"/>
      <w:r w:rsidRPr="00687ABD">
        <w:rPr>
          <w:rFonts w:ascii="Times New Roman" w:eastAsia="Times New Roman" w:hAnsi="Times New Roman" w:cs="Times New Roman"/>
          <w:sz w:val="24"/>
          <w:szCs w:val="24"/>
          <w:lang w:eastAsia="en-GB"/>
        </w:rPr>
        <w:t>Shivhare</w:t>
      </w:r>
      <w:proofErr w:type="spellEnd"/>
      <w:r w:rsidRPr="00687ABD">
        <w:rPr>
          <w:rFonts w:ascii="Times New Roman" w:eastAsia="Times New Roman" w:hAnsi="Times New Roman" w:cs="Times New Roman"/>
          <w:sz w:val="24"/>
          <w:szCs w:val="24"/>
          <w:lang w:eastAsia="en-GB"/>
        </w:rPr>
        <w:t xml:space="preserve"> &amp; Lata, 2017). The grain is consumed in a wide diversity of forms across producing regions, including unleavened flatbreads such as roti and chapatti in South Asia and fermented porridges and gruels such as </w:t>
      </w:r>
      <w:proofErr w:type="spellStart"/>
      <w:r w:rsidRPr="00687ABD">
        <w:rPr>
          <w:rFonts w:ascii="Times New Roman" w:eastAsia="Times New Roman" w:hAnsi="Times New Roman" w:cs="Times New Roman"/>
          <w:sz w:val="24"/>
          <w:szCs w:val="24"/>
          <w:lang w:eastAsia="en-GB"/>
        </w:rPr>
        <w:t>ogi</w:t>
      </w:r>
      <w:proofErr w:type="spellEnd"/>
      <w:r w:rsidRPr="00687ABD">
        <w:rPr>
          <w:rFonts w:ascii="Times New Roman" w:eastAsia="Times New Roman" w:hAnsi="Times New Roman" w:cs="Times New Roman"/>
          <w:sz w:val="24"/>
          <w:szCs w:val="24"/>
          <w:lang w:eastAsia="en-GB"/>
        </w:rPr>
        <w:t xml:space="preserve">, </w:t>
      </w:r>
      <w:proofErr w:type="spellStart"/>
      <w:r w:rsidRPr="00687ABD">
        <w:rPr>
          <w:rFonts w:ascii="Times New Roman" w:eastAsia="Times New Roman" w:hAnsi="Times New Roman" w:cs="Times New Roman"/>
          <w:sz w:val="24"/>
          <w:szCs w:val="24"/>
          <w:lang w:eastAsia="en-GB"/>
        </w:rPr>
        <w:t>koko</w:t>
      </w:r>
      <w:proofErr w:type="spellEnd"/>
      <w:r w:rsidRPr="00687ABD">
        <w:rPr>
          <w:rFonts w:ascii="Times New Roman" w:eastAsia="Times New Roman" w:hAnsi="Times New Roman" w:cs="Times New Roman"/>
          <w:sz w:val="24"/>
          <w:szCs w:val="24"/>
          <w:lang w:eastAsia="en-GB"/>
        </w:rPr>
        <w:t xml:space="preserve"> and </w:t>
      </w:r>
      <w:proofErr w:type="spellStart"/>
      <w:r w:rsidRPr="00687ABD">
        <w:rPr>
          <w:rFonts w:ascii="Times New Roman" w:eastAsia="Times New Roman" w:hAnsi="Times New Roman" w:cs="Times New Roman"/>
          <w:sz w:val="24"/>
          <w:szCs w:val="24"/>
          <w:lang w:eastAsia="en-GB"/>
        </w:rPr>
        <w:t>fura</w:t>
      </w:r>
      <w:proofErr w:type="spellEnd"/>
      <w:r w:rsidRPr="00687ABD">
        <w:rPr>
          <w:rFonts w:ascii="Times New Roman" w:eastAsia="Times New Roman" w:hAnsi="Times New Roman" w:cs="Times New Roman"/>
          <w:sz w:val="24"/>
          <w:szCs w:val="24"/>
          <w:lang w:eastAsia="en-GB"/>
        </w:rPr>
        <w:t xml:space="preserve"> in West Africa, and it is increasingly used as an ingredient in commercially manufactured bakery, extruded and beverage products aimed at health-conscious consumers in urban and export markets (Meena et al., 2024, as cited in </w:t>
      </w:r>
      <w:proofErr w:type="spellStart"/>
      <w:r w:rsidRPr="00687ABD">
        <w:rPr>
          <w:rFonts w:ascii="Times New Roman" w:eastAsia="Times New Roman" w:hAnsi="Times New Roman" w:cs="Times New Roman"/>
          <w:sz w:val="24"/>
          <w:szCs w:val="24"/>
          <w:lang w:eastAsia="en-GB"/>
        </w:rPr>
        <w:t>Nibhoria</w:t>
      </w:r>
      <w:proofErr w:type="spellEnd"/>
      <w:r w:rsidRPr="00687ABD">
        <w:rPr>
          <w:rFonts w:ascii="Times New Roman" w:eastAsia="Times New Roman" w:hAnsi="Times New Roman" w:cs="Times New Roman"/>
          <w:sz w:val="24"/>
          <w:szCs w:val="24"/>
          <w:lang w:eastAsia="en-GB"/>
        </w:rPr>
        <w:t xml:space="preserve"> et al., 2024). The versatility of the grain, combined with its gluten-free status, has extended its relevance beyond traditional consuming regions into functional food and specialised dietary markets in Europe, North America and East Asia.</w:t>
      </w:r>
    </w:p>
    <w:p w14:paraId="52220BD0"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Despite these favourable attributes, pearl millet continues to be affected by antinutritional compounds, notably phytic acid, condensed tannins and goitrogenic C-</w:t>
      </w:r>
      <w:proofErr w:type="spellStart"/>
      <w:r w:rsidRPr="00687ABD">
        <w:rPr>
          <w:rFonts w:ascii="Times New Roman" w:eastAsia="Times New Roman" w:hAnsi="Times New Roman" w:cs="Times New Roman"/>
          <w:sz w:val="24"/>
          <w:szCs w:val="24"/>
          <w:lang w:eastAsia="en-GB"/>
        </w:rPr>
        <w:t>glycosylflavones</w:t>
      </w:r>
      <w:proofErr w:type="spellEnd"/>
      <w:r w:rsidRPr="00687ABD">
        <w:rPr>
          <w:rFonts w:ascii="Times New Roman" w:eastAsia="Times New Roman" w:hAnsi="Times New Roman" w:cs="Times New Roman"/>
          <w:sz w:val="24"/>
          <w:szCs w:val="24"/>
          <w:lang w:eastAsia="en-GB"/>
        </w:rPr>
        <w:t>, which constrain the bioavailability of iron, zinc and protein and, in the case of the goitrogens, have been associated with interference in thyroid hormone synthesis (</w:t>
      </w:r>
      <w:proofErr w:type="spellStart"/>
      <w:r w:rsidRPr="00687ABD">
        <w:rPr>
          <w:rFonts w:ascii="Times New Roman" w:eastAsia="Times New Roman" w:hAnsi="Times New Roman" w:cs="Times New Roman"/>
          <w:sz w:val="24"/>
          <w:szCs w:val="24"/>
          <w:lang w:eastAsia="en-GB"/>
        </w:rPr>
        <w:t>Boncompagni</w:t>
      </w:r>
      <w:proofErr w:type="spellEnd"/>
      <w:r w:rsidRPr="00687ABD">
        <w:rPr>
          <w:rFonts w:ascii="Times New Roman" w:eastAsia="Times New Roman" w:hAnsi="Times New Roman" w:cs="Times New Roman"/>
          <w:sz w:val="24"/>
          <w:szCs w:val="24"/>
          <w:lang w:eastAsia="en-GB"/>
        </w:rPr>
        <w:t xml:space="preserve"> et al., 2018). The grain is also prone to rapid rancidity development after milling, a consequence of active lipase and lipoxygenase enzymes released when the bran layer is disrupted, and this remains one of the principal technical barriers to wider commercialisation of pearl millet flour (Latha Ravi &amp; Rana, 2024). Addressing these constraints through appropriate processing, breeding and biofortification strategies is central to unlocking the full nutritional and economic potential of the crop.</w:t>
      </w:r>
    </w:p>
    <w:p w14:paraId="7F2BFBA2"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1.3 Scope, research gap and objectives</w:t>
      </w:r>
    </w:p>
    <w:p w14:paraId="55616438"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Although a considerable body of literature has examined individual dimensions of pearl millet science, including agronomy, breeding, nutrient composition, bioactive chemistry and food processing, this literature remains fragmented across disciplinary boundaries and is rarely synthesised within a single account that connects production-side considerations with </w:t>
      </w:r>
      <w:r w:rsidRPr="00687ABD">
        <w:rPr>
          <w:rFonts w:ascii="Times New Roman" w:eastAsia="Times New Roman" w:hAnsi="Times New Roman" w:cs="Times New Roman"/>
          <w:sz w:val="24"/>
          <w:szCs w:val="24"/>
          <w:lang w:eastAsia="en-GB"/>
        </w:rPr>
        <w:lastRenderedPageBreak/>
        <w:t>downstream nutritional and technological outcomes. Existing reviews tend to focus narrowly on a single theme, such as drought physiology, biofortification genetics, or a specific processing technique, leaving a gap for a work that draws these strands together and interprets them jointly for an audience concerned with the full value chain from field to finished product. The present review addresses this gap by integrating evidence on global production and climate resilience, grain nutritional and phytochemical composition, functional and health-related properties, antinutritional constraints, and the effects of traditional and emerging processing technologies on nutritional and technological quality. The specific objectives are, first, to characterise the current global production landscape and the genetic and agronomic basis of pearl millet's climate resilience; second, to synthesise quantitative evidence on the macronutrient, micronutrient and bioactive composition of the grain relative to other major cereals; third, to evaluate the mechanisms and magnitude of antinutritional constraints on nutrient bioavailability; and fourth, to assess how traditional and modern processing techniques modify nutritional, functional and sensory quality, with a view to identifying priority areas for future research and value-chain development.</w:t>
      </w:r>
    </w:p>
    <w:p w14:paraId="144EA79E" w14:textId="77777777" w:rsidR="00687ABD" w:rsidRPr="00687ABD" w:rsidRDefault="00687ABD" w:rsidP="00687AB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2. Methods for Literature Selection</w:t>
      </w:r>
    </w:p>
    <w:p w14:paraId="288101C3"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2.1 Databases searched</w:t>
      </w:r>
    </w:p>
    <w:p w14:paraId="782D5381"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 structured but non-systematic literature search was undertaken to identify peer-reviewed sources relevant to the production, nutritional composition, functional properties and processing of pearl millet. Searches were conducted in Web of Science, Scopus, Google Scholar and PubMed, supplemented by six field-specific indexing resources relevant to agricultural and food science literature: CAB Abstracts, AGRICOLA, FSTA (Food Science and Technology Abstracts), AGRIS, the Directory of Open Access Journals, and the ICRISAT Open Access Repository, the last of which indexes a substantial volume of primary research on pearl millet genetics and agronomy originating from the International Crops Research Institute for the Semi-Arid Tropics.</w:t>
      </w:r>
    </w:p>
    <w:p w14:paraId="7DE96882"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2.2 Search strings and date range</w:t>
      </w:r>
    </w:p>
    <w:p w14:paraId="7E5B2BC0"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Search strings combined the terms "pearl millet" OR "</w:t>
      </w:r>
      <w:r w:rsidRPr="00687ABD">
        <w:rPr>
          <w:rFonts w:ascii="Times New Roman" w:eastAsia="Times New Roman" w:hAnsi="Times New Roman" w:cs="Times New Roman"/>
          <w:i/>
          <w:iCs/>
          <w:sz w:val="24"/>
          <w:szCs w:val="24"/>
          <w:lang w:eastAsia="en-GB"/>
        </w:rPr>
        <w:t>Pennisetum glaucum</w:t>
      </w:r>
      <w:r w:rsidRPr="00687ABD">
        <w:rPr>
          <w:rFonts w:ascii="Times New Roman" w:eastAsia="Times New Roman" w:hAnsi="Times New Roman" w:cs="Times New Roman"/>
          <w:sz w:val="24"/>
          <w:szCs w:val="24"/>
          <w:lang w:eastAsia="en-GB"/>
        </w:rPr>
        <w:t>" OR "</w:t>
      </w:r>
      <w:r w:rsidRPr="00687ABD">
        <w:rPr>
          <w:rFonts w:ascii="Times New Roman" w:eastAsia="Times New Roman" w:hAnsi="Times New Roman" w:cs="Times New Roman"/>
          <w:i/>
          <w:iCs/>
          <w:sz w:val="24"/>
          <w:szCs w:val="24"/>
          <w:lang w:eastAsia="en-GB"/>
        </w:rPr>
        <w:t>Cenchrus americanus</w:t>
      </w:r>
      <w:r w:rsidRPr="00687ABD">
        <w:rPr>
          <w:rFonts w:ascii="Times New Roman" w:eastAsia="Times New Roman" w:hAnsi="Times New Roman" w:cs="Times New Roman"/>
          <w:sz w:val="24"/>
          <w:szCs w:val="24"/>
          <w:lang w:eastAsia="en-GB"/>
        </w:rPr>
        <w:t>" with subject-specific qualifiers including "production", "agronomy", "climate resilience", "drought tolerance", "nutritional composition", "bioactive compounds", "functional properties", "antinutritional factors", "phytic acid", "processing", "malting", "fermentation", "extrusion", "biofortification" and "glycaemic index", using Boolean AND/OR operators appropriate to each database interface. The literature search covered publications from January 2015 to April 2026, a window chosen to capture the substantial expansion in pearl millet research associated with genomic sequencing initiatives, biofortification breeding programmes and the International Year of Millets, while excluding earlier work largely superseded by more recent methodology. A small number of methodologically foundational or historically significant sources published before 2015 were retained where they remain the primary reference for a concept or technique still in current use.</w:t>
      </w:r>
    </w:p>
    <w:p w14:paraId="0AAA4D94"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2.3 Inclusion and exclusion criteria</w:t>
      </w:r>
    </w:p>
    <w:p w14:paraId="426EDEBD"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Studies were included if they were published in peer-reviewed academic journals, reported original research or review synthesis directly concerned with pearl millet production, </w:t>
      </w:r>
      <w:r w:rsidRPr="00687ABD">
        <w:rPr>
          <w:rFonts w:ascii="Times New Roman" w:eastAsia="Times New Roman" w:hAnsi="Times New Roman" w:cs="Times New Roman"/>
          <w:sz w:val="24"/>
          <w:szCs w:val="24"/>
          <w:lang w:eastAsia="en-GB"/>
        </w:rPr>
        <w:lastRenderedPageBreak/>
        <w:t>nutrition, bioactive chemistry or processing, and were available in English. Authoritative institutional reports from bodies such as the FAO were included where no equivalent peer-reviewed source existed and where the report was accessible through a verifiable uniform resource locator. Books, book chapters, grey literature, conference proceedings, preprints, patents, non-peer-reviewed trade publications and sources without a verifiable digital object identifier or institutional citation were excluded. Studies concerned exclusively with other millet species, without a specific pearl millet component, were excluded unless their findings were directly comparative and analytically relevant to pearl millet.</w:t>
      </w:r>
    </w:p>
    <w:p w14:paraId="3263C670"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2.4 Screening workflow, duplicate handling and study selection</w:t>
      </w:r>
    </w:p>
    <w:p w14:paraId="38C07EFE"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Records identified through the database searches were screened at the title and abstract level for topical relevance to the review objectives, and duplicate records retrieved from more than one database were consolidated by matching digital object identifiers and bibliographic metadata. Full texts of records passing the initial screen were retrieved and assessed against the inclusion and exclusion criteria described above. Reference lists of key reviews and highly cited primary studies were hand-searched to identify additional influential publications, particularly foundational genetic and biochemical studies that continue to be widely cited despite predating the primary search window. No language restriction other than English was applied at the retrieval stage, although non-English sources were subsequently excluded, a point revisited in the limitations section.</w:t>
      </w:r>
    </w:p>
    <w:p w14:paraId="4BD4BAFA"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2.5 Rationale for a narrative review approach</w:t>
      </w:r>
    </w:p>
    <w:p w14:paraId="3B15E775"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 narrative rather than systematic review methodology was adopted because the aim of this work is to integrate and interpret evidence across several distinct but interconnected disciplinary domains, namely agronomy, plant genetics, food chemistry and food process engineering, an aim for which the flexible, synthesising structure of a narrative review is better suited than the single-outcome focus typical of a systematic review or meta-analysis (Green et al., 2006). Narrative reviews permit the integration of heterogeneous study designs, including field trials, laboratory analyses and processing experiments, that would not be amenable to the quantitative pooling required in a systematic review, while still requiring transparency regarding the search process, as reflected in the structured methodology described above. Table 1 summarises the key elements of this search strategy.</w:t>
      </w:r>
    </w:p>
    <w:p w14:paraId="525D36CA"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b/>
          <w:bCs/>
          <w:sz w:val="24"/>
          <w:szCs w:val="24"/>
          <w:lang w:eastAsia="en-GB"/>
        </w:rPr>
        <w:t>Table 1. Summary of the literature search strategy</w:t>
      </w:r>
    </w:p>
    <w:tbl>
      <w:tblPr>
        <w:tblStyle w:val="TableGrid"/>
        <w:tblW w:w="0" w:type="auto"/>
        <w:tblLook w:val="04A0" w:firstRow="1" w:lastRow="0" w:firstColumn="1" w:lastColumn="0" w:noHBand="0" w:noVBand="1"/>
      </w:tblPr>
      <w:tblGrid>
        <w:gridCol w:w="1654"/>
        <w:gridCol w:w="7588"/>
      </w:tblGrid>
      <w:tr w:rsidR="00687ABD" w:rsidRPr="00687ABD" w14:paraId="553A3149" w14:textId="77777777" w:rsidTr="009715E1">
        <w:tc>
          <w:tcPr>
            <w:tcW w:w="0" w:type="auto"/>
            <w:hideMark/>
          </w:tcPr>
          <w:p w14:paraId="5D0BC191" w14:textId="77777777" w:rsidR="00687ABD" w:rsidRPr="00687ABD" w:rsidRDefault="00687ABD" w:rsidP="00687ABD">
            <w:pPr>
              <w:jc w:val="center"/>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Element</w:t>
            </w:r>
          </w:p>
        </w:tc>
        <w:tc>
          <w:tcPr>
            <w:tcW w:w="0" w:type="auto"/>
            <w:hideMark/>
          </w:tcPr>
          <w:p w14:paraId="270DBDE1" w14:textId="77777777" w:rsidR="00687ABD" w:rsidRPr="00687ABD" w:rsidRDefault="00687ABD" w:rsidP="00687ABD">
            <w:pPr>
              <w:jc w:val="center"/>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Specification</w:t>
            </w:r>
          </w:p>
        </w:tc>
      </w:tr>
      <w:tr w:rsidR="00687ABD" w:rsidRPr="00687ABD" w14:paraId="1D19275A" w14:textId="77777777" w:rsidTr="009715E1">
        <w:tc>
          <w:tcPr>
            <w:tcW w:w="0" w:type="auto"/>
            <w:hideMark/>
          </w:tcPr>
          <w:p w14:paraId="3481A17A"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Databases searched</w:t>
            </w:r>
          </w:p>
        </w:tc>
        <w:tc>
          <w:tcPr>
            <w:tcW w:w="0" w:type="auto"/>
            <w:hideMark/>
          </w:tcPr>
          <w:p w14:paraId="6C1C84A2"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Web of Science, Scopus, Google Scholar, PubMed, CAB Abstracts, AGRICOLA, FSTA, AGRIS, DOAJ, ICRISAT Open Access Repository</w:t>
            </w:r>
          </w:p>
        </w:tc>
      </w:tr>
      <w:tr w:rsidR="00687ABD" w:rsidRPr="00687ABD" w14:paraId="0EF1ED8D" w14:textId="77777777" w:rsidTr="009715E1">
        <w:tc>
          <w:tcPr>
            <w:tcW w:w="0" w:type="auto"/>
            <w:hideMark/>
          </w:tcPr>
          <w:p w14:paraId="69075BC5"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Core search terms</w:t>
            </w:r>
          </w:p>
        </w:tc>
        <w:tc>
          <w:tcPr>
            <w:tcW w:w="0" w:type="auto"/>
            <w:hideMark/>
          </w:tcPr>
          <w:p w14:paraId="5A58779F"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"pearl millet" OR "</w:t>
            </w:r>
            <w:r w:rsidRPr="00687ABD">
              <w:rPr>
                <w:rFonts w:ascii="Times New Roman" w:eastAsia="Times New Roman" w:hAnsi="Times New Roman" w:cs="Times New Roman"/>
                <w:i/>
                <w:iCs/>
                <w:sz w:val="24"/>
                <w:szCs w:val="24"/>
                <w:lang w:eastAsia="en-GB"/>
              </w:rPr>
              <w:t>Pennisetum glaucum</w:t>
            </w:r>
            <w:r w:rsidRPr="00687ABD">
              <w:rPr>
                <w:rFonts w:ascii="Times New Roman" w:eastAsia="Times New Roman" w:hAnsi="Times New Roman" w:cs="Times New Roman"/>
                <w:sz w:val="24"/>
                <w:szCs w:val="24"/>
                <w:lang w:eastAsia="en-GB"/>
              </w:rPr>
              <w:t>" OR "</w:t>
            </w:r>
            <w:r w:rsidRPr="00687ABD">
              <w:rPr>
                <w:rFonts w:ascii="Times New Roman" w:eastAsia="Times New Roman" w:hAnsi="Times New Roman" w:cs="Times New Roman"/>
                <w:i/>
                <w:iCs/>
                <w:sz w:val="24"/>
                <w:szCs w:val="24"/>
                <w:lang w:eastAsia="en-GB"/>
              </w:rPr>
              <w:t>Cenchrus americanus</w:t>
            </w:r>
            <w:r w:rsidRPr="00687ABD">
              <w:rPr>
                <w:rFonts w:ascii="Times New Roman" w:eastAsia="Times New Roman" w:hAnsi="Times New Roman" w:cs="Times New Roman"/>
                <w:sz w:val="24"/>
                <w:szCs w:val="24"/>
                <w:lang w:eastAsia="en-GB"/>
              </w:rPr>
              <w:t>"</w:t>
            </w:r>
          </w:p>
        </w:tc>
      </w:tr>
      <w:tr w:rsidR="00687ABD" w:rsidRPr="00687ABD" w14:paraId="6739C410" w14:textId="77777777" w:rsidTr="009715E1">
        <w:tc>
          <w:tcPr>
            <w:tcW w:w="0" w:type="auto"/>
            <w:hideMark/>
          </w:tcPr>
          <w:p w14:paraId="7232E514"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Subject qualifiers</w:t>
            </w:r>
          </w:p>
        </w:tc>
        <w:tc>
          <w:tcPr>
            <w:tcW w:w="0" w:type="auto"/>
            <w:hideMark/>
          </w:tcPr>
          <w:p w14:paraId="258B2C93"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production; agronomy; climate resilience; nutritional composition; bioactive compounds; antinutritional factors; processing; biofortification; glycaemic index</w:t>
            </w:r>
          </w:p>
        </w:tc>
      </w:tr>
      <w:tr w:rsidR="00687ABD" w:rsidRPr="00687ABD" w14:paraId="7D17B9AE" w14:textId="77777777" w:rsidTr="009715E1">
        <w:tc>
          <w:tcPr>
            <w:tcW w:w="0" w:type="auto"/>
            <w:hideMark/>
          </w:tcPr>
          <w:p w14:paraId="2E2390A6"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Date range</w:t>
            </w:r>
          </w:p>
        </w:tc>
        <w:tc>
          <w:tcPr>
            <w:tcW w:w="0" w:type="auto"/>
            <w:hideMark/>
          </w:tcPr>
          <w:p w14:paraId="25710D4B"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January 2015 – April 2026</w:t>
            </w:r>
          </w:p>
        </w:tc>
      </w:tr>
      <w:tr w:rsidR="00687ABD" w:rsidRPr="00687ABD" w14:paraId="1238AF47" w14:textId="77777777" w:rsidTr="009715E1">
        <w:tc>
          <w:tcPr>
            <w:tcW w:w="0" w:type="auto"/>
            <w:hideMark/>
          </w:tcPr>
          <w:p w14:paraId="123B3456"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Language</w:t>
            </w:r>
          </w:p>
        </w:tc>
        <w:tc>
          <w:tcPr>
            <w:tcW w:w="0" w:type="auto"/>
            <w:hideMark/>
          </w:tcPr>
          <w:p w14:paraId="04537EEB"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English</w:t>
            </w:r>
          </w:p>
        </w:tc>
      </w:tr>
      <w:tr w:rsidR="00687ABD" w:rsidRPr="00687ABD" w14:paraId="250AA395" w14:textId="77777777" w:rsidTr="009715E1">
        <w:tc>
          <w:tcPr>
            <w:tcW w:w="0" w:type="auto"/>
            <w:hideMark/>
          </w:tcPr>
          <w:p w14:paraId="23A8E939"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Study types included</w:t>
            </w:r>
          </w:p>
        </w:tc>
        <w:tc>
          <w:tcPr>
            <w:tcW w:w="0" w:type="auto"/>
            <w:hideMark/>
          </w:tcPr>
          <w:p w14:paraId="2207EC8D"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Peer-reviewed original research and review articles; authoritative institutional reports</w:t>
            </w:r>
          </w:p>
        </w:tc>
      </w:tr>
      <w:tr w:rsidR="00687ABD" w:rsidRPr="00687ABD" w14:paraId="3715DA32" w14:textId="77777777" w:rsidTr="009715E1">
        <w:tc>
          <w:tcPr>
            <w:tcW w:w="0" w:type="auto"/>
            <w:hideMark/>
          </w:tcPr>
          <w:p w14:paraId="2432541C"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Study types </w:t>
            </w:r>
            <w:r w:rsidRPr="00687ABD">
              <w:rPr>
                <w:rFonts w:ascii="Times New Roman" w:eastAsia="Times New Roman" w:hAnsi="Times New Roman" w:cs="Times New Roman"/>
                <w:sz w:val="24"/>
                <w:szCs w:val="24"/>
                <w:lang w:eastAsia="en-GB"/>
              </w:rPr>
              <w:lastRenderedPageBreak/>
              <w:t>excluded</w:t>
            </w:r>
          </w:p>
        </w:tc>
        <w:tc>
          <w:tcPr>
            <w:tcW w:w="0" w:type="auto"/>
            <w:hideMark/>
          </w:tcPr>
          <w:p w14:paraId="39D18CDD"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lastRenderedPageBreak/>
              <w:t xml:space="preserve">Books, book chapters, grey literature, conference proceedings, preprints, </w:t>
            </w:r>
            <w:r w:rsidRPr="00687ABD">
              <w:rPr>
                <w:rFonts w:ascii="Times New Roman" w:eastAsia="Times New Roman" w:hAnsi="Times New Roman" w:cs="Times New Roman"/>
                <w:sz w:val="24"/>
                <w:szCs w:val="24"/>
                <w:lang w:eastAsia="en-GB"/>
              </w:rPr>
              <w:lastRenderedPageBreak/>
              <w:t>patents, non-peer-reviewed sources</w:t>
            </w:r>
          </w:p>
        </w:tc>
      </w:tr>
      <w:tr w:rsidR="00687ABD" w:rsidRPr="00687ABD" w14:paraId="58D8C0A6" w14:textId="77777777" w:rsidTr="009715E1">
        <w:tc>
          <w:tcPr>
            <w:tcW w:w="0" w:type="auto"/>
            <w:hideMark/>
          </w:tcPr>
          <w:p w14:paraId="5C6076D2"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lastRenderedPageBreak/>
              <w:t>Screening approach</w:t>
            </w:r>
          </w:p>
        </w:tc>
        <w:tc>
          <w:tcPr>
            <w:tcW w:w="0" w:type="auto"/>
            <w:hideMark/>
          </w:tcPr>
          <w:p w14:paraId="7BBB3B24"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Title/abstract screening followed by full-text assessment; duplicate removal via DOI matching; supplementary hand-searching of reference lists</w:t>
            </w:r>
          </w:p>
        </w:tc>
      </w:tr>
      <w:tr w:rsidR="00687ABD" w:rsidRPr="00687ABD" w14:paraId="5DC5F5C5" w14:textId="77777777" w:rsidTr="009715E1">
        <w:tc>
          <w:tcPr>
            <w:tcW w:w="0" w:type="auto"/>
            <w:hideMark/>
          </w:tcPr>
          <w:p w14:paraId="0E6381CA"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Review type</w:t>
            </w:r>
          </w:p>
        </w:tc>
        <w:tc>
          <w:tcPr>
            <w:tcW w:w="0" w:type="auto"/>
            <w:hideMark/>
          </w:tcPr>
          <w:p w14:paraId="1A76E1ED"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Narrative review</w:t>
            </w:r>
          </w:p>
        </w:tc>
      </w:tr>
    </w:tbl>
    <w:p w14:paraId="0E727B02"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i/>
          <w:iCs/>
          <w:sz w:val="24"/>
          <w:szCs w:val="24"/>
          <w:lang w:eastAsia="en-GB"/>
        </w:rPr>
        <w:t>Source: search strategy developed and applied by the authors for this review.</w:t>
      </w:r>
    </w:p>
    <w:p w14:paraId="58E5B98B" w14:textId="77777777" w:rsidR="00687ABD" w:rsidRPr="00687ABD" w:rsidRDefault="00687ABD" w:rsidP="00687AB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3. Global Production, Agronomy and Climate Resilience</w:t>
      </w:r>
    </w:p>
    <w:p w14:paraId="000BDDB8"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3.1 Production trends and geographic distribution</w:t>
      </w:r>
    </w:p>
    <w:p w14:paraId="6245959D"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Pearl millet is cultivated on approximately 30 million hectares worldwide, concentrated overwhelmingly in the semi-arid tropical belts of sub-Saharan Africa and the Indian subcontinent, where it accounts for roughly half of total global millet output (Satyavathi et al., 2021). Africa contributes around 60 per cent of the world's pearl millet cultivated area and Asia a further 35 per cent, a division that reflects the crop's dual centres of gravity: the West and Central African Sahel on one side, and the semi-arid plains of north-western India on the other (Satyavathi et al., 2021). Within Africa, the West and Central African region alone accounts for approximately 95 per cent of the continent's pearl millet area, spread across an estimated 18.5 million hectares in 28 countries and yielding around 11.4 million tonnes annually. Nigeria is the largest single contributor to this regional output, producing roughly 41 per cent of West African pearl millet, followed by Niger with approximately 16 per cent, Burkina Faso with about 7 per cent, and Mali, Senegal and Sudan each contributing between 5 and 6 per cent (Satyavathi et al., 2021). East and Southern Africa, encompassing Sudan, Ethiopia and Tanzania, forms the second major African production zone, though at a considerably smaller scale than the Sahelian belt. Average yields across West African producing countries remain well below one tonne per hectare, a pattern attributable to reliance on rainfed cultivation, minimal fertiliser use, low adoption of improved varieties and cultivation on progressively more marginal land as population pressure shortens fallow periods (Satyavathi et al., 2021). Year-to-year production in the region is also markedly unstable; national output in countries such as Niger, Nigeria and Sudan has fluctuated by twenty to forty per cent between consecutive seasons in response to rainfall variability, conflict-related disruption to farming activity, and pest pressure, underscoring the vulnerability of pearl millet-dependent food systems in the Sahel even though the crop itself is comparatively drought-hardy.</w:t>
      </w:r>
    </w:p>
    <w:p w14:paraId="2289839A"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India remains the single largest national producer of pearl millet in absolute terms and the dominant force in Asian output. During the early 2010s the crop occupied an average of 8.5 million hectares nationally with average annual production close to 9.4 million tonnes, and cultivation is heavily concentrated in six states, Rajasthan, Uttar Pradesh, Haryana, Gujarat, Maharashtra and Tamil Nadu, which together account for the overwhelming majority of national output (Satyavathi et al., 2021). Rajasthan alone contributes the largest single share, with production levels several times greater than any other state, followed at a considerable distance by Uttar Pradesh, Haryana, Gujarat, Maharashtra and Tamil Nadu (Satyavathi et al., 2021). More recent economic analysis using household consumption expenditure survey data confirms that Rajasthan, Maharashtra and Gujarat collectively account for the great majority of pearl millet cultivation and household consumption within India, and that this concentration has persisted even as national dietary patterns have shifted markedly away from coarse cereals over the past five decades (Ansari et al., 2025). Longitudinal analysis of national statistics shows that Indian pearl millet yields rose steadily from around 400 </w:t>
      </w:r>
      <w:r w:rsidRPr="00687ABD">
        <w:rPr>
          <w:rFonts w:ascii="Times New Roman" w:eastAsia="Times New Roman" w:hAnsi="Times New Roman" w:cs="Times New Roman"/>
          <w:sz w:val="24"/>
          <w:szCs w:val="24"/>
          <w:lang w:eastAsia="en-GB"/>
        </w:rPr>
        <w:lastRenderedPageBreak/>
        <w:t>kilograms per hectare in the late 1970s to roughly 1200 kilograms per hectare by the late 2010s, a threefold productivity gain attributable primarily to the widespread adoption of hybrid cultivars and improved agronomic practice, even as the total area sown to the crop contracted from around 11 million hectares to approximately 8 million hectares over the same period (Ansari et al., 2025). This combination of a shrinking cultivated area and rising yield has kept national production broadly stable, although it has occurred alongside a pronounced decline in direct household food consumption of pearl millet, which fell by roughly forty per cent between the early 1980s and the early 2020s even as total grain supply expanded, a divergence linked to rising incomes, urbanisation, wider availability of subsidised rice and wheat through the public distribution system, and a growing share of the crop being diverted to livestock feed and industrial value-added products rather than direct household consumption (Ansari et al., 2025). Outside India, Asian production is comparatively minor, with China, Myanmar, Nepal and Pakistan contributing smaller and generally declining quantities, reflecting the historical concentration of Asian millet breeding and extension effort on India in particular.</w:t>
      </w:r>
    </w:p>
    <w:p w14:paraId="108A6AB6"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Despite its agronomic and nutritional importance, pearl millet has historically been categorised by international agricultural statistical agencies together with other minor millets, a practice that obscures crop-specific production trends and constrains the precision of global market analysis (</w:t>
      </w:r>
      <w:proofErr w:type="spellStart"/>
      <w:r w:rsidRPr="00687ABD">
        <w:rPr>
          <w:rFonts w:ascii="Times New Roman" w:eastAsia="Times New Roman" w:hAnsi="Times New Roman" w:cs="Times New Roman"/>
          <w:sz w:val="24"/>
          <w:szCs w:val="24"/>
          <w:lang w:eastAsia="en-GB"/>
        </w:rPr>
        <w:t>Nibhoria</w:t>
      </w:r>
      <w:proofErr w:type="spellEnd"/>
      <w:r w:rsidRPr="00687ABD">
        <w:rPr>
          <w:rFonts w:ascii="Times New Roman" w:eastAsia="Times New Roman" w:hAnsi="Times New Roman" w:cs="Times New Roman"/>
          <w:sz w:val="24"/>
          <w:szCs w:val="24"/>
          <w:lang w:eastAsia="en-GB"/>
        </w:rPr>
        <w:t xml:space="preserve"> et al., 2024). Global commercial interest in pearl millet and related millet species has expanded markedly since the International Year of Millets, with market analyses indicating substantial projected growth in the millet-based snack and packaged food sectors over the remainder of the decade, driven by consumer demand for gluten-free, high-fibre and low glycaemic index products (Muskan et al., 2025). Nonetheless, structural constraints, including fragmented supply chains, limited processing infrastructure, inconsistent quality standards and comparatively underdeveloped market access, continue to restrict the pace at which this demand growth translates into expanded cultivated area and farmer income, a constraint that appears especially binding in the smallholder-dominated production systems of the West African Sahel and in the many Indian states where pearl millet remains a marginal rather than commercially oriented crop (Muskan et al., 2025).</w:t>
      </w:r>
    </w:p>
    <w:p w14:paraId="292C91B3"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3.2 Climate resilience and abiotic stress tolerance</w:t>
      </w:r>
    </w:p>
    <w:p w14:paraId="2DDE41BE"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The agronomic resilience of pearl millet under heat and water deficit is one of the principal attributes underpinning its continued relevance to global food security under a changing climate. The crop can sustain grain production in environments receiving as little as 250 to 300 millimetres of annual rainfall and tolerates air temperatures exceeding 42 degrees Celsius during critical growth stages, conditions under which most other major cereals would fail to produce an economic yield (Chaturvedi et al., 2022). Drought tolerance in pearl millet is achieved through a combination of short-term physiological adjustments, including osmotic adjustment, stomatal regulation and reactive oxygen species scavenging, and longer-term developmental plasticity in tillering, root architecture and flowering time that allows the plant to avoid, escape or recover from periods of water deficit (Shrestha et al., 2023). Transcriptomic analyses have identified substantial numbers of differentially expressed genes associated with drought response at the seedling and reproductive stages, with the magnitude of transcriptional reprogramming increasing markedly with the duration of water stress exposure, providing a molecular basis for the phenotypic resilience observed under field conditions (Shrestha et al., 2023).</w:t>
      </w:r>
    </w:p>
    <w:p w14:paraId="428CD4F7"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lastRenderedPageBreak/>
        <w:t>Heat tolerance in pearl millet has similarly been linked to specific genomic features. Pan-genomic and multi-</w:t>
      </w:r>
      <w:proofErr w:type="spellStart"/>
      <w:r w:rsidRPr="00687ABD">
        <w:rPr>
          <w:rFonts w:ascii="Times New Roman" w:eastAsia="Times New Roman" w:hAnsi="Times New Roman" w:cs="Times New Roman"/>
          <w:sz w:val="24"/>
          <w:szCs w:val="24"/>
          <w:lang w:eastAsia="en-GB"/>
        </w:rPr>
        <w:t>omic</w:t>
      </w:r>
      <w:proofErr w:type="spellEnd"/>
      <w:r w:rsidRPr="00687ABD">
        <w:rPr>
          <w:rFonts w:ascii="Times New Roman" w:eastAsia="Times New Roman" w:hAnsi="Times New Roman" w:cs="Times New Roman"/>
          <w:sz w:val="24"/>
          <w:szCs w:val="24"/>
          <w:lang w:eastAsia="en-GB"/>
        </w:rPr>
        <w:t xml:space="preserve"> analyses have identified structural variants and RWP-RK family transcription factors that interact with endoplasmic reticulum-associated genes to confer thermotolerance, findings that have advanced understanding of the genetic basis for the crop's capacity to thrive under extreme heat and have generated molecular resources for marker-assisted breeding of heat-tolerant cultivars (Chaturvedi et al., 2023). These physiological and genomic characteristics collectively explain why pearl millet is increasingly promoted as a strategic component of climate-adaptive cropping systems in regions where the reliability of wheat, rice and maize production is expected to decline under projected climate scenarios.</w:t>
      </w:r>
    </w:p>
    <w:p w14:paraId="2FD2D163"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3.3 Genetic improvement and biofortification</w:t>
      </w:r>
    </w:p>
    <w:p w14:paraId="45B78BA5"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Substantial breeding effort over the past two decades has been directed at improving the micronutrient density of pearl millet grain, particularly iron and zinc, in response to the high prevalence of micronutrient malnutrition, sometimes termed hidden hunger, across the semi-arid tropical regions where the crop is most widely consumed (Satyavathi et al., 2021). This effort has been coordinated substantially through the </w:t>
      </w:r>
      <w:proofErr w:type="spellStart"/>
      <w:r w:rsidRPr="00687ABD">
        <w:rPr>
          <w:rFonts w:ascii="Times New Roman" w:eastAsia="Times New Roman" w:hAnsi="Times New Roman" w:cs="Times New Roman"/>
          <w:sz w:val="24"/>
          <w:szCs w:val="24"/>
          <w:lang w:eastAsia="en-GB"/>
        </w:rPr>
        <w:t>HarvestPlus</w:t>
      </w:r>
      <w:proofErr w:type="spellEnd"/>
      <w:r w:rsidRPr="00687ABD">
        <w:rPr>
          <w:rFonts w:ascii="Times New Roman" w:eastAsia="Times New Roman" w:hAnsi="Times New Roman" w:cs="Times New Roman"/>
          <w:sz w:val="24"/>
          <w:szCs w:val="24"/>
          <w:lang w:eastAsia="en-GB"/>
        </w:rPr>
        <w:t xml:space="preserve"> biofortification programme in association with the International Crops Research Institute for the Semi-Arid Tropics, which released the first officially registered biofortified pearl millet cultivar, ICTP 8203Fe, in 2013, combining elevated grain iron density with acceptable agronomic performance (</w:t>
      </w:r>
      <w:proofErr w:type="spellStart"/>
      <w:r w:rsidRPr="00687ABD">
        <w:rPr>
          <w:rFonts w:ascii="Times New Roman" w:eastAsia="Times New Roman" w:hAnsi="Times New Roman" w:cs="Times New Roman"/>
          <w:sz w:val="24"/>
          <w:szCs w:val="24"/>
          <w:lang w:eastAsia="en-GB"/>
        </w:rPr>
        <w:t>Boncompagni</w:t>
      </w:r>
      <w:proofErr w:type="spellEnd"/>
      <w:r w:rsidRPr="00687ABD">
        <w:rPr>
          <w:rFonts w:ascii="Times New Roman" w:eastAsia="Times New Roman" w:hAnsi="Times New Roman" w:cs="Times New Roman"/>
          <w:sz w:val="24"/>
          <w:szCs w:val="24"/>
          <w:lang w:eastAsia="en-GB"/>
        </w:rPr>
        <w:t xml:space="preserve"> et al., 2018). Genome-wide association studies conducted on diverse panels of advanced inbred lines have identified numerous marker-trait associations for grain iron, zinc and protein content, with substantial phenotypic variability observed across germplasm: iron concentrations range from approximately 32 to 120 milligrams per kilogram and zinc concentrations from approximately 19 to 87 milligrams per kilogram, alongside a significant positive correlation between iron and zinc density that facilitates simultaneous genetic improvement of both traits (Pujar et al., 2020). Generation mean analysis of biparental crosses has further clarified the genetic architecture underlying these traits, indicating a predominance of additive and dominant gene action alongside non-allelic interactions for grain iron and zinc content and for associated agronomic traits such as spike length and thousand-seed weight, information with direct application in the design of breeding strategies for biofortified cultivar development (Pujar et al., 2022). Complementary transcriptomic work has identified differentially expressed genes involved in mineral uptake and transport pathways, including the </w:t>
      </w:r>
      <w:proofErr w:type="spellStart"/>
      <w:r w:rsidRPr="00687ABD">
        <w:rPr>
          <w:rFonts w:ascii="Times New Roman" w:eastAsia="Times New Roman" w:hAnsi="Times New Roman" w:cs="Times New Roman"/>
          <w:sz w:val="24"/>
          <w:szCs w:val="24"/>
          <w:lang w:eastAsia="en-GB"/>
        </w:rPr>
        <w:t>mugineic</w:t>
      </w:r>
      <w:proofErr w:type="spellEnd"/>
      <w:r w:rsidRPr="00687ABD">
        <w:rPr>
          <w:rFonts w:ascii="Times New Roman" w:eastAsia="Times New Roman" w:hAnsi="Times New Roman" w:cs="Times New Roman"/>
          <w:sz w:val="24"/>
          <w:szCs w:val="24"/>
          <w:lang w:eastAsia="en-GB"/>
        </w:rPr>
        <w:t xml:space="preserve"> acid pathway, under conditions of iron and zinc deficiency, offering additional molecular targets for future biofortification breeding (Goud et al., 2022). Broader characterisation of the pearl millet core collection has confirmed extensive genetic diversity for grain nutritional traits across the wider germplasm pool, giving breeders a substantial reservoir of variation from which to select parental material for future cultivar development (Govindaraj et al., 2020). These agronomic and genetic characteristics are summarised in Table 2.</w:t>
      </w:r>
    </w:p>
    <w:p w14:paraId="2D751A20"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b/>
          <w:bCs/>
          <w:sz w:val="24"/>
          <w:szCs w:val="24"/>
          <w:lang w:eastAsia="en-GB"/>
        </w:rPr>
        <w:t>Table 2. Selected agronomic and genetic characteristics of pearl millet relevant to climate resilience and biofortification</w:t>
      </w:r>
    </w:p>
    <w:tbl>
      <w:tblPr>
        <w:tblStyle w:val="TableGrid"/>
        <w:tblW w:w="0" w:type="auto"/>
        <w:tblLook w:val="04A0" w:firstRow="1" w:lastRow="0" w:firstColumn="1" w:lastColumn="0" w:noHBand="0" w:noVBand="1"/>
      </w:tblPr>
      <w:tblGrid>
        <w:gridCol w:w="5064"/>
        <w:gridCol w:w="4178"/>
      </w:tblGrid>
      <w:tr w:rsidR="00687ABD" w:rsidRPr="00687ABD" w14:paraId="4E318D61" w14:textId="77777777" w:rsidTr="009715E1">
        <w:tc>
          <w:tcPr>
            <w:tcW w:w="0" w:type="auto"/>
            <w:hideMark/>
          </w:tcPr>
          <w:p w14:paraId="007807A9" w14:textId="77777777" w:rsidR="00687ABD" w:rsidRPr="00687ABD" w:rsidRDefault="00687ABD" w:rsidP="00687ABD">
            <w:pPr>
              <w:jc w:val="center"/>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Attribute</w:t>
            </w:r>
          </w:p>
        </w:tc>
        <w:tc>
          <w:tcPr>
            <w:tcW w:w="0" w:type="auto"/>
            <w:hideMark/>
          </w:tcPr>
          <w:p w14:paraId="17CA7D31" w14:textId="77777777" w:rsidR="00687ABD" w:rsidRPr="00687ABD" w:rsidRDefault="00687ABD" w:rsidP="00687ABD">
            <w:pPr>
              <w:jc w:val="center"/>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Reported value or characteristic</w:t>
            </w:r>
          </w:p>
        </w:tc>
      </w:tr>
      <w:tr w:rsidR="00687ABD" w:rsidRPr="00687ABD" w14:paraId="1A97DB11" w14:textId="77777777" w:rsidTr="009715E1">
        <w:tc>
          <w:tcPr>
            <w:tcW w:w="0" w:type="auto"/>
            <w:hideMark/>
          </w:tcPr>
          <w:p w14:paraId="5E0999A4"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Global cultivated area</w:t>
            </w:r>
          </w:p>
        </w:tc>
        <w:tc>
          <w:tcPr>
            <w:tcW w:w="0" w:type="auto"/>
            <w:hideMark/>
          </w:tcPr>
          <w:p w14:paraId="3158112E"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Approximately 30–31 million hectares</w:t>
            </w:r>
          </w:p>
        </w:tc>
      </w:tr>
      <w:tr w:rsidR="00687ABD" w:rsidRPr="00687ABD" w14:paraId="76CD10BE" w14:textId="77777777" w:rsidTr="009715E1">
        <w:tc>
          <w:tcPr>
            <w:tcW w:w="0" w:type="auto"/>
            <w:hideMark/>
          </w:tcPr>
          <w:p w14:paraId="4EBBEE58"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Share of global millet production</w:t>
            </w:r>
          </w:p>
        </w:tc>
        <w:tc>
          <w:tcPr>
            <w:tcW w:w="0" w:type="auto"/>
            <w:hideMark/>
          </w:tcPr>
          <w:p w14:paraId="1AB397A3"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Approximately half of total global millet output</w:t>
            </w:r>
          </w:p>
        </w:tc>
      </w:tr>
      <w:tr w:rsidR="00687ABD" w:rsidRPr="00687ABD" w14:paraId="2A7A56E8" w14:textId="77777777" w:rsidTr="009715E1">
        <w:tc>
          <w:tcPr>
            <w:tcW w:w="0" w:type="auto"/>
            <w:hideMark/>
          </w:tcPr>
          <w:p w14:paraId="340842A2"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West and Central African share of African pearl millet area</w:t>
            </w:r>
          </w:p>
        </w:tc>
        <w:tc>
          <w:tcPr>
            <w:tcW w:w="0" w:type="auto"/>
            <w:hideMark/>
          </w:tcPr>
          <w:p w14:paraId="3BF11333"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Approximately 95 per cent</w:t>
            </w:r>
          </w:p>
        </w:tc>
      </w:tr>
      <w:tr w:rsidR="00687ABD" w:rsidRPr="00687ABD" w14:paraId="41B42F4D" w14:textId="77777777" w:rsidTr="009715E1">
        <w:tc>
          <w:tcPr>
            <w:tcW w:w="0" w:type="auto"/>
            <w:hideMark/>
          </w:tcPr>
          <w:p w14:paraId="3264D1C8"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lastRenderedPageBreak/>
              <w:t>Leading African producer</w:t>
            </w:r>
          </w:p>
        </w:tc>
        <w:tc>
          <w:tcPr>
            <w:tcW w:w="0" w:type="auto"/>
            <w:hideMark/>
          </w:tcPr>
          <w:p w14:paraId="60D0B4C7"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Nigeria (~41 per cent of West African output)</w:t>
            </w:r>
          </w:p>
        </w:tc>
      </w:tr>
      <w:tr w:rsidR="00687ABD" w:rsidRPr="00687ABD" w14:paraId="0B54709E" w14:textId="77777777" w:rsidTr="009715E1">
        <w:tc>
          <w:tcPr>
            <w:tcW w:w="0" w:type="auto"/>
            <w:hideMark/>
          </w:tcPr>
          <w:p w14:paraId="3887843A"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Leading global national producer</w:t>
            </w:r>
          </w:p>
        </w:tc>
        <w:tc>
          <w:tcPr>
            <w:tcW w:w="0" w:type="auto"/>
            <w:hideMark/>
          </w:tcPr>
          <w:p w14:paraId="41E86416"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India (largest cultivated area and total output)</w:t>
            </w:r>
          </w:p>
        </w:tc>
      </w:tr>
      <w:tr w:rsidR="00687ABD" w:rsidRPr="00687ABD" w14:paraId="5EE67BD2" w14:textId="77777777" w:rsidTr="009715E1">
        <w:tc>
          <w:tcPr>
            <w:tcW w:w="0" w:type="auto"/>
            <w:hideMark/>
          </w:tcPr>
          <w:p w14:paraId="417121F5"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Minimum viable annual rainfall</w:t>
            </w:r>
          </w:p>
        </w:tc>
        <w:tc>
          <w:tcPr>
            <w:tcW w:w="0" w:type="auto"/>
            <w:hideMark/>
          </w:tcPr>
          <w:p w14:paraId="2C309590"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Approximately 250–300 mm</w:t>
            </w:r>
          </w:p>
        </w:tc>
      </w:tr>
      <w:tr w:rsidR="00687ABD" w:rsidRPr="00687ABD" w14:paraId="4EC0AB0C" w14:textId="77777777" w:rsidTr="009715E1">
        <w:tc>
          <w:tcPr>
            <w:tcW w:w="0" w:type="auto"/>
            <w:hideMark/>
          </w:tcPr>
          <w:p w14:paraId="4B28FE35"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Maximum tolerated air temperature</w:t>
            </w:r>
          </w:p>
        </w:tc>
        <w:tc>
          <w:tcPr>
            <w:tcW w:w="0" w:type="auto"/>
            <w:hideMark/>
          </w:tcPr>
          <w:p w14:paraId="7EAD05B3"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Up to approximately 42 °C</w:t>
            </w:r>
          </w:p>
        </w:tc>
      </w:tr>
      <w:tr w:rsidR="00687ABD" w:rsidRPr="00687ABD" w14:paraId="098CDEFD" w14:textId="77777777" w:rsidTr="009715E1">
        <w:tc>
          <w:tcPr>
            <w:tcW w:w="0" w:type="auto"/>
            <w:hideMark/>
          </w:tcPr>
          <w:p w14:paraId="506ED17C"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Photosynthetic pathway</w:t>
            </w:r>
          </w:p>
        </w:tc>
        <w:tc>
          <w:tcPr>
            <w:tcW w:w="0" w:type="auto"/>
            <w:hideMark/>
          </w:tcPr>
          <w:p w14:paraId="466771FD"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C4</w:t>
            </w:r>
          </w:p>
        </w:tc>
      </w:tr>
      <w:tr w:rsidR="00687ABD" w:rsidRPr="00687ABD" w14:paraId="09E6D5F4" w14:textId="77777777" w:rsidTr="009715E1">
        <w:tc>
          <w:tcPr>
            <w:tcW w:w="0" w:type="auto"/>
            <w:hideMark/>
          </w:tcPr>
          <w:p w14:paraId="7C534ED9"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Grain iron content range (germplasm panel)</w:t>
            </w:r>
          </w:p>
        </w:tc>
        <w:tc>
          <w:tcPr>
            <w:tcW w:w="0" w:type="auto"/>
            <w:hideMark/>
          </w:tcPr>
          <w:p w14:paraId="2304CADA"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Approximately 32–120 mg kg⁻¹</w:t>
            </w:r>
          </w:p>
        </w:tc>
      </w:tr>
      <w:tr w:rsidR="00687ABD" w:rsidRPr="00687ABD" w14:paraId="54A2589F" w14:textId="77777777" w:rsidTr="009715E1">
        <w:tc>
          <w:tcPr>
            <w:tcW w:w="0" w:type="auto"/>
            <w:hideMark/>
          </w:tcPr>
          <w:p w14:paraId="77AAB36D"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Grain zinc content range (germplasm panel)</w:t>
            </w:r>
          </w:p>
        </w:tc>
        <w:tc>
          <w:tcPr>
            <w:tcW w:w="0" w:type="auto"/>
            <w:hideMark/>
          </w:tcPr>
          <w:p w14:paraId="6AB248DE"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Approximately 19–87 mg kg⁻¹</w:t>
            </w:r>
          </w:p>
        </w:tc>
      </w:tr>
      <w:tr w:rsidR="00687ABD" w:rsidRPr="00687ABD" w14:paraId="5795152F" w14:textId="77777777" w:rsidTr="009715E1">
        <w:tc>
          <w:tcPr>
            <w:tcW w:w="0" w:type="auto"/>
            <w:hideMark/>
          </w:tcPr>
          <w:p w14:paraId="732E9BC8"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First officially released biofortified cultivar</w:t>
            </w:r>
          </w:p>
        </w:tc>
        <w:tc>
          <w:tcPr>
            <w:tcW w:w="0" w:type="auto"/>
            <w:hideMark/>
          </w:tcPr>
          <w:p w14:paraId="5E1B478F"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ICTP 8203Fe (India, 2013)</w:t>
            </w:r>
          </w:p>
        </w:tc>
      </w:tr>
    </w:tbl>
    <w:p w14:paraId="0D5A9CEB"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i/>
          <w:iCs/>
          <w:sz w:val="24"/>
          <w:szCs w:val="24"/>
          <w:lang w:eastAsia="en-GB"/>
        </w:rPr>
        <w:t xml:space="preserve">Sources: Ansari et al. (2025); </w:t>
      </w:r>
      <w:proofErr w:type="spellStart"/>
      <w:r w:rsidRPr="00687ABD">
        <w:rPr>
          <w:rFonts w:ascii="Times New Roman" w:eastAsia="Times New Roman" w:hAnsi="Times New Roman" w:cs="Times New Roman"/>
          <w:i/>
          <w:iCs/>
          <w:sz w:val="24"/>
          <w:szCs w:val="24"/>
          <w:lang w:eastAsia="en-GB"/>
        </w:rPr>
        <w:t>Boncompagni</w:t>
      </w:r>
      <w:proofErr w:type="spellEnd"/>
      <w:r w:rsidRPr="00687ABD">
        <w:rPr>
          <w:rFonts w:ascii="Times New Roman" w:eastAsia="Times New Roman" w:hAnsi="Times New Roman" w:cs="Times New Roman"/>
          <w:i/>
          <w:iCs/>
          <w:sz w:val="24"/>
          <w:szCs w:val="24"/>
          <w:lang w:eastAsia="en-GB"/>
        </w:rPr>
        <w:t xml:space="preserve"> et al. (2018); Chaturvedi et al. (2022); Pujar et al. (2020); Satyavathi et al. (2021); Shrestha et al. (2023).</w:t>
      </w:r>
    </w:p>
    <w:p w14:paraId="6842ABF9" w14:textId="77777777" w:rsidR="00687ABD" w:rsidRPr="00687ABD" w:rsidRDefault="00687ABD" w:rsidP="00687AB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4. Nutritional Composition of Pearl Millet Grain</w:t>
      </w:r>
    </w:p>
    <w:p w14:paraId="60CC7008"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4.1 Macronutrient composition</w:t>
      </w:r>
    </w:p>
    <w:p w14:paraId="1DF2D76C"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Pearl millet grain provides a macronutrient profile that compares favourably with, and in several respects exceeds, that of the major cereals wheat, rice and maize. The grain typically contains around 11 to 14 grams of protein per 100 grams on a dry weight basis, generally higher than milled rice and comparable to or exceeding whole wheat, and its protein fraction contains a relatively favourable profile of essential amino acids including lysine and threonine, although, in common with other cereals, it remains limited in lysine relative to animal protein sources (</w:t>
      </w:r>
      <w:proofErr w:type="spellStart"/>
      <w:r w:rsidRPr="00687ABD">
        <w:rPr>
          <w:rFonts w:ascii="Times New Roman" w:eastAsia="Times New Roman" w:hAnsi="Times New Roman" w:cs="Times New Roman"/>
          <w:sz w:val="24"/>
          <w:szCs w:val="24"/>
          <w:lang w:eastAsia="en-GB"/>
        </w:rPr>
        <w:t>Nibhoria</w:t>
      </w:r>
      <w:proofErr w:type="spellEnd"/>
      <w:r w:rsidRPr="00687ABD">
        <w:rPr>
          <w:rFonts w:ascii="Times New Roman" w:eastAsia="Times New Roman" w:hAnsi="Times New Roman" w:cs="Times New Roman"/>
          <w:sz w:val="24"/>
          <w:szCs w:val="24"/>
          <w:lang w:eastAsia="en-GB"/>
        </w:rPr>
        <w:t xml:space="preserve"> et al., 2024). Starch is the dominant carbohydrate fraction of the grain, typically ranging from approximately 63 to 71 per cent of dry matter depending on genotype and growing environment, with amylose contributing approximately 22 to 29 per cent of total starch and soluble sugars a further 1 to 3 per cent (Hassan et al., 2021). Crude fat content, at approximately 5 to 8 per cent of dry matter, is markedly higher than in most other cereals, a characteristic that confers a favourable energy density but simultaneously renders the grain particularly susceptible to lipid oxidation and rancidity following milling (</w:t>
      </w:r>
      <w:proofErr w:type="spellStart"/>
      <w:r w:rsidRPr="00687ABD">
        <w:rPr>
          <w:rFonts w:ascii="Times New Roman" w:eastAsia="Times New Roman" w:hAnsi="Times New Roman" w:cs="Times New Roman"/>
          <w:sz w:val="24"/>
          <w:szCs w:val="24"/>
          <w:lang w:eastAsia="en-GB"/>
        </w:rPr>
        <w:t>Nibhoria</w:t>
      </w:r>
      <w:proofErr w:type="spellEnd"/>
      <w:r w:rsidRPr="00687ABD">
        <w:rPr>
          <w:rFonts w:ascii="Times New Roman" w:eastAsia="Times New Roman" w:hAnsi="Times New Roman" w:cs="Times New Roman"/>
          <w:sz w:val="24"/>
          <w:szCs w:val="24"/>
          <w:lang w:eastAsia="en-GB"/>
        </w:rPr>
        <w:t xml:space="preserve"> et al., 2024). Dietary fibre content, encompassing both soluble and insoluble fractions, is likewise higher than in polished rice and comparable to whole wheat, contributing to the grain's favourable glycaemic properties discussed in Section 5.</w:t>
      </w:r>
    </w:p>
    <w:p w14:paraId="083F0F06"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4.2 Micronutrient composition</w:t>
      </w:r>
    </w:p>
    <w:p w14:paraId="763002E9"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Pearl millet is particularly notable among cereals for its mineral density, with iron content typically in the range of 5 to 8 milligrams per 100 grams, substantially exceeding that of milled rice and refined wheat flour, and zinc content likewise elevated relative to most staple cereals (Jacob et al., 2024). The grain additionally supplies appreciable magnesium, potassium and phosphorus, alongside moderate calcium content, although finger millet remains the superior cereal source of calcium among the millet species (Jacob et al., 2024). B-group vitamins, including thiamine, riboflavin and niacin, are present in nutritionally relevant quantities, contributing to overall micronutrient intake in populations where pearl millet constitutes a substantial proportion of daily energy consumption.</w:t>
      </w:r>
    </w:p>
    <w:p w14:paraId="2AECAB84"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4.3 Comparative nutritional position relative to major cereals</w:t>
      </w:r>
    </w:p>
    <w:p w14:paraId="547CBEFE"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lastRenderedPageBreak/>
        <w:t>Benchmarked directly against wheat and rice, pearl millet demonstrates a broadly favourable nutritional position, combining higher protein, fat, fibre and mineral density with a comparable energy value per unit weight (Latha Ravi &amp; Rana, 2024). This comparative advantage, together with the grain's naturally gluten-free status, underpins its growing recognition as a functional food ingredient suitable for both traditional subsistence diets in producing regions and specialised dietary applications in higher-income consumer markets (Tanwar et al., 2025). Table 3 places these values against wheat and rice for direct comparison.</w:t>
      </w:r>
    </w:p>
    <w:p w14:paraId="50B80085"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b/>
          <w:bCs/>
          <w:sz w:val="24"/>
          <w:szCs w:val="24"/>
          <w:lang w:eastAsia="en-GB"/>
        </w:rPr>
        <w:t>Table 3. Comparative macronutrient composition of pearl millet and selected reference cereals (approximate values per 100 g, dry matter basis)</w:t>
      </w:r>
    </w:p>
    <w:tbl>
      <w:tblPr>
        <w:tblStyle w:val="TableGrid"/>
        <w:tblW w:w="0" w:type="auto"/>
        <w:tblLook w:val="04A0" w:firstRow="1" w:lastRow="0" w:firstColumn="1" w:lastColumn="0" w:noHBand="0" w:noVBand="1"/>
      </w:tblPr>
      <w:tblGrid>
        <w:gridCol w:w="2502"/>
        <w:gridCol w:w="1426"/>
        <w:gridCol w:w="1556"/>
        <w:gridCol w:w="1329"/>
      </w:tblGrid>
      <w:tr w:rsidR="00687ABD" w:rsidRPr="00687ABD" w14:paraId="2C2BC85D" w14:textId="77777777" w:rsidTr="009715E1">
        <w:tc>
          <w:tcPr>
            <w:tcW w:w="0" w:type="auto"/>
            <w:hideMark/>
          </w:tcPr>
          <w:p w14:paraId="3DF8DDE3" w14:textId="77777777" w:rsidR="00687ABD" w:rsidRPr="00687ABD" w:rsidRDefault="00687ABD" w:rsidP="00687ABD">
            <w:pPr>
              <w:jc w:val="center"/>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Component</w:t>
            </w:r>
          </w:p>
        </w:tc>
        <w:tc>
          <w:tcPr>
            <w:tcW w:w="0" w:type="auto"/>
            <w:hideMark/>
          </w:tcPr>
          <w:p w14:paraId="0F6512B4" w14:textId="77777777" w:rsidR="00687ABD" w:rsidRPr="00687ABD" w:rsidRDefault="00687ABD" w:rsidP="00687ABD">
            <w:pPr>
              <w:jc w:val="center"/>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Pearl millet</w:t>
            </w:r>
          </w:p>
        </w:tc>
        <w:tc>
          <w:tcPr>
            <w:tcW w:w="0" w:type="auto"/>
            <w:hideMark/>
          </w:tcPr>
          <w:p w14:paraId="338B3093" w14:textId="77777777" w:rsidR="00687ABD" w:rsidRPr="00687ABD" w:rsidRDefault="00687ABD" w:rsidP="00687ABD">
            <w:pPr>
              <w:jc w:val="center"/>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Whole wheat</w:t>
            </w:r>
          </w:p>
        </w:tc>
        <w:tc>
          <w:tcPr>
            <w:tcW w:w="0" w:type="auto"/>
            <w:hideMark/>
          </w:tcPr>
          <w:p w14:paraId="7DD33F2E" w14:textId="77777777" w:rsidR="00687ABD" w:rsidRPr="00687ABD" w:rsidRDefault="00687ABD" w:rsidP="00687ABD">
            <w:pPr>
              <w:jc w:val="center"/>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Milled rice</w:t>
            </w:r>
          </w:p>
        </w:tc>
      </w:tr>
      <w:tr w:rsidR="00687ABD" w:rsidRPr="00687ABD" w14:paraId="6CC64971" w14:textId="77777777" w:rsidTr="009715E1">
        <w:tc>
          <w:tcPr>
            <w:tcW w:w="0" w:type="auto"/>
            <w:hideMark/>
          </w:tcPr>
          <w:p w14:paraId="26B26CFB"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Protein (g)</w:t>
            </w:r>
          </w:p>
        </w:tc>
        <w:tc>
          <w:tcPr>
            <w:tcW w:w="0" w:type="auto"/>
            <w:hideMark/>
          </w:tcPr>
          <w:p w14:paraId="260BA0D1"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11.6–14.2</w:t>
            </w:r>
          </w:p>
        </w:tc>
        <w:tc>
          <w:tcPr>
            <w:tcW w:w="0" w:type="auto"/>
            <w:hideMark/>
          </w:tcPr>
          <w:p w14:paraId="27253E48"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10.6–11.2</w:t>
            </w:r>
          </w:p>
        </w:tc>
        <w:tc>
          <w:tcPr>
            <w:tcW w:w="0" w:type="auto"/>
            <w:hideMark/>
          </w:tcPr>
          <w:p w14:paraId="5AD30727"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7.9–9.9</w:t>
            </w:r>
          </w:p>
        </w:tc>
      </w:tr>
      <w:tr w:rsidR="00687ABD" w:rsidRPr="00687ABD" w14:paraId="115B4A54" w14:textId="77777777" w:rsidTr="009715E1">
        <w:tc>
          <w:tcPr>
            <w:tcW w:w="0" w:type="auto"/>
            <w:hideMark/>
          </w:tcPr>
          <w:p w14:paraId="0DFC71EF"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Fat (g)</w:t>
            </w:r>
          </w:p>
        </w:tc>
        <w:tc>
          <w:tcPr>
            <w:tcW w:w="0" w:type="auto"/>
            <w:hideMark/>
          </w:tcPr>
          <w:p w14:paraId="28AB974C"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5.4–7.8</w:t>
            </w:r>
          </w:p>
        </w:tc>
        <w:tc>
          <w:tcPr>
            <w:tcW w:w="0" w:type="auto"/>
            <w:hideMark/>
          </w:tcPr>
          <w:p w14:paraId="59D7FE4C"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1.4–1.5</w:t>
            </w:r>
          </w:p>
        </w:tc>
        <w:tc>
          <w:tcPr>
            <w:tcW w:w="0" w:type="auto"/>
            <w:hideMark/>
          </w:tcPr>
          <w:p w14:paraId="4E439295"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0.5–0.6</w:t>
            </w:r>
          </w:p>
        </w:tc>
      </w:tr>
      <w:tr w:rsidR="00687ABD" w:rsidRPr="00687ABD" w14:paraId="14E6A155" w14:textId="77777777" w:rsidTr="009715E1">
        <w:tc>
          <w:tcPr>
            <w:tcW w:w="0" w:type="auto"/>
            <w:hideMark/>
          </w:tcPr>
          <w:p w14:paraId="763F3714"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Crude fibre (g)</w:t>
            </w:r>
          </w:p>
        </w:tc>
        <w:tc>
          <w:tcPr>
            <w:tcW w:w="0" w:type="auto"/>
            <w:hideMark/>
          </w:tcPr>
          <w:p w14:paraId="7230EDCD"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2.6–2.8</w:t>
            </w:r>
          </w:p>
        </w:tc>
        <w:tc>
          <w:tcPr>
            <w:tcW w:w="0" w:type="auto"/>
            <w:hideMark/>
          </w:tcPr>
          <w:p w14:paraId="5A1FD545"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1.5–2.6</w:t>
            </w:r>
          </w:p>
        </w:tc>
        <w:tc>
          <w:tcPr>
            <w:tcW w:w="0" w:type="auto"/>
            <w:hideMark/>
          </w:tcPr>
          <w:p w14:paraId="1245A564"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0.5–2.8</w:t>
            </w:r>
          </w:p>
        </w:tc>
      </w:tr>
      <w:tr w:rsidR="00687ABD" w:rsidRPr="00687ABD" w14:paraId="29C5F010" w14:textId="77777777" w:rsidTr="009715E1">
        <w:tc>
          <w:tcPr>
            <w:tcW w:w="0" w:type="auto"/>
            <w:hideMark/>
          </w:tcPr>
          <w:p w14:paraId="6EC7EF9A"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Carbohydrate/starch (g)</w:t>
            </w:r>
          </w:p>
        </w:tc>
        <w:tc>
          <w:tcPr>
            <w:tcW w:w="0" w:type="auto"/>
            <w:hideMark/>
          </w:tcPr>
          <w:p w14:paraId="073FC9DB"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63.2–70.5</w:t>
            </w:r>
          </w:p>
        </w:tc>
        <w:tc>
          <w:tcPr>
            <w:tcW w:w="0" w:type="auto"/>
            <w:hideMark/>
          </w:tcPr>
          <w:p w14:paraId="352F810B"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64.7</w:t>
            </w:r>
          </w:p>
        </w:tc>
        <w:tc>
          <w:tcPr>
            <w:tcW w:w="0" w:type="auto"/>
            <w:hideMark/>
          </w:tcPr>
          <w:p w14:paraId="7A765C75"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78.2</w:t>
            </w:r>
          </w:p>
        </w:tc>
      </w:tr>
      <w:tr w:rsidR="00687ABD" w:rsidRPr="00687ABD" w14:paraId="2F370FBE" w14:textId="77777777" w:rsidTr="009715E1">
        <w:tc>
          <w:tcPr>
            <w:tcW w:w="0" w:type="auto"/>
            <w:hideMark/>
          </w:tcPr>
          <w:p w14:paraId="29975D85"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Energy (kJ)</w:t>
            </w:r>
          </w:p>
        </w:tc>
        <w:tc>
          <w:tcPr>
            <w:tcW w:w="0" w:type="auto"/>
            <w:hideMark/>
          </w:tcPr>
          <w:p w14:paraId="2EEB8AA3"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~1440–1470</w:t>
            </w:r>
          </w:p>
        </w:tc>
        <w:tc>
          <w:tcPr>
            <w:tcW w:w="0" w:type="auto"/>
            <w:hideMark/>
          </w:tcPr>
          <w:p w14:paraId="1D326875"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~1347</w:t>
            </w:r>
          </w:p>
        </w:tc>
        <w:tc>
          <w:tcPr>
            <w:tcW w:w="0" w:type="auto"/>
            <w:hideMark/>
          </w:tcPr>
          <w:p w14:paraId="31DE10CB"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~1491</w:t>
            </w:r>
          </w:p>
        </w:tc>
      </w:tr>
    </w:tbl>
    <w:p w14:paraId="6E63B740"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i/>
          <w:iCs/>
          <w:sz w:val="24"/>
          <w:szCs w:val="24"/>
          <w:lang w:eastAsia="en-GB"/>
        </w:rPr>
        <w:t xml:space="preserve">Sources: Latha Ravi and Rana (2024); </w:t>
      </w:r>
      <w:proofErr w:type="spellStart"/>
      <w:r w:rsidRPr="00687ABD">
        <w:rPr>
          <w:rFonts w:ascii="Times New Roman" w:eastAsia="Times New Roman" w:hAnsi="Times New Roman" w:cs="Times New Roman"/>
          <w:i/>
          <w:iCs/>
          <w:sz w:val="24"/>
          <w:szCs w:val="24"/>
          <w:lang w:eastAsia="en-GB"/>
        </w:rPr>
        <w:t>Nibhoria</w:t>
      </w:r>
      <w:proofErr w:type="spellEnd"/>
      <w:r w:rsidRPr="00687ABD">
        <w:rPr>
          <w:rFonts w:ascii="Times New Roman" w:eastAsia="Times New Roman" w:hAnsi="Times New Roman" w:cs="Times New Roman"/>
          <w:i/>
          <w:iCs/>
          <w:sz w:val="24"/>
          <w:szCs w:val="24"/>
          <w:lang w:eastAsia="en-GB"/>
        </w:rPr>
        <w:t xml:space="preserve"> et al. (2024). Values are indicative ranges compiled from the cited reviews; genotype, agroclimatic conditions and analytical methodology account for observed variability across primary studies.</w:t>
      </w:r>
    </w:p>
    <w:p w14:paraId="0279FA2E" w14:textId="77777777" w:rsidR="00687ABD" w:rsidRPr="00687ABD" w:rsidRDefault="00687ABD" w:rsidP="00687AB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5. Bioactive Compounds and Functional and Health-Related Properties</w:t>
      </w:r>
    </w:p>
    <w:p w14:paraId="1C7F67CB"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5.1 Phenolic compounds, flavonoids and antioxidant activity</w:t>
      </w:r>
    </w:p>
    <w:p w14:paraId="5EBD8940"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Pearl millet grain contains a diverse array of bioactive secondary metabolites, principally phenolic acids, flavonoids and, to a lesser extent, phytosterols, concentrated predominantly in the bran and germ fractions of the kernel (Jacob et al., 2024). Ferulic acid represents the dominant phenolic acid in both soluble and bound fractions, with the bound fraction typically containing higher concentrations than the free soluble fraction, reflecting the association of phenolic acids with cell wall polysaccharides (Tanwar et al., 2025). These phenolic constituents contribute measurable antioxidant capacity as assessed through standard in vitro assays, and comparative structural and antioxidant characterisation using Fourier transform infrared spectroscopy and scanning electron microscopy has confirmed that pearl millet exhibits distinctive functional group profiles and antioxidant behaviour relative to other cereals such as barley (Khalil et al., 2025). Fermentation and other bioprocessing interventions have been shown to substantially increase the extractable phenolic content and associated antioxidant capacity of pearl millet-derived products, an effect attributed to the enzymatic liberation of bound phenolics during microbial fermentation (Kaila et al., 2025).</w:t>
      </w:r>
    </w:p>
    <w:p w14:paraId="28473711"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5.2 Glycaemic response and relevance to metabolic health</w:t>
      </w:r>
    </w:p>
    <w:p w14:paraId="4F184058"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A recurrent theme in the functional food literature on pearl millet concerns its favourable glycaemic properties. The grain possesses a comparatively low to moderate glycaemic index relative to more rapidly digested cereals such as polished rice, a characteristic attributed to its higher content of slowly digestible starch, resistant starch and dietary fibre (Jacob et al., 2024). Clinical and epidemiological evidence indicates that regular incorporation of pearl millet and other millets into the diet of individuals with, or at risk of, type 2 diabetes mellitus </w:t>
      </w:r>
      <w:r w:rsidRPr="00687ABD">
        <w:rPr>
          <w:rFonts w:ascii="Times New Roman" w:eastAsia="Times New Roman" w:hAnsi="Times New Roman" w:cs="Times New Roman"/>
          <w:sz w:val="24"/>
          <w:szCs w:val="24"/>
          <w:lang w:eastAsia="en-GB"/>
        </w:rPr>
        <w:lastRenderedPageBreak/>
        <w:t>is associated with improved glycaemic control, reduced postprandial insulin response and favourable modulation of plasma lipid concentrations (Jacob et al., 2024). A systematic review and meta-analysis of the relationship between millet consumption and diabetes risk management concluded that regular millet intake confers a measurable protective association with fasting and postprandial blood glucose outcomes, supporting the broader positioning of pearl millet as a candidate ingredient for functional foods targeted at metabolic disease prevention (Anitha et al., 2021). Mechanistic studies have further shown that polyphenol-enriched extracts of pearl millet inhibit key digestive enzymes implicated in postprandial hyperglycaemia, namely alpha-amylase and alpha-glucosidase, and modulate hepatic glucose handling, providing a biochemical basis for the observed clinical associations (Pei et al., 2022).</w:t>
      </w:r>
    </w:p>
    <w:p w14:paraId="70696082"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5.3 Gluten-free status and coeliac-relevant applications</w:t>
      </w:r>
    </w:p>
    <w:p w14:paraId="15A854B0"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Pearl millet is inherently free of the gluten-forming prolamin proteins present in wheat, barley and rye, rendering it suitable for inclusion in diets formulated for individuals with coeliac disease or non-coeliac gluten sensitivity (Tanwar et al., 2025). This attribute has driven substantial product development activity directed at incorporating pearl millet flour into gluten-free bakery and snack formulations. Composite flour products combining germinated pearl millet with complementary ingredients such as defatted sesame seed and tiger nut have demonstrated favourable nutritional profiles, including elevated ash, fibre and protein content relative to conventional wheat-based crackers, alongside acceptable sensory characteristics, illustrating the practical feasibility of pearl millet as a gluten-free functional ingredient (Akeem et al., 2023). Table 4 consolidates these functional and health-related findings alongside those discussed above.</w:t>
      </w:r>
    </w:p>
    <w:p w14:paraId="75C5A858"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b/>
          <w:bCs/>
          <w:sz w:val="24"/>
          <w:szCs w:val="24"/>
          <w:lang w:eastAsia="en-GB"/>
        </w:rPr>
        <w:t>Table 4. Selected functional and health-related properties of pearl millet reported in the reviewed literature</w:t>
      </w:r>
    </w:p>
    <w:tbl>
      <w:tblPr>
        <w:tblStyle w:val="TableGrid"/>
        <w:tblW w:w="0" w:type="auto"/>
        <w:tblLook w:val="04A0" w:firstRow="1" w:lastRow="0" w:firstColumn="1" w:lastColumn="0" w:noHBand="0" w:noVBand="1"/>
      </w:tblPr>
      <w:tblGrid>
        <w:gridCol w:w="2931"/>
        <w:gridCol w:w="6311"/>
      </w:tblGrid>
      <w:tr w:rsidR="00687ABD" w:rsidRPr="00687ABD" w14:paraId="2F10CE7F" w14:textId="77777777" w:rsidTr="009715E1">
        <w:tc>
          <w:tcPr>
            <w:tcW w:w="0" w:type="auto"/>
            <w:hideMark/>
          </w:tcPr>
          <w:p w14:paraId="3AD831F4" w14:textId="77777777" w:rsidR="00687ABD" w:rsidRPr="00687ABD" w:rsidRDefault="00687ABD" w:rsidP="00687ABD">
            <w:pPr>
              <w:jc w:val="center"/>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Property</w:t>
            </w:r>
          </w:p>
        </w:tc>
        <w:tc>
          <w:tcPr>
            <w:tcW w:w="0" w:type="auto"/>
            <w:hideMark/>
          </w:tcPr>
          <w:p w14:paraId="13012C65" w14:textId="77777777" w:rsidR="00687ABD" w:rsidRPr="00687ABD" w:rsidRDefault="00687ABD" w:rsidP="00687ABD">
            <w:pPr>
              <w:jc w:val="center"/>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Reported evidence</w:t>
            </w:r>
          </w:p>
        </w:tc>
      </w:tr>
      <w:tr w:rsidR="00687ABD" w:rsidRPr="00687ABD" w14:paraId="01889482" w14:textId="77777777" w:rsidTr="009715E1">
        <w:tc>
          <w:tcPr>
            <w:tcW w:w="0" w:type="auto"/>
            <w:hideMark/>
          </w:tcPr>
          <w:p w14:paraId="32CEB3A2"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Glycaemic index</w:t>
            </w:r>
          </w:p>
        </w:tc>
        <w:tc>
          <w:tcPr>
            <w:tcW w:w="0" w:type="auto"/>
            <w:hideMark/>
          </w:tcPr>
          <w:p w14:paraId="3ECE0AFE"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Comparatively low to moderate relative to rapidly digested cereals such as polished rice</w:t>
            </w:r>
          </w:p>
        </w:tc>
      </w:tr>
      <w:tr w:rsidR="00687ABD" w:rsidRPr="00687ABD" w14:paraId="5498C27D" w14:textId="77777777" w:rsidTr="009715E1">
        <w:tc>
          <w:tcPr>
            <w:tcW w:w="0" w:type="auto"/>
            <w:hideMark/>
          </w:tcPr>
          <w:p w14:paraId="6FB5F7B8"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Predominant phenolic compound</w:t>
            </w:r>
          </w:p>
        </w:tc>
        <w:tc>
          <w:tcPr>
            <w:tcW w:w="0" w:type="auto"/>
            <w:hideMark/>
          </w:tcPr>
          <w:p w14:paraId="32ED4C66"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Ferulic acid (bound fraction generally exceeding soluble fraction)</w:t>
            </w:r>
          </w:p>
        </w:tc>
      </w:tr>
      <w:tr w:rsidR="00687ABD" w:rsidRPr="00687ABD" w14:paraId="0359E7CF" w14:textId="77777777" w:rsidTr="009715E1">
        <w:tc>
          <w:tcPr>
            <w:tcW w:w="0" w:type="auto"/>
            <w:hideMark/>
          </w:tcPr>
          <w:p w14:paraId="036A22A9"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Antidiabetic mechanism</w:t>
            </w:r>
          </w:p>
        </w:tc>
        <w:tc>
          <w:tcPr>
            <w:tcW w:w="0" w:type="auto"/>
            <w:hideMark/>
          </w:tcPr>
          <w:p w14:paraId="19C05A6E"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Inhibition of α-amylase and α-glucosidase; modulation of hepatic glucose uptake</w:t>
            </w:r>
          </w:p>
        </w:tc>
      </w:tr>
      <w:tr w:rsidR="00687ABD" w:rsidRPr="00687ABD" w14:paraId="46B4C406" w14:textId="77777777" w:rsidTr="009715E1">
        <w:tc>
          <w:tcPr>
            <w:tcW w:w="0" w:type="auto"/>
            <w:hideMark/>
          </w:tcPr>
          <w:p w14:paraId="2B1EAC5E"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Gluten status</w:t>
            </w:r>
          </w:p>
        </w:tc>
        <w:tc>
          <w:tcPr>
            <w:tcW w:w="0" w:type="auto"/>
            <w:hideMark/>
          </w:tcPr>
          <w:p w14:paraId="52C76684"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Naturally gluten-free; suitable for coeliac-relevant diets</w:t>
            </w:r>
          </w:p>
        </w:tc>
      </w:tr>
      <w:tr w:rsidR="00687ABD" w:rsidRPr="00687ABD" w14:paraId="43D8D950" w14:textId="77777777" w:rsidTr="009715E1">
        <w:tc>
          <w:tcPr>
            <w:tcW w:w="0" w:type="auto"/>
            <w:hideMark/>
          </w:tcPr>
          <w:p w14:paraId="1FD0ED81"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Effect of fermentation on </w:t>
            </w:r>
            <w:proofErr w:type="spellStart"/>
            <w:r w:rsidRPr="00687ABD">
              <w:rPr>
                <w:rFonts w:ascii="Times New Roman" w:eastAsia="Times New Roman" w:hAnsi="Times New Roman" w:cs="Times New Roman"/>
                <w:sz w:val="24"/>
                <w:szCs w:val="24"/>
                <w:lang w:eastAsia="en-GB"/>
              </w:rPr>
              <w:t>bioactives</w:t>
            </w:r>
            <w:proofErr w:type="spellEnd"/>
          </w:p>
        </w:tc>
        <w:tc>
          <w:tcPr>
            <w:tcW w:w="0" w:type="auto"/>
            <w:hideMark/>
          </w:tcPr>
          <w:p w14:paraId="2D3420BE"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Increased extractable phenolic content and antioxidant capacity</w:t>
            </w:r>
          </w:p>
        </w:tc>
      </w:tr>
      <w:tr w:rsidR="00687ABD" w:rsidRPr="00687ABD" w14:paraId="4AA6CCC6" w14:textId="77777777" w:rsidTr="009715E1">
        <w:tc>
          <w:tcPr>
            <w:tcW w:w="0" w:type="auto"/>
            <w:hideMark/>
          </w:tcPr>
          <w:p w14:paraId="7115A60E"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Reported health associations</w:t>
            </w:r>
          </w:p>
        </w:tc>
        <w:tc>
          <w:tcPr>
            <w:tcW w:w="0" w:type="auto"/>
            <w:hideMark/>
          </w:tcPr>
          <w:p w14:paraId="669058AD"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Improved glycaemic control; favourable lipid profile modulation; antioxidant activity</w:t>
            </w:r>
          </w:p>
        </w:tc>
      </w:tr>
    </w:tbl>
    <w:p w14:paraId="7C0A9F4B"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i/>
          <w:iCs/>
          <w:sz w:val="24"/>
          <w:szCs w:val="24"/>
          <w:lang w:eastAsia="en-GB"/>
        </w:rPr>
        <w:t>Sources: Anitha et al. (2021); Jacob et al. (2024); Kaila et al. (2025); Pei et al. (2022); Tanwar et al. (2025).</w:t>
      </w:r>
    </w:p>
    <w:p w14:paraId="3E8DF882" w14:textId="77777777" w:rsidR="00687ABD" w:rsidRPr="00687ABD" w:rsidRDefault="00687ABD" w:rsidP="00687AB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6. Antinutritional Factors and Bioavailability Constraints</w:t>
      </w:r>
    </w:p>
    <w:p w14:paraId="67835B3B"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The nutritional value of pearl millet grain is constrained by several antinutritional compounds that interfere with the digestion, absorption or endocrine handling of key nutrients. Phytic acid, present largely as phytate salts and constituting up to three-quarters of total grain </w:t>
      </w:r>
      <w:r w:rsidRPr="00687ABD">
        <w:rPr>
          <w:rFonts w:ascii="Times New Roman" w:eastAsia="Times New Roman" w:hAnsi="Times New Roman" w:cs="Times New Roman"/>
          <w:sz w:val="24"/>
          <w:szCs w:val="24"/>
          <w:lang w:eastAsia="en-GB"/>
        </w:rPr>
        <w:lastRenderedPageBreak/>
        <w:t xml:space="preserve">phosphorus, possesses strong chelating affinity for divalent and monovalent cations, including iron, zinc, calcium and magnesium, thereby reducing their </w:t>
      </w:r>
      <w:proofErr w:type="spellStart"/>
      <w:r w:rsidRPr="00687ABD">
        <w:rPr>
          <w:rFonts w:ascii="Times New Roman" w:eastAsia="Times New Roman" w:hAnsi="Times New Roman" w:cs="Times New Roman"/>
          <w:sz w:val="24"/>
          <w:szCs w:val="24"/>
          <w:lang w:eastAsia="en-GB"/>
        </w:rPr>
        <w:t>bioaccessibility</w:t>
      </w:r>
      <w:proofErr w:type="spellEnd"/>
      <w:r w:rsidRPr="00687ABD">
        <w:rPr>
          <w:rFonts w:ascii="Times New Roman" w:eastAsia="Times New Roman" w:hAnsi="Times New Roman" w:cs="Times New Roman"/>
          <w:sz w:val="24"/>
          <w:szCs w:val="24"/>
          <w:lang w:eastAsia="en-GB"/>
        </w:rPr>
        <w:t xml:space="preserve"> during digestion (</w:t>
      </w:r>
      <w:proofErr w:type="spellStart"/>
      <w:r w:rsidRPr="00687ABD">
        <w:rPr>
          <w:rFonts w:ascii="Times New Roman" w:eastAsia="Times New Roman" w:hAnsi="Times New Roman" w:cs="Times New Roman"/>
          <w:sz w:val="24"/>
          <w:szCs w:val="24"/>
          <w:lang w:eastAsia="en-GB"/>
        </w:rPr>
        <w:t>Boncompagni</w:t>
      </w:r>
      <w:proofErr w:type="spellEnd"/>
      <w:r w:rsidRPr="00687ABD">
        <w:rPr>
          <w:rFonts w:ascii="Times New Roman" w:eastAsia="Times New Roman" w:hAnsi="Times New Roman" w:cs="Times New Roman"/>
          <w:sz w:val="24"/>
          <w:szCs w:val="24"/>
          <w:lang w:eastAsia="en-GB"/>
        </w:rPr>
        <w:t xml:space="preserve"> et al., 2018). Reported phytic acid concentrations in pearl millet germplasm range from approximately 179 to 306 milligrams per 100 grams, with substantial variation attributable to genotype and growing location, indicating that genetic selection for reduced phytate content represents a plausible avenue for nutritional improvement alongside processing-based mitigation (</w:t>
      </w:r>
      <w:proofErr w:type="spellStart"/>
      <w:r w:rsidRPr="00687ABD">
        <w:rPr>
          <w:rFonts w:ascii="Times New Roman" w:eastAsia="Times New Roman" w:hAnsi="Times New Roman" w:cs="Times New Roman"/>
          <w:sz w:val="24"/>
          <w:szCs w:val="24"/>
          <w:lang w:eastAsia="en-GB"/>
        </w:rPr>
        <w:t>Boncompagni</w:t>
      </w:r>
      <w:proofErr w:type="spellEnd"/>
      <w:r w:rsidRPr="00687ABD">
        <w:rPr>
          <w:rFonts w:ascii="Times New Roman" w:eastAsia="Times New Roman" w:hAnsi="Times New Roman" w:cs="Times New Roman"/>
          <w:sz w:val="24"/>
          <w:szCs w:val="24"/>
          <w:lang w:eastAsia="en-GB"/>
        </w:rPr>
        <w:t xml:space="preserve"> et al., 2018).</w:t>
      </w:r>
    </w:p>
    <w:p w14:paraId="354FD5A1"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Condensed tannins and other polyphenolic compounds represent a second major class of antinutritional constituents in pearl millet, capable of forming complexes with dietary protein and minerals that reduce their digestibility and absorption, while simultaneously contributing, somewhat paradoxically, to the grain's antioxidant capacity when consumed at moderate levels (Rana et al., 2023). Tannin content varies considerably across millet species and processing states, and comparative studies have reported baseline pearl millet tannin concentrations that fall substantially following germination, soaking or fermentation treatments (</w:t>
      </w:r>
      <w:proofErr w:type="spellStart"/>
      <w:r w:rsidRPr="00687ABD">
        <w:rPr>
          <w:rFonts w:ascii="Times New Roman" w:eastAsia="Times New Roman" w:hAnsi="Times New Roman" w:cs="Times New Roman"/>
          <w:sz w:val="24"/>
          <w:szCs w:val="24"/>
          <w:lang w:eastAsia="en-GB"/>
        </w:rPr>
        <w:t>Balyatanda</w:t>
      </w:r>
      <w:proofErr w:type="spellEnd"/>
      <w:r w:rsidRPr="00687ABD">
        <w:rPr>
          <w:rFonts w:ascii="Times New Roman" w:eastAsia="Times New Roman" w:hAnsi="Times New Roman" w:cs="Times New Roman"/>
          <w:sz w:val="24"/>
          <w:szCs w:val="24"/>
          <w:lang w:eastAsia="en-GB"/>
        </w:rPr>
        <w:t xml:space="preserve"> et al., 2024).</w:t>
      </w:r>
    </w:p>
    <w:p w14:paraId="52C34A3E"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 distinctive antinutritional concern in pearl millet, less prominent in other cereals, is the presence of goitrogenic C-</w:t>
      </w:r>
      <w:proofErr w:type="spellStart"/>
      <w:r w:rsidRPr="00687ABD">
        <w:rPr>
          <w:rFonts w:ascii="Times New Roman" w:eastAsia="Times New Roman" w:hAnsi="Times New Roman" w:cs="Times New Roman"/>
          <w:sz w:val="24"/>
          <w:szCs w:val="24"/>
          <w:lang w:eastAsia="en-GB"/>
        </w:rPr>
        <w:t>glycosylflavones</w:t>
      </w:r>
      <w:proofErr w:type="spellEnd"/>
      <w:r w:rsidRPr="00687ABD">
        <w:rPr>
          <w:rFonts w:ascii="Times New Roman" w:eastAsia="Times New Roman" w:hAnsi="Times New Roman" w:cs="Times New Roman"/>
          <w:sz w:val="24"/>
          <w:szCs w:val="24"/>
          <w:lang w:eastAsia="en-GB"/>
        </w:rPr>
        <w:t xml:space="preserve">, principally </w:t>
      </w:r>
      <w:proofErr w:type="spellStart"/>
      <w:r w:rsidRPr="00687ABD">
        <w:rPr>
          <w:rFonts w:ascii="Times New Roman" w:eastAsia="Times New Roman" w:hAnsi="Times New Roman" w:cs="Times New Roman"/>
          <w:sz w:val="24"/>
          <w:szCs w:val="24"/>
          <w:lang w:eastAsia="en-GB"/>
        </w:rPr>
        <w:t>glucosylvitexin</w:t>
      </w:r>
      <w:proofErr w:type="spellEnd"/>
      <w:r w:rsidRPr="00687ABD">
        <w:rPr>
          <w:rFonts w:ascii="Times New Roman" w:eastAsia="Times New Roman" w:hAnsi="Times New Roman" w:cs="Times New Roman"/>
          <w:sz w:val="24"/>
          <w:szCs w:val="24"/>
          <w:lang w:eastAsia="en-GB"/>
        </w:rPr>
        <w:t xml:space="preserve">, </w:t>
      </w:r>
      <w:proofErr w:type="spellStart"/>
      <w:r w:rsidRPr="00687ABD">
        <w:rPr>
          <w:rFonts w:ascii="Times New Roman" w:eastAsia="Times New Roman" w:hAnsi="Times New Roman" w:cs="Times New Roman"/>
          <w:sz w:val="24"/>
          <w:szCs w:val="24"/>
          <w:lang w:eastAsia="en-GB"/>
        </w:rPr>
        <w:t>glucosylorientin</w:t>
      </w:r>
      <w:proofErr w:type="spellEnd"/>
      <w:r w:rsidRPr="00687ABD">
        <w:rPr>
          <w:rFonts w:ascii="Times New Roman" w:eastAsia="Times New Roman" w:hAnsi="Times New Roman" w:cs="Times New Roman"/>
          <w:sz w:val="24"/>
          <w:szCs w:val="24"/>
          <w:lang w:eastAsia="en-GB"/>
        </w:rPr>
        <w:t xml:space="preserve"> and vitexin, which have been shown to inhibit thyroid peroxidase activity and are implicated in the aetiology of goitre and iodine deficiency disorders in populations with high dietary reliance on unprocessed pearl millet (</w:t>
      </w:r>
      <w:proofErr w:type="spellStart"/>
      <w:r w:rsidRPr="00687ABD">
        <w:rPr>
          <w:rFonts w:ascii="Times New Roman" w:eastAsia="Times New Roman" w:hAnsi="Times New Roman" w:cs="Times New Roman"/>
          <w:sz w:val="24"/>
          <w:szCs w:val="24"/>
          <w:lang w:eastAsia="en-GB"/>
        </w:rPr>
        <w:t>Boncompagni</w:t>
      </w:r>
      <w:proofErr w:type="spellEnd"/>
      <w:r w:rsidRPr="00687ABD">
        <w:rPr>
          <w:rFonts w:ascii="Times New Roman" w:eastAsia="Times New Roman" w:hAnsi="Times New Roman" w:cs="Times New Roman"/>
          <w:sz w:val="24"/>
          <w:szCs w:val="24"/>
          <w:lang w:eastAsia="en-GB"/>
        </w:rPr>
        <w:t xml:space="preserve"> et al., 2018). Substantial natural variability in C-</w:t>
      </w:r>
      <w:proofErr w:type="spellStart"/>
      <w:r w:rsidRPr="00687ABD">
        <w:rPr>
          <w:rFonts w:ascii="Times New Roman" w:eastAsia="Times New Roman" w:hAnsi="Times New Roman" w:cs="Times New Roman"/>
          <w:sz w:val="24"/>
          <w:szCs w:val="24"/>
          <w:lang w:eastAsia="en-GB"/>
        </w:rPr>
        <w:t>glycosylflavone</w:t>
      </w:r>
      <w:proofErr w:type="spellEnd"/>
      <w:r w:rsidRPr="00687ABD">
        <w:rPr>
          <w:rFonts w:ascii="Times New Roman" w:eastAsia="Times New Roman" w:hAnsi="Times New Roman" w:cs="Times New Roman"/>
          <w:sz w:val="24"/>
          <w:szCs w:val="24"/>
          <w:lang w:eastAsia="en-GB"/>
        </w:rPr>
        <w:t xml:space="preserve"> content has been documented across pearl millet germplasm, offering scope for breeding-based mitigation of this concern, while processing interventions, discussed in the following section, have also been shown to reduce goitrogen concentrations in finished food products. Non-digestible oligosaccharides, including raffinose, stachyose and verbascose, constitute a further, comparatively minor, antinutritional consideration, associated with abdominal discomfort and flatulence following consumption of unprocessed or minimally processed grain (</w:t>
      </w:r>
      <w:proofErr w:type="spellStart"/>
      <w:r w:rsidRPr="00687ABD">
        <w:rPr>
          <w:rFonts w:ascii="Times New Roman" w:eastAsia="Times New Roman" w:hAnsi="Times New Roman" w:cs="Times New Roman"/>
          <w:sz w:val="24"/>
          <w:szCs w:val="24"/>
          <w:lang w:eastAsia="en-GB"/>
        </w:rPr>
        <w:t>Balyatanda</w:t>
      </w:r>
      <w:proofErr w:type="spellEnd"/>
      <w:r w:rsidRPr="00687ABD">
        <w:rPr>
          <w:rFonts w:ascii="Times New Roman" w:eastAsia="Times New Roman" w:hAnsi="Times New Roman" w:cs="Times New Roman"/>
          <w:sz w:val="24"/>
          <w:szCs w:val="24"/>
          <w:lang w:eastAsia="en-GB"/>
        </w:rPr>
        <w:t xml:space="preserve"> et al., 2024). Collectively, these antinutritional constituents underscore the importance of appropriate processing, discussed comprehensively in Section 7, as a means of realising the full nutritional potential of pearl millet-based foods.</w:t>
      </w:r>
    </w:p>
    <w:p w14:paraId="290414AD" w14:textId="77777777" w:rsidR="00687ABD" w:rsidRPr="00687ABD" w:rsidRDefault="00687ABD" w:rsidP="00687AB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7. Processing Techniques and Their Effects on Nutritional Quality</w:t>
      </w:r>
    </w:p>
    <w:p w14:paraId="1C99F6C2"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7.1 Primary and traditional processing operations</w:t>
      </w:r>
    </w:p>
    <w:p w14:paraId="599C3602"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Primary processing of pearl millet encompasses threshing, winnowing, dehulling, decortication and milling, operations intended to remove inedible or nutritionally undesirable portions of the grain and to render it suitable for consumption or further processing (Nanje Gowda et al., 2022). Decortication and dehulling have been shown to reduce phytate and tannin content substantially by removing the outer bran layer where these compounds are concentrated, with associated improvements in protein digestibility and functional performance, although excessive decortication beyond an optimal threshold has been observed to reduce overall protein content, presumably through the co-removal of protein-rich aleurone tissue (Nanje Gowda et al., 2022). Mechanisation of these primary processing operations remains comparatively underdeveloped in many producing regions, with existing equipment frequently adapted from machinery designed for paddy rice processing rather than purpose-built for the distinct physical characteristics of pearl millet grain, a gap that continues to constrain processing efficiency and product consistency across the value chain (</w:t>
      </w:r>
      <w:proofErr w:type="spellStart"/>
      <w:r w:rsidRPr="00687ABD">
        <w:rPr>
          <w:rFonts w:ascii="Times New Roman" w:eastAsia="Times New Roman" w:hAnsi="Times New Roman" w:cs="Times New Roman"/>
          <w:sz w:val="24"/>
          <w:szCs w:val="24"/>
          <w:lang w:eastAsia="en-GB"/>
        </w:rPr>
        <w:t>Nibhoria</w:t>
      </w:r>
      <w:proofErr w:type="spellEnd"/>
      <w:r w:rsidRPr="00687ABD">
        <w:rPr>
          <w:rFonts w:ascii="Times New Roman" w:eastAsia="Times New Roman" w:hAnsi="Times New Roman" w:cs="Times New Roman"/>
          <w:sz w:val="24"/>
          <w:szCs w:val="24"/>
          <w:lang w:eastAsia="en-GB"/>
        </w:rPr>
        <w:t xml:space="preserve"> et al., 2024). Broader assessment across the range of available processing methods, </w:t>
      </w:r>
      <w:r w:rsidRPr="00687ABD">
        <w:rPr>
          <w:rFonts w:ascii="Times New Roman" w:eastAsia="Times New Roman" w:hAnsi="Times New Roman" w:cs="Times New Roman"/>
          <w:sz w:val="24"/>
          <w:szCs w:val="24"/>
          <w:lang w:eastAsia="en-GB"/>
        </w:rPr>
        <w:lastRenderedPageBreak/>
        <w:t>including milling, malting, fermentation, blanching and heat treatment, indicates that these interventions are collectively effective in improving mineral digestibility and in reducing the off-flavours, bitterness and rancidity that otherwise develop during storage of pearl millet flour (Ramya et al., 2024).</w:t>
      </w:r>
    </w:p>
    <w:p w14:paraId="58D0DA25"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7.2 Germination and malting</w:t>
      </w:r>
    </w:p>
    <w:p w14:paraId="5F4D9B1A"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Germination, and its controlled industrial analogue malting, involves the deliberate activation of endogenous hydrolytic enzymes within the grain under conditions of moisture and temperature conducive to early seedling growth. This process has been shown to reduce phytic acid and tannin content substantially, through both enzymatic hydrolysis and leaching, while simultaneously enhancing the </w:t>
      </w:r>
      <w:proofErr w:type="spellStart"/>
      <w:r w:rsidRPr="00687ABD">
        <w:rPr>
          <w:rFonts w:ascii="Times New Roman" w:eastAsia="Times New Roman" w:hAnsi="Times New Roman" w:cs="Times New Roman"/>
          <w:sz w:val="24"/>
          <w:szCs w:val="24"/>
          <w:lang w:eastAsia="en-GB"/>
        </w:rPr>
        <w:t>bioaccessibility</w:t>
      </w:r>
      <w:proofErr w:type="spellEnd"/>
      <w:r w:rsidRPr="00687ABD">
        <w:rPr>
          <w:rFonts w:ascii="Times New Roman" w:eastAsia="Times New Roman" w:hAnsi="Times New Roman" w:cs="Times New Roman"/>
          <w:sz w:val="24"/>
          <w:szCs w:val="24"/>
          <w:lang w:eastAsia="en-GB"/>
        </w:rPr>
        <w:t xml:space="preserve"> of iron and other minerals (Nanje Gowda et al., 2022). Malting of pearl millet for approximately 24 hours has been shown to increase crude fibre content modestly, alongside favourable changes in starch digestibility and the development of characteristic malt flavour compounds relevant to beverage applications (Nanje Gowda et al., 2022). Comparative studies of biofortified and non-biofortified pearl millet genotypes indicate that malting improves iron </w:t>
      </w:r>
      <w:proofErr w:type="spellStart"/>
      <w:r w:rsidRPr="00687ABD">
        <w:rPr>
          <w:rFonts w:ascii="Times New Roman" w:eastAsia="Times New Roman" w:hAnsi="Times New Roman" w:cs="Times New Roman"/>
          <w:sz w:val="24"/>
          <w:szCs w:val="24"/>
          <w:lang w:eastAsia="en-GB"/>
        </w:rPr>
        <w:t>bioaccessibility</w:t>
      </w:r>
      <w:proofErr w:type="spellEnd"/>
      <w:r w:rsidRPr="00687ABD">
        <w:rPr>
          <w:rFonts w:ascii="Times New Roman" w:eastAsia="Times New Roman" w:hAnsi="Times New Roman" w:cs="Times New Roman"/>
          <w:sz w:val="24"/>
          <w:szCs w:val="24"/>
          <w:lang w:eastAsia="en-GB"/>
        </w:rPr>
        <w:t xml:space="preserve"> in both genotype classes, although the magnitude of improvement varies with baseline mineral density and antinutrient profile, underscoring the importance of genotype-specific processing optimisation.</w:t>
      </w:r>
    </w:p>
    <w:p w14:paraId="3F44103C"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7.3 Fermentation</w:t>
      </w:r>
    </w:p>
    <w:p w14:paraId="312F94D5"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Fermentation, whether achieved through spontaneous microbial activity or through deliberate inoculation with lactic acid bacteria or fungal starter cultures, is one of the most widely applied and nutritionally beneficial processing interventions for pearl millet. Solid-state fermentation using </w:t>
      </w:r>
      <w:r w:rsidRPr="00687ABD">
        <w:rPr>
          <w:rFonts w:ascii="Times New Roman" w:eastAsia="Times New Roman" w:hAnsi="Times New Roman" w:cs="Times New Roman"/>
          <w:i/>
          <w:iCs/>
          <w:sz w:val="24"/>
          <w:szCs w:val="24"/>
          <w:lang w:eastAsia="en-GB"/>
        </w:rPr>
        <w:t xml:space="preserve">Rhizopus </w:t>
      </w:r>
      <w:proofErr w:type="spellStart"/>
      <w:r w:rsidRPr="00687ABD">
        <w:rPr>
          <w:rFonts w:ascii="Times New Roman" w:eastAsia="Times New Roman" w:hAnsi="Times New Roman" w:cs="Times New Roman"/>
          <w:i/>
          <w:iCs/>
          <w:sz w:val="24"/>
          <w:szCs w:val="24"/>
          <w:lang w:eastAsia="en-GB"/>
        </w:rPr>
        <w:t>oligosporus</w:t>
      </w:r>
      <w:proofErr w:type="spellEnd"/>
      <w:r w:rsidRPr="00687ABD">
        <w:rPr>
          <w:rFonts w:ascii="Times New Roman" w:eastAsia="Times New Roman" w:hAnsi="Times New Roman" w:cs="Times New Roman"/>
          <w:sz w:val="24"/>
          <w:szCs w:val="24"/>
          <w:lang w:eastAsia="en-GB"/>
        </w:rPr>
        <w:t xml:space="preserve"> and </w:t>
      </w:r>
      <w:proofErr w:type="spellStart"/>
      <w:r w:rsidRPr="00687ABD">
        <w:rPr>
          <w:rFonts w:ascii="Times New Roman" w:eastAsia="Times New Roman" w:hAnsi="Times New Roman" w:cs="Times New Roman"/>
          <w:i/>
          <w:iCs/>
          <w:sz w:val="24"/>
          <w:szCs w:val="24"/>
          <w:lang w:eastAsia="en-GB"/>
        </w:rPr>
        <w:t>Yarrowia</w:t>
      </w:r>
      <w:proofErr w:type="spellEnd"/>
      <w:r w:rsidRPr="00687ABD">
        <w:rPr>
          <w:rFonts w:ascii="Times New Roman" w:eastAsia="Times New Roman" w:hAnsi="Times New Roman" w:cs="Times New Roman"/>
          <w:i/>
          <w:iCs/>
          <w:sz w:val="24"/>
          <w:szCs w:val="24"/>
          <w:lang w:eastAsia="en-GB"/>
        </w:rPr>
        <w:t xml:space="preserve"> </w:t>
      </w:r>
      <w:proofErr w:type="spellStart"/>
      <w:r w:rsidRPr="00687ABD">
        <w:rPr>
          <w:rFonts w:ascii="Times New Roman" w:eastAsia="Times New Roman" w:hAnsi="Times New Roman" w:cs="Times New Roman"/>
          <w:i/>
          <w:iCs/>
          <w:sz w:val="24"/>
          <w:szCs w:val="24"/>
          <w:lang w:eastAsia="en-GB"/>
        </w:rPr>
        <w:t>lipolytica</w:t>
      </w:r>
      <w:proofErr w:type="spellEnd"/>
      <w:r w:rsidRPr="00687ABD">
        <w:rPr>
          <w:rFonts w:ascii="Times New Roman" w:eastAsia="Times New Roman" w:hAnsi="Times New Roman" w:cs="Times New Roman"/>
          <w:sz w:val="24"/>
          <w:szCs w:val="24"/>
          <w:lang w:eastAsia="en-GB"/>
        </w:rPr>
        <w:t xml:space="preserve"> has been reported to increase soluble dietary fibre content substantially, while lactic acid bacterial fermentation, for example using </w:t>
      </w:r>
      <w:r w:rsidRPr="00687ABD">
        <w:rPr>
          <w:rFonts w:ascii="Times New Roman" w:eastAsia="Times New Roman" w:hAnsi="Times New Roman" w:cs="Times New Roman"/>
          <w:i/>
          <w:iCs/>
          <w:sz w:val="24"/>
          <w:szCs w:val="24"/>
          <w:lang w:eastAsia="en-GB"/>
        </w:rPr>
        <w:t>Lactobacillus plantarum</w:t>
      </w:r>
      <w:r w:rsidRPr="00687ABD">
        <w:rPr>
          <w:rFonts w:ascii="Times New Roman" w:eastAsia="Times New Roman" w:hAnsi="Times New Roman" w:cs="Times New Roman"/>
          <w:sz w:val="24"/>
          <w:szCs w:val="24"/>
          <w:lang w:eastAsia="en-GB"/>
        </w:rPr>
        <w:t>, has been shown to increase protein content and B-group vitamin concentrations in fermented pearl millet beverages, alongside marked increases in total phenolic content and antioxidant capacity relative to unfermented controls (Kaila et al., 2025). Fermentation has additionally been shown to reduce tannin content substantially, with reductions exceeding ninety per cent reported when fermentation is combined with alkaline immersion pre-treatment, and to improve in vitro protein and starch digestibility through partial breakdown of the starch-protein matrix (</w:t>
      </w:r>
      <w:proofErr w:type="spellStart"/>
      <w:r w:rsidRPr="00687ABD">
        <w:rPr>
          <w:rFonts w:ascii="Times New Roman" w:eastAsia="Times New Roman" w:hAnsi="Times New Roman" w:cs="Times New Roman"/>
          <w:sz w:val="24"/>
          <w:szCs w:val="24"/>
          <w:lang w:eastAsia="en-GB"/>
        </w:rPr>
        <w:t>Balyatanda</w:t>
      </w:r>
      <w:proofErr w:type="spellEnd"/>
      <w:r w:rsidRPr="00687ABD">
        <w:rPr>
          <w:rFonts w:ascii="Times New Roman" w:eastAsia="Times New Roman" w:hAnsi="Times New Roman" w:cs="Times New Roman"/>
          <w:sz w:val="24"/>
          <w:szCs w:val="24"/>
          <w:lang w:eastAsia="en-GB"/>
        </w:rPr>
        <w:t xml:space="preserve"> et al., 2024). These combined effects position fermentation as a particularly effective single intervention for simultaneously enhancing nutrient bioavailability, extending shelf life and improving the sensory acceptability of pearl millet-based foods and beverages.</w:t>
      </w:r>
    </w:p>
    <w:p w14:paraId="096D6A5A"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7.4 Extrusion cooking and thermal processing</w:t>
      </w:r>
    </w:p>
    <w:p w14:paraId="4595B04C"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Extrusion cooking, a high-temperature, short-time thermomechanical process, has become increasingly prominent in the development of instant and ready-to-eat pearl millet products, including beverage powders, snacks and breakfast cereals. Combination processing involving both malting and extrusion has been shown to yield instant beverage powders with acceptable nutritional, biochemical and sensory characteristics, although such combined processing can reduce total fat and total dietary fibre content measurably relative to less intensively processed alternatives (Kaila et al., 2025). Extrusion in combination with food-to-food fortification strategies has additionally been investigated as a means of enhancing mineral </w:t>
      </w:r>
      <w:proofErr w:type="spellStart"/>
      <w:r w:rsidRPr="00687ABD">
        <w:rPr>
          <w:rFonts w:ascii="Times New Roman" w:eastAsia="Times New Roman" w:hAnsi="Times New Roman" w:cs="Times New Roman"/>
          <w:sz w:val="24"/>
          <w:szCs w:val="24"/>
          <w:lang w:eastAsia="en-GB"/>
        </w:rPr>
        <w:t>bioaccessibility</w:t>
      </w:r>
      <w:proofErr w:type="spellEnd"/>
      <w:r w:rsidRPr="00687ABD">
        <w:rPr>
          <w:rFonts w:ascii="Times New Roman" w:eastAsia="Times New Roman" w:hAnsi="Times New Roman" w:cs="Times New Roman"/>
          <w:sz w:val="24"/>
          <w:szCs w:val="24"/>
          <w:lang w:eastAsia="en-GB"/>
        </w:rPr>
        <w:t xml:space="preserve"> in pearl millet-based porridges intended for African consumption contexts, </w:t>
      </w:r>
      <w:r w:rsidRPr="00687ABD">
        <w:rPr>
          <w:rFonts w:ascii="Times New Roman" w:eastAsia="Times New Roman" w:hAnsi="Times New Roman" w:cs="Times New Roman"/>
          <w:sz w:val="24"/>
          <w:szCs w:val="24"/>
          <w:lang w:eastAsia="en-GB"/>
        </w:rPr>
        <w:lastRenderedPageBreak/>
        <w:t>reflecting the technology's dual utility for both product diversification and nutritional enhancement (</w:t>
      </w:r>
      <w:proofErr w:type="spellStart"/>
      <w:r w:rsidRPr="00687ABD">
        <w:rPr>
          <w:rFonts w:ascii="Times New Roman" w:eastAsia="Times New Roman" w:hAnsi="Times New Roman" w:cs="Times New Roman"/>
          <w:sz w:val="24"/>
          <w:szCs w:val="24"/>
          <w:lang w:eastAsia="en-GB"/>
        </w:rPr>
        <w:t>Balyatanda</w:t>
      </w:r>
      <w:proofErr w:type="spellEnd"/>
      <w:r w:rsidRPr="00687ABD">
        <w:rPr>
          <w:rFonts w:ascii="Times New Roman" w:eastAsia="Times New Roman" w:hAnsi="Times New Roman" w:cs="Times New Roman"/>
          <w:sz w:val="24"/>
          <w:szCs w:val="24"/>
          <w:lang w:eastAsia="en-GB"/>
        </w:rPr>
        <w:t xml:space="preserve"> et al., 2024). More generally, thermal processing methods, including blanching, roasting and hydrothermal treatment, have proved effective in reducing tannin and phytate content, with one study reporting reductions in tannin and phytate content of up to approximately six per cent following hydrothermal treatment of pearl millet grain, alongside improvements in flavour stability and reduced rancidity development during storage (</w:t>
      </w:r>
      <w:proofErr w:type="spellStart"/>
      <w:r w:rsidRPr="00687ABD">
        <w:rPr>
          <w:rFonts w:ascii="Times New Roman" w:eastAsia="Times New Roman" w:hAnsi="Times New Roman" w:cs="Times New Roman"/>
          <w:sz w:val="24"/>
          <w:szCs w:val="24"/>
          <w:lang w:eastAsia="en-GB"/>
        </w:rPr>
        <w:t>Navinraj</w:t>
      </w:r>
      <w:proofErr w:type="spellEnd"/>
      <w:r w:rsidRPr="00687ABD">
        <w:rPr>
          <w:rFonts w:ascii="Times New Roman" w:eastAsia="Times New Roman" w:hAnsi="Times New Roman" w:cs="Times New Roman"/>
          <w:sz w:val="24"/>
          <w:szCs w:val="24"/>
          <w:lang w:eastAsia="en-GB"/>
        </w:rPr>
        <w:t xml:space="preserve"> et al., 2025).</w:t>
      </w:r>
    </w:p>
    <w:p w14:paraId="1A9936E4" w14:textId="77777777" w:rsidR="00687ABD" w:rsidRPr="00687ABD" w:rsidRDefault="00687ABD" w:rsidP="00687AB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7.5 Emerging and non-thermal processing technologies</w:t>
      </w:r>
    </w:p>
    <w:p w14:paraId="02DB9628"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 growing body of research has examined non-thermal processing technologies as alternatives or complements to conventional thermal treatments, motivated by the potential of these methods to reduce antinutrient content and enhance bioactive compound extractability while minimising the heat-induced degradation of thermolabile nutrients. Ultrasound processing has been shown to produce substantial changes in polyphenolic content and antioxidant properties of millet flours, with the magnitude of enhancement dependent on treatment intensity, duration and frequency (Rana et al., 2023). Cold plasma treatment has demonstrated efficacy in improving microbial safety and antioxidant status while reducing antinutritional factors including tannins and phytates, and has been proposed as a promising technology for scalable industrial application, although commercial-scale deployment for pearl millet specifically remains at a relatively early stage of development (</w:t>
      </w:r>
      <w:proofErr w:type="spellStart"/>
      <w:r w:rsidRPr="00687ABD">
        <w:rPr>
          <w:rFonts w:ascii="Times New Roman" w:eastAsia="Times New Roman" w:hAnsi="Times New Roman" w:cs="Times New Roman"/>
          <w:sz w:val="24"/>
          <w:szCs w:val="24"/>
          <w:lang w:eastAsia="en-GB"/>
        </w:rPr>
        <w:t>Balyatanda</w:t>
      </w:r>
      <w:proofErr w:type="spellEnd"/>
      <w:r w:rsidRPr="00687ABD">
        <w:rPr>
          <w:rFonts w:ascii="Times New Roman" w:eastAsia="Times New Roman" w:hAnsi="Times New Roman" w:cs="Times New Roman"/>
          <w:sz w:val="24"/>
          <w:szCs w:val="24"/>
          <w:lang w:eastAsia="en-GB"/>
        </w:rPr>
        <w:t xml:space="preserve"> et al., 2024). Physical modification of pearl millet starch through techniques such as heat-moisture treatment and microwave treatment has additionally been investigated as a means of tailoring functional properties, including gelatinisation temperature and paste viscosity, for specific food and non-food industrial applications. Table 5 draws together the effects of the processing interventions discussed across this section.</w:t>
      </w:r>
    </w:p>
    <w:p w14:paraId="3D1C4164"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b/>
          <w:bCs/>
          <w:sz w:val="24"/>
          <w:szCs w:val="24"/>
          <w:lang w:eastAsia="en-GB"/>
        </w:rPr>
        <w:t>Table 5. Effects of selected processing techniques on the nutritional and antinutritional profile of pearl millet</w:t>
      </w:r>
    </w:p>
    <w:tbl>
      <w:tblPr>
        <w:tblStyle w:val="TableGrid"/>
        <w:tblW w:w="0" w:type="auto"/>
        <w:tblLook w:val="04A0" w:firstRow="1" w:lastRow="0" w:firstColumn="1" w:lastColumn="0" w:noHBand="0" w:noVBand="1"/>
      </w:tblPr>
      <w:tblGrid>
        <w:gridCol w:w="3042"/>
        <w:gridCol w:w="6200"/>
      </w:tblGrid>
      <w:tr w:rsidR="00687ABD" w:rsidRPr="00687ABD" w14:paraId="377CE2FB" w14:textId="77777777" w:rsidTr="009715E1">
        <w:tc>
          <w:tcPr>
            <w:tcW w:w="0" w:type="auto"/>
            <w:hideMark/>
          </w:tcPr>
          <w:p w14:paraId="00057067" w14:textId="77777777" w:rsidR="00687ABD" w:rsidRPr="00687ABD" w:rsidRDefault="00687ABD" w:rsidP="00687ABD">
            <w:pPr>
              <w:jc w:val="center"/>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Processing technique</w:t>
            </w:r>
          </w:p>
        </w:tc>
        <w:tc>
          <w:tcPr>
            <w:tcW w:w="0" w:type="auto"/>
            <w:hideMark/>
          </w:tcPr>
          <w:p w14:paraId="6BB5C614" w14:textId="77777777" w:rsidR="00687ABD" w:rsidRPr="00687ABD" w:rsidRDefault="00687ABD" w:rsidP="00687ABD">
            <w:pPr>
              <w:jc w:val="center"/>
              <w:rPr>
                <w:rFonts w:ascii="Times New Roman" w:eastAsia="Times New Roman" w:hAnsi="Times New Roman" w:cs="Times New Roman"/>
                <w:b/>
                <w:bCs/>
                <w:sz w:val="24"/>
                <w:szCs w:val="24"/>
                <w:lang w:eastAsia="en-GB"/>
              </w:rPr>
            </w:pPr>
            <w:r w:rsidRPr="00687ABD">
              <w:rPr>
                <w:rFonts w:ascii="Times New Roman" w:eastAsia="Times New Roman" w:hAnsi="Times New Roman" w:cs="Times New Roman"/>
                <w:b/>
                <w:bCs/>
                <w:sz w:val="24"/>
                <w:szCs w:val="24"/>
                <w:lang w:eastAsia="en-GB"/>
              </w:rPr>
              <w:t>Principal reported effects</w:t>
            </w:r>
          </w:p>
        </w:tc>
      </w:tr>
      <w:tr w:rsidR="00687ABD" w:rsidRPr="00687ABD" w14:paraId="42324854" w14:textId="77777777" w:rsidTr="009715E1">
        <w:tc>
          <w:tcPr>
            <w:tcW w:w="0" w:type="auto"/>
            <w:hideMark/>
          </w:tcPr>
          <w:p w14:paraId="4D1C863C"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Decortication/dehulling</w:t>
            </w:r>
          </w:p>
        </w:tc>
        <w:tc>
          <w:tcPr>
            <w:tcW w:w="0" w:type="auto"/>
            <w:hideMark/>
          </w:tcPr>
          <w:p w14:paraId="5A567779"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Reduced phytate and tannin content; improved protein digestibility; excessive decortication reduces protein content</w:t>
            </w:r>
          </w:p>
        </w:tc>
      </w:tr>
      <w:tr w:rsidR="00687ABD" w:rsidRPr="00687ABD" w14:paraId="19DCFD09" w14:textId="77777777" w:rsidTr="009715E1">
        <w:tc>
          <w:tcPr>
            <w:tcW w:w="0" w:type="auto"/>
            <w:hideMark/>
          </w:tcPr>
          <w:p w14:paraId="1E0DA385"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Germination/malting</w:t>
            </w:r>
          </w:p>
        </w:tc>
        <w:tc>
          <w:tcPr>
            <w:tcW w:w="0" w:type="auto"/>
            <w:hideMark/>
          </w:tcPr>
          <w:p w14:paraId="0C46F977"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Reduced phytic acid and tannin content; improved mineral </w:t>
            </w:r>
            <w:proofErr w:type="spellStart"/>
            <w:r w:rsidRPr="00687ABD">
              <w:rPr>
                <w:rFonts w:ascii="Times New Roman" w:eastAsia="Times New Roman" w:hAnsi="Times New Roman" w:cs="Times New Roman"/>
                <w:sz w:val="24"/>
                <w:szCs w:val="24"/>
                <w:lang w:eastAsia="en-GB"/>
              </w:rPr>
              <w:t>bioaccessibility</w:t>
            </w:r>
            <w:proofErr w:type="spellEnd"/>
            <w:r w:rsidRPr="00687ABD">
              <w:rPr>
                <w:rFonts w:ascii="Times New Roman" w:eastAsia="Times New Roman" w:hAnsi="Times New Roman" w:cs="Times New Roman"/>
                <w:sz w:val="24"/>
                <w:szCs w:val="24"/>
                <w:lang w:eastAsia="en-GB"/>
              </w:rPr>
              <w:t>; modest fibre increase</w:t>
            </w:r>
          </w:p>
        </w:tc>
      </w:tr>
      <w:tr w:rsidR="00687ABD" w:rsidRPr="00687ABD" w14:paraId="7833C64F" w14:textId="77777777" w:rsidTr="009715E1">
        <w:tc>
          <w:tcPr>
            <w:tcW w:w="0" w:type="auto"/>
            <w:hideMark/>
          </w:tcPr>
          <w:p w14:paraId="4DE3FB97"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Fermentation</w:t>
            </w:r>
          </w:p>
        </w:tc>
        <w:tc>
          <w:tcPr>
            <w:tcW w:w="0" w:type="auto"/>
            <w:hideMark/>
          </w:tcPr>
          <w:p w14:paraId="3E37A7F9"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Increased soluble fibre, protein, B-vitamins, phenolic content and antioxidant capacity; substantial tannin reduction; improved digestibility</w:t>
            </w:r>
          </w:p>
        </w:tc>
      </w:tr>
      <w:tr w:rsidR="00687ABD" w:rsidRPr="00687ABD" w14:paraId="77DEDD58" w14:textId="77777777" w:rsidTr="009715E1">
        <w:tc>
          <w:tcPr>
            <w:tcW w:w="0" w:type="auto"/>
            <w:hideMark/>
          </w:tcPr>
          <w:p w14:paraId="754BB025"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Extrusion cooking</w:t>
            </w:r>
          </w:p>
        </w:tc>
        <w:tc>
          <w:tcPr>
            <w:tcW w:w="0" w:type="auto"/>
            <w:hideMark/>
          </w:tcPr>
          <w:p w14:paraId="73B1678F"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Improved product diversification and mineral </w:t>
            </w:r>
            <w:proofErr w:type="spellStart"/>
            <w:r w:rsidRPr="00687ABD">
              <w:rPr>
                <w:rFonts w:ascii="Times New Roman" w:eastAsia="Times New Roman" w:hAnsi="Times New Roman" w:cs="Times New Roman"/>
                <w:sz w:val="24"/>
                <w:szCs w:val="24"/>
                <w:lang w:eastAsia="en-GB"/>
              </w:rPr>
              <w:t>bioaccessibility</w:t>
            </w:r>
            <w:proofErr w:type="spellEnd"/>
            <w:r w:rsidRPr="00687ABD">
              <w:rPr>
                <w:rFonts w:ascii="Times New Roman" w:eastAsia="Times New Roman" w:hAnsi="Times New Roman" w:cs="Times New Roman"/>
                <w:sz w:val="24"/>
                <w:szCs w:val="24"/>
                <w:lang w:eastAsia="en-GB"/>
              </w:rPr>
              <w:t>; may reduce fat and fibre content depending on process combination</w:t>
            </w:r>
          </w:p>
        </w:tc>
      </w:tr>
      <w:tr w:rsidR="00687ABD" w:rsidRPr="00687ABD" w14:paraId="3D4DC67B" w14:textId="77777777" w:rsidTr="009715E1">
        <w:tc>
          <w:tcPr>
            <w:tcW w:w="0" w:type="auto"/>
            <w:hideMark/>
          </w:tcPr>
          <w:p w14:paraId="3BDE77AC"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Hydrothermal/thermal treatment</w:t>
            </w:r>
          </w:p>
        </w:tc>
        <w:tc>
          <w:tcPr>
            <w:tcW w:w="0" w:type="auto"/>
            <w:hideMark/>
          </w:tcPr>
          <w:p w14:paraId="60A1E151"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Reduced tannin and phytate content; improved flavour and storage stability</w:t>
            </w:r>
          </w:p>
        </w:tc>
      </w:tr>
      <w:tr w:rsidR="00687ABD" w:rsidRPr="00687ABD" w14:paraId="11DA0FFB" w14:textId="77777777" w:rsidTr="009715E1">
        <w:tc>
          <w:tcPr>
            <w:tcW w:w="0" w:type="auto"/>
            <w:hideMark/>
          </w:tcPr>
          <w:p w14:paraId="6BC41F4B"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Non-thermal (ultrasound, cold plasma)</w:t>
            </w:r>
          </w:p>
        </w:tc>
        <w:tc>
          <w:tcPr>
            <w:tcW w:w="0" w:type="auto"/>
            <w:hideMark/>
          </w:tcPr>
          <w:p w14:paraId="5DF16C71" w14:textId="77777777" w:rsidR="00687ABD" w:rsidRPr="00687ABD" w:rsidRDefault="00687ABD" w:rsidP="00687ABD">
            <w:pPr>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Enhanced polyphenol extractability and antioxidant activity; reduced antinutrients; improved microbial safety</w:t>
            </w:r>
          </w:p>
        </w:tc>
      </w:tr>
    </w:tbl>
    <w:p w14:paraId="75A3DD5B"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i/>
          <w:iCs/>
          <w:sz w:val="24"/>
          <w:szCs w:val="24"/>
          <w:lang w:eastAsia="en-GB"/>
        </w:rPr>
        <w:t xml:space="preserve">Sources: </w:t>
      </w:r>
      <w:proofErr w:type="spellStart"/>
      <w:r w:rsidRPr="00687ABD">
        <w:rPr>
          <w:rFonts w:ascii="Times New Roman" w:eastAsia="Times New Roman" w:hAnsi="Times New Roman" w:cs="Times New Roman"/>
          <w:i/>
          <w:iCs/>
          <w:sz w:val="24"/>
          <w:szCs w:val="24"/>
          <w:lang w:eastAsia="en-GB"/>
        </w:rPr>
        <w:t>Balyatanda</w:t>
      </w:r>
      <w:proofErr w:type="spellEnd"/>
      <w:r w:rsidRPr="00687ABD">
        <w:rPr>
          <w:rFonts w:ascii="Times New Roman" w:eastAsia="Times New Roman" w:hAnsi="Times New Roman" w:cs="Times New Roman"/>
          <w:i/>
          <w:iCs/>
          <w:sz w:val="24"/>
          <w:szCs w:val="24"/>
          <w:lang w:eastAsia="en-GB"/>
        </w:rPr>
        <w:t xml:space="preserve"> et al. (2024); Kaila et al. (2025); Nanje Gowda et al. (2022); </w:t>
      </w:r>
      <w:proofErr w:type="spellStart"/>
      <w:r w:rsidRPr="00687ABD">
        <w:rPr>
          <w:rFonts w:ascii="Times New Roman" w:eastAsia="Times New Roman" w:hAnsi="Times New Roman" w:cs="Times New Roman"/>
          <w:i/>
          <w:iCs/>
          <w:sz w:val="24"/>
          <w:szCs w:val="24"/>
          <w:lang w:eastAsia="en-GB"/>
        </w:rPr>
        <w:t>Navinraj</w:t>
      </w:r>
      <w:proofErr w:type="spellEnd"/>
      <w:r w:rsidRPr="00687ABD">
        <w:rPr>
          <w:rFonts w:ascii="Times New Roman" w:eastAsia="Times New Roman" w:hAnsi="Times New Roman" w:cs="Times New Roman"/>
          <w:i/>
          <w:iCs/>
          <w:sz w:val="24"/>
          <w:szCs w:val="24"/>
          <w:lang w:eastAsia="en-GB"/>
        </w:rPr>
        <w:t xml:space="preserve"> et al. (2025); Rana et al. (2023).</w:t>
      </w:r>
    </w:p>
    <w:p w14:paraId="2A6FEFB6" w14:textId="77777777" w:rsidR="00687ABD" w:rsidRPr="00687ABD" w:rsidRDefault="00687ABD" w:rsidP="00687AB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8. Value-Added Products and Industrial Applications</w:t>
      </w:r>
    </w:p>
    <w:p w14:paraId="234BD224"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lastRenderedPageBreak/>
        <w:t>The processing technologies described above underpin a growing range of value-added pearl millet products spanning traditional and modern food categories. In West African consumption contexts, fermented porridges, gruels and non-alcoholic beverages remain central to dietary use, with fermentation contributing both to nutritional enhancement and to the distinctive sour flavour profiles characteristic of traditional African millet-based beverages (Hassan et al., 2021). In South Asian contexts, pearl millet flour is used predominantly in the preparation of unleavened flatbreads, although increasing formal-sector interest has extended its application into bakery products, pasta and extended shelf-life extruded snacks, and this shift toward value-added formats is itself a documented response to declining direct consumption of the raw grain among urban Indian households (Ansari et al., 2025).</w:t>
      </w:r>
    </w:p>
    <w:p w14:paraId="2EC96B52"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Beyond direct food applications, pearl millet starch has attracted attention as an industrial functional ingredient, owing to its distinctive granule morphology, comprising small to large, spherical to polygonal granules exhibiting surface pores and indentations, and its favourable techno-functional characteristics including swelling capacity, solubility and pasting behaviour. These properties support its use as a thickening, gelling and bulking agent in food formulations, and as a texture modifier and fat replacer in products such as ice cream (Sibanda et al., 2024). Composite flour development combining pearl millet with complementary protein and micronutrient sources, such as </w:t>
      </w:r>
      <w:r w:rsidRPr="00687ABD">
        <w:rPr>
          <w:rFonts w:ascii="Times New Roman" w:eastAsia="Times New Roman" w:hAnsi="Times New Roman" w:cs="Times New Roman"/>
          <w:i/>
          <w:iCs/>
          <w:sz w:val="24"/>
          <w:szCs w:val="24"/>
          <w:lang w:eastAsia="en-GB"/>
        </w:rPr>
        <w:t>Moringa oleifera</w:t>
      </w:r>
      <w:r w:rsidRPr="00687ABD">
        <w:rPr>
          <w:rFonts w:ascii="Times New Roman" w:eastAsia="Times New Roman" w:hAnsi="Times New Roman" w:cs="Times New Roman"/>
          <w:sz w:val="24"/>
          <w:szCs w:val="24"/>
          <w:lang w:eastAsia="en-GB"/>
        </w:rPr>
        <w:t xml:space="preserve"> leaf powder, has demonstrated the feasibility of optimised mixture-design approaches for simultaneously maximising protein content and minimising saturated fat in fortified meal products, with reported protein increases of up to twenty-two per cent and total polyphenol increases of up to eighty per cent relative to unfortified pearl millet flour (Sibanda et al., 2024). Incorporation of pearl millet starch and germ complexes into wheat-based bread formulations has also been investigated for its capacity to modulate glycaemic response in healthy and pre-diabetic populations, reflecting the broader trend towards positioning pearl millet-derived ingredients within functional and medical nutrition product categories rather than solely within traditional staple food markets. The continued expansion of the global millet-based snack and packaged food market, projected to grow substantially over the remainder of the decade, suggests that this diversification of pearl millet product applications is likely to accelerate, provided that persistent constraints in supply chain infrastructure, quality standardisation and consumer awareness are progressively addressed (Muskan et al., 2025).</w:t>
      </w:r>
    </w:p>
    <w:p w14:paraId="00270422" w14:textId="77777777" w:rsidR="00687ABD" w:rsidRPr="00687ABD" w:rsidRDefault="00687ABD" w:rsidP="00687AB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9. Future Directions</w:t>
      </w:r>
    </w:p>
    <w:p w14:paraId="73D62992"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Several priority areas merit sustained research attention if the nutritional, agronomic and commercial potential of pearl millet is to be more fully realised. Further integration of genomics-assisted breeding with biofortification objectives is warranted, particularly to combine elevated grain iron and zinc density with reduced phytic acid and goitrogenic C-</w:t>
      </w:r>
      <w:proofErr w:type="spellStart"/>
      <w:r w:rsidRPr="00687ABD">
        <w:rPr>
          <w:rFonts w:ascii="Times New Roman" w:eastAsia="Times New Roman" w:hAnsi="Times New Roman" w:cs="Times New Roman"/>
          <w:sz w:val="24"/>
          <w:szCs w:val="24"/>
          <w:lang w:eastAsia="en-GB"/>
        </w:rPr>
        <w:t>glycosylflavone</w:t>
      </w:r>
      <w:proofErr w:type="spellEnd"/>
      <w:r w:rsidRPr="00687ABD">
        <w:rPr>
          <w:rFonts w:ascii="Times New Roman" w:eastAsia="Times New Roman" w:hAnsi="Times New Roman" w:cs="Times New Roman"/>
          <w:sz w:val="24"/>
          <w:szCs w:val="24"/>
          <w:lang w:eastAsia="en-GB"/>
        </w:rPr>
        <w:t xml:space="preserve"> content within single elite cultivars, a combination that has proven genetically and logistically challenging to achieve simultaneously given the partially overlapping biosynthetic pathways involved. There also remains a need for expanded human bioavailability and </w:t>
      </w:r>
      <w:proofErr w:type="spellStart"/>
      <w:r w:rsidRPr="00687ABD">
        <w:rPr>
          <w:rFonts w:ascii="Times New Roman" w:eastAsia="Times New Roman" w:hAnsi="Times New Roman" w:cs="Times New Roman"/>
          <w:sz w:val="24"/>
          <w:szCs w:val="24"/>
          <w:lang w:eastAsia="en-GB"/>
        </w:rPr>
        <w:t>bioaccessibility</w:t>
      </w:r>
      <w:proofErr w:type="spellEnd"/>
      <w:r w:rsidRPr="00687ABD">
        <w:rPr>
          <w:rFonts w:ascii="Times New Roman" w:eastAsia="Times New Roman" w:hAnsi="Times New Roman" w:cs="Times New Roman"/>
          <w:sz w:val="24"/>
          <w:szCs w:val="24"/>
          <w:lang w:eastAsia="en-GB"/>
        </w:rPr>
        <w:t xml:space="preserve"> studies conducted in vivo, since the substantial existing literature on antinutrient reduction relies predominantly on in vitro digestion models and animal studies, which may not fully predict outcomes in human populations with varying baseline micronutrient status. Comparative techno-economic assessment of emerging non-thermal processing technologies, including cold plasma and ultrasound treatment, is required to establish whether the nutritional and functional benefits demonstrated at laboratory scale can be economically replicated at the industrial scale necessary for meaningful market </w:t>
      </w:r>
      <w:r w:rsidRPr="00687ABD">
        <w:rPr>
          <w:rFonts w:ascii="Times New Roman" w:eastAsia="Times New Roman" w:hAnsi="Times New Roman" w:cs="Times New Roman"/>
          <w:sz w:val="24"/>
          <w:szCs w:val="24"/>
          <w:lang w:eastAsia="en-GB"/>
        </w:rPr>
        <w:lastRenderedPageBreak/>
        <w:t>impact, particularly within the resource-constrained processing environments characteristic of many pearl millet-producing regions. Further research is also needed to characterise genotype-by-environment interactions affecting grain nutritional quality across the diverse agroecological zones in which pearl millet is cultivated, given that existing composition data are frequently drawn from a limited number of growing environments and may not adequately represent the nutritional variability encountered across the crop's full production range. Given the documented decline in direct household consumption of pearl millet even in its historical core-producing regions, demand-side research examining how value addition, public procurement and dietary promotion policy can be used to sustain consumption alongside continued yield growth deserves greater attention. Finally, continued investment in mechanised, purpose-designed primary processing equipment adapted to the specific physical characteristics of pearl millet grain would materially improve processing efficiency and reduce postharvest losses across the value chain, complementing ongoing efforts in genetic improvement and food product innovation.</w:t>
      </w:r>
    </w:p>
    <w:p w14:paraId="7A05C018" w14:textId="77777777" w:rsidR="00687ABD" w:rsidRPr="00687ABD" w:rsidRDefault="00687ABD" w:rsidP="00687AB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10. Conclusions</w:t>
      </w:r>
    </w:p>
    <w:p w14:paraId="49A76343"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Pearl millet occupies a distinctive position among global cereal crops, combining exceptional agronomic resilience to drought, heat and marginal soil conditions with a grain nutritional profile that, in several respects, exceeds that of the major cereals on which global food systems remain heavily dependent. The crop's elevated protein, fibre and mineral density, favourable glycaemic properties, and naturally gluten-free status position it as a credible contributor to both food security in traditional producing regions and functional food innovation in higher-income consumer markets. Realising this potential in practice depends substantially on the effective management of antinutritional constraints, principally phytic acid, tannins and goitrogenic C-</w:t>
      </w:r>
      <w:proofErr w:type="spellStart"/>
      <w:r w:rsidRPr="00687ABD">
        <w:rPr>
          <w:rFonts w:ascii="Times New Roman" w:eastAsia="Times New Roman" w:hAnsi="Times New Roman" w:cs="Times New Roman"/>
          <w:sz w:val="24"/>
          <w:szCs w:val="24"/>
          <w:lang w:eastAsia="en-GB"/>
        </w:rPr>
        <w:t>glycosylflavones</w:t>
      </w:r>
      <w:proofErr w:type="spellEnd"/>
      <w:r w:rsidRPr="00687ABD">
        <w:rPr>
          <w:rFonts w:ascii="Times New Roman" w:eastAsia="Times New Roman" w:hAnsi="Times New Roman" w:cs="Times New Roman"/>
          <w:sz w:val="24"/>
          <w:szCs w:val="24"/>
          <w:lang w:eastAsia="en-GB"/>
        </w:rPr>
        <w:t>, through appropriate combinations of genetic improvement and processing intervention. The evidence reviewed here indicates that fermentation, germination and malting represent particularly effective processing strategies for simultaneously enhancing nutrient bioavailability and product shelf life, while emerging non-thermal technologies offer promising, though not yet fully commercially validated, complementary approaches. The production picture that emerges from West Africa and India also shows that agronomic resilience alone does not guarantee a secure future for the crop: yield gains and biofortification progress in India have coincided with a marked fall in direct household consumption, while West African output remains constrained by low input use and high year-to-year variability. Continued coordinated investment across breeding, processing technology and value-chain infrastructure will therefore be necessary to translate the substantial scientific progress documented in the recent literature into measurable improvements in farmer livelihoods, consumer nutrition and the broader resilience of global food systems to climatic disruption.</w:t>
      </w:r>
    </w:p>
    <w:p w14:paraId="3597D5A3" w14:textId="77777777" w:rsidR="00687ABD" w:rsidRPr="00687ABD" w:rsidRDefault="00687ABD" w:rsidP="00687AB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11. Limitations</w:t>
      </w:r>
    </w:p>
    <w:p w14:paraId="1CEB8EF5" w14:textId="77777777" w:rsid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This review is subject to several limitations that should be considered when interpreting its findings. The narrative review methodology, while well suited to the integrative objectives of this work, does not incorporate the formal risk-of-bias assessment or quantitative effect-size pooling characteristic of systematic reviews and meta-analyses, and the selection and interpretation of included studies, although conducted according to a structured and transparent search protocol, retains an inherent degree of subjectivity. The restriction of included sources to English-language publications may have excluded relevant findings published in French, Hindi or other languages widely used in major pearl millet-producing </w:t>
      </w:r>
      <w:r w:rsidRPr="00687ABD">
        <w:rPr>
          <w:rFonts w:ascii="Times New Roman" w:eastAsia="Times New Roman" w:hAnsi="Times New Roman" w:cs="Times New Roman"/>
          <w:sz w:val="24"/>
          <w:szCs w:val="24"/>
          <w:lang w:eastAsia="en-GB"/>
        </w:rPr>
        <w:lastRenderedPageBreak/>
        <w:t>regions, potentially introducing a geographic and linguistic bias into the evidence base synthesised here. Much of the compositional and processing data reviewed originate from laboratory-scale studies conducted under controlled conditions, which may not fully capture the variability encountered under commercial processing scale or the diverse agroecological and socioeconomic contexts in which pearl millet is cultivated and consumed globally. The regional production data presented in Section 3.1 are also drawn from sources spanning different reference years, since consistent, crop-specific, up-to-date statistics for pearl millet alone are not uniformly available across all producing countries; figures should therefore be read as indicative of relative scale and long-term trend rather than as precisely comparable across countries or years. Finally, the rapidly evolving nature of pearl millet genomics and biofortification research means that this review, despite covering literature up to April 2026, should be understood as a synthesis of the evidence available at the time of writing rather than a permanently definitive account of the field.</w:t>
      </w:r>
    </w:p>
    <w:p w14:paraId="45261578" w14:textId="77777777" w:rsidR="007F6C7C" w:rsidRPr="000839CE" w:rsidRDefault="007F6C7C" w:rsidP="007F6C7C">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61127741" w14:textId="77777777" w:rsidR="007F6C7C" w:rsidRPr="000839CE" w:rsidRDefault="007F6C7C" w:rsidP="007F6C7C">
      <w:pPr>
        <w:spacing w:after="0" w:line="240" w:lineRule="auto"/>
        <w:rPr>
          <w:rFonts w:ascii="Times New Roman" w:hAnsi="Times New Roman" w:cs="Times New Roman"/>
        </w:rPr>
      </w:pPr>
    </w:p>
    <w:p w14:paraId="1C75F093" w14:textId="77777777" w:rsidR="007F6C7C" w:rsidRPr="000839CE" w:rsidRDefault="007F6C7C" w:rsidP="007F6C7C">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9C9FE1B" w14:textId="77777777" w:rsidR="007F6C7C" w:rsidRPr="00687ABD" w:rsidRDefault="007F6C7C" w:rsidP="00687ABD">
      <w:pPr>
        <w:spacing w:before="100" w:beforeAutospacing="1" w:after="100" w:afterAutospacing="1" w:line="240" w:lineRule="auto"/>
        <w:rPr>
          <w:rFonts w:ascii="Times New Roman" w:eastAsia="Times New Roman" w:hAnsi="Times New Roman" w:cs="Times New Roman"/>
          <w:sz w:val="24"/>
          <w:szCs w:val="24"/>
          <w:lang w:eastAsia="en-GB"/>
        </w:rPr>
      </w:pPr>
    </w:p>
    <w:p w14:paraId="13D7FE16" w14:textId="77777777" w:rsidR="00687ABD" w:rsidRPr="00687ABD" w:rsidRDefault="00687ABD" w:rsidP="00687AB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87ABD">
        <w:rPr>
          <w:rFonts w:ascii="Times New Roman" w:eastAsia="Times New Roman" w:hAnsi="Times New Roman" w:cs="Times New Roman"/>
          <w:b/>
          <w:bCs/>
          <w:sz w:val="27"/>
          <w:szCs w:val="27"/>
          <w:lang w:eastAsia="en-GB"/>
        </w:rPr>
        <w:t>References</w:t>
      </w:r>
    </w:p>
    <w:p w14:paraId="603B447E"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Akeem, S. A., Mustapha, B. O., Ayinla, R. O., Ajibola, O., Johnson, W. O., &amp; Akintayo, O. A. (2023). Physical characteristics, nutritional composition and acceptability of gluten-free crackers produced from germinated pearl millet (</w:t>
      </w:r>
      <w:r w:rsidRPr="00687ABD">
        <w:rPr>
          <w:rFonts w:ascii="Times New Roman" w:eastAsia="Times New Roman" w:hAnsi="Times New Roman" w:cs="Times New Roman"/>
          <w:i/>
          <w:iCs/>
          <w:sz w:val="24"/>
          <w:szCs w:val="24"/>
          <w:lang w:eastAsia="en-GB"/>
        </w:rPr>
        <w:t>Pennisetum glaucum</w:t>
      </w:r>
      <w:r w:rsidRPr="00687ABD">
        <w:rPr>
          <w:rFonts w:ascii="Times New Roman" w:eastAsia="Times New Roman" w:hAnsi="Times New Roman" w:cs="Times New Roman"/>
          <w:sz w:val="24"/>
          <w:szCs w:val="24"/>
          <w:lang w:eastAsia="en-GB"/>
        </w:rPr>
        <w:t>), defatted-sesame seed (</w:t>
      </w:r>
      <w:r w:rsidRPr="00687ABD">
        <w:rPr>
          <w:rFonts w:ascii="Times New Roman" w:eastAsia="Times New Roman" w:hAnsi="Times New Roman" w:cs="Times New Roman"/>
          <w:i/>
          <w:iCs/>
          <w:sz w:val="24"/>
          <w:szCs w:val="24"/>
          <w:lang w:eastAsia="en-GB"/>
        </w:rPr>
        <w:t>Sesamum indicum</w:t>
      </w:r>
      <w:r w:rsidRPr="00687ABD">
        <w:rPr>
          <w:rFonts w:ascii="Times New Roman" w:eastAsia="Times New Roman" w:hAnsi="Times New Roman" w:cs="Times New Roman"/>
          <w:sz w:val="24"/>
          <w:szCs w:val="24"/>
          <w:lang w:eastAsia="en-GB"/>
        </w:rPr>
        <w:t>) and defatted-</w:t>
      </w:r>
      <w:proofErr w:type="spellStart"/>
      <w:r w:rsidRPr="00687ABD">
        <w:rPr>
          <w:rFonts w:ascii="Times New Roman" w:eastAsia="Times New Roman" w:hAnsi="Times New Roman" w:cs="Times New Roman"/>
          <w:sz w:val="24"/>
          <w:szCs w:val="24"/>
          <w:lang w:eastAsia="en-GB"/>
        </w:rPr>
        <w:t>tigernut</w:t>
      </w:r>
      <w:proofErr w:type="spellEnd"/>
      <w:r w:rsidRPr="00687ABD">
        <w:rPr>
          <w:rFonts w:ascii="Times New Roman" w:eastAsia="Times New Roman" w:hAnsi="Times New Roman" w:cs="Times New Roman"/>
          <w:sz w:val="24"/>
          <w:szCs w:val="24"/>
          <w:lang w:eastAsia="en-GB"/>
        </w:rPr>
        <w:t xml:space="preserve"> (</w:t>
      </w:r>
      <w:r w:rsidRPr="00687ABD">
        <w:rPr>
          <w:rFonts w:ascii="Times New Roman" w:eastAsia="Times New Roman" w:hAnsi="Times New Roman" w:cs="Times New Roman"/>
          <w:i/>
          <w:iCs/>
          <w:sz w:val="24"/>
          <w:szCs w:val="24"/>
          <w:lang w:eastAsia="en-GB"/>
        </w:rPr>
        <w:t>Cyperus esculentus</w:t>
      </w:r>
      <w:r w:rsidRPr="00687ABD">
        <w:rPr>
          <w:rFonts w:ascii="Times New Roman" w:eastAsia="Times New Roman" w:hAnsi="Times New Roman" w:cs="Times New Roman"/>
          <w:sz w:val="24"/>
          <w:szCs w:val="24"/>
          <w:lang w:eastAsia="en-GB"/>
        </w:rPr>
        <w:t xml:space="preserve">) composite flours. </w:t>
      </w:r>
      <w:r w:rsidRPr="00687ABD">
        <w:rPr>
          <w:rFonts w:ascii="Times New Roman" w:eastAsia="Times New Roman" w:hAnsi="Times New Roman" w:cs="Times New Roman"/>
          <w:i/>
          <w:iCs/>
          <w:sz w:val="24"/>
          <w:szCs w:val="24"/>
          <w:lang w:eastAsia="en-GB"/>
        </w:rPr>
        <w:t>Discover Food, 3</w:t>
      </w:r>
      <w:r w:rsidRPr="00687ABD">
        <w:rPr>
          <w:rFonts w:ascii="Times New Roman" w:eastAsia="Times New Roman" w:hAnsi="Times New Roman" w:cs="Times New Roman"/>
          <w:sz w:val="24"/>
          <w:szCs w:val="24"/>
          <w:lang w:eastAsia="en-GB"/>
        </w:rPr>
        <w:t xml:space="preserve">(1), 22. </w:t>
      </w:r>
      <w:r w:rsidRPr="00687ABD">
        <w:rPr>
          <w:rFonts w:ascii="Times New Roman" w:eastAsia="Times New Roman" w:hAnsi="Times New Roman" w:cs="Times New Roman"/>
          <w:color w:val="0000FF"/>
          <w:sz w:val="24"/>
          <w:szCs w:val="24"/>
          <w:u w:val="single"/>
          <w:lang w:eastAsia="en-GB"/>
        </w:rPr>
        <w:t>https://doi.org/10.1007/s44187-023-00063-7</w:t>
      </w:r>
    </w:p>
    <w:p w14:paraId="5CBF7FF2"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Anitha, S., Kane-</w:t>
      </w:r>
      <w:proofErr w:type="spellStart"/>
      <w:r w:rsidRPr="00687ABD">
        <w:rPr>
          <w:rFonts w:ascii="Times New Roman" w:eastAsia="Times New Roman" w:hAnsi="Times New Roman" w:cs="Times New Roman"/>
          <w:sz w:val="24"/>
          <w:szCs w:val="24"/>
          <w:lang w:eastAsia="en-GB"/>
        </w:rPr>
        <w:t>Potaka</w:t>
      </w:r>
      <w:proofErr w:type="spellEnd"/>
      <w:r w:rsidRPr="00687ABD">
        <w:rPr>
          <w:rFonts w:ascii="Times New Roman" w:eastAsia="Times New Roman" w:hAnsi="Times New Roman" w:cs="Times New Roman"/>
          <w:sz w:val="24"/>
          <w:szCs w:val="24"/>
          <w:lang w:eastAsia="en-GB"/>
        </w:rPr>
        <w:t xml:space="preserve">, J., </w:t>
      </w:r>
      <w:proofErr w:type="spellStart"/>
      <w:r w:rsidRPr="00687ABD">
        <w:rPr>
          <w:rFonts w:ascii="Times New Roman" w:eastAsia="Times New Roman" w:hAnsi="Times New Roman" w:cs="Times New Roman"/>
          <w:sz w:val="24"/>
          <w:szCs w:val="24"/>
          <w:lang w:eastAsia="en-GB"/>
        </w:rPr>
        <w:t>Tsusaka</w:t>
      </w:r>
      <w:proofErr w:type="spellEnd"/>
      <w:r w:rsidRPr="00687ABD">
        <w:rPr>
          <w:rFonts w:ascii="Times New Roman" w:eastAsia="Times New Roman" w:hAnsi="Times New Roman" w:cs="Times New Roman"/>
          <w:sz w:val="24"/>
          <w:szCs w:val="24"/>
          <w:lang w:eastAsia="en-GB"/>
        </w:rPr>
        <w:t xml:space="preserve">, T. W., Botha, R., Rajendran, A., Givens, D. I., </w:t>
      </w:r>
      <w:proofErr w:type="spellStart"/>
      <w:r w:rsidRPr="00687ABD">
        <w:rPr>
          <w:rFonts w:ascii="Times New Roman" w:eastAsia="Times New Roman" w:hAnsi="Times New Roman" w:cs="Times New Roman"/>
          <w:sz w:val="24"/>
          <w:szCs w:val="24"/>
          <w:lang w:eastAsia="en-GB"/>
        </w:rPr>
        <w:t>Parasannanavar</w:t>
      </w:r>
      <w:proofErr w:type="spellEnd"/>
      <w:r w:rsidRPr="00687ABD">
        <w:rPr>
          <w:rFonts w:ascii="Times New Roman" w:eastAsia="Times New Roman" w:hAnsi="Times New Roman" w:cs="Times New Roman"/>
          <w:sz w:val="24"/>
          <w:szCs w:val="24"/>
          <w:lang w:eastAsia="en-GB"/>
        </w:rPr>
        <w:t xml:space="preserve">, D. J., Subramaniam, K., Prasad, K. D. V., Vetriventhan, M., &amp; Bhandari, R. K. (2021). A systematic review and meta-analysis of the potential of millets for managing and reducing the risk of developing diabetes mellitus. </w:t>
      </w:r>
      <w:r w:rsidRPr="00687ABD">
        <w:rPr>
          <w:rFonts w:ascii="Times New Roman" w:eastAsia="Times New Roman" w:hAnsi="Times New Roman" w:cs="Times New Roman"/>
          <w:i/>
          <w:iCs/>
          <w:sz w:val="24"/>
          <w:szCs w:val="24"/>
          <w:lang w:eastAsia="en-GB"/>
        </w:rPr>
        <w:t>Frontiers in Nutrition, 8</w:t>
      </w:r>
      <w:r w:rsidRPr="00687ABD">
        <w:rPr>
          <w:rFonts w:ascii="Times New Roman" w:eastAsia="Times New Roman" w:hAnsi="Times New Roman" w:cs="Times New Roman"/>
          <w:sz w:val="24"/>
          <w:szCs w:val="24"/>
          <w:lang w:eastAsia="en-GB"/>
        </w:rPr>
        <w:t xml:space="preserve">, 687428. </w:t>
      </w:r>
      <w:r w:rsidRPr="00687ABD">
        <w:rPr>
          <w:rFonts w:ascii="Times New Roman" w:eastAsia="Times New Roman" w:hAnsi="Times New Roman" w:cs="Times New Roman"/>
          <w:color w:val="0000FF"/>
          <w:sz w:val="24"/>
          <w:szCs w:val="24"/>
          <w:u w:val="single"/>
          <w:lang w:eastAsia="en-GB"/>
        </w:rPr>
        <w:t>https://doi.org/10.3389/fnut.2021.687428</w:t>
      </w:r>
    </w:p>
    <w:p w14:paraId="399C4F84"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Ansari, K. H., </w:t>
      </w:r>
      <w:proofErr w:type="spellStart"/>
      <w:r w:rsidRPr="00687ABD">
        <w:rPr>
          <w:rFonts w:ascii="Times New Roman" w:eastAsia="Times New Roman" w:hAnsi="Times New Roman" w:cs="Times New Roman"/>
          <w:sz w:val="24"/>
          <w:szCs w:val="24"/>
          <w:lang w:eastAsia="en-GB"/>
        </w:rPr>
        <w:t>Muniyoor</w:t>
      </w:r>
      <w:proofErr w:type="spellEnd"/>
      <w:r w:rsidRPr="00687ABD">
        <w:rPr>
          <w:rFonts w:ascii="Times New Roman" w:eastAsia="Times New Roman" w:hAnsi="Times New Roman" w:cs="Times New Roman"/>
          <w:sz w:val="24"/>
          <w:szCs w:val="24"/>
          <w:lang w:eastAsia="en-GB"/>
        </w:rPr>
        <w:t xml:space="preserve">, K., &amp; </w:t>
      </w:r>
      <w:proofErr w:type="spellStart"/>
      <w:r w:rsidRPr="00687ABD">
        <w:rPr>
          <w:rFonts w:ascii="Times New Roman" w:eastAsia="Times New Roman" w:hAnsi="Times New Roman" w:cs="Times New Roman"/>
          <w:sz w:val="24"/>
          <w:szCs w:val="24"/>
          <w:lang w:eastAsia="en-GB"/>
        </w:rPr>
        <w:t>Routroy</w:t>
      </w:r>
      <w:proofErr w:type="spellEnd"/>
      <w:r w:rsidRPr="00687ABD">
        <w:rPr>
          <w:rFonts w:ascii="Times New Roman" w:eastAsia="Times New Roman" w:hAnsi="Times New Roman" w:cs="Times New Roman"/>
          <w:sz w:val="24"/>
          <w:szCs w:val="24"/>
          <w:lang w:eastAsia="en-GB"/>
        </w:rPr>
        <w:t xml:space="preserve">, S. (2025). Determinants of food consumption: The case of pearl millet in India's dietary transition. </w:t>
      </w:r>
      <w:r w:rsidRPr="00687ABD">
        <w:rPr>
          <w:rFonts w:ascii="Times New Roman" w:eastAsia="Times New Roman" w:hAnsi="Times New Roman" w:cs="Times New Roman"/>
          <w:i/>
          <w:iCs/>
          <w:sz w:val="24"/>
          <w:szCs w:val="24"/>
          <w:lang w:eastAsia="en-GB"/>
        </w:rPr>
        <w:t>Agriculture &amp; Food Security, 14</w:t>
      </w:r>
      <w:r w:rsidRPr="00687ABD">
        <w:rPr>
          <w:rFonts w:ascii="Times New Roman" w:eastAsia="Times New Roman" w:hAnsi="Times New Roman" w:cs="Times New Roman"/>
          <w:sz w:val="24"/>
          <w:szCs w:val="24"/>
          <w:lang w:eastAsia="en-GB"/>
        </w:rPr>
        <w:t xml:space="preserve">, 30. </w:t>
      </w:r>
      <w:r w:rsidRPr="00687ABD">
        <w:rPr>
          <w:rFonts w:ascii="Times New Roman" w:eastAsia="Times New Roman" w:hAnsi="Times New Roman" w:cs="Times New Roman"/>
          <w:color w:val="0000FF"/>
          <w:sz w:val="24"/>
          <w:szCs w:val="24"/>
          <w:u w:val="single"/>
          <w:lang w:eastAsia="en-GB"/>
        </w:rPr>
        <w:t>https://doi.org/10.1186/s40066-025-00553-0</w:t>
      </w:r>
    </w:p>
    <w:p w14:paraId="3CA3444F"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687ABD">
        <w:rPr>
          <w:rFonts w:ascii="Times New Roman" w:eastAsia="Times New Roman" w:hAnsi="Times New Roman" w:cs="Times New Roman"/>
          <w:sz w:val="24"/>
          <w:szCs w:val="24"/>
          <w:lang w:eastAsia="en-GB"/>
        </w:rPr>
        <w:t>Balyatanda</w:t>
      </w:r>
      <w:proofErr w:type="spellEnd"/>
      <w:r w:rsidRPr="00687ABD">
        <w:rPr>
          <w:rFonts w:ascii="Times New Roman" w:eastAsia="Times New Roman" w:hAnsi="Times New Roman" w:cs="Times New Roman"/>
          <w:sz w:val="24"/>
          <w:szCs w:val="24"/>
          <w:lang w:eastAsia="en-GB"/>
        </w:rPr>
        <w:t xml:space="preserve">, S. B., Nanje Gowda, N. A., Subbiah, J., Chakraborty, S., Vara Prasad, P. V., &amp; </w:t>
      </w:r>
      <w:proofErr w:type="spellStart"/>
      <w:r w:rsidRPr="00687ABD">
        <w:rPr>
          <w:rFonts w:ascii="Times New Roman" w:eastAsia="Times New Roman" w:hAnsi="Times New Roman" w:cs="Times New Roman"/>
          <w:sz w:val="24"/>
          <w:szCs w:val="24"/>
          <w:lang w:eastAsia="en-GB"/>
        </w:rPr>
        <w:t>Siliveru</w:t>
      </w:r>
      <w:proofErr w:type="spellEnd"/>
      <w:r w:rsidRPr="00687ABD">
        <w:rPr>
          <w:rFonts w:ascii="Times New Roman" w:eastAsia="Times New Roman" w:hAnsi="Times New Roman" w:cs="Times New Roman"/>
          <w:sz w:val="24"/>
          <w:szCs w:val="24"/>
          <w:lang w:eastAsia="en-GB"/>
        </w:rPr>
        <w:t xml:space="preserve">, K. (2024). Physiochemical, bio, thermal, and non-thermal processing of major and minor millets: A comprehensive review on antinutritional and antioxidant properties. </w:t>
      </w:r>
      <w:r w:rsidRPr="00687ABD">
        <w:rPr>
          <w:rFonts w:ascii="Times New Roman" w:eastAsia="Times New Roman" w:hAnsi="Times New Roman" w:cs="Times New Roman"/>
          <w:i/>
          <w:iCs/>
          <w:sz w:val="24"/>
          <w:szCs w:val="24"/>
          <w:lang w:eastAsia="en-GB"/>
        </w:rPr>
        <w:t>Foods, 13</w:t>
      </w:r>
      <w:r w:rsidRPr="00687ABD">
        <w:rPr>
          <w:rFonts w:ascii="Times New Roman" w:eastAsia="Times New Roman" w:hAnsi="Times New Roman" w:cs="Times New Roman"/>
          <w:sz w:val="24"/>
          <w:szCs w:val="24"/>
          <w:lang w:eastAsia="en-GB"/>
        </w:rPr>
        <w:t xml:space="preserve">(22), 3684. </w:t>
      </w:r>
      <w:r w:rsidRPr="00687ABD">
        <w:rPr>
          <w:rFonts w:ascii="Times New Roman" w:eastAsia="Times New Roman" w:hAnsi="Times New Roman" w:cs="Times New Roman"/>
          <w:color w:val="0000FF"/>
          <w:sz w:val="24"/>
          <w:szCs w:val="24"/>
          <w:u w:val="single"/>
          <w:lang w:eastAsia="en-GB"/>
        </w:rPr>
        <w:t>https://doi.org/10.3390/foods13223684</w:t>
      </w:r>
    </w:p>
    <w:p w14:paraId="5E805DDE"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687ABD">
        <w:rPr>
          <w:rFonts w:ascii="Times New Roman" w:eastAsia="Times New Roman" w:hAnsi="Times New Roman" w:cs="Times New Roman"/>
          <w:sz w:val="24"/>
          <w:szCs w:val="24"/>
          <w:lang w:eastAsia="en-GB"/>
        </w:rPr>
        <w:lastRenderedPageBreak/>
        <w:t>Boncompagni</w:t>
      </w:r>
      <w:proofErr w:type="spellEnd"/>
      <w:r w:rsidRPr="00687ABD">
        <w:rPr>
          <w:rFonts w:ascii="Times New Roman" w:eastAsia="Times New Roman" w:hAnsi="Times New Roman" w:cs="Times New Roman"/>
          <w:sz w:val="24"/>
          <w:szCs w:val="24"/>
          <w:lang w:eastAsia="en-GB"/>
        </w:rPr>
        <w:t xml:space="preserve">, E., Orozco-Arroyo, G., </w:t>
      </w:r>
      <w:proofErr w:type="spellStart"/>
      <w:r w:rsidRPr="00687ABD">
        <w:rPr>
          <w:rFonts w:ascii="Times New Roman" w:eastAsia="Times New Roman" w:hAnsi="Times New Roman" w:cs="Times New Roman"/>
          <w:sz w:val="24"/>
          <w:szCs w:val="24"/>
          <w:lang w:eastAsia="en-GB"/>
        </w:rPr>
        <w:t>Cominelli</w:t>
      </w:r>
      <w:proofErr w:type="spellEnd"/>
      <w:r w:rsidRPr="00687ABD">
        <w:rPr>
          <w:rFonts w:ascii="Times New Roman" w:eastAsia="Times New Roman" w:hAnsi="Times New Roman" w:cs="Times New Roman"/>
          <w:sz w:val="24"/>
          <w:szCs w:val="24"/>
          <w:lang w:eastAsia="en-GB"/>
        </w:rPr>
        <w:t xml:space="preserve">, E., </w:t>
      </w:r>
      <w:proofErr w:type="spellStart"/>
      <w:r w:rsidRPr="00687ABD">
        <w:rPr>
          <w:rFonts w:ascii="Times New Roman" w:eastAsia="Times New Roman" w:hAnsi="Times New Roman" w:cs="Times New Roman"/>
          <w:sz w:val="24"/>
          <w:szCs w:val="24"/>
          <w:lang w:eastAsia="en-GB"/>
        </w:rPr>
        <w:t>Gangashetty</w:t>
      </w:r>
      <w:proofErr w:type="spellEnd"/>
      <w:r w:rsidRPr="00687ABD">
        <w:rPr>
          <w:rFonts w:ascii="Times New Roman" w:eastAsia="Times New Roman" w:hAnsi="Times New Roman" w:cs="Times New Roman"/>
          <w:sz w:val="24"/>
          <w:szCs w:val="24"/>
          <w:lang w:eastAsia="en-GB"/>
        </w:rPr>
        <w:t xml:space="preserve">, P. I., Grando, S., Kwaku Zu, T. T., Daminati, M. G., Nielsen, E., &amp; </w:t>
      </w:r>
      <w:proofErr w:type="spellStart"/>
      <w:r w:rsidRPr="00687ABD">
        <w:rPr>
          <w:rFonts w:ascii="Times New Roman" w:eastAsia="Times New Roman" w:hAnsi="Times New Roman" w:cs="Times New Roman"/>
          <w:sz w:val="24"/>
          <w:szCs w:val="24"/>
          <w:lang w:eastAsia="en-GB"/>
        </w:rPr>
        <w:t>Sparvoli</w:t>
      </w:r>
      <w:proofErr w:type="spellEnd"/>
      <w:r w:rsidRPr="00687ABD">
        <w:rPr>
          <w:rFonts w:ascii="Times New Roman" w:eastAsia="Times New Roman" w:hAnsi="Times New Roman" w:cs="Times New Roman"/>
          <w:sz w:val="24"/>
          <w:szCs w:val="24"/>
          <w:lang w:eastAsia="en-GB"/>
        </w:rPr>
        <w:t xml:space="preserve">, F. (2018). Antinutritional factors in pearl millet grains: Phytate and goitrogens content variability and molecular characterization of genes involved in their pathways. </w:t>
      </w:r>
      <w:r w:rsidRPr="00687ABD">
        <w:rPr>
          <w:rFonts w:ascii="Times New Roman" w:eastAsia="Times New Roman" w:hAnsi="Times New Roman" w:cs="Times New Roman"/>
          <w:i/>
          <w:iCs/>
          <w:sz w:val="24"/>
          <w:szCs w:val="24"/>
          <w:lang w:eastAsia="en-GB"/>
        </w:rPr>
        <w:t>PLOS ONE, 13</w:t>
      </w:r>
      <w:r w:rsidRPr="00687ABD">
        <w:rPr>
          <w:rFonts w:ascii="Times New Roman" w:eastAsia="Times New Roman" w:hAnsi="Times New Roman" w:cs="Times New Roman"/>
          <w:sz w:val="24"/>
          <w:szCs w:val="24"/>
          <w:lang w:eastAsia="en-GB"/>
        </w:rPr>
        <w:t xml:space="preserve">(6), e0198394. </w:t>
      </w:r>
      <w:r w:rsidRPr="00687ABD">
        <w:rPr>
          <w:rFonts w:ascii="Times New Roman" w:eastAsia="Times New Roman" w:hAnsi="Times New Roman" w:cs="Times New Roman"/>
          <w:color w:val="0000FF"/>
          <w:sz w:val="24"/>
          <w:szCs w:val="24"/>
          <w:u w:val="single"/>
          <w:lang w:eastAsia="en-GB"/>
        </w:rPr>
        <w:t>https://doi.org/10.1371/journal.pone.0198394</w:t>
      </w:r>
    </w:p>
    <w:p w14:paraId="7D9DFF50"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Chaturvedi, P., Govindaraj, M., Govindan, V., &amp; Weckwerth, W. (2022). Editorial: Sorghum and pearl millet as climate resilient crops for food and nutrition security. </w:t>
      </w:r>
      <w:r w:rsidRPr="00687ABD">
        <w:rPr>
          <w:rFonts w:ascii="Times New Roman" w:eastAsia="Times New Roman" w:hAnsi="Times New Roman" w:cs="Times New Roman"/>
          <w:i/>
          <w:iCs/>
          <w:sz w:val="24"/>
          <w:szCs w:val="24"/>
          <w:lang w:eastAsia="en-GB"/>
        </w:rPr>
        <w:t>Frontiers in Plant Science, 13</w:t>
      </w:r>
      <w:r w:rsidRPr="00687ABD">
        <w:rPr>
          <w:rFonts w:ascii="Times New Roman" w:eastAsia="Times New Roman" w:hAnsi="Times New Roman" w:cs="Times New Roman"/>
          <w:sz w:val="24"/>
          <w:szCs w:val="24"/>
          <w:lang w:eastAsia="en-GB"/>
        </w:rPr>
        <w:t xml:space="preserve">, 851970. </w:t>
      </w:r>
      <w:r w:rsidRPr="00687ABD">
        <w:rPr>
          <w:rFonts w:ascii="Times New Roman" w:eastAsia="Times New Roman" w:hAnsi="Times New Roman" w:cs="Times New Roman"/>
          <w:color w:val="0000FF"/>
          <w:sz w:val="24"/>
          <w:szCs w:val="24"/>
          <w:u w:val="single"/>
          <w:lang w:eastAsia="en-GB"/>
        </w:rPr>
        <w:t>https://doi.org/10.3389/fpls.2022.851970</w:t>
      </w:r>
    </w:p>
    <w:p w14:paraId="31588EF5"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Chaturvedi, P., Govindaraj, M., Sehgal, D., &amp; Weckwerth, W. (2023). Editorial: Sorghum and pearl millet as climate resilient crops for food and nutrition security, volume II. </w:t>
      </w:r>
      <w:r w:rsidRPr="00687ABD">
        <w:rPr>
          <w:rFonts w:ascii="Times New Roman" w:eastAsia="Times New Roman" w:hAnsi="Times New Roman" w:cs="Times New Roman"/>
          <w:i/>
          <w:iCs/>
          <w:sz w:val="24"/>
          <w:szCs w:val="24"/>
          <w:lang w:eastAsia="en-GB"/>
        </w:rPr>
        <w:t>Frontiers in Plant Science, 14</w:t>
      </w:r>
      <w:r w:rsidRPr="00687ABD">
        <w:rPr>
          <w:rFonts w:ascii="Times New Roman" w:eastAsia="Times New Roman" w:hAnsi="Times New Roman" w:cs="Times New Roman"/>
          <w:sz w:val="24"/>
          <w:szCs w:val="24"/>
          <w:lang w:eastAsia="en-GB"/>
        </w:rPr>
        <w:t xml:space="preserve">, 1170103. </w:t>
      </w:r>
      <w:r w:rsidRPr="00687ABD">
        <w:rPr>
          <w:rFonts w:ascii="Times New Roman" w:eastAsia="Times New Roman" w:hAnsi="Times New Roman" w:cs="Times New Roman"/>
          <w:color w:val="0000FF"/>
          <w:sz w:val="24"/>
          <w:szCs w:val="24"/>
          <w:u w:val="single"/>
          <w:lang w:eastAsia="en-GB"/>
        </w:rPr>
        <w:t>https://doi.org/10.3389/fpls.2023.1170103</w:t>
      </w:r>
    </w:p>
    <w:p w14:paraId="2D712040"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Food and Agriculture Organization of the United Nations. (2024). </w:t>
      </w:r>
      <w:r w:rsidRPr="00687ABD">
        <w:rPr>
          <w:rFonts w:ascii="Times New Roman" w:eastAsia="Times New Roman" w:hAnsi="Times New Roman" w:cs="Times New Roman"/>
          <w:i/>
          <w:iCs/>
          <w:sz w:val="24"/>
          <w:szCs w:val="24"/>
          <w:lang w:eastAsia="en-GB"/>
        </w:rPr>
        <w:t>Global efforts to harness science and partnerships to transform millets</w:t>
      </w:r>
      <w:r w:rsidRPr="00687ABD">
        <w:rPr>
          <w:rFonts w:ascii="Times New Roman" w:eastAsia="Times New Roman" w:hAnsi="Times New Roman" w:cs="Times New Roman"/>
          <w:sz w:val="24"/>
          <w:szCs w:val="24"/>
          <w:lang w:eastAsia="en-GB"/>
        </w:rPr>
        <w:t xml:space="preserve">. </w:t>
      </w:r>
      <w:r w:rsidRPr="00687ABD">
        <w:rPr>
          <w:rFonts w:ascii="Times New Roman" w:eastAsia="Times New Roman" w:hAnsi="Times New Roman" w:cs="Times New Roman"/>
          <w:color w:val="0000FF"/>
          <w:sz w:val="24"/>
          <w:szCs w:val="24"/>
          <w:u w:val="single"/>
          <w:lang w:eastAsia="en-GB"/>
        </w:rPr>
        <w:t>https://www.fao.org/plant-production-protection/news-and-events/news/news-detail/global-effort-to-harness-science-and-partnerships-to-transform-millets/en</w:t>
      </w:r>
    </w:p>
    <w:p w14:paraId="67EF0985"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Goud, C. A., </w:t>
      </w:r>
      <w:proofErr w:type="spellStart"/>
      <w:r w:rsidRPr="00687ABD">
        <w:rPr>
          <w:rFonts w:ascii="Times New Roman" w:eastAsia="Times New Roman" w:hAnsi="Times New Roman" w:cs="Times New Roman"/>
          <w:sz w:val="24"/>
          <w:szCs w:val="24"/>
          <w:lang w:eastAsia="en-GB"/>
        </w:rPr>
        <w:t>Satturu</w:t>
      </w:r>
      <w:proofErr w:type="spellEnd"/>
      <w:r w:rsidRPr="00687ABD">
        <w:rPr>
          <w:rFonts w:ascii="Times New Roman" w:eastAsia="Times New Roman" w:hAnsi="Times New Roman" w:cs="Times New Roman"/>
          <w:sz w:val="24"/>
          <w:szCs w:val="24"/>
          <w:lang w:eastAsia="en-GB"/>
        </w:rPr>
        <w:t xml:space="preserve">, V., </w:t>
      </w:r>
      <w:proofErr w:type="spellStart"/>
      <w:r w:rsidRPr="00687ABD">
        <w:rPr>
          <w:rFonts w:ascii="Times New Roman" w:eastAsia="Times New Roman" w:hAnsi="Times New Roman" w:cs="Times New Roman"/>
          <w:sz w:val="24"/>
          <w:szCs w:val="24"/>
          <w:lang w:eastAsia="en-GB"/>
        </w:rPr>
        <w:t>Malipatil</w:t>
      </w:r>
      <w:proofErr w:type="spellEnd"/>
      <w:r w:rsidRPr="00687ABD">
        <w:rPr>
          <w:rFonts w:ascii="Times New Roman" w:eastAsia="Times New Roman" w:hAnsi="Times New Roman" w:cs="Times New Roman"/>
          <w:sz w:val="24"/>
          <w:szCs w:val="24"/>
          <w:lang w:eastAsia="en-GB"/>
        </w:rPr>
        <w:t xml:space="preserve">, R., Viswanath, A., </w:t>
      </w:r>
      <w:proofErr w:type="spellStart"/>
      <w:r w:rsidRPr="00687ABD">
        <w:rPr>
          <w:rFonts w:ascii="Times New Roman" w:eastAsia="Times New Roman" w:hAnsi="Times New Roman" w:cs="Times New Roman"/>
          <w:sz w:val="24"/>
          <w:szCs w:val="24"/>
          <w:lang w:eastAsia="en-GB"/>
        </w:rPr>
        <w:t>Semalaiyappan</w:t>
      </w:r>
      <w:proofErr w:type="spellEnd"/>
      <w:r w:rsidRPr="00687ABD">
        <w:rPr>
          <w:rFonts w:ascii="Times New Roman" w:eastAsia="Times New Roman" w:hAnsi="Times New Roman" w:cs="Times New Roman"/>
          <w:sz w:val="24"/>
          <w:szCs w:val="24"/>
          <w:lang w:eastAsia="en-GB"/>
        </w:rPr>
        <w:t xml:space="preserve">, J., </w:t>
      </w:r>
      <w:proofErr w:type="spellStart"/>
      <w:r w:rsidRPr="00687ABD">
        <w:rPr>
          <w:rFonts w:ascii="Times New Roman" w:eastAsia="Times New Roman" w:hAnsi="Times New Roman" w:cs="Times New Roman"/>
          <w:sz w:val="24"/>
          <w:szCs w:val="24"/>
          <w:lang w:eastAsia="en-GB"/>
        </w:rPr>
        <w:t>Kudapa</w:t>
      </w:r>
      <w:proofErr w:type="spellEnd"/>
      <w:r w:rsidRPr="00687ABD">
        <w:rPr>
          <w:rFonts w:ascii="Times New Roman" w:eastAsia="Times New Roman" w:hAnsi="Times New Roman" w:cs="Times New Roman"/>
          <w:sz w:val="24"/>
          <w:szCs w:val="24"/>
          <w:lang w:eastAsia="en-GB"/>
        </w:rPr>
        <w:t xml:space="preserve">, H., Rathod, S., Rathore, A., Govindaraj, M., &amp; Thirunavukkarasu, N. (2022). Identification of iron and zinc responsive genes in pearl millet using genome-wide RNA-sequencing approach. </w:t>
      </w:r>
      <w:r w:rsidRPr="00687ABD">
        <w:rPr>
          <w:rFonts w:ascii="Times New Roman" w:eastAsia="Times New Roman" w:hAnsi="Times New Roman" w:cs="Times New Roman"/>
          <w:i/>
          <w:iCs/>
          <w:sz w:val="24"/>
          <w:szCs w:val="24"/>
          <w:lang w:eastAsia="en-GB"/>
        </w:rPr>
        <w:t>Frontiers in Nutrition, 9</w:t>
      </w:r>
      <w:r w:rsidRPr="00687ABD">
        <w:rPr>
          <w:rFonts w:ascii="Times New Roman" w:eastAsia="Times New Roman" w:hAnsi="Times New Roman" w:cs="Times New Roman"/>
          <w:sz w:val="24"/>
          <w:szCs w:val="24"/>
          <w:lang w:eastAsia="en-GB"/>
        </w:rPr>
        <w:t xml:space="preserve">, 884381. </w:t>
      </w:r>
      <w:r w:rsidRPr="00687ABD">
        <w:rPr>
          <w:rFonts w:ascii="Times New Roman" w:eastAsia="Times New Roman" w:hAnsi="Times New Roman" w:cs="Times New Roman"/>
          <w:color w:val="0000FF"/>
          <w:sz w:val="24"/>
          <w:szCs w:val="24"/>
          <w:u w:val="single"/>
          <w:lang w:eastAsia="en-GB"/>
        </w:rPr>
        <w:t>https://doi.org/10.3389/fnut.2022.884381</w:t>
      </w:r>
    </w:p>
    <w:p w14:paraId="584D1E17"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Govindaraj, M., Rai, K. N., </w:t>
      </w:r>
      <w:proofErr w:type="spellStart"/>
      <w:r w:rsidRPr="00687ABD">
        <w:rPr>
          <w:rFonts w:ascii="Times New Roman" w:eastAsia="Times New Roman" w:hAnsi="Times New Roman" w:cs="Times New Roman"/>
          <w:sz w:val="24"/>
          <w:szCs w:val="24"/>
          <w:lang w:eastAsia="en-GB"/>
        </w:rPr>
        <w:t>Kanatti</w:t>
      </w:r>
      <w:proofErr w:type="spellEnd"/>
      <w:r w:rsidRPr="00687ABD">
        <w:rPr>
          <w:rFonts w:ascii="Times New Roman" w:eastAsia="Times New Roman" w:hAnsi="Times New Roman" w:cs="Times New Roman"/>
          <w:sz w:val="24"/>
          <w:szCs w:val="24"/>
          <w:lang w:eastAsia="en-GB"/>
        </w:rPr>
        <w:t xml:space="preserve">, A., Upadhyaya, H. D., </w:t>
      </w:r>
      <w:proofErr w:type="spellStart"/>
      <w:r w:rsidRPr="00687ABD">
        <w:rPr>
          <w:rFonts w:ascii="Times New Roman" w:eastAsia="Times New Roman" w:hAnsi="Times New Roman" w:cs="Times New Roman"/>
          <w:sz w:val="24"/>
          <w:szCs w:val="24"/>
          <w:lang w:eastAsia="en-GB"/>
        </w:rPr>
        <w:t>Shivade</w:t>
      </w:r>
      <w:proofErr w:type="spellEnd"/>
      <w:r w:rsidRPr="00687ABD">
        <w:rPr>
          <w:rFonts w:ascii="Times New Roman" w:eastAsia="Times New Roman" w:hAnsi="Times New Roman" w:cs="Times New Roman"/>
          <w:sz w:val="24"/>
          <w:szCs w:val="24"/>
          <w:lang w:eastAsia="en-GB"/>
        </w:rPr>
        <w:t xml:space="preserve">, H., &amp; Rao, A. S. (2020). Exploring the genetic variability and diversity of pearl millet core collection germplasm for grain nutritional traits improvement. </w:t>
      </w:r>
      <w:r w:rsidRPr="00687ABD">
        <w:rPr>
          <w:rFonts w:ascii="Times New Roman" w:eastAsia="Times New Roman" w:hAnsi="Times New Roman" w:cs="Times New Roman"/>
          <w:i/>
          <w:iCs/>
          <w:sz w:val="24"/>
          <w:szCs w:val="24"/>
          <w:lang w:eastAsia="en-GB"/>
        </w:rPr>
        <w:t>Scientific Reports, 10</w:t>
      </w:r>
      <w:r w:rsidRPr="00687ABD">
        <w:rPr>
          <w:rFonts w:ascii="Times New Roman" w:eastAsia="Times New Roman" w:hAnsi="Times New Roman" w:cs="Times New Roman"/>
          <w:sz w:val="24"/>
          <w:szCs w:val="24"/>
          <w:lang w:eastAsia="en-GB"/>
        </w:rPr>
        <w:t xml:space="preserve">. </w:t>
      </w:r>
      <w:r w:rsidRPr="00687ABD">
        <w:rPr>
          <w:rFonts w:ascii="Times New Roman" w:eastAsia="Times New Roman" w:hAnsi="Times New Roman" w:cs="Times New Roman"/>
          <w:color w:val="0000FF"/>
          <w:sz w:val="24"/>
          <w:szCs w:val="24"/>
          <w:u w:val="single"/>
          <w:lang w:eastAsia="en-GB"/>
        </w:rPr>
        <w:t>https://doi.org/10.1038/s41598-020-77818-0</w:t>
      </w:r>
    </w:p>
    <w:p w14:paraId="21882BFA"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Green, B. N., Johnson, C. D., &amp; Adams, A. (2006). Writing narrative literature reviews for peer-reviewed journals: Secrets of the trade. </w:t>
      </w:r>
      <w:r w:rsidRPr="00687ABD">
        <w:rPr>
          <w:rFonts w:ascii="Times New Roman" w:eastAsia="Times New Roman" w:hAnsi="Times New Roman" w:cs="Times New Roman"/>
          <w:i/>
          <w:iCs/>
          <w:sz w:val="24"/>
          <w:szCs w:val="24"/>
          <w:lang w:eastAsia="en-GB"/>
        </w:rPr>
        <w:t>Journal of Chiropractic Medicine, 5</w:t>
      </w:r>
      <w:r w:rsidRPr="00687ABD">
        <w:rPr>
          <w:rFonts w:ascii="Times New Roman" w:eastAsia="Times New Roman" w:hAnsi="Times New Roman" w:cs="Times New Roman"/>
          <w:sz w:val="24"/>
          <w:szCs w:val="24"/>
          <w:lang w:eastAsia="en-GB"/>
        </w:rPr>
        <w:t xml:space="preserve">(3), 101–117. </w:t>
      </w:r>
      <w:r w:rsidRPr="00687ABD">
        <w:rPr>
          <w:rFonts w:ascii="Times New Roman" w:eastAsia="Times New Roman" w:hAnsi="Times New Roman" w:cs="Times New Roman"/>
          <w:color w:val="0000FF"/>
          <w:sz w:val="24"/>
          <w:szCs w:val="24"/>
          <w:u w:val="single"/>
          <w:lang w:eastAsia="en-GB"/>
        </w:rPr>
        <w:t>https://doi.org/10.1016/S0899-3467(07)60142-6</w:t>
      </w:r>
    </w:p>
    <w:p w14:paraId="000BE493"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Hassan, Z. M., Sebola, N. A., &amp; </w:t>
      </w:r>
      <w:proofErr w:type="spellStart"/>
      <w:r w:rsidRPr="00687ABD">
        <w:rPr>
          <w:rFonts w:ascii="Times New Roman" w:eastAsia="Times New Roman" w:hAnsi="Times New Roman" w:cs="Times New Roman"/>
          <w:sz w:val="24"/>
          <w:szCs w:val="24"/>
          <w:lang w:eastAsia="en-GB"/>
        </w:rPr>
        <w:t>Mabelebele</w:t>
      </w:r>
      <w:proofErr w:type="spellEnd"/>
      <w:r w:rsidRPr="00687ABD">
        <w:rPr>
          <w:rFonts w:ascii="Times New Roman" w:eastAsia="Times New Roman" w:hAnsi="Times New Roman" w:cs="Times New Roman"/>
          <w:sz w:val="24"/>
          <w:szCs w:val="24"/>
          <w:lang w:eastAsia="en-GB"/>
        </w:rPr>
        <w:t xml:space="preserve">, M. (2021). The nutritional use of millet grain for food and feed: A review. </w:t>
      </w:r>
      <w:r w:rsidRPr="00687ABD">
        <w:rPr>
          <w:rFonts w:ascii="Times New Roman" w:eastAsia="Times New Roman" w:hAnsi="Times New Roman" w:cs="Times New Roman"/>
          <w:i/>
          <w:iCs/>
          <w:sz w:val="24"/>
          <w:szCs w:val="24"/>
          <w:lang w:eastAsia="en-GB"/>
        </w:rPr>
        <w:t>Agriculture &amp; Food Security, 10</w:t>
      </w:r>
      <w:r w:rsidRPr="00687ABD">
        <w:rPr>
          <w:rFonts w:ascii="Times New Roman" w:eastAsia="Times New Roman" w:hAnsi="Times New Roman" w:cs="Times New Roman"/>
          <w:sz w:val="24"/>
          <w:szCs w:val="24"/>
          <w:lang w:eastAsia="en-GB"/>
        </w:rPr>
        <w:t xml:space="preserve">, 16. </w:t>
      </w:r>
      <w:r w:rsidRPr="00687ABD">
        <w:rPr>
          <w:rFonts w:ascii="Times New Roman" w:eastAsia="Times New Roman" w:hAnsi="Times New Roman" w:cs="Times New Roman"/>
          <w:color w:val="0000FF"/>
          <w:sz w:val="24"/>
          <w:szCs w:val="24"/>
          <w:u w:val="single"/>
          <w:lang w:eastAsia="en-GB"/>
        </w:rPr>
        <w:t>https://doi.org/10.1186/s40066-020-00282-6</w:t>
      </w:r>
    </w:p>
    <w:p w14:paraId="634C8B34"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Jacob, J., Krishnan, V., Antony, B., Bhavyasri, U., Aruna, C., Mishra, C. N., </w:t>
      </w:r>
      <w:proofErr w:type="spellStart"/>
      <w:r w:rsidRPr="00687ABD">
        <w:rPr>
          <w:rFonts w:ascii="Times New Roman" w:eastAsia="Times New Roman" w:hAnsi="Times New Roman" w:cs="Times New Roman"/>
          <w:sz w:val="24"/>
          <w:szCs w:val="24"/>
          <w:lang w:eastAsia="en-GB"/>
        </w:rPr>
        <w:t>Nepolean</w:t>
      </w:r>
      <w:proofErr w:type="spellEnd"/>
      <w:r w:rsidRPr="00687ABD">
        <w:rPr>
          <w:rFonts w:ascii="Times New Roman" w:eastAsia="Times New Roman" w:hAnsi="Times New Roman" w:cs="Times New Roman"/>
          <w:sz w:val="24"/>
          <w:szCs w:val="24"/>
          <w:lang w:eastAsia="en-GB"/>
        </w:rPr>
        <w:t xml:space="preserve">, T., Satyavathi, C. T., &amp; </w:t>
      </w:r>
      <w:proofErr w:type="spellStart"/>
      <w:r w:rsidRPr="00687ABD">
        <w:rPr>
          <w:rFonts w:ascii="Times New Roman" w:eastAsia="Times New Roman" w:hAnsi="Times New Roman" w:cs="Times New Roman"/>
          <w:sz w:val="24"/>
          <w:szCs w:val="24"/>
          <w:lang w:eastAsia="en-GB"/>
        </w:rPr>
        <w:t>Visarada</w:t>
      </w:r>
      <w:proofErr w:type="spellEnd"/>
      <w:r w:rsidRPr="00687ABD">
        <w:rPr>
          <w:rFonts w:ascii="Times New Roman" w:eastAsia="Times New Roman" w:hAnsi="Times New Roman" w:cs="Times New Roman"/>
          <w:sz w:val="24"/>
          <w:szCs w:val="24"/>
          <w:lang w:eastAsia="en-GB"/>
        </w:rPr>
        <w:t xml:space="preserve">, K. B. R. S. (2024). The nutrition and therapeutic potential of millets: An updated narrative review. </w:t>
      </w:r>
      <w:r w:rsidRPr="00687ABD">
        <w:rPr>
          <w:rFonts w:ascii="Times New Roman" w:eastAsia="Times New Roman" w:hAnsi="Times New Roman" w:cs="Times New Roman"/>
          <w:i/>
          <w:iCs/>
          <w:sz w:val="24"/>
          <w:szCs w:val="24"/>
          <w:lang w:eastAsia="en-GB"/>
        </w:rPr>
        <w:t>Frontiers in Nutrition, 11</w:t>
      </w:r>
      <w:r w:rsidRPr="00687ABD">
        <w:rPr>
          <w:rFonts w:ascii="Times New Roman" w:eastAsia="Times New Roman" w:hAnsi="Times New Roman" w:cs="Times New Roman"/>
          <w:sz w:val="24"/>
          <w:szCs w:val="24"/>
          <w:lang w:eastAsia="en-GB"/>
        </w:rPr>
        <w:t xml:space="preserve">, 1346869. </w:t>
      </w:r>
      <w:r w:rsidRPr="00687ABD">
        <w:rPr>
          <w:rFonts w:ascii="Times New Roman" w:eastAsia="Times New Roman" w:hAnsi="Times New Roman" w:cs="Times New Roman"/>
          <w:color w:val="0000FF"/>
          <w:sz w:val="24"/>
          <w:szCs w:val="24"/>
          <w:u w:val="single"/>
          <w:lang w:eastAsia="en-GB"/>
        </w:rPr>
        <w:t>https://doi.org/10.3389/fnut.2024.1346869</w:t>
      </w:r>
    </w:p>
    <w:p w14:paraId="0A8545C1"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Kaila, N. H. J., Halami, P. M., Ramakrishna, C., </w:t>
      </w:r>
      <w:proofErr w:type="spellStart"/>
      <w:r w:rsidRPr="00687ABD">
        <w:rPr>
          <w:rFonts w:ascii="Times New Roman" w:eastAsia="Times New Roman" w:hAnsi="Times New Roman" w:cs="Times New Roman"/>
          <w:sz w:val="24"/>
          <w:szCs w:val="24"/>
          <w:lang w:eastAsia="en-GB"/>
        </w:rPr>
        <w:t>Shivaramu</w:t>
      </w:r>
      <w:proofErr w:type="spellEnd"/>
      <w:r w:rsidRPr="00687ABD">
        <w:rPr>
          <w:rFonts w:ascii="Times New Roman" w:eastAsia="Times New Roman" w:hAnsi="Times New Roman" w:cs="Times New Roman"/>
          <w:sz w:val="24"/>
          <w:szCs w:val="24"/>
          <w:lang w:eastAsia="en-GB"/>
        </w:rPr>
        <w:t xml:space="preserve">, M. S., &amp; </w:t>
      </w:r>
      <w:proofErr w:type="spellStart"/>
      <w:r w:rsidRPr="00687ABD">
        <w:rPr>
          <w:rFonts w:ascii="Times New Roman" w:eastAsia="Times New Roman" w:hAnsi="Times New Roman" w:cs="Times New Roman"/>
          <w:sz w:val="24"/>
          <w:szCs w:val="24"/>
          <w:lang w:eastAsia="en-GB"/>
        </w:rPr>
        <w:t>Peddha</w:t>
      </w:r>
      <w:proofErr w:type="spellEnd"/>
      <w:r w:rsidRPr="00687ABD">
        <w:rPr>
          <w:rFonts w:ascii="Times New Roman" w:eastAsia="Times New Roman" w:hAnsi="Times New Roman" w:cs="Times New Roman"/>
          <w:sz w:val="24"/>
          <w:szCs w:val="24"/>
          <w:lang w:eastAsia="en-GB"/>
        </w:rPr>
        <w:t xml:space="preserve">, M. S. (2025). Physicochemical and functional characterization of pearl millet-based probiotic beverage for antiaging potential in </w:t>
      </w:r>
      <w:r w:rsidRPr="00687ABD">
        <w:rPr>
          <w:rFonts w:ascii="Times New Roman" w:eastAsia="Times New Roman" w:hAnsi="Times New Roman" w:cs="Times New Roman"/>
          <w:i/>
          <w:iCs/>
          <w:sz w:val="24"/>
          <w:szCs w:val="24"/>
          <w:lang w:eastAsia="en-GB"/>
        </w:rPr>
        <w:t>Caenorhabditis elegans</w:t>
      </w:r>
      <w:r w:rsidRPr="00687ABD">
        <w:rPr>
          <w:rFonts w:ascii="Times New Roman" w:eastAsia="Times New Roman" w:hAnsi="Times New Roman" w:cs="Times New Roman"/>
          <w:sz w:val="24"/>
          <w:szCs w:val="24"/>
          <w:lang w:eastAsia="en-GB"/>
        </w:rPr>
        <w:t xml:space="preserve">. </w:t>
      </w:r>
      <w:r w:rsidRPr="00687ABD">
        <w:rPr>
          <w:rFonts w:ascii="Times New Roman" w:eastAsia="Times New Roman" w:hAnsi="Times New Roman" w:cs="Times New Roman"/>
          <w:i/>
          <w:iCs/>
          <w:sz w:val="24"/>
          <w:szCs w:val="24"/>
          <w:lang w:eastAsia="en-GB"/>
        </w:rPr>
        <w:t>Foods, 14</w:t>
      </w:r>
      <w:r w:rsidRPr="00687ABD">
        <w:rPr>
          <w:rFonts w:ascii="Times New Roman" w:eastAsia="Times New Roman" w:hAnsi="Times New Roman" w:cs="Times New Roman"/>
          <w:sz w:val="24"/>
          <w:szCs w:val="24"/>
          <w:lang w:eastAsia="en-GB"/>
        </w:rPr>
        <w:t xml:space="preserve">(20), 3460. </w:t>
      </w:r>
      <w:r w:rsidRPr="00687ABD">
        <w:rPr>
          <w:rFonts w:ascii="Times New Roman" w:eastAsia="Times New Roman" w:hAnsi="Times New Roman" w:cs="Times New Roman"/>
          <w:color w:val="0000FF"/>
          <w:sz w:val="24"/>
          <w:szCs w:val="24"/>
          <w:u w:val="single"/>
          <w:lang w:eastAsia="en-GB"/>
        </w:rPr>
        <w:t>https://doi.org/10.3390/foods14203460</w:t>
      </w:r>
    </w:p>
    <w:p w14:paraId="35D1A188"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Khalil, I., Bashir, S., Saeed, K., </w:t>
      </w:r>
      <w:proofErr w:type="spellStart"/>
      <w:r w:rsidRPr="00687ABD">
        <w:rPr>
          <w:rFonts w:ascii="Times New Roman" w:eastAsia="Times New Roman" w:hAnsi="Times New Roman" w:cs="Times New Roman"/>
          <w:sz w:val="24"/>
          <w:szCs w:val="24"/>
          <w:lang w:eastAsia="en-GB"/>
        </w:rPr>
        <w:t>Alsulami</w:t>
      </w:r>
      <w:proofErr w:type="spellEnd"/>
      <w:r w:rsidRPr="00687ABD">
        <w:rPr>
          <w:rFonts w:ascii="Times New Roman" w:eastAsia="Times New Roman" w:hAnsi="Times New Roman" w:cs="Times New Roman"/>
          <w:sz w:val="24"/>
          <w:szCs w:val="24"/>
          <w:lang w:eastAsia="en-GB"/>
        </w:rPr>
        <w:t xml:space="preserve">, T., Rafique, H., &amp; Lenge Mukonzo, E. K. (2025). Phytochemical and structural portrayal of barley and pearl millet through FTIR and SEM. </w:t>
      </w:r>
      <w:r w:rsidRPr="00687ABD">
        <w:rPr>
          <w:rFonts w:ascii="Times New Roman" w:eastAsia="Times New Roman" w:hAnsi="Times New Roman" w:cs="Times New Roman"/>
          <w:i/>
          <w:iCs/>
          <w:sz w:val="24"/>
          <w:szCs w:val="24"/>
          <w:lang w:eastAsia="en-GB"/>
        </w:rPr>
        <w:t>Food Science &amp; Nutrition, 13</w:t>
      </w:r>
      <w:r w:rsidRPr="00687ABD">
        <w:rPr>
          <w:rFonts w:ascii="Times New Roman" w:eastAsia="Times New Roman" w:hAnsi="Times New Roman" w:cs="Times New Roman"/>
          <w:sz w:val="24"/>
          <w:szCs w:val="24"/>
          <w:lang w:eastAsia="en-GB"/>
        </w:rPr>
        <w:t xml:space="preserve">(5), e70120. </w:t>
      </w:r>
      <w:r w:rsidRPr="00687ABD">
        <w:rPr>
          <w:rFonts w:ascii="Times New Roman" w:eastAsia="Times New Roman" w:hAnsi="Times New Roman" w:cs="Times New Roman"/>
          <w:color w:val="0000FF"/>
          <w:sz w:val="24"/>
          <w:szCs w:val="24"/>
          <w:u w:val="single"/>
          <w:lang w:eastAsia="en-GB"/>
        </w:rPr>
        <w:t>https://doi.org/10.1002/fsn3.70120</w:t>
      </w:r>
    </w:p>
    <w:p w14:paraId="462E9C86"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lastRenderedPageBreak/>
        <w:t xml:space="preserve">Krishnan, V. (2024). Editorial: Millets: Superfood of the century – challenges and opportunities. </w:t>
      </w:r>
      <w:r w:rsidRPr="00687ABD">
        <w:rPr>
          <w:rFonts w:ascii="Times New Roman" w:eastAsia="Times New Roman" w:hAnsi="Times New Roman" w:cs="Times New Roman"/>
          <w:i/>
          <w:iCs/>
          <w:sz w:val="24"/>
          <w:szCs w:val="24"/>
          <w:lang w:eastAsia="en-GB"/>
        </w:rPr>
        <w:t>Frontiers in Nutrition, 11</w:t>
      </w:r>
      <w:r w:rsidRPr="00687ABD">
        <w:rPr>
          <w:rFonts w:ascii="Times New Roman" w:eastAsia="Times New Roman" w:hAnsi="Times New Roman" w:cs="Times New Roman"/>
          <w:sz w:val="24"/>
          <w:szCs w:val="24"/>
          <w:lang w:eastAsia="en-GB"/>
        </w:rPr>
        <w:t xml:space="preserve">, 1462567. </w:t>
      </w:r>
      <w:r w:rsidRPr="00687ABD">
        <w:rPr>
          <w:rFonts w:ascii="Times New Roman" w:eastAsia="Times New Roman" w:hAnsi="Times New Roman" w:cs="Times New Roman"/>
          <w:color w:val="0000FF"/>
          <w:sz w:val="24"/>
          <w:szCs w:val="24"/>
          <w:u w:val="single"/>
          <w:lang w:eastAsia="en-GB"/>
        </w:rPr>
        <w:t>https://doi.org/10.3389/fnut.2024.1462567</w:t>
      </w:r>
    </w:p>
    <w:p w14:paraId="05378A6A"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Latha Ravi, J., &amp; Rana, S. S. (2024). Maximizing the nutritional benefits and prolonging the shelf life of millets through effective processing techniques: A review. </w:t>
      </w:r>
      <w:r w:rsidRPr="00687ABD">
        <w:rPr>
          <w:rFonts w:ascii="Times New Roman" w:eastAsia="Times New Roman" w:hAnsi="Times New Roman" w:cs="Times New Roman"/>
          <w:i/>
          <w:iCs/>
          <w:sz w:val="24"/>
          <w:szCs w:val="24"/>
          <w:lang w:eastAsia="en-GB"/>
        </w:rPr>
        <w:t>ACS Omega, 9</w:t>
      </w:r>
      <w:r w:rsidRPr="00687ABD">
        <w:rPr>
          <w:rFonts w:ascii="Times New Roman" w:eastAsia="Times New Roman" w:hAnsi="Times New Roman" w:cs="Times New Roman"/>
          <w:sz w:val="24"/>
          <w:szCs w:val="24"/>
          <w:lang w:eastAsia="en-GB"/>
        </w:rPr>
        <w:t xml:space="preserve">(37), 38327–38347. </w:t>
      </w:r>
      <w:r w:rsidRPr="00687ABD">
        <w:rPr>
          <w:rFonts w:ascii="Times New Roman" w:eastAsia="Times New Roman" w:hAnsi="Times New Roman" w:cs="Times New Roman"/>
          <w:color w:val="0000FF"/>
          <w:sz w:val="24"/>
          <w:szCs w:val="24"/>
          <w:u w:val="single"/>
          <w:lang w:eastAsia="en-GB"/>
        </w:rPr>
        <w:t>https://doi.org/10.1021/acsomega.4c03466</w:t>
      </w:r>
    </w:p>
    <w:p w14:paraId="3EC5ADCB"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Mesías, M., Morales, F. J., Gupta, O. P., Oberoi, H. K., &amp; Ganapathy, K. N. (2024). Editorial: Advances in cereals and millets nutrition research. </w:t>
      </w:r>
      <w:r w:rsidRPr="00687ABD">
        <w:rPr>
          <w:rFonts w:ascii="Times New Roman" w:eastAsia="Times New Roman" w:hAnsi="Times New Roman" w:cs="Times New Roman"/>
          <w:i/>
          <w:iCs/>
          <w:sz w:val="24"/>
          <w:szCs w:val="24"/>
          <w:lang w:eastAsia="en-GB"/>
        </w:rPr>
        <w:t>Frontiers in Nutrition, 11</w:t>
      </w:r>
      <w:r w:rsidRPr="00687ABD">
        <w:rPr>
          <w:rFonts w:ascii="Times New Roman" w:eastAsia="Times New Roman" w:hAnsi="Times New Roman" w:cs="Times New Roman"/>
          <w:sz w:val="24"/>
          <w:szCs w:val="24"/>
          <w:lang w:eastAsia="en-GB"/>
        </w:rPr>
        <w:t xml:space="preserve">, 1349757. </w:t>
      </w:r>
      <w:r w:rsidRPr="00687ABD">
        <w:rPr>
          <w:rFonts w:ascii="Times New Roman" w:eastAsia="Times New Roman" w:hAnsi="Times New Roman" w:cs="Times New Roman"/>
          <w:color w:val="0000FF"/>
          <w:sz w:val="24"/>
          <w:szCs w:val="24"/>
          <w:u w:val="single"/>
          <w:lang w:eastAsia="en-GB"/>
        </w:rPr>
        <w:t>https://doi.org/10.3389/fnut.2024.1349757</w:t>
      </w:r>
    </w:p>
    <w:p w14:paraId="40A921CF"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Muskan, F., Redhu, M., Redhu, S., &amp; Rahimi, M. (2025). Millets in the global market: A critical review of challenges and opportunities. </w:t>
      </w:r>
      <w:r w:rsidRPr="00687ABD">
        <w:rPr>
          <w:rFonts w:ascii="Times New Roman" w:eastAsia="Times New Roman" w:hAnsi="Times New Roman" w:cs="Times New Roman"/>
          <w:i/>
          <w:iCs/>
          <w:sz w:val="24"/>
          <w:szCs w:val="24"/>
          <w:lang w:eastAsia="en-GB"/>
        </w:rPr>
        <w:t>Food Production, Processing and Nutrition, 7</w:t>
      </w:r>
      <w:r w:rsidRPr="00687ABD">
        <w:rPr>
          <w:rFonts w:ascii="Times New Roman" w:eastAsia="Times New Roman" w:hAnsi="Times New Roman" w:cs="Times New Roman"/>
          <w:sz w:val="24"/>
          <w:szCs w:val="24"/>
          <w:lang w:eastAsia="en-GB"/>
        </w:rPr>
        <w:t xml:space="preserve">, 37. </w:t>
      </w:r>
      <w:r w:rsidRPr="00687ABD">
        <w:rPr>
          <w:rFonts w:ascii="Times New Roman" w:eastAsia="Times New Roman" w:hAnsi="Times New Roman" w:cs="Times New Roman"/>
          <w:color w:val="0000FF"/>
          <w:sz w:val="24"/>
          <w:szCs w:val="24"/>
          <w:u w:val="single"/>
          <w:lang w:eastAsia="en-GB"/>
        </w:rPr>
        <w:t>https://doi.org/10.1186/s43014-025-00316-1</w:t>
      </w:r>
    </w:p>
    <w:p w14:paraId="3382CC9B"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bCs/>
          <w:sz w:val="24"/>
          <w:szCs w:val="24"/>
          <w:lang w:eastAsia="en-GB"/>
        </w:rPr>
        <w:t xml:space="preserve">Nanje Gowda, N. A. N., </w:t>
      </w:r>
      <w:proofErr w:type="spellStart"/>
      <w:r w:rsidRPr="00687ABD">
        <w:rPr>
          <w:rFonts w:ascii="Times New Roman" w:eastAsia="Times New Roman" w:hAnsi="Times New Roman" w:cs="Times New Roman"/>
          <w:bCs/>
          <w:sz w:val="24"/>
          <w:szCs w:val="24"/>
          <w:lang w:eastAsia="en-GB"/>
        </w:rPr>
        <w:t>Siliveru</w:t>
      </w:r>
      <w:proofErr w:type="spellEnd"/>
      <w:r w:rsidRPr="00687ABD">
        <w:rPr>
          <w:rFonts w:ascii="Times New Roman" w:eastAsia="Times New Roman" w:hAnsi="Times New Roman" w:cs="Times New Roman"/>
          <w:bCs/>
          <w:sz w:val="24"/>
          <w:szCs w:val="24"/>
          <w:lang w:eastAsia="en-GB"/>
        </w:rPr>
        <w:t xml:space="preserve">, K., Vara Prasad, P. V., Bhatt, Y., Netravati, B. P., &amp; </w:t>
      </w:r>
      <w:proofErr w:type="spellStart"/>
      <w:r w:rsidRPr="00687ABD">
        <w:rPr>
          <w:rFonts w:ascii="Times New Roman" w:eastAsia="Times New Roman" w:hAnsi="Times New Roman" w:cs="Times New Roman"/>
          <w:bCs/>
          <w:sz w:val="24"/>
          <w:szCs w:val="24"/>
          <w:lang w:eastAsia="en-GB"/>
        </w:rPr>
        <w:t>Gurikar</w:t>
      </w:r>
      <w:proofErr w:type="spellEnd"/>
      <w:r w:rsidRPr="00687ABD">
        <w:rPr>
          <w:rFonts w:ascii="Times New Roman" w:eastAsia="Times New Roman" w:hAnsi="Times New Roman" w:cs="Times New Roman"/>
          <w:bCs/>
          <w:sz w:val="24"/>
          <w:szCs w:val="24"/>
          <w:lang w:eastAsia="en-GB"/>
        </w:rPr>
        <w:t xml:space="preserve">, C. (2022). Modern processing of Indian millets: A perspective on changes in nutritional properties. </w:t>
      </w:r>
      <w:r w:rsidRPr="00687ABD">
        <w:rPr>
          <w:rFonts w:ascii="Times New Roman" w:eastAsia="Times New Roman" w:hAnsi="Times New Roman" w:cs="Times New Roman"/>
          <w:bCs/>
          <w:i/>
          <w:iCs/>
          <w:sz w:val="24"/>
          <w:szCs w:val="24"/>
          <w:lang w:eastAsia="en-GB"/>
        </w:rPr>
        <w:t>Foods, 11</w:t>
      </w:r>
      <w:r w:rsidRPr="00687ABD">
        <w:rPr>
          <w:rFonts w:ascii="Times New Roman" w:eastAsia="Times New Roman" w:hAnsi="Times New Roman" w:cs="Times New Roman"/>
          <w:bCs/>
          <w:sz w:val="24"/>
          <w:szCs w:val="24"/>
          <w:lang w:eastAsia="en-GB"/>
        </w:rPr>
        <w:t xml:space="preserve">(4), 499. </w:t>
      </w:r>
      <w:r w:rsidRPr="00687ABD">
        <w:rPr>
          <w:rFonts w:ascii="Times New Roman" w:eastAsia="Times New Roman" w:hAnsi="Times New Roman" w:cs="Times New Roman"/>
          <w:bCs/>
          <w:color w:val="0000FF"/>
          <w:sz w:val="24"/>
          <w:szCs w:val="24"/>
          <w:u w:val="single"/>
          <w:lang w:eastAsia="en-GB"/>
        </w:rPr>
        <w:t>https://doi.org/10.3390/foods11040499</w:t>
      </w:r>
    </w:p>
    <w:p w14:paraId="3BF017F2"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Navinraj, S., Rajagopalan, V. R., Swaminathan, M., Doraiswamy, U., Karthikeyan, S., Manickam, S., &amp; Raveendran, M. (2025). Unveiling the antinutritional factors in millets: A comprehensive review. </w:t>
      </w:r>
      <w:r w:rsidRPr="00687ABD">
        <w:rPr>
          <w:rFonts w:ascii="Times New Roman" w:eastAsia="Times New Roman" w:hAnsi="Times New Roman" w:cs="Times New Roman"/>
          <w:i/>
          <w:iCs/>
          <w:sz w:val="24"/>
          <w:szCs w:val="24"/>
          <w:lang w:eastAsia="en-GB"/>
        </w:rPr>
        <w:t>ACS Food Science &amp; Technology, 5</w:t>
      </w:r>
      <w:r w:rsidRPr="00687ABD">
        <w:rPr>
          <w:rFonts w:ascii="Times New Roman" w:eastAsia="Times New Roman" w:hAnsi="Times New Roman" w:cs="Times New Roman"/>
          <w:sz w:val="24"/>
          <w:szCs w:val="24"/>
          <w:lang w:eastAsia="en-GB"/>
        </w:rPr>
        <w:t xml:space="preserve">(6), 2046–2063. </w:t>
      </w:r>
      <w:r w:rsidRPr="00687ABD">
        <w:rPr>
          <w:rFonts w:ascii="Times New Roman" w:eastAsia="Times New Roman" w:hAnsi="Times New Roman" w:cs="Times New Roman"/>
          <w:color w:val="0000FF"/>
          <w:sz w:val="24"/>
          <w:szCs w:val="24"/>
          <w:u w:val="single"/>
          <w:lang w:eastAsia="en-GB"/>
        </w:rPr>
        <w:t>https://doi.org/10.1021/acsfoodscitech.5c00115</w:t>
      </w:r>
    </w:p>
    <w:p w14:paraId="04D37D41"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687ABD">
        <w:rPr>
          <w:rFonts w:ascii="Times New Roman" w:eastAsia="Times New Roman" w:hAnsi="Times New Roman" w:cs="Times New Roman"/>
          <w:sz w:val="24"/>
          <w:szCs w:val="24"/>
          <w:lang w:eastAsia="en-GB"/>
        </w:rPr>
        <w:t>Nibhoria</w:t>
      </w:r>
      <w:proofErr w:type="spellEnd"/>
      <w:r w:rsidRPr="00687ABD">
        <w:rPr>
          <w:rFonts w:ascii="Times New Roman" w:eastAsia="Times New Roman" w:hAnsi="Times New Roman" w:cs="Times New Roman"/>
          <w:sz w:val="24"/>
          <w:szCs w:val="24"/>
          <w:lang w:eastAsia="en-GB"/>
        </w:rPr>
        <w:t xml:space="preserve">, A., Kumar, M., Arya, R., &amp; </w:t>
      </w:r>
      <w:proofErr w:type="spellStart"/>
      <w:r w:rsidRPr="00687ABD">
        <w:rPr>
          <w:rFonts w:ascii="Times New Roman" w:eastAsia="Times New Roman" w:hAnsi="Times New Roman" w:cs="Times New Roman"/>
          <w:sz w:val="24"/>
          <w:szCs w:val="24"/>
          <w:lang w:eastAsia="en-GB"/>
        </w:rPr>
        <w:t>Siroha</w:t>
      </w:r>
      <w:proofErr w:type="spellEnd"/>
      <w:r w:rsidRPr="00687ABD">
        <w:rPr>
          <w:rFonts w:ascii="Times New Roman" w:eastAsia="Times New Roman" w:hAnsi="Times New Roman" w:cs="Times New Roman"/>
          <w:sz w:val="24"/>
          <w:szCs w:val="24"/>
          <w:lang w:eastAsia="en-GB"/>
        </w:rPr>
        <w:t xml:space="preserve">, A. K. (2024). Pearl millet for good health and nutrition – An overview. </w:t>
      </w:r>
      <w:r w:rsidRPr="00687ABD">
        <w:rPr>
          <w:rFonts w:ascii="Times New Roman" w:eastAsia="Times New Roman" w:hAnsi="Times New Roman" w:cs="Times New Roman"/>
          <w:i/>
          <w:iCs/>
          <w:sz w:val="24"/>
          <w:szCs w:val="24"/>
          <w:lang w:eastAsia="en-GB"/>
        </w:rPr>
        <w:t>CABI Reviews, 19</w:t>
      </w:r>
      <w:r w:rsidRPr="00687ABD">
        <w:rPr>
          <w:rFonts w:ascii="Times New Roman" w:eastAsia="Times New Roman" w:hAnsi="Times New Roman" w:cs="Times New Roman"/>
          <w:sz w:val="24"/>
          <w:szCs w:val="24"/>
          <w:lang w:eastAsia="en-GB"/>
        </w:rPr>
        <w:t xml:space="preserve">, 0041. </w:t>
      </w:r>
      <w:r w:rsidRPr="00687ABD">
        <w:rPr>
          <w:rFonts w:ascii="Times New Roman" w:eastAsia="Times New Roman" w:hAnsi="Times New Roman" w:cs="Times New Roman"/>
          <w:color w:val="0000FF"/>
          <w:sz w:val="24"/>
          <w:szCs w:val="24"/>
          <w:u w:val="single"/>
          <w:lang w:eastAsia="en-GB"/>
        </w:rPr>
        <w:t>https://doi.org/10.1079/cabireviews.2024.0041</w:t>
      </w:r>
    </w:p>
    <w:p w14:paraId="4078CE07"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Pei, J., Umapathy, V. R., </w:t>
      </w:r>
      <w:proofErr w:type="spellStart"/>
      <w:r w:rsidRPr="00687ABD">
        <w:rPr>
          <w:rFonts w:ascii="Times New Roman" w:eastAsia="Times New Roman" w:hAnsi="Times New Roman" w:cs="Times New Roman"/>
          <w:sz w:val="24"/>
          <w:szCs w:val="24"/>
          <w:lang w:eastAsia="en-GB"/>
        </w:rPr>
        <w:t>Vengadassalapathy</w:t>
      </w:r>
      <w:proofErr w:type="spellEnd"/>
      <w:r w:rsidRPr="00687ABD">
        <w:rPr>
          <w:rFonts w:ascii="Times New Roman" w:eastAsia="Times New Roman" w:hAnsi="Times New Roman" w:cs="Times New Roman"/>
          <w:sz w:val="24"/>
          <w:szCs w:val="24"/>
          <w:lang w:eastAsia="en-GB"/>
        </w:rPr>
        <w:t>, S., Hussain, S. F. J., Rajagopal, P., Jayaraman, S., Veeraraghavan, V. P., Palanisamy, C. P., &amp; Gopinath, K. (2022). A review of the potential consequences of pearl millet (</w:t>
      </w:r>
      <w:r w:rsidRPr="00687ABD">
        <w:rPr>
          <w:rFonts w:ascii="Times New Roman" w:eastAsia="Times New Roman" w:hAnsi="Times New Roman" w:cs="Times New Roman"/>
          <w:i/>
          <w:iCs/>
          <w:sz w:val="24"/>
          <w:szCs w:val="24"/>
          <w:lang w:eastAsia="en-GB"/>
        </w:rPr>
        <w:t>Pennisetum glaucum</w:t>
      </w:r>
      <w:r w:rsidRPr="00687ABD">
        <w:rPr>
          <w:rFonts w:ascii="Times New Roman" w:eastAsia="Times New Roman" w:hAnsi="Times New Roman" w:cs="Times New Roman"/>
          <w:sz w:val="24"/>
          <w:szCs w:val="24"/>
          <w:lang w:eastAsia="en-GB"/>
        </w:rPr>
        <w:t xml:space="preserve">) for diabetes mellitus and other biomedical applications. </w:t>
      </w:r>
      <w:r w:rsidRPr="00687ABD">
        <w:rPr>
          <w:rFonts w:ascii="Times New Roman" w:eastAsia="Times New Roman" w:hAnsi="Times New Roman" w:cs="Times New Roman"/>
          <w:i/>
          <w:iCs/>
          <w:sz w:val="24"/>
          <w:szCs w:val="24"/>
          <w:lang w:eastAsia="en-GB"/>
        </w:rPr>
        <w:t>Nutrients, 14</w:t>
      </w:r>
      <w:r w:rsidRPr="00687ABD">
        <w:rPr>
          <w:rFonts w:ascii="Times New Roman" w:eastAsia="Times New Roman" w:hAnsi="Times New Roman" w:cs="Times New Roman"/>
          <w:sz w:val="24"/>
          <w:szCs w:val="24"/>
          <w:lang w:eastAsia="en-GB"/>
        </w:rPr>
        <w:t xml:space="preserve">(14), 2932. </w:t>
      </w:r>
      <w:r w:rsidRPr="00687ABD">
        <w:rPr>
          <w:rFonts w:ascii="Times New Roman" w:eastAsia="Times New Roman" w:hAnsi="Times New Roman" w:cs="Times New Roman"/>
          <w:color w:val="0000FF"/>
          <w:sz w:val="24"/>
          <w:szCs w:val="24"/>
          <w:u w:val="single"/>
          <w:lang w:eastAsia="en-GB"/>
        </w:rPr>
        <w:t>https://doi.org/10.3390/nu14142932</w:t>
      </w:r>
    </w:p>
    <w:p w14:paraId="7584AAD9"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Pujar, M., </w:t>
      </w:r>
      <w:proofErr w:type="spellStart"/>
      <w:r w:rsidRPr="00687ABD">
        <w:rPr>
          <w:rFonts w:ascii="Times New Roman" w:eastAsia="Times New Roman" w:hAnsi="Times New Roman" w:cs="Times New Roman"/>
          <w:sz w:val="24"/>
          <w:szCs w:val="24"/>
          <w:lang w:eastAsia="en-GB"/>
        </w:rPr>
        <w:t>Gangaprasad</w:t>
      </w:r>
      <w:proofErr w:type="spellEnd"/>
      <w:r w:rsidRPr="00687ABD">
        <w:rPr>
          <w:rFonts w:ascii="Times New Roman" w:eastAsia="Times New Roman" w:hAnsi="Times New Roman" w:cs="Times New Roman"/>
          <w:sz w:val="24"/>
          <w:szCs w:val="24"/>
          <w:lang w:eastAsia="en-GB"/>
        </w:rPr>
        <w:t xml:space="preserve">, S., Govindaraj, M., Gangurde, S. S., </w:t>
      </w:r>
      <w:proofErr w:type="spellStart"/>
      <w:r w:rsidRPr="00687ABD">
        <w:rPr>
          <w:rFonts w:ascii="Times New Roman" w:eastAsia="Times New Roman" w:hAnsi="Times New Roman" w:cs="Times New Roman"/>
          <w:sz w:val="24"/>
          <w:szCs w:val="24"/>
          <w:lang w:eastAsia="en-GB"/>
        </w:rPr>
        <w:t>Kanatti</w:t>
      </w:r>
      <w:proofErr w:type="spellEnd"/>
      <w:r w:rsidRPr="00687ABD">
        <w:rPr>
          <w:rFonts w:ascii="Times New Roman" w:eastAsia="Times New Roman" w:hAnsi="Times New Roman" w:cs="Times New Roman"/>
          <w:sz w:val="24"/>
          <w:szCs w:val="24"/>
          <w:lang w:eastAsia="en-GB"/>
        </w:rPr>
        <w:t xml:space="preserve">, A., &amp; </w:t>
      </w:r>
      <w:proofErr w:type="spellStart"/>
      <w:r w:rsidRPr="00687ABD">
        <w:rPr>
          <w:rFonts w:ascii="Times New Roman" w:eastAsia="Times New Roman" w:hAnsi="Times New Roman" w:cs="Times New Roman"/>
          <w:sz w:val="24"/>
          <w:szCs w:val="24"/>
          <w:lang w:eastAsia="en-GB"/>
        </w:rPr>
        <w:t>Kudapa</w:t>
      </w:r>
      <w:proofErr w:type="spellEnd"/>
      <w:r w:rsidRPr="00687ABD">
        <w:rPr>
          <w:rFonts w:ascii="Times New Roman" w:eastAsia="Times New Roman" w:hAnsi="Times New Roman" w:cs="Times New Roman"/>
          <w:sz w:val="24"/>
          <w:szCs w:val="24"/>
          <w:lang w:eastAsia="en-GB"/>
        </w:rPr>
        <w:t xml:space="preserve">, H. (2020). Genome-wide association study uncovers genomic regions associated with grain iron, zinc and protein content in pearl millet. </w:t>
      </w:r>
      <w:r w:rsidRPr="00687ABD">
        <w:rPr>
          <w:rFonts w:ascii="Times New Roman" w:eastAsia="Times New Roman" w:hAnsi="Times New Roman" w:cs="Times New Roman"/>
          <w:i/>
          <w:iCs/>
          <w:sz w:val="24"/>
          <w:szCs w:val="24"/>
          <w:lang w:eastAsia="en-GB"/>
        </w:rPr>
        <w:t>Scientific Reports, 10</w:t>
      </w:r>
      <w:r w:rsidRPr="00687ABD">
        <w:rPr>
          <w:rFonts w:ascii="Times New Roman" w:eastAsia="Times New Roman" w:hAnsi="Times New Roman" w:cs="Times New Roman"/>
          <w:sz w:val="24"/>
          <w:szCs w:val="24"/>
          <w:lang w:eastAsia="en-GB"/>
        </w:rPr>
        <w:t xml:space="preserve">. </w:t>
      </w:r>
      <w:r w:rsidRPr="00687ABD">
        <w:rPr>
          <w:rFonts w:ascii="Times New Roman" w:eastAsia="Times New Roman" w:hAnsi="Times New Roman" w:cs="Times New Roman"/>
          <w:color w:val="0000FF"/>
          <w:sz w:val="24"/>
          <w:szCs w:val="24"/>
          <w:u w:val="single"/>
          <w:lang w:eastAsia="en-GB"/>
        </w:rPr>
        <w:t>https://doi.org/10.1038/s41598-020-76230-y</w:t>
      </w:r>
    </w:p>
    <w:p w14:paraId="7D9B2B88"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Pujar, M., Govindaraj, M., </w:t>
      </w:r>
      <w:proofErr w:type="spellStart"/>
      <w:r w:rsidRPr="00687ABD">
        <w:rPr>
          <w:rFonts w:ascii="Times New Roman" w:eastAsia="Times New Roman" w:hAnsi="Times New Roman" w:cs="Times New Roman"/>
          <w:sz w:val="24"/>
          <w:szCs w:val="24"/>
          <w:lang w:eastAsia="en-GB"/>
        </w:rPr>
        <w:t>Gangaprasad</w:t>
      </w:r>
      <w:proofErr w:type="spellEnd"/>
      <w:r w:rsidRPr="00687ABD">
        <w:rPr>
          <w:rFonts w:ascii="Times New Roman" w:eastAsia="Times New Roman" w:hAnsi="Times New Roman" w:cs="Times New Roman"/>
          <w:sz w:val="24"/>
          <w:szCs w:val="24"/>
          <w:lang w:eastAsia="en-GB"/>
        </w:rPr>
        <w:t xml:space="preserve">, S., </w:t>
      </w:r>
      <w:proofErr w:type="spellStart"/>
      <w:r w:rsidRPr="00687ABD">
        <w:rPr>
          <w:rFonts w:ascii="Times New Roman" w:eastAsia="Times New Roman" w:hAnsi="Times New Roman" w:cs="Times New Roman"/>
          <w:sz w:val="24"/>
          <w:szCs w:val="24"/>
          <w:lang w:eastAsia="en-GB"/>
        </w:rPr>
        <w:t>Kanatti</w:t>
      </w:r>
      <w:proofErr w:type="spellEnd"/>
      <w:r w:rsidRPr="00687ABD">
        <w:rPr>
          <w:rFonts w:ascii="Times New Roman" w:eastAsia="Times New Roman" w:hAnsi="Times New Roman" w:cs="Times New Roman"/>
          <w:sz w:val="24"/>
          <w:szCs w:val="24"/>
          <w:lang w:eastAsia="en-GB"/>
        </w:rPr>
        <w:t xml:space="preserve">, A., Gowda, T. H., </w:t>
      </w:r>
      <w:proofErr w:type="spellStart"/>
      <w:r w:rsidRPr="00687ABD">
        <w:rPr>
          <w:rFonts w:ascii="Times New Roman" w:eastAsia="Times New Roman" w:hAnsi="Times New Roman" w:cs="Times New Roman"/>
          <w:sz w:val="24"/>
          <w:szCs w:val="24"/>
          <w:lang w:eastAsia="en-GB"/>
        </w:rPr>
        <w:t>Dushyantha</w:t>
      </w:r>
      <w:proofErr w:type="spellEnd"/>
      <w:r w:rsidRPr="00687ABD">
        <w:rPr>
          <w:rFonts w:ascii="Times New Roman" w:eastAsia="Times New Roman" w:hAnsi="Times New Roman" w:cs="Times New Roman"/>
          <w:sz w:val="24"/>
          <w:szCs w:val="24"/>
          <w:lang w:eastAsia="en-GB"/>
        </w:rPr>
        <w:t xml:space="preserve"> Kumar, B. M., &amp; Satish, K. M. (2022). Generation mean analysis reveals the predominant gene effects for grain iron and zinc contents in pearl millet. </w:t>
      </w:r>
      <w:r w:rsidRPr="00687ABD">
        <w:rPr>
          <w:rFonts w:ascii="Times New Roman" w:eastAsia="Times New Roman" w:hAnsi="Times New Roman" w:cs="Times New Roman"/>
          <w:i/>
          <w:iCs/>
          <w:sz w:val="24"/>
          <w:szCs w:val="24"/>
          <w:lang w:eastAsia="en-GB"/>
        </w:rPr>
        <w:t>Frontiers in Plant Science, 12</w:t>
      </w:r>
      <w:r w:rsidRPr="00687ABD">
        <w:rPr>
          <w:rFonts w:ascii="Times New Roman" w:eastAsia="Times New Roman" w:hAnsi="Times New Roman" w:cs="Times New Roman"/>
          <w:sz w:val="24"/>
          <w:szCs w:val="24"/>
          <w:lang w:eastAsia="en-GB"/>
        </w:rPr>
        <w:t xml:space="preserve">, 693680. </w:t>
      </w:r>
      <w:r w:rsidRPr="00687ABD">
        <w:rPr>
          <w:rFonts w:ascii="Times New Roman" w:eastAsia="Times New Roman" w:hAnsi="Times New Roman" w:cs="Times New Roman"/>
          <w:color w:val="0000FF"/>
          <w:sz w:val="24"/>
          <w:szCs w:val="24"/>
          <w:u w:val="single"/>
          <w:lang w:eastAsia="en-GB"/>
        </w:rPr>
        <w:t>https://doi.org/10.3389/fpls.2021.693680</w:t>
      </w:r>
    </w:p>
    <w:p w14:paraId="44E20567"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Ramya, C. S., Manik, S. F., Malathi, G., Kamalasundari, S., Singh, B., Angmo, D., Bhushan, S., &amp; Sachan, D. S. (2024). Pearl millet: A critical review on processing techniques and its products. </w:t>
      </w:r>
      <w:r w:rsidRPr="00687ABD">
        <w:rPr>
          <w:rFonts w:ascii="Times New Roman" w:eastAsia="Times New Roman" w:hAnsi="Times New Roman" w:cs="Times New Roman"/>
          <w:i/>
          <w:iCs/>
          <w:sz w:val="24"/>
          <w:szCs w:val="24"/>
          <w:lang w:eastAsia="en-GB"/>
        </w:rPr>
        <w:t>Journal of Scientific Research and Reports, 30</w:t>
      </w:r>
      <w:r w:rsidRPr="00687ABD">
        <w:rPr>
          <w:rFonts w:ascii="Times New Roman" w:eastAsia="Times New Roman" w:hAnsi="Times New Roman" w:cs="Times New Roman"/>
          <w:sz w:val="24"/>
          <w:szCs w:val="24"/>
          <w:lang w:eastAsia="en-GB"/>
        </w:rPr>
        <w:t xml:space="preserve">(4), 274–286. </w:t>
      </w:r>
      <w:r w:rsidRPr="00687ABD">
        <w:rPr>
          <w:rFonts w:ascii="Times New Roman" w:eastAsia="Times New Roman" w:hAnsi="Times New Roman" w:cs="Times New Roman"/>
          <w:color w:val="0000FF"/>
          <w:sz w:val="24"/>
          <w:szCs w:val="24"/>
          <w:u w:val="single"/>
          <w:lang w:eastAsia="en-GB"/>
        </w:rPr>
        <w:t>https://doi.org/10.9734/jsrr/2024/v30i41914</w:t>
      </w:r>
    </w:p>
    <w:p w14:paraId="2DF62A25"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lastRenderedPageBreak/>
        <w:t xml:space="preserve">Rana, S. S., Tiwari, S., Gupta, N., Tripathi, M. K., Tripathi, N., Singh, S., &amp; </w:t>
      </w:r>
      <w:proofErr w:type="spellStart"/>
      <w:r w:rsidRPr="00687ABD">
        <w:rPr>
          <w:rFonts w:ascii="Times New Roman" w:eastAsia="Times New Roman" w:hAnsi="Times New Roman" w:cs="Times New Roman"/>
          <w:sz w:val="24"/>
          <w:szCs w:val="24"/>
          <w:lang w:eastAsia="en-GB"/>
        </w:rPr>
        <w:t>Bhagyawant</w:t>
      </w:r>
      <w:proofErr w:type="spellEnd"/>
      <w:r w:rsidRPr="00687ABD">
        <w:rPr>
          <w:rFonts w:ascii="Times New Roman" w:eastAsia="Times New Roman" w:hAnsi="Times New Roman" w:cs="Times New Roman"/>
          <w:sz w:val="24"/>
          <w:szCs w:val="24"/>
          <w:lang w:eastAsia="en-GB"/>
        </w:rPr>
        <w:t xml:space="preserve">, S. S. (2023). Validating the nutraceutical significance of minor millets by employing nutritional–antinutritional profiling. </w:t>
      </w:r>
      <w:r w:rsidRPr="00687ABD">
        <w:rPr>
          <w:rFonts w:ascii="Times New Roman" w:eastAsia="Times New Roman" w:hAnsi="Times New Roman" w:cs="Times New Roman"/>
          <w:i/>
          <w:iCs/>
          <w:sz w:val="24"/>
          <w:szCs w:val="24"/>
          <w:lang w:eastAsia="en-GB"/>
        </w:rPr>
        <w:t>Life, 13</w:t>
      </w:r>
      <w:r w:rsidRPr="00687ABD">
        <w:rPr>
          <w:rFonts w:ascii="Times New Roman" w:eastAsia="Times New Roman" w:hAnsi="Times New Roman" w:cs="Times New Roman"/>
          <w:sz w:val="24"/>
          <w:szCs w:val="24"/>
          <w:lang w:eastAsia="en-GB"/>
        </w:rPr>
        <w:t xml:space="preserve">(9), 1918. </w:t>
      </w:r>
      <w:r w:rsidRPr="00687ABD">
        <w:rPr>
          <w:rFonts w:ascii="Times New Roman" w:eastAsia="Times New Roman" w:hAnsi="Times New Roman" w:cs="Times New Roman"/>
          <w:color w:val="0000FF"/>
          <w:sz w:val="24"/>
          <w:szCs w:val="24"/>
          <w:u w:val="single"/>
          <w:lang w:eastAsia="en-GB"/>
        </w:rPr>
        <w:t>https://doi.org/10.3390/life13091918</w:t>
      </w:r>
    </w:p>
    <w:p w14:paraId="57BB8C3B"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Satyavathi, C. T., </w:t>
      </w:r>
      <w:proofErr w:type="spellStart"/>
      <w:r w:rsidRPr="00687ABD">
        <w:rPr>
          <w:rFonts w:ascii="Times New Roman" w:eastAsia="Times New Roman" w:hAnsi="Times New Roman" w:cs="Times New Roman"/>
          <w:sz w:val="24"/>
          <w:szCs w:val="24"/>
          <w:lang w:eastAsia="en-GB"/>
        </w:rPr>
        <w:t>Ambawat</w:t>
      </w:r>
      <w:proofErr w:type="spellEnd"/>
      <w:r w:rsidRPr="00687ABD">
        <w:rPr>
          <w:rFonts w:ascii="Times New Roman" w:eastAsia="Times New Roman" w:hAnsi="Times New Roman" w:cs="Times New Roman"/>
          <w:sz w:val="24"/>
          <w:szCs w:val="24"/>
          <w:lang w:eastAsia="en-GB"/>
        </w:rPr>
        <w:t xml:space="preserve">, S., Khandelwal, V., &amp; Srivastava, R. K. (2021). Pearl millet: A climate-resilient </w:t>
      </w:r>
      <w:proofErr w:type="spellStart"/>
      <w:r w:rsidRPr="00687ABD">
        <w:rPr>
          <w:rFonts w:ascii="Times New Roman" w:eastAsia="Times New Roman" w:hAnsi="Times New Roman" w:cs="Times New Roman"/>
          <w:sz w:val="24"/>
          <w:szCs w:val="24"/>
          <w:lang w:eastAsia="en-GB"/>
        </w:rPr>
        <w:t>nutricereal</w:t>
      </w:r>
      <w:proofErr w:type="spellEnd"/>
      <w:r w:rsidRPr="00687ABD">
        <w:rPr>
          <w:rFonts w:ascii="Times New Roman" w:eastAsia="Times New Roman" w:hAnsi="Times New Roman" w:cs="Times New Roman"/>
          <w:sz w:val="24"/>
          <w:szCs w:val="24"/>
          <w:lang w:eastAsia="en-GB"/>
        </w:rPr>
        <w:t xml:space="preserve"> for mitigating hidden hunger and provide nutritional security. </w:t>
      </w:r>
      <w:r w:rsidRPr="00687ABD">
        <w:rPr>
          <w:rFonts w:ascii="Times New Roman" w:eastAsia="Times New Roman" w:hAnsi="Times New Roman" w:cs="Times New Roman"/>
          <w:i/>
          <w:iCs/>
          <w:sz w:val="24"/>
          <w:szCs w:val="24"/>
          <w:lang w:eastAsia="en-GB"/>
        </w:rPr>
        <w:t>Frontiers in Plant Science, 12</w:t>
      </w:r>
      <w:r w:rsidRPr="00687ABD">
        <w:rPr>
          <w:rFonts w:ascii="Times New Roman" w:eastAsia="Times New Roman" w:hAnsi="Times New Roman" w:cs="Times New Roman"/>
          <w:sz w:val="24"/>
          <w:szCs w:val="24"/>
          <w:lang w:eastAsia="en-GB"/>
        </w:rPr>
        <w:t xml:space="preserve">, 659938. </w:t>
      </w:r>
      <w:r w:rsidRPr="00687ABD">
        <w:rPr>
          <w:rFonts w:ascii="Times New Roman" w:eastAsia="Times New Roman" w:hAnsi="Times New Roman" w:cs="Times New Roman"/>
          <w:color w:val="0000FF"/>
          <w:sz w:val="24"/>
          <w:szCs w:val="24"/>
          <w:u w:val="single"/>
          <w:lang w:eastAsia="en-GB"/>
        </w:rPr>
        <w:t>https://doi.org/10.3389/fpls.2021.659938</w:t>
      </w:r>
    </w:p>
    <w:p w14:paraId="50FF9584"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687ABD">
        <w:rPr>
          <w:rFonts w:ascii="Times New Roman" w:eastAsia="Times New Roman" w:hAnsi="Times New Roman" w:cs="Times New Roman"/>
          <w:sz w:val="24"/>
          <w:szCs w:val="24"/>
          <w:lang w:eastAsia="en-GB"/>
        </w:rPr>
        <w:t>Shivhare</w:t>
      </w:r>
      <w:proofErr w:type="spellEnd"/>
      <w:r w:rsidRPr="00687ABD">
        <w:rPr>
          <w:rFonts w:ascii="Times New Roman" w:eastAsia="Times New Roman" w:hAnsi="Times New Roman" w:cs="Times New Roman"/>
          <w:sz w:val="24"/>
          <w:szCs w:val="24"/>
          <w:lang w:eastAsia="en-GB"/>
        </w:rPr>
        <w:t xml:space="preserve">, R., &amp; Lata, C. (2017). Exploration of genetic and genomic resources for abiotic and biotic stress tolerance in pearl millet. </w:t>
      </w:r>
      <w:r w:rsidRPr="00687ABD">
        <w:rPr>
          <w:rFonts w:ascii="Times New Roman" w:eastAsia="Times New Roman" w:hAnsi="Times New Roman" w:cs="Times New Roman"/>
          <w:i/>
          <w:iCs/>
          <w:sz w:val="24"/>
          <w:szCs w:val="24"/>
          <w:lang w:eastAsia="en-GB"/>
        </w:rPr>
        <w:t>Frontiers in Plant Science, 7</w:t>
      </w:r>
      <w:r w:rsidRPr="00687ABD">
        <w:rPr>
          <w:rFonts w:ascii="Times New Roman" w:eastAsia="Times New Roman" w:hAnsi="Times New Roman" w:cs="Times New Roman"/>
          <w:sz w:val="24"/>
          <w:szCs w:val="24"/>
          <w:lang w:eastAsia="en-GB"/>
        </w:rPr>
        <w:t xml:space="preserve">, 2069. </w:t>
      </w:r>
      <w:r w:rsidRPr="00687ABD">
        <w:rPr>
          <w:rFonts w:ascii="Times New Roman" w:eastAsia="Times New Roman" w:hAnsi="Times New Roman" w:cs="Times New Roman"/>
          <w:color w:val="0000FF"/>
          <w:sz w:val="24"/>
          <w:szCs w:val="24"/>
          <w:u w:val="single"/>
          <w:lang w:eastAsia="en-GB"/>
        </w:rPr>
        <w:t>https://doi.org/10.3389/fpls.2016.02069</w:t>
      </w:r>
    </w:p>
    <w:p w14:paraId="7817B9DF"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Shrestha, N., Hu, H., Shrestha, K., &amp; Doust, A. N. (2023). Pearl millet response to drought: A review. </w:t>
      </w:r>
      <w:r w:rsidRPr="00687ABD">
        <w:rPr>
          <w:rFonts w:ascii="Times New Roman" w:eastAsia="Times New Roman" w:hAnsi="Times New Roman" w:cs="Times New Roman"/>
          <w:i/>
          <w:iCs/>
          <w:sz w:val="24"/>
          <w:szCs w:val="24"/>
          <w:lang w:eastAsia="en-GB"/>
        </w:rPr>
        <w:t>Frontiers in Plant Science, 14</w:t>
      </w:r>
      <w:r w:rsidRPr="00687ABD">
        <w:rPr>
          <w:rFonts w:ascii="Times New Roman" w:eastAsia="Times New Roman" w:hAnsi="Times New Roman" w:cs="Times New Roman"/>
          <w:sz w:val="24"/>
          <w:szCs w:val="24"/>
          <w:lang w:eastAsia="en-GB"/>
        </w:rPr>
        <w:t xml:space="preserve">, 1059574. </w:t>
      </w:r>
      <w:r w:rsidRPr="00687ABD">
        <w:rPr>
          <w:rFonts w:ascii="Times New Roman" w:eastAsia="Times New Roman" w:hAnsi="Times New Roman" w:cs="Times New Roman"/>
          <w:color w:val="0000FF"/>
          <w:sz w:val="24"/>
          <w:szCs w:val="24"/>
          <w:u w:val="single"/>
          <w:lang w:eastAsia="en-GB"/>
        </w:rPr>
        <w:t>https://doi.org/10.3389/fpls.2023.1059574</w:t>
      </w:r>
    </w:p>
    <w:p w14:paraId="4142A6CF"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Sibanda, F., </w:t>
      </w:r>
      <w:proofErr w:type="spellStart"/>
      <w:r w:rsidRPr="00687ABD">
        <w:rPr>
          <w:rFonts w:ascii="Times New Roman" w:eastAsia="Times New Roman" w:hAnsi="Times New Roman" w:cs="Times New Roman"/>
          <w:sz w:val="24"/>
          <w:szCs w:val="24"/>
          <w:lang w:eastAsia="en-GB"/>
        </w:rPr>
        <w:t>Jideani</w:t>
      </w:r>
      <w:proofErr w:type="spellEnd"/>
      <w:r w:rsidRPr="00687ABD">
        <w:rPr>
          <w:rFonts w:ascii="Times New Roman" w:eastAsia="Times New Roman" w:hAnsi="Times New Roman" w:cs="Times New Roman"/>
          <w:sz w:val="24"/>
          <w:szCs w:val="24"/>
          <w:lang w:eastAsia="en-GB"/>
        </w:rPr>
        <w:t xml:space="preserve">, V. A., &amp; </w:t>
      </w:r>
      <w:proofErr w:type="spellStart"/>
      <w:r w:rsidRPr="00687ABD">
        <w:rPr>
          <w:rFonts w:ascii="Times New Roman" w:eastAsia="Times New Roman" w:hAnsi="Times New Roman" w:cs="Times New Roman"/>
          <w:sz w:val="24"/>
          <w:szCs w:val="24"/>
          <w:lang w:eastAsia="en-GB"/>
        </w:rPr>
        <w:t>Obilana</w:t>
      </w:r>
      <w:proofErr w:type="spellEnd"/>
      <w:r w:rsidRPr="00687ABD">
        <w:rPr>
          <w:rFonts w:ascii="Times New Roman" w:eastAsia="Times New Roman" w:hAnsi="Times New Roman" w:cs="Times New Roman"/>
          <w:sz w:val="24"/>
          <w:szCs w:val="24"/>
          <w:lang w:eastAsia="en-GB"/>
        </w:rPr>
        <w:t xml:space="preserve">, A. O. (2024). Nutritional, biochemical, and functional properties of pearl millet and </w:t>
      </w:r>
      <w:r w:rsidRPr="00687ABD">
        <w:rPr>
          <w:rFonts w:ascii="Times New Roman" w:eastAsia="Times New Roman" w:hAnsi="Times New Roman" w:cs="Times New Roman"/>
          <w:i/>
          <w:iCs/>
          <w:sz w:val="24"/>
          <w:szCs w:val="24"/>
          <w:lang w:eastAsia="en-GB"/>
        </w:rPr>
        <w:t>Moringa oleifera</w:t>
      </w:r>
      <w:r w:rsidRPr="00687ABD">
        <w:rPr>
          <w:rFonts w:ascii="Times New Roman" w:eastAsia="Times New Roman" w:hAnsi="Times New Roman" w:cs="Times New Roman"/>
          <w:sz w:val="24"/>
          <w:szCs w:val="24"/>
          <w:lang w:eastAsia="en-GB"/>
        </w:rPr>
        <w:t xml:space="preserve"> leaf powder composite meal powders. </w:t>
      </w:r>
      <w:r w:rsidRPr="00687ABD">
        <w:rPr>
          <w:rFonts w:ascii="Times New Roman" w:eastAsia="Times New Roman" w:hAnsi="Times New Roman" w:cs="Times New Roman"/>
          <w:i/>
          <w:iCs/>
          <w:sz w:val="24"/>
          <w:szCs w:val="24"/>
          <w:lang w:eastAsia="en-GB"/>
        </w:rPr>
        <w:t>Foods, 13</w:t>
      </w:r>
      <w:r w:rsidRPr="00687ABD">
        <w:rPr>
          <w:rFonts w:ascii="Times New Roman" w:eastAsia="Times New Roman" w:hAnsi="Times New Roman" w:cs="Times New Roman"/>
          <w:sz w:val="24"/>
          <w:szCs w:val="24"/>
          <w:lang w:eastAsia="en-GB"/>
        </w:rPr>
        <w:t xml:space="preserve">(5), 743. </w:t>
      </w:r>
      <w:r w:rsidRPr="00687ABD">
        <w:rPr>
          <w:rFonts w:ascii="Times New Roman" w:eastAsia="Times New Roman" w:hAnsi="Times New Roman" w:cs="Times New Roman"/>
          <w:color w:val="0000FF"/>
          <w:sz w:val="24"/>
          <w:szCs w:val="24"/>
          <w:u w:val="single"/>
          <w:lang w:eastAsia="en-GB"/>
        </w:rPr>
        <w:t>https://doi.org/10.3390/foods13050743</w:t>
      </w:r>
    </w:p>
    <w:p w14:paraId="35062459" w14:textId="77777777" w:rsidR="00687ABD" w:rsidRPr="00687ABD" w:rsidRDefault="00687ABD" w:rsidP="00687ABD">
      <w:pPr>
        <w:spacing w:before="100" w:beforeAutospacing="1" w:after="100" w:afterAutospacing="1" w:line="240" w:lineRule="auto"/>
        <w:rPr>
          <w:rFonts w:ascii="Times New Roman" w:eastAsia="Times New Roman" w:hAnsi="Times New Roman" w:cs="Times New Roman"/>
          <w:sz w:val="24"/>
          <w:szCs w:val="24"/>
          <w:lang w:eastAsia="en-GB"/>
        </w:rPr>
      </w:pPr>
      <w:r w:rsidRPr="00687ABD">
        <w:rPr>
          <w:rFonts w:ascii="Times New Roman" w:eastAsia="Times New Roman" w:hAnsi="Times New Roman" w:cs="Times New Roman"/>
          <w:sz w:val="24"/>
          <w:szCs w:val="24"/>
          <w:lang w:eastAsia="en-GB"/>
        </w:rPr>
        <w:t xml:space="preserve">Tanwar, R., </w:t>
      </w:r>
      <w:proofErr w:type="spellStart"/>
      <w:r w:rsidRPr="00687ABD">
        <w:rPr>
          <w:rFonts w:ascii="Times New Roman" w:eastAsia="Times New Roman" w:hAnsi="Times New Roman" w:cs="Times New Roman"/>
          <w:sz w:val="24"/>
          <w:szCs w:val="24"/>
          <w:lang w:eastAsia="en-GB"/>
        </w:rPr>
        <w:t>Panghal</w:t>
      </w:r>
      <w:proofErr w:type="spellEnd"/>
      <w:r w:rsidRPr="00687ABD">
        <w:rPr>
          <w:rFonts w:ascii="Times New Roman" w:eastAsia="Times New Roman" w:hAnsi="Times New Roman" w:cs="Times New Roman"/>
          <w:sz w:val="24"/>
          <w:szCs w:val="24"/>
          <w:lang w:eastAsia="en-GB"/>
        </w:rPr>
        <w:t xml:space="preserve">, A., Kumari, A., &amp; </w:t>
      </w:r>
      <w:proofErr w:type="spellStart"/>
      <w:r w:rsidRPr="00687ABD">
        <w:rPr>
          <w:rFonts w:ascii="Times New Roman" w:eastAsia="Times New Roman" w:hAnsi="Times New Roman" w:cs="Times New Roman"/>
          <w:sz w:val="24"/>
          <w:szCs w:val="24"/>
          <w:lang w:eastAsia="en-GB"/>
        </w:rPr>
        <w:t>Chhikara</w:t>
      </w:r>
      <w:proofErr w:type="spellEnd"/>
      <w:r w:rsidRPr="00687ABD">
        <w:rPr>
          <w:rFonts w:ascii="Times New Roman" w:eastAsia="Times New Roman" w:hAnsi="Times New Roman" w:cs="Times New Roman"/>
          <w:sz w:val="24"/>
          <w:szCs w:val="24"/>
          <w:lang w:eastAsia="en-GB"/>
        </w:rPr>
        <w:t xml:space="preserve">, N. (2025). Nutritional, phytochemical and functional potential of pearl millet: A review. </w:t>
      </w:r>
      <w:r w:rsidRPr="00687ABD">
        <w:rPr>
          <w:rFonts w:ascii="Times New Roman" w:eastAsia="Times New Roman" w:hAnsi="Times New Roman" w:cs="Times New Roman"/>
          <w:i/>
          <w:iCs/>
          <w:sz w:val="24"/>
          <w:szCs w:val="24"/>
          <w:lang w:eastAsia="en-GB"/>
        </w:rPr>
        <w:t>Chemistry &amp; Biodiversity, 22</w:t>
      </w:r>
      <w:r w:rsidRPr="00687ABD">
        <w:rPr>
          <w:rFonts w:ascii="Times New Roman" w:eastAsia="Times New Roman" w:hAnsi="Times New Roman" w:cs="Times New Roman"/>
          <w:sz w:val="24"/>
          <w:szCs w:val="24"/>
          <w:lang w:eastAsia="en-GB"/>
        </w:rPr>
        <w:t xml:space="preserve">(7), e202402437. </w:t>
      </w:r>
      <w:r w:rsidRPr="00687ABD">
        <w:rPr>
          <w:rFonts w:ascii="Times New Roman" w:eastAsia="Times New Roman" w:hAnsi="Times New Roman" w:cs="Times New Roman"/>
          <w:color w:val="0000FF"/>
          <w:sz w:val="24"/>
          <w:szCs w:val="24"/>
          <w:u w:val="single"/>
          <w:lang w:eastAsia="en-GB"/>
        </w:rPr>
        <w:t>https://doi.org/10.1002/cbdv.202402437</w:t>
      </w:r>
    </w:p>
    <w:p w14:paraId="47AD394E" w14:textId="77777777" w:rsidR="004841B3" w:rsidRPr="00687ABD" w:rsidRDefault="004841B3"/>
    <w:sectPr w:rsidR="004841B3" w:rsidRPr="00687ABD" w:rsidSect="004841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D92B5" w14:textId="77777777" w:rsidR="006812FE" w:rsidRDefault="006812FE" w:rsidP="006D47FF">
      <w:pPr>
        <w:spacing w:after="0" w:line="240" w:lineRule="auto"/>
      </w:pPr>
      <w:r>
        <w:separator/>
      </w:r>
    </w:p>
  </w:endnote>
  <w:endnote w:type="continuationSeparator" w:id="0">
    <w:p w14:paraId="56B1982B" w14:textId="77777777" w:rsidR="006812FE" w:rsidRDefault="006812FE" w:rsidP="006D4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1A57" w14:textId="77777777" w:rsidR="006D47FF" w:rsidRDefault="006D47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02D97" w14:textId="77777777" w:rsidR="006D47FF" w:rsidRDefault="006D47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5FCC0" w14:textId="77777777" w:rsidR="006D47FF" w:rsidRDefault="006D47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B08BD" w14:textId="77777777" w:rsidR="006812FE" w:rsidRDefault="006812FE" w:rsidP="006D47FF">
      <w:pPr>
        <w:spacing w:after="0" w:line="240" w:lineRule="auto"/>
      </w:pPr>
      <w:r>
        <w:separator/>
      </w:r>
    </w:p>
  </w:footnote>
  <w:footnote w:type="continuationSeparator" w:id="0">
    <w:p w14:paraId="4EF6E3C9" w14:textId="77777777" w:rsidR="006812FE" w:rsidRDefault="006812FE" w:rsidP="006D4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BB03D" w14:textId="43AC57B2" w:rsidR="006D47FF" w:rsidRDefault="006D47FF">
    <w:pPr>
      <w:pStyle w:val="Header"/>
    </w:pPr>
    <w:r>
      <w:rPr>
        <w:noProof/>
      </w:rPr>
      <w:pict w14:anchorId="2788BC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720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F7E6" w14:textId="4B4BD986" w:rsidR="006D47FF" w:rsidRDefault="006D47FF">
    <w:pPr>
      <w:pStyle w:val="Header"/>
    </w:pPr>
    <w:r>
      <w:rPr>
        <w:noProof/>
      </w:rPr>
      <w:pict w14:anchorId="0A6E7A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720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21C05" w14:textId="4E7F1A8F" w:rsidR="006D47FF" w:rsidRDefault="006D47FF">
    <w:pPr>
      <w:pStyle w:val="Header"/>
    </w:pPr>
    <w:r>
      <w:rPr>
        <w:noProof/>
      </w:rPr>
      <w:pict w14:anchorId="4369D7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28720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7ABD"/>
    <w:rsid w:val="00120B49"/>
    <w:rsid w:val="00125EF8"/>
    <w:rsid w:val="00345F3B"/>
    <w:rsid w:val="004841B3"/>
    <w:rsid w:val="004A4E91"/>
    <w:rsid w:val="006812FE"/>
    <w:rsid w:val="00687ABD"/>
    <w:rsid w:val="006D47FF"/>
    <w:rsid w:val="007F6C7C"/>
    <w:rsid w:val="00824882"/>
    <w:rsid w:val="009715E1"/>
    <w:rsid w:val="00A358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CAE1D"/>
  <w15:docId w15:val="{B85EA89A-3984-46AC-BA21-0889BCF97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687AB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87AB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687AB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687ABD"/>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87ABD"/>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687ABD"/>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687A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87ABD"/>
    <w:rPr>
      <w:i/>
      <w:iCs/>
    </w:rPr>
  </w:style>
  <w:style w:type="character" w:styleId="Strong">
    <w:name w:val="Strong"/>
    <w:basedOn w:val="DefaultParagraphFont"/>
    <w:uiPriority w:val="22"/>
    <w:qFormat/>
    <w:rsid w:val="00687ABD"/>
    <w:rPr>
      <w:b/>
      <w:bCs/>
    </w:rPr>
  </w:style>
  <w:style w:type="character" w:styleId="Hyperlink">
    <w:name w:val="Hyperlink"/>
    <w:basedOn w:val="DefaultParagraphFont"/>
    <w:uiPriority w:val="99"/>
    <w:semiHidden/>
    <w:unhideWhenUsed/>
    <w:rsid w:val="00687ABD"/>
    <w:rPr>
      <w:color w:val="0000FF"/>
      <w:u w:val="single"/>
    </w:rPr>
  </w:style>
  <w:style w:type="table" w:styleId="TableGrid">
    <w:name w:val="Table Grid"/>
    <w:basedOn w:val="TableNormal"/>
    <w:uiPriority w:val="59"/>
    <w:rsid w:val="00971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47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7FF"/>
  </w:style>
  <w:style w:type="paragraph" w:styleId="Footer">
    <w:name w:val="footer"/>
    <w:basedOn w:val="Normal"/>
    <w:link w:val="FooterChar"/>
    <w:uiPriority w:val="99"/>
    <w:unhideWhenUsed/>
    <w:rsid w:val="006D47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987735">
      <w:bodyDiv w:val="1"/>
      <w:marLeft w:val="0"/>
      <w:marRight w:val="0"/>
      <w:marTop w:val="0"/>
      <w:marBottom w:val="0"/>
      <w:divBdr>
        <w:top w:val="none" w:sz="0" w:space="0" w:color="auto"/>
        <w:left w:val="none" w:sz="0" w:space="0" w:color="auto"/>
        <w:bottom w:val="none" w:sz="0" w:space="0" w:color="auto"/>
        <w:right w:val="none" w:sz="0" w:space="0" w:color="auto"/>
      </w:divBdr>
      <w:divsChild>
        <w:div w:id="1087506131">
          <w:marLeft w:val="0"/>
          <w:marRight w:val="0"/>
          <w:marTop w:val="0"/>
          <w:marBottom w:val="0"/>
          <w:divBdr>
            <w:top w:val="none" w:sz="0" w:space="0" w:color="auto"/>
            <w:left w:val="none" w:sz="0" w:space="0" w:color="auto"/>
            <w:bottom w:val="none" w:sz="0" w:space="0" w:color="auto"/>
            <w:right w:val="none" w:sz="0" w:space="0" w:color="auto"/>
          </w:divBdr>
        </w:div>
        <w:div w:id="1551067448">
          <w:marLeft w:val="0"/>
          <w:marRight w:val="0"/>
          <w:marTop w:val="0"/>
          <w:marBottom w:val="0"/>
          <w:divBdr>
            <w:top w:val="none" w:sz="0" w:space="0" w:color="auto"/>
            <w:left w:val="none" w:sz="0" w:space="0" w:color="auto"/>
            <w:bottom w:val="none" w:sz="0" w:space="0" w:color="auto"/>
            <w:right w:val="none" w:sz="0" w:space="0" w:color="auto"/>
          </w:divBdr>
        </w:div>
        <w:div w:id="998728060">
          <w:marLeft w:val="0"/>
          <w:marRight w:val="0"/>
          <w:marTop w:val="0"/>
          <w:marBottom w:val="0"/>
          <w:divBdr>
            <w:top w:val="none" w:sz="0" w:space="0" w:color="auto"/>
            <w:left w:val="none" w:sz="0" w:space="0" w:color="auto"/>
            <w:bottom w:val="none" w:sz="0" w:space="0" w:color="auto"/>
            <w:right w:val="none" w:sz="0" w:space="0" w:color="auto"/>
          </w:divBdr>
        </w:div>
        <w:div w:id="1744256006">
          <w:marLeft w:val="0"/>
          <w:marRight w:val="0"/>
          <w:marTop w:val="0"/>
          <w:marBottom w:val="0"/>
          <w:divBdr>
            <w:top w:val="none" w:sz="0" w:space="0" w:color="auto"/>
            <w:left w:val="none" w:sz="0" w:space="0" w:color="auto"/>
            <w:bottom w:val="none" w:sz="0" w:space="0" w:color="auto"/>
            <w:right w:val="none" w:sz="0" w:space="0" w:color="auto"/>
          </w:divBdr>
        </w:div>
        <w:div w:id="1254045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19</Pages>
  <Words>9573</Words>
  <Characters>54568</Characters>
  <Application>Microsoft Office Word</Application>
  <DocSecurity>0</DocSecurity>
  <Lines>454</Lines>
  <Paragraphs>128</Paragraphs>
  <ScaleCrop>false</ScaleCrop>
  <Company>HP</Company>
  <LinksUpToDate>false</LinksUpToDate>
  <CharactersWithSpaces>64013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1166</cp:lastModifiedBy>
  <cp:revision>7</cp:revision>
  <dcterms:created xsi:type="dcterms:W3CDTF">2026-07-02T18:42:00Z</dcterms:created>
  <dcterms:modified xsi:type="dcterms:W3CDTF">2026-07-04T08:11:00Z</dcterms:modified>
</cp:coreProperties>
</file>