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4AE79" w14:textId="77777777" w:rsidR="004453F9" w:rsidRPr="004453F9" w:rsidRDefault="004453F9" w:rsidP="004453F9">
      <w:pPr>
        <w:jc w:val="center"/>
        <w:rPr>
          <w:rFonts w:cs="Times New Roman"/>
          <w:b/>
          <w:bCs/>
          <w:i/>
          <w:iCs/>
          <w:sz w:val="24"/>
          <w:szCs w:val="24"/>
          <w:u w:val="single"/>
        </w:rPr>
      </w:pPr>
      <w:r w:rsidRPr="004453F9">
        <w:rPr>
          <w:rFonts w:cs="Times New Roman"/>
          <w:b/>
          <w:bCs/>
          <w:i/>
          <w:iCs/>
          <w:sz w:val="24"/>
          <w:szCs w:val="24"/>
          <w:u w:val="single"/>
        </w:rPr>
        <w:t>Original Research Article</w:t>
      </w:r>
    </w:p>
    <w:p w14:paraId="01EECC7E" w14:textId="77777777" w:rsidR="00524B1F" w:rsidRPr="00791966" w:rsidRDefault="00524B1F" w:rsidP="00524B1F">
      <w:pPr>
        <w:jc w:val="center"/>
        <w:rPr>
          <w:rFonts w:cs="Times New Roman"/>
          <w:sz w:val="24"/>
          <w:szCs w:val="24"/>
        </w:rPr>
      </w:pPr>
      <w:r>
        <w:rPr>
          <w:rFonts w:cs="Times New Roman"/>
          <w:b/>
          <w:sz w:val="24"/>
          <w:szCs w:val="24"/>
        </w:rPr>
        <w:t xml:space="preserve">Comparative Assessment of </w:t>
      </w:r>
      <w:r w:rsidRPr="00791966">
        <w:rPr>
          <w:rFonts w:cs="Times New Roman"/>
          <w:b/>
          <w:sz w:val="24"/>
          <w:szCs w:val="24"/>
        </w:rPr>
        <w:t>Polycyclic Aromatic Hydrocarbon</w:t>
      </w:r>
      <w:r>
        <w:rPr>
          <w:rFonts w:cs="Times New Roman"/>
          <w:b/>
          <w:sz w:val="24"/>
          <w:szCs w:val="24"/>
        </w:rPr>
        <w:t xml:space="preserve"> levels</w:t>
      </w:r>
      <w:r w:rsidRPr="00791966">
        <w:rPr>
          <w:rFonts w:cs="Times New Roman"/>
          <w:b/>
          <w:sz w:val="24"/>
          <w:szCs w:val="24"/>
        </w:rPr>
        <w:t xml:space="preserve"> in Air and Associated Health Risks in</w:t>
      </w:r>
      <w:r>
        <w:rPr>
          <w:rFonts w:cs="Times New Roman"/>
          <w:b/>
          <w:sz w:val="24"/>
          <w:szCs w:val="24"/>
        </w:rPr>
        <w:t xml:space="preserve"> some</w:t>
      </w:r>
      <w:r w:rsidRPr="00791966">
        <w:rPr>
          <w:rFonts w:cs="Times New Roman"/>
          <w:b/>
          <w:sz w:val="24"/>
          <w:szCs w:val="24"/>
        </w:rPr>
        <w:t xml:space="preserve"> Communities</w:t>
      </w:r>
      <w:r>
        <w:rPr>
          <w:rFonts w:cs="Times New Roman"/>
          <w:b/>
          <w:sz w:val="24"/>
          <w:szCs w:val="24"/>
        </w:rPr>
        <w:t xml:space="preserve"> in</w:t>
      </w:r>
      <w:r w:rsidRPr="00461304">
        <w:rPr>
          <w:rFonts w:cs="Times New Roman"/>
          <w:b/>
          <w:sz w:val="24"/>
          <w:szCs w:val="24"/>
        </w:rPr>
        <w:t xml:space="preserve"> </w:t>
      </w:r>
      <w:r w:rsidRPr="00791966">
        <w:rPr>
          <w:rFonts w:cs="Times New Roman"/>
          <w:b/>
          <w:sz w:val="24"/>
          <w:szCs w:val="24"/>
        </w:rPr>
        <w:t>Eleme, Rivers State, Nigeria</w:t>
      </w:r>
    </w:p>
    <w:p w14:paraId="0850DEFF" w14:textId="77777777" w:rsidR="0037428A" w:rsidRDefault="0037428A" w:rsidP="0037428A">
      <w:pPr>
        <w:pStyle w:val="isselectedend"/>
      </w:pPr>
      <w:r>
        <w:rPr>
          <w:rStyle w:val="Strong"/>
          <w:rFonts w:eastAsiaTheme="majorEastAsia"/>
        </w:rPr>
        <w:t>Abstract</w:t>
      </w:r>
    </w:p>
    <w:p w14:paraId="2187895F" w14:textId="77777777" w:rsidR="0037428A" w:rsidRDefault="0037428A" w:rsidP="0037428A">
      <w:pPr>
        <w:pStyle w:val="NormalWeb"/>
      </w:pPr>
      <w:r>
        <w:t xml:space="preserve">This study assessed polycyclic aromatic hydrocarbons (PAHs) in indoor and outdoor air from </w:t>
      </w:r>
      <w:proofErr w:type="spellStart"/>
      <w:r>
        <w:t>Akpajo</w:t>
      </w:r>
      <w:proofErr w:type="spellEnd"/>
      <w:r>
        <w:t xml:space="preserve">, Alesa and </w:t>
      </w:r>
      <w:proofErr w:type="spellStart"/>
      <w:r>
        <w:t>Aleto</w:t>
      </w:r>
      <w:proofErr w:type="spellEnd"/>
      <w:r>
        <w:t xml:space="preserve"> communities in Eleme Local Government Area, Rivers State, Nigeria, and evaluated the associated inhalation health risks. Air samples were collected during dry and wet seasons from indoor and outdoor microenvironments and </w:t>
      </w:r>
      <w:proofErr w:type="spellStart"/>
      <w:r>
        <w:t>analysed</w:t>
      </w:r>
      <w:proofErr w:type="spellEnd"/>
      <w:r>
        <w:t xml:space="preserve"> for selected PAH congeners after solvent extraction using dichloromethane (1:1 v/v) and gas chromatography-mass spectrometry. Total PAH concentrations varied across community, season and microenvironment, ranging from 7.40 µg/m³ in Alesa wet-season indoor air to 30.55 µg/m³ in </w:t>
      </w:r>
      <w:proofErr w:type="spellStart"/>
      <w:r>
        <w:t>Aleto</w:t>
      </w:r>
      <w:proofErr w:type="spellEnd"/>
      <w:r>
        <w:t xml:space="preserve"> dry-season outdoor air. The mean total PAH concentration was highest in </w:t>
      </w:r>
      <w:proofErr w:type="spellStart"/>
      <w:r>
        <w:t>Aleto</w:t>
      </w:r>
      <w:proofErr w:type="spellEnd"/>
      <w:r>
        <w:t xml:space="preserve"> (21.41 µg/m³), followed by </w:t>
      </w:r>
      <w:proofErr w:type="spellStart"/>
      <w:r>
        <w:t>Akpajo</w:t>
      </w:r>
      <w:proofErr w:type="spellEnd"/>
      <w:r>
        <w:t xml:space="preserve"> (11.80 µg/m³) and Alesa (10.39 µg/m³). Dry-season concentrations were higher than wet-season concentrations, with mean values of 18.18 µg/m³ and 10.88 µg/m³, respectively. Outdoor air also showed a higher mean concentration than indoor air. Anthracene, pyrene, benzo(k)fluoranthene, naphthalene and fluorene were the dominant pooled congeners. Health-risk estimates indicated higher lifetime average daily dose and incremental lifetime carcinogenic risk in children than adults across all sampling conditions. The highest child incremental lifetime carcinogenic risk was observed in </w:t>
      </w:r>
      <w:proofErr w:type="spellStart"/>
      <w:r>
        <w:t>Aleto</w:t>
      </w:r>
      <w:proofErr w:type="spellEnd"/>
      <w:r>
        <w:t xml:space="preserve"> dry-season outdoor air. Analysis of variance showed significant seasonal effects for total PAHs and selected congeners, while principal component analysis retained three components that explained 90.73% of the total variance. The findings indicate measurable PAH contamination in the studied communities and support routine monitoring and exposure-reduction measures.</w:t>
      </w:r>
    </w:p>
    <w:p w14:paraId="1718F979" w14:textId="77777777" w:rsidR="00524B1F" w:rsidRDefault="00524B1F" w:rsidP="00524B1F">
      <w:pPr>
        <w:spacing w:after="0" w:line="240" w:lineRule="auto"/>
        <w:jc w:val="both"/>
        <w:rPr>
          <w:rFonts w:cs="Times New Roman"/>
          <w:sz w:val="24"/>
          <w:szCs w:val="24"/>
        </w:rPr>
      </w:pPr>
    </w:p>
    <w:p w14:paraId="34276482" w14:textId="77777777" w:rsidR="00524B1F" w:rsidRPr="00544BBF" w:rsidRDefault="00524B1F" w:rsidP="00524B1F">
      <w:pPr>
        <w:spacing w:after="0" w:line="240" w:lineRule="auto"/>
        <w:jc w:val="both"/>
        <w:rPr>
          <w:rFonts w:cs="Times New Roman"/>
          <w:sz w:val="24"/>
          <w:szCs w:val="24"/>
        </w:rPr>
      </w:pPr>
      <w:r w:rsidRPr="00FA4EBF">
        <w:rPr>
          <w:rFonts w:cs="Times New Roman"/>
          <w:b/>
          <w:i/>
          <w:sz w:val="24"/>
          <w:szCs w:val="24"/>
        </w:rPr>
        <w:t>Keywords:</w:t>
      </w:r>
      <w:r w:rsidRPr="00461304">
        <w:rPr>
          <w:rFonts w:cs="Times New Roman"/>
          <w:b/>
          <w:sz w:val="24"/>
          <w:szCs w:val="24"/>
        </w:rPr>
        <w:t xml:space="preserve"> </w:t>
      </w:r>
      <w:r w:rsidRPr="00A22C4A">
        <w:rPr>
          <w:rFonts w:cs="Times New Roman"/>
          <w:sz w:val="24"/>
          <w:szCs w:val="24"/>
        </w:rPr>
        <w:t>Polycyclic Aromatic Hydrocarbon</w:t>
      </w:r>
      <w:r>
        <w:rPr>
          <w:rFonts w:cs="Times New Roman"/>
          <w:sz w:val="24"/>
          <w:szCs w:val="24"/>
        </w:rPr>
        <w:t>s,</w:t>
      </w:r>
      <w:r w:rsidRPr="00A22C4A">
        <w:rPr>
          <w:rFonts w:cs="Times New Roman"/>
          <w:sz w:val="24"/>
          <w:szCs w:val="24"/>
        </w:rPr>
        <w:t xml:space="preserve"> Indoor</w:t>
      </w:r>
      <w:r>
        <w:rPr>
          <w:rFonts w:cs="Times New Roman"/>
          <w:sz w:val="24"/>
          <w:szCs w:val="24"/>
        </w:rPr>
        <w:t>,</w:t>
      </w:r>
      <w:r w:rsidRPr="00A22C4A">
        <w:rPr>
          <w:rFonts w:cs="Times New Roman"/>
          <w:sz w:val="24"/>
          <w:szCs w:val="24"/>
        </w:rPr>
        <w:t xml:space="preserve"> Outdoor</w:t>
      </w:r>
      <w:r>
        <w:rPr>
          <w:rFonts w:cs="Times New Roman"/>
          <w:sz w:val="24"/>
          <w:szCs w:val="24"/>
        </w:rPr>
        <w:t xml:space="preserve">, </w:t>
      </w:r>
      <w:proofErr w:type="spellStart"/>
      <w:r w:rsidRPr="00A22C4A">
        <w:rPr>
          <w:rFonts w:cs="Times New Roman"/>
          <w:sz w:val="24"/>
          <w:szCs w:val="24"/>
        </w:rPr>
        <w:t>Akpajo</w:t>
      </w:r>
      <w:proofErr w:type="spellEnd"/>
      <w:r w:rsidRPr="00A22C4A">
        <w:rPr>
          <w:rFonts w:cs="Times New Roman"/>
          <w:sz w:val="24"/>
          <w:szCs w:val="24"/>
        </w:rPr>
        <w:t>, Alesa</w:t>
      </w:r>
      <w:r>
        <w:rPr>
          <w:rFonts w:cs="Times New Roman"/>
          <w:sz w:val="24"/>
          <w:szCs w:val="24"/>
        </w:rPr>
        <w:t>,</w:t>
      </w:r>
      <w:r w:rsidRPr="00A22C4A">
        <w:rPr>
          <w:rFonts w:cs="Times New Roman"/>
          <w:sz w:val="24"/>
          <w:szCs w:val="24"/>
        </w:rPr>
        <w:t xml:space="preserve"> </w:t>
      </w:r>
      <w:proofErr w:type="spellStart"/>
      <w:r w:rsidRPr="00A22C4A">
        <w:rPr>
          <w:rFonts w:cs="Times New Roman"/>
          <w:sz w:val="24"/>
          <w:szCs w:val="24"/>
        </w:rPr>
        <w:t>Aleto</w:t>
      </w:r>
      <w:proofErr w:type="spellEnd"/>
      <w:r>
        <w:rPr>
          <w:rFonts w:cs="Times New Roman"/>
          <w:sz w:val="24"/>
          <w:szCs w:val="24"/>
        </w:rPr>
        <w:t>, Eleme, Nigeria</w:t>
      </w:r>
    </w:p>
    <w:p w14:paraId="6647A8FD" w14:textId="77777777" w:rsidR="00524B1F" w:rsidRDefault="00524B1F" w:rsidP="00524B1F">
      <w:pPr>
        <w:spacing w:line="480" w:lineRule="auto"/>
        <w:ind w:left="2880" w:firstLine="720"/>
        <w:jc w:val="both"/>
        <w:rPr>
          <w:rFonts w:cs="Times New Roman"/>
          <w:b/>
          <w:bCs/>
          <w:sz w:val="24"/>
          <w:szCs w:val="24"/>
        </w:rPr>
      </w:pPr>
    </w:p>
    <w:p w14:paraId="662AE2FA" w14:textId="77777777" w:rsidR="00524B1F" w:rsidRPr="00544BBF" w:rsidRDefault="00524B1F" w:rsidP="00524B1F">
      <w:pPr>
        <w:spacing w:line="480" w:lineRule="auto"/>
        <w:ind w:left="2880" w:firstLine="720"/>
        <w:jc w:val="both"/>
        <w:rPr>
          <w:rFonts w:cs="Times New Roman"/>
          <w:b/>
          <w:bCs/>
          <w:sz w:val="24"/>
          <w:szCs w:val="24"/>
        </w:rPr>
      </w:pPr>
      <w:r w:rsidRPr="00544BBF">
        <w:rPr>
          <w:rFonts w:cs="Times New Roman"/>
          <w:b/>
          <w:bCs/>
          <w:sz w:val="24"/>
          <w:szCs w:val="24"/>
        </w:rPr>
        <w:t xml:space="preserve"> INTRODUCTION</w:t>
      </w:r>
    </w:p>
    <w:p w14:paraId="16526E55"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Air pollution remains one of the most important environmental-health concerns in industrial and urbanizing regions. It includes chemical, physical and biological alterations in the natural composition of air that may impair human health, reduce visibility, damage vegetation and alter ecosystem processes. In the Niger Delta, air pollution is strongly linked to petroleum-related activities, road traffic, generator use, open burning, industrial operations and construction-related dust.</w:t>
      </w:r>
    </w:p>
    <w:p w14:paraId="735F80BA"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Polycyclic aromatic hydrocarbons are a class of semi-volatile organic compounds made up of two or more fused aromatic rings. They are formed mainly during incomplete combustion of organic matter, including petroleum products, biomass, refuse and coal-derived materials. Because PAHs can partition between </w:t>
      </w:r>
      <w:proofErr w:type="spellStart"/>
      <w:r w:rsidRPr="00544BBF">
        <w:rPr>
          <w:rFonts w:cs="Times New Roman"/>
          <w:sz w:val="24"/>
          <w:szCs w:val="24"/>
        </w:rPr>
        <w:t>vapour</w:t>
      </w:r>
      <w:proofErr w:type="spellEnd"/>
      <w:r w:rsidRPr="00544BBF">
        <w:rPr>
          <w:rFonts w:cs="Times New Roman"/>
          <w:sz w:val="24"/>
          <w:szCs w:val="24"/>
        </w:rPr>
        <w:t xml:space="preserve"> and particle phases, they are transported through air, deposited on surfaces and vegetation, and may enter the human body through inhalation, ingestion and dermal contact.</w:t>
      </w:r>
    </w:p>
    <w:p w14:paraId="31DA5535"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Eleme Local Government Area in Rivers State is an important industrial corridor that hosts petrochemical, refining, port, transportation, commercial and residential activities. The communities of </w:t>
      </w:r>
      <w:proofErr w:type="spellStart"/>
      <w:r w:rsidRPr="00544BBF">
        <w:rPr>
          <w:rFonts w:cs="Times New Roman"/>
          <w:sz w:val="24"/>
          <w:szCs w:val="24"/>
        </w:rPr>
        <w:t>Akpajo</w:t>
      </w:r>
      <w:proofErr w:type="spellEnd"/>
      <w:r w:rsidRPr="00544BBF">
        <w:rPr>
          <w:rFonts w:cs="Times New Roman"/>
          <w:sz w:val="24"/>
          <w:szCs w:val="24"/>
        </w:rPr>
        <w:t xml:space="preserve">, Alesa and </w:t>
      </w:r>
      <w:proofErr w:type="spellStart"/>
      <w:r w:rsidRPr="00544BBF">
        <w:rPr>
          <w:rFonts w:cs="Times New Roman"/>
          <w:sz w:val="24"/>
          <w:szCs w:val="24"/>
        </w:rPr>
        <w:t>Aleto</w:t>
      </w:r>
      <w:proofErr w:type="spellEnd"/>
      <w:r w:rsidRPr="00544BBF">
        <w:rPr>
          <w:rFonts w:cs="Times New Roman"/>
          <w:sz w:val="24"/>
          <w:szCs w:val="24"/>
        </w:rPr>
        <w:t xml:space="preserve"> are therefore environmentally relevant for PAH monitoring because residents may be exposed to mixed indoor and outdoor emission sources. Indoor concentrations may be influenced </w:t>
      </w:r>
      <w:r w:rsidRPr="00544BBF">
        <w:rPr>
          <w:rFonts w:cs="Times New Roman"/>
          <w:sz w:val="24"/>
          <w:szCs w:val="24"/>
        </w:rPr>
        <w:lastRenderedPageBreak/>
        <w:t>by outdoor infiltration, cooking practices, generator use and ventilation, whereas outdoor concentrations may reflect traffic, industrial activities, dust resuspension and seasonal atmospheric dispersion.</w:t>
      </w:r>
    </w:p>
    <w:p w14:paraId="2003B2FD" w14:textId="77777777" w:rsidR="00524B1F" w:rsidRDefault="00524B1F" w:rsidP="00524B1F">
      <w:pPr>
        <w:spacing w:after="0" w:line="240" w:lineRule="auto"/>
        <w:jc w:val="both"/>
        <w:rPr>
          <w:rFonts w:cs="Times New Roman"/>
          <w:sz w:val="24"/>
          <w:szCs w:val="24"/>
        </w:rPr>
      </w:pPr>
      <w:r w:rsidRPr="00544BBF">
        <w:rPr>
          <w:rFonts w:cs="Times New Roman"/>
          <w:sz w:val="24"/>
          <w:szCs w:val="24"/>
        </w:rPr>
        <w:t xml:space="preserve">The aim of this paper is to present a detailed journal-style analysis of PAHs in air for </w:t>
      </w:r>
      <w:proofErr w:type="spellStart"/>
      <w:r w:rsidRPr="00544BBF">
        <w:rPr>
          <w:rFonts w:cs="Times New Roman"/>
          <w:sz w:val="24"/>
          <w:szCs w:val="24"/>
        </w:rPr>
        <w:t>Akpajo</w:t>
      </w:r>
      <w:proofErr w:type="spellEnd"/>
      <w:r w:rsidRPr="00544BBF">
        <w:rPr>
          <w:rFonts w:cs="Times New Roman"/>
          <w:sz w:val="24"/>
          <w:szCs w:val="24"/>
        </w:rPr>
        <w:t xml:space="preserve">, Alesa and </w:t>
      </w:r>
      <w:proofErr w:type="spellStart"/>
      <w:r w:rsidRPr="00544BBF">
        <w:rPr>
          <w:rFonts w:cs="Times New Roman"/>
          <w:sz w:val="24"/>
          <w:szCs w:val="24"/>
        </w:rPr>
        <w:t>Aleto</w:t>
      </w:r>
      <w:proofErr w:type="spellEnd"/>
      <w:r w:rsidRPr="00544BBF">
        <w:rPr>
          <w:rFonts w:cs="Times New Roman"/>
          <w:sz w:val="24"/>
          <w:szCs w:val="24"/>
        </w:rPr>
        <w:t xml:space="preserve"> using the attached thesis and the supplied PAHs-in-air publication template. The specific objectives are to: quantify PAH concentrations in indoor and outdoor air during dry and wet seasons; estimate adult and child inhalation exposure and carcinogenic risk; evaluate whether season, environment and community significantly influenced PAH levels; use PCA to identify major patterns in PAH co-occurrence; and discuss implications for monitoring and public-health protection.</w:t>
      </w:r>
    </w:p>
    <w:p w14:paraId="48F65A7E" w14:textId="77777777" w:rsidR="00524B1F" w:rsidRDefault="00524B1F" w:rsidP="00524B1F">
      <w:pPr>
        <w:spacing w:after="0" w:line="240" w:lineRule="auto"/>
        <w:jc w:val="both"/>
        <w:rPr>
          <w:rFonts w:cs="Times New Roman"/>
          <w:sz w:val="24"/>
          <w:szCs w:val="24"/>
        </w:rPr>
      </w:pPr>
    </w:p>
    <w:p w14:paraId="2DFA71A9"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PAHs are produced when carbon-rich fuels and organic materials burn under oxygen-limited or inefficient combustion conditions. Important sources include vehicular exhaust, petroleum handling, industrial furnaces, power generators, gas flaring, biomass burning, refuse burning and cooking emissions. Lower-molecular-weight PAHs are more volatile, whereas higher-molecular-weight PAHs are more particle-associated and may persist on soot, dust and fly ash.</w:t>
      </w:r>
    </w:p>
    <w:p w14:paraId="7BE72AB8" w14:textId="77777777" w:rsidR="00524B1F" w:rsidRDefault="00524B1F" w:rsidP="00524B1F">
      <w:pPr>
        <w:spacing w:after="0" w:line="240" w:lineRule="auto"/>
        <w:jc w:val="both"/>
        <w:rPr>
          <w:rFonts w:cs="Times New Roman"/>
          <w:sz w:val="24"/>
          <w:szCs w:val="24"/>
        </w:rPr>
      </w:pPr>
      <w:r w:rsidRPr="00544BBF">
        <w:rPr>
          <w:rFonts w:cs="Times New Roman"/>
          <w:sz w:val="24"/>
          <w:szCs w:val="24"/>
        </w:rPr>
        <w:t>Atmospheric PAHs undergo dilution, dispersion, photochemical transformation, wet and dry deposition, and sorption to particulate matter. Seasonal meteorology is therefore important. Dry seasons can increase suspended dust and limit wet scavenging, whereas wet seasons can reduce airborne concentrations through rainfall washout and increased atmospheric mixing.</w:t>
      </w:r>
    </w:p>
    <w:p w14:paraId="6E5EDC3D" w14:textId="77777777" w:rsidR="00524B1F" w:rsidRDefault="00524B1F" w:rsidP="00524B1F">
      <w:pPr>
        <w:spacing w:after="0" w:line="240" w:lineRule="auto"/>
        <w:jc w:val="both"/>
        <w:rPr>
          <w:rFonts w:cs="Times New Roman"/>
          <w:b/>
          <w:bCs/>
          <w:sz w:val="24"/>
          <w:szCs w:val="24"/>
        </w:rPr>
      </w:pPr>
    </w:p>
    <w:p w14:paraId="4833F2B1"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Indoor air may contain PAHs from indoor combustion and from infiltration of outdoor pollution. In communities where households use fuel-burning devices, generators or poorly ventilated kitchens, indoor PAH exposure can be important. Outdoor air is affected by traffic density, road condition, industrial activities and open burning. The indoor/outdoor comparison therefore provides insight into micro environmental exposure and potential source dominance.</w:t>
      </w:r>
    </w:p>
    <w:p w14:paraId="0BF244C0" w14:textId="77777777" w:rsidR="00524B1F" w:rsidRDefault="00524B1F" w:rsidP="00524B1F">
      <w:pPr>
        <w:spacing w:after="0" w:line="240" w:lineRule="auto"/>
        <w:jc w:val="both"/>
        <w:rPr>
          <w:rFonts w:cs="Times New Roman"/>
          <w:sz w:val="24"/>
          <w:szCs w:val="24"/>
        </w:rPr>
      </w:pPr>
      <w:r w:rsidRPr="00544BBF">
        <w:rPr>
          <w:rFonts w:cs="Times New Roman"/>
          <w:sz w:val="24"/>
          <w:szCs w:val="24"/>
        </w:rPr>
        <w:t>Children are usually a sensitive receptor group in exposure assessment because dose per unit body weight can be higher than for adults. When a risk model uses body weight, inhalation rate, exposure duration and averaging time, child lifetime average daily dose can exceed adult dose under the same air concentration.</w:t>
      </w:r>
    </w:p>
    <w:p w14:paraId="6844220F" w14:textId="77777777" w:rsidR="00524B1F" w:rsidRDefault="00524B1F" w:rsidP="00524B1F">
      <w:pPr>
        <w:spacing w:after="0" w:line="240" w:lineRule="auto"/>
        <w:jc w:val="both"/>
        <w:rPr>
          <w:rFonts w:cs="Times New Roman"/>
          <w:b/>
          <w:bCs/>
          <w:sz w:val="24"/>
          <w:szCs w:val="24"/>
        </w:rPr>
      </w:pPr>
    </w:p>
    <w:p w14:paraId="18DB8F04" w14:textId="77777777" w:rsidR="00524B1F" w:rsidRDefault="00524B1F" w:rsidP="00524B1F">
      <w:pPr>
        <w:spacing w:after="0" w:line="240" w:lineRule="auto"/>
        <w:jc w:val="both"/>
        <w:rPr>
          <w:rFonts w:cs="Times New Roman"/>
          <w:sz w:val="24"/>
          <w:szCs w:val="24"/>
        </w:rPr>
      </w:pPr>
      <w:r w:rsidRPr="00544BBF">
        <w:rPr>
          <w:rFonts w:cs="Times New Roman"/>
          <w:sz w:val="24"/>
          <w:szCs w:val="24"/>
        </w:rPr>
        <w:t>Several PAHs are toxic, mutagenic or carcinogenic. Benzo(a)pyrene is commonly used as an indicator carcinogenic PAH, while other congeners may contribute to overall toxicity depending on their potency and exposure route. Inhalation exposure is especially relevant for communities located near roads, industrial stacks, generator clusters and dust-generating activities.</w:t>
      </w:r>
    </w:p>
    <w:p w14:paraId="3A0A3FB4" w14:textId="77777777" w:rsidR="00524B1F" w:rsidRDefault="00524B1F" w:rsidP="00524B1F">
      <w:pPr>
        <w:spacing w:after="0" w:line="240" w:lineRule="auto"/>
        <w:jc w:val="both"/>
        <w:rPr>
          <w:rFonts w:cs="Times New Roman"/>
          <w:b/>
          <w:bCs/>
          <w:sz w:val="24"/>
          <w:szCs w:val="24"/>
        </w:rPr>
      </w:pPr>
    </w:p>
    <w:p w14:paraId="363ABF86" w14:textId="77777777" w:rsidR="00524B1F" w:rsidRDefault="00524B1F" w:rsidP="00524B1F">
      <w:pPr>
        <w:spacing w:after="0" w:line="240" w:lineRule="auto"/>
        <w:jc w:val="both"/>
        <w:rPr>
          <w:rFonts w:cs="Times New Roman"/>
          <w:sz w:val="24"/>
          <w:szCs w:val="24"/>
        </w:rPr>
      </w:pPr>
      <w:r w:rsidRPr="00544BBF">
        <w:rPr>
          <w:rFonts w:cs="Times New Roman"/>
          <w:sz w:val="24"/>
          <w:szCs w:val="24"/>
        </w:rPr>
        <w:t xml:space="preserve">Environmental data vary across time, space and microenvironment. ANOVA helps determine whether differences among season, indoor/outdoor environment or community are statistically meaningful. PCA is complementary because it reduces a multivariate PAH dataset into a smaller number of components and helps identify co-varying groups of pollutants that may reflect shared emission sources, atmospheric </w:t>
      </w:r>
      <w:proofErr w:type="spellStart"/>
      <w:r w:rsidRPr="00544BBF">
        <w:rPr>
          <w:rFonts w:cs="Times New Roman"/>
          <w:sz w:val="24"/>
          <w:szCs w:val="24"/>
        </w:rPr>
        <w:t>behaviour</w:t>
      </w:r>
      <w:proofErr w:type="spellEnd"/>
      <w:r w:rsidRPr="00544BBF">
        <w:rPr>
          <w:rFonts w:cs="Times New Roman"/>
          <w:sz w:val="24"/>
          <w:szCs w:val="24"/>
        </w:rPr>
        <w:t xml:space="preserve"> or site-specific processes.</w:t>
      </w:r>
    </w:p>
    <w:p w14:paraId="06D23713" w14:textId="77777777" w:rsidR="00524B1F" w:rsidRDefault="00524B1F" w:rsidP="00524B1F">
      <w:pPr>
        <w:spacing w:line="480" w:lineRule="auto"/>
        <w:jc w:val="center"/>
        <w:rPr>
          <w:rFonts w:cs="Times New Roman"/>
          <w:b/>
          <w:bCs/>
          <w:sz w:val="24"/>
          <w:szCs w:val="24"/>
        </w:rPr>
      </w:pPr>
    </w:p>
    <w:p w14:paraId="49977AA4" w14:textId="77777777" w:rsidR="00524B1F" w:rsidRPr="00522A83" w:rsidRDefault="00524B1F" w:rsidP="00524B1F">
      <w:pPr>
        <w:spacing w:line="480" w:lineRule="auto"/>
        <w:jc w:val="center"/>
        <w:rPr>
          <w:rFonts w:cs="Times New Roman"/>
          <w:b/>
          <w:bCs/>
          <w:sz w:val="24"/>
          <w:szCs w:val="24"/>
        </w:rPr>
      </w:pPr>
      <w:r w:rsidRPr="00522A83">
        <w:rPr>
          <w:rFonts w:cs="Times New Roman"/>
          <w:b/>
          <w:bCs/>
          <w:sz w:val="24"/>
          <w:szCs w:val="24"/>
        </w:rPr>
        <w:t>MATERIALS AND METHODS</w:t>
      </w:r>
    </w:p>
    <w:p w14:paraId="5348BBE5" w14:textId="77777777" w:rsidR="00524B1F" w:rsidRPr="00522A83" w:rsidRDefault="00524B1F" w:rsidP="00524B1F">
      <w:pPr>
        <w:spacing w:after="0" w:line="240" w:lineRule="auto"/>
        <w:jc w:val="both"/>
        <w:rPr>
          <w:rFonts w:cs="Times New Roman"/>
          <w:b/>
          <w:bCs/>
          <w:sz w:val="24"/>
          <w:szCs w:val="24"/>
        </w:rPr>
      </w:pPr>
      <w:r w:rsidRPr="00522A83">
        <w:rPr>
          <w:rFonts w:cs="Times New Roman"/>
          <w:b/>
          <w:bCs/>
          <w:sz w:val="24"/>
          <w:szCs w:val="24"/>
        </w:rPr>
        <w:t>Study area</w:t>
      </w:r>
    </w:p>
    <w:p w14:paraId="285D239F"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The study covered </w:t>
      </w:r>
      <w:proofErr w:type="spellStart"/>
      <w:r w:rsidRPr="00544BBF">
        <w:rPr>
          <w:rFonts w:cs="Times New Roman"/>
          <w:sz w:val="24"/>
          <w:szCs w:val="24"/>
        </w:rPr>
        <w:t>Akpajo</w:t>
      </w:r>
      <w:proofErr w:type="spellEnd"/>
      <w:r w:rsidRPr="00544BBF">
        <w:rPr>
          <w:rFonts w:cs="Times New Roman"/>
          <w:sz w:val="24"/>
          <w:szCs w:val="24"/>
        </w:rPr>
        <w:t xml:space="preserve">, Alesa and </w:t>
      </w:r>
      <w:proofErr w:type="spellStart"/>
      <w:r w:rsidRPr="00544BBF">
        <w:rPr>
          <w:rFonts w:cs="Times New Roman"/>
          <w:sz w:val="24"/>
          <w:szCs w:val="24"/>
        </w:rPr>
        <w:t>Aleto</w:t>
      </w:r>
      <w:proofErr w:type="spellEnd"/>
      <w:r w:rsidRPr="00544BBF">
        <w:rPr>
          <w:rFonts w:cs="Times New Roman"/>
          <w:sz w:val="24"/>
          <w:szCs w:val="24"/>
        </w:rPr>
        <w:t xml:space="preserve"> in Eleme Local Government Area, Rivers State, Nigeria</w:t>
      </w:r>
      <w:r w:rsidR="00F5154A">
        <w:rPr>
          <w:rFonts w:cs="Times New Roman"/>
          <w:sz w:val="24"/>
          <w:szCs w:val="24"/>
        </w:rPr>
        <w:t xml:space="preserve"> (Fig.1)</w:t>
      </w:r>
      <w:r w:rsidRPr="00544BBF">
        <w:rPr>
          <w:rFonts w:cs="Times New Roman"/>
          <w:sz w:val="24"/>
          <w:szCs w:val="24"/>
        </w:rPr>
        <w:t xml:space="preserve">. Eleme is located within an industrialized part of the Niger Delta and is influenced by petrochemical facilities, refining-related activities, ports, traffic corridors, markets, residential </w:t>
      </w:r>
      <w:r w:rsidRPr="00544BBF">
        <w:rPr>
          <w:rFonts w:cs="Times New Roman"/>
          <w:sz w:val="24"/>
          <w:szCs w:val="24"/>
        </w:rPr>
        <w:lastRenderedPageBreak/>
        <w:t>settlements and road construction. The area experiences a tropical wet-and-dry climate, with wet season generally from April to October and dry season from November to March.</w:t>
      </w:r>
    </w:p>
    <w:p w14:paraId="182C6607" w14:textId="77777777" w:rsidR="00524B1F" w:rsidRDefault="00524B1F" w:rsidP="00524B1F">
      <w:pPr>
        <w:spacing w:after="0" w:line="240" w:lineRule="auto"/>
        <w:jc w:val="both"/>
        <w:rPr>
          <w:rFonts w:cs="Times New Roman"/>
          <w:sz w:val="24"/>
          <w:szCs w:val="24"/>
        </w:rPr>
      </w:pPr>
      <w:r w:rsidRPr="00544BBF">
        <w:rPr>
          <w:rFonts w:cs="Times New Roman"/>
          <w:sz w:val="24"/>
          <w:szCs w:val="24"/>
        </w:rPr>
        <w:t>During the thesis study period, construction activities were reported along the Eleme section of the East-West Expressway and the Rivers State Ring Road corridor. Such activities may increase suspended dust and resuspension of particle-bound contaminants, while traffic congestion and generator use may add combustion-related PAHs.</w:t>
      </w:r>
    </w:p>
    <w:p w14:paraId="7A52D728" w14:textId="77777777" w:rsidR="00524B1F" w:rsidRDefault="00524B1F" w:rsidP="00524B1F">
      <w:pPr>
        <w:spacing w:after="0" w:line="240" w:lineRule="auto"/>
        <w:jc w:val="both"/>
        <w:rPr>
          <w:rFonts w:cs="Times New Roman"/>
          <w:b/>
          <w:bCs/>
          <w:sz w:val="24"/>
          <w:szCs w:val="24"/>
        </w:rPr>
      </w:pPr>
    </w:p>
    <w:p w14:paraId="571517B6" w14:textId="77777777" w:rsidR="00524B1F" w:rsidRPr="00522A83" w:rsidRDefault="00524B1F" w:rsidP="00524B1F">
      <w:pPr>
        <w:spacing w:after="0" w:line="240" w:lineRule="auto"/>
        <w:jc w:val="both"/>
        <w:rPr>
          <w:rFonts w:cs="Times New Roman"/>
          <w:b/>
          <w:bCs/>
          <w:sz w:val="24"/>
          <w:szCs w:val="24"/>
        </w:rPr>
      </w:pPr>
      <w:r w:rsidRPr="00522A83">
        <w:rPr>
          <w:rFonts w:cs="Times New Roman"/>
          <w:b/>
          <w:bCs/>
          <w:sz w:val="24"/>
          <w:szCs w:val="24"/>
        </w:rPr>
        <w:t>Sampling design</w:t>
      </w:r>
    </w:p>
    <w:p w14:paraId="5F3B7675" w14:textId="77777777" w:rsidR="00524B1F" w:rsidRDefault="00524B1F" w:rsidP="00524B1F">
      <w:pPr>
        <w:spacing w:after="0" w:line="240" w:lineRule="auto"/>
        <w:jc w:val="both"/>
        <w:rPr>
          <w:rFonts w:cs="Times New Roman"/>
          <w:sz w:val="24"/>
          <w:szCs w:val="24"/>
        </w:rPr>
      </w:pPr>
      <w:r w:rsidRPr="00544BBF">
        <w:rPr>
          <w:rFonts w:cs="Times New Roman"/>
          <w:sz w:val="24"/>
          <w:szCs w:val="24"/>
        </w:rPr>
        <w:t>Air samples were collected from indoor and outdoor microenvironments in the selected communities during dry and wet seasons. The design allowed comparison by community, season and environment. Indoor samples represented residential or school-related exposure settings, while outdoor samples represented ambient exposure near community activity zones.</w:t>
      </w:r>
    </w:p>
    <w:p w14:paraId="073C6270" w14:textId="77777777" w:rsidR="00524B1F" w:rsidRDefault="00524B1F" w:rsidP="00524B1F">
      <w:pPr>
        <w:spacing w:after="0" w:line="240" w:lineRule="auto"/>
        <w:jc w:val="both"/>
        <w:rPr>
          <w:rFonts w:cs="Times New Roman"/>
          <w:b/>
          <w:bCs/>
          <w:sz w:val="24"/>
          <w:szCs w:val="24"/>
        </w:rPr>
      </w:pPr>
    </w:p>
    <w:p w14:paraId="329926CC" w14:textId="77777777" w:rsidR="00524B1F" w:rsidRPr="00522A83" w:rsidRDefault="00524B1F" w:rsidP="00524B1F">
      <w:pPr>
        <w:spacing w:after="0" w:line="240" w:lineRule="auto"/>
        <w:jc w:val="both"/>
        <w:rPr>
          <w:rFonts w:cs="Times New Roman"/>
          <w:b/>
          <w:bCs/>
          <w:sz w:val="24"/>
          <w:szCs w:val="24"/>
        </w:rPr>
      </w:pPr>
      <w:r w:rsidRPr="00522A83">
        <w:rPr>
          <w:rFonts w:cs="Times New Roman"/>
          <w:b/>
          <w:bCs/>
          <w:sz w:val="24"/>
          <w:szCs w:val="24"/>
        </w:rPr>
        <w:t>Materials, reagents and instrumental analysis</w:t>
      </w:r>
    </w:p>
    <w:p w14:paraId="38723E38"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Materials included sampling pump, glass-</w:t>
      </w:r>
      <w:proofErr w:type="spellStart"/>
      <w:r w:rsidRPr="00544BBF">
        <w:rPr>
          <w:rFonts w:cs="Times New Roman"/>
          <w:sz w:val="24"/>
          <w:szCs w:val="24"/>
        </w:rPr>
        <w:t>fibre</w:t>
      </w:r>
      <w:proofErr w:type="spellEnd"/>
      <w:r w:rsidRPr="00544BBF">
        <w:rPr>
          <w:rFonts w:cs="Times New Roman"/>
          <w:sz w:val="24"/>
          <w:szCs w:val="24"/>
        </w:rPr>
        <w:t xml:space="preserve"> filter papers, sorbent tubes, masking tape, conical flasks, volumetric flasks, measuring cylinders, pipettes, desiccator, fume hood, personal protective equipment and laboratory glassware. Instruments in the wider thesis included handheld weather station PCE-FWS 20N, </w:t>
      </w:r>
      <w:proofErr w:type="spellStart"/>
      <w:r w:rsidRPr="00544BBF">
        <w:rPr>
          <w:rFonts w:cs="Times New Roman"/>
          <w:sz w:val="24"/>
          <w:szCs w:val="24"/>
        </w:rPr>
        <w:t>Aerocet</w:t>
      </w:r>
      <w:proofErr w:type="spellEnd"/>
      <w:r w:rsidRPr="00544BBF">
        <w:rPr>
          <w:rFonts w:cs="Times New Roman"/>
          <w:sz w:val="24"/>
          <w:szCs w:val="24"/>
        </w:rPr>
        <w:t xml:space="preserve"> Handheld Particle Mass Counter 531S, </w:t>
      </w:r>
      <w:proofErr w:type="spellStart"/>
      <w:r w:rsidRPr="00544BBF">
        <w:rPr>
          <w:rFonts w:cs="Times New Roman"/>
          <w:sz w:val="24"/>
          <w:szCs w:val="24"/>
        </w:rPr>
        <w:t>Aeroqual</w:t>
      </w:r>
      <w:proofErr w:type="spellEnd"/>
      <w:r w:rsidRPr="00544BBF">
        <w:rPr>
          <w:rFonts w:cs="Times New Roman"/>
          <w:sz w:val="24"/>
          <w:szCs w:val="24"/>
        </w:rPr>
        <w:t xml:space="preserve"> 500 series air-quality monitor, High-Volume Air Sampler, rotary evaporator and GC-MS instrumentation.</w:t>
      </w:r>
    </w:p>
    <w:p w14:paraId="11C9C995" w14:textId="77777777" w:rsidR="00524B1F" w:rsidRDefault="00524B1F" w:rsidP="00524B1F">
      <w:pPr>
        <w:spacing w:after="0" w:line="240" w:lineRule="auto"/>
        <w:jc w:val="both"/>
        <w:rPr>
          <w:rFonts w:cs="Times New Roman"/>
          <w:sz w:val="24"/>
          <w:szCs w:val="24"/>
        </w:rPr>
      </w:pPr>
      <w:r w:rsidRPr="00544BBF">
        <w:rPr>
          <w:rFonts w:cs="Times New Roman"/>
          <w:sz w:val="24"/>
          <w:szCs w:val="24"/>
        </w:rPr>
        <w:t xml:space="preserve">PAHs retained on filter papers were extracted after cutting the filters into small pieces and placing them in extraction flasks. Extraction was conducted using 100-150 mL </w:t>
      </w:r>
      <w:proofErr w:type="spellStart"/>
      <w:proofErr w:type="gramStart"/>
      <w:r w:rsidRPr="00544BBF">
        <w:rPr>
          <w:rFonts w:cs="Times New Roman"/>
          <w:sz w:val="24"/>
          <w:szCs w:val="24"/>
        </w:rPr>
        <w:t>dichloromethane:hexane</w:t>
      </w:r>
      <w:proofErr w:type="spellEnd"/>
      <w:proofErr w:type="gramEnd"/>
      <w:r w:rsidRPr="00544BBF">
        <w:rPr>
          <w:rFonts w:cs="Times New Roman"/>
          <w:sz w:val="24"/>
          <w:szCs w:val="24"/>
        </w:rPr>
        <w:t xml:space="preserve"> (1:1 v/v) for 16-24 hours. Extracts were concentrated by rotary evaporation to about 1-2 mL and </w:t>
      </w:r>
      <w:proofErr w:type="spellStart"/>
      <w:r w:rsidRPr="00544BBF">
        <w:rPr>
          <w:rFonts w:cs="Times New Roman"/>
          <w:sz w:val="24"/>
          <w:szCs w:val="24"/>
        </w:rPr>
        <w:t>analysed</w:t>
      </w:r>
      <w:proofErr w:type="spellEnd"/>
      <w:r w:rsidRPr="00544BBF">
        <w:rPr>
          <w:rFonts w:cs="Times New Roman"/>
          <w:sz w:val="24"/>
          <w:szCs w:val="24"/>
        </w:rPr>
        <w:t xml:space="preserve"> by gas chromatography-mass spectrometry. The approach is consistent with </w:t>
      </w:r>
      <w:proofErr w:type="spellStart"/>
      <w:r w:rsidRPr="00544BBF">
        <w:rPr>
          <w:rFonts w:cs="Times New Roman"/>
          <w:sz w:val="24"/>
          <w:szCs w:val="24"/>
        </w:rPr>
        <w:t>semivolatile</w:t>
      </w:r>
      <w:proofErr w:type="spellEnd"/>
      <w:r w:rsidRPr="00544BBF">
        <w:rPr>
          <w:rFonts w:cs="Times New Roman"/>
          <w:sz w:val="24"/>
          <w:szCs w:val="24"/>
        </w:rPr>
        <w:t xml:space="preserve"> organic compound analysis by GC-MS.</w:t>
      </w:r>
    </w:p>
    <w:p w14:paraId="05470770" w14:textId="77777777" w:rsidR="00524B1F" w:rsidRDefault="00524B1F" w:rsidP="00524B1F">
      <w:pPr>
        <w:spacing w:after="0" w:line="240" w:lineRule="auto"/>
        <w:jc w:val="both"/>
        <w:rPr>
          <w:rFonts w:cs="Times New Roman"/>
          <w:b/>
          <w:bCs/>
          <w:sz w:val="24"/>
          <w:szCs w:val="24"/>
        </w:rPr>
      </w:pPr>
    </w:p>
    <w:p w14:paraId="10F510E8" w14:textId="77777777" w:rsidR="00524B1F" w:rsidRPr="00522A83" w:rsidRDefault="00524B1F" w:rsidP="00524B1F">
      <w:pPr>
        <w:spacing w:after="0" w:line="240" w:lineRule="auto"/>
        <w:jc w:val="both"/>
        <w:rPr>
          <w:rFonts w:cs="Times New Roman"/>
          <w:b/>
          <w:bCs/>
          <w:sz w:val="24"/>
          <w:szCs w:val="24"/>
        </w:rPr>
      </w:pPr>
      <w:r w:rsidRPr="00522A83">
        <w:rPr>
          <w:rFonts w:cs="Times New Roman"/>
          <w:b/>
          <w:bCs/>
          <w:sz w:val="24"/>
          <w:szCs w:val="24"/>
        </w:rPr>
        <w:t>Health-risk assessment</w:t>
      </w:r>
    </w:p>
    <w:p w14:paraId="2496571F" w14:textId="77777777" w:rsidR="00524B1F" w:rsidRDefault="00524B1F" w:rsidP="00524B1F">
      <w:pPr>
        <w:spacing w:after="0" w:line="240" w:lineRule="auto"/>
        <w:jc w:val="both"/>
        <w:rPr>
          <w:rFonts w:cs="Times New Roman"/>
          <w:sz w:val="24"/>
          <w:szCs w:val="24"/>
        </w:rPr>
      </w:pPr>
      <w:r w:rsidRPr="00544BBF">
        <w:rPr>
          <w:rFonts w:cs="Times New Roman"/>
          <w:sz w:val="24"/>
          <w:szCs w:val="24"/>
        </w:rPr>
        <w:t>Human-health risk was evaluated using lifetime average daily dose (LADD) and incremental lifetime carcinogenic risk (ILCR) for adults and children. Total LADD and total ILCR were obtained by summing compound-specific values across PAH components with available slope factors.</w:t>
      </w:r>
    </w:p>
    <w:p w14:paraId="3698F4A3"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Total risk was obtained as the summation of component-specific values across PAHs with available slope factor.</w:t>
      </w:r>
    </w:p>
    <w:p w14:paraId="24EDE9C8" w14:textId="77777777" w:rsidR="00524B1F" w:rsidRDefault="00524B1F" w:rsidP="00524B1F">
      <w:pPr>
        <w:spacing w:after="0" w:line="240" w:lineRule="auto"/>
        <w:jc w:val="both"/>
        <w:rPr>
          <w:rFonts w:cs="Times New Roman"/>
          <w:sz w:val="24"/>
          <w:szCs w:val="24"/>
        </w:rPr>
      </w:pPr>
    </w:p>
    <w:p w14:paraId="562E6BF5"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Health Risk Calculation for PAHs in Air</w:t>
      </w:r>
    </w:p>
    <w:p w14:paraId="4DF068B9"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A.</w:t>
      </w:r>
      <w:r w:rsidRPr="00522A83">
        <w:rPr>
          <w:rFonts w:cs="Times New Roman"/>
          <w:sz w:val="24"/>
          <w:szCs w:val="24"/>
        </w:rPr>
        <w:tab/>
        <w:t>The general equation used for Lifetime Average Daily Dose is:</w:t>
      </w:r>
    </w:p>
    <w:p w14:paraId="1AEE6F6E" w14:textId="77777777" w:rsidR="00524B1F" w:rsidRPr="00522A83" w:rsidRDefault="00524B1F" w:rsidP="00524B1F">
      <w:pPr>
        <w:spacing w:after="0" w:line="240" w:lineRule="auto"/>
        <w:ind w:firstLine="720"/>
        <w:jc w:val="both"/>
        <w:rPr>
          <w:rFonts w:cs="Times New Roman"/>
          <w:sz w:val="24"/>
          <w:szCs w:val="24"/>
        </w:rPr>
      </w:pPr>
      <w:r w:rsidRPr="00522A83">
        <w:rPr>
          <w:rFonts w:cs="Times New Roman"/>
          <w:sz w:val="24"/>
          <w:szCs w:val="24"/>
        </w:rPr>
        <w:t>LADD = (C x IR x EF x ED) / (BW x AT)</w:t>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t>(1)</w:t>
      </w:r>
    </w:p>
    <w:p w14:paraId="483589DB"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B.</w:t>
      </w:r>
      <w:r w:rsidRPr="00522A83">
        <w:rPr>
          <w:rFonts w:cs="Times New Roman"/>
          <w:sz w:val="24"/>
          <w:szCs w:val="24"/>
        </w:rPr>
        <w:tab/>
        <w:t>The carcinogenic risk is estimated as:</w:t>
      </w:r>
    </w:p>
    <w:p w14:paraId="48F6678E" w14:textId="77777777" w:rsidR="00524B1F" w:rsidRPr="00522A83" w:rsidRDefault="00524B1F" w:rsidP="00524B1F">
      <w:pPr>
        <w:spacing w:after="0" w:line="240" w:lineRule="auto"/>
        <w:ind w:firstLine="720"/>
        <w:jc w:val="both"/>
        <w:rPr>
          <w:rFonts w:cs="Times New Roman"/>
          <w:sz w:val="24"/>
          <w:szCs w:val="24"/>
        </w:rPr>
      </w:pPr>
      <w:r w:rsidRPr="00522A83">
        <w:rPr>
          <w:rFonts w:cs="Times New Roman"/>
          <w:sz w:val="24"/>
          <w:szCs w:val="24"/>
        </w:rPr>
        <w:t>ILCR = LADD x SF</w:t>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t>(2)</w:t>
      </w:r>
    </w:p>
    <w:p w14:paraId="2FEF99FD"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C.</w:t>
      </w:r>
      <w:r w:rsidRPr="00522A83">
        <w:rPr>
          <w:rFonts w:cs="Times New Roman"/>
          <w:sz w:val="24"/>
          <w:szCs w:val="24"/>
        </w:rPr>
        <w:tab/>
        <w:t>For total risk across all PAH components:</w:t>
      </w:r>
    </w:p>
    <w:p w14:paraId="15F34BDD" w14:textId="77777777" w:rsidR="00524B1F" w:rsidRPr="00522A83" w:rsidRDefault="00524B1F" w:rsidP="00524B1F">
      <w:pPr>
        <w:spacing w:after="0" w:line="240" w:lineRule="auto"/>
        <w:ind w:firstLine="720"/>
        <w:jc w:val="both"/>
        <w:rPr>
          <w:rFonts w:cs="Times New Roman"/>
          <w:sz w:val="24"/>
          <w:szCs w:val="24"/>
        </w:rPr>
      </w:pPr>
      <w:r w:rsidRPr="00522A83">
        <w:rPr>
          <w:rFonts w:cs="Times New Roman"/>
          <w:sz w:val="24"/>
          <w:szCs w:val="24"/>
        </w:rPr>
        <w:t xml:space="preserve">ΣLADD = LADD1 + LADD2 + LADD3 + ... + </w:t>
      </w:r>
      <w:proofErr w:type="spellStart"/>
      <w:r w:rsidRPr="00522A83">
        <w:rPr>
          <w:rFonts w:cs="Times New Roman"/>
          <w:sz w:val="24"/>
          <w:szCs w:val="24"/>
        </w:rPr>
        <w:t>LADDn</w:t>
      </w:r>
      <w:proofErr w:type="spellEnd"/>
      <w:r w:rsidRPr="00522A83">
        <w:rPr>
          <w:rFonts w:cs="Times New Roman"/>
          <w:sz w:val="24"/>
          <w:szCs w:val="24"/>
        </w:rPr>
        <w:tab/>
      </w:r>
      <w:r w:rsidRPr="00522A83">
        <w:rPr>
          <w:rFonts w:cs="Times New Roman"/>
          <w:sz w:val="24"/>
          <w:szCs w:val="24"/>
        </w:rPr>
        <w:tab/>
      </w:r>
      <w:r w:rsidRPr="00522A83">
        <w:rPr>
          <w:rFonts w:cs="Times New Roman"/>
          <w:sz w:val="24"/>
          <w:szCs w:val="24"/>
        </w:rPr>
        <w:tab/>
        <w:t>(3)</w:t>
      </w:r>
    </w:p>
    <w:p w14:paraId="31B225AB" w14:textId="77777777" w:rsidR="00524B1F" w:rsidRPr="00522A83" w:rsidRDefault="00524B1F" w:rsidP="00524B1F">
      <w:pPr>
        <w:spacing w:after="0" w:line="240" w:lineRule="auto"/>
        <w:ind w:firstLine="720"/>
        <w:jc w:val="both"/>
        <w:rPr>
          <w:rFonts w:cs="Times New Roman"/>
          <w:sz w:val="24"/>
          <w:szCs w:val="24"/>
        </w:rPr>
      </w:pPr>
      <w:r w:rsidRPr="00522A83">
        <w:rPr>
          <w:rFonts w:cs="Times New Roman"/>
          <w:sz w:val="24"/>
          <w:szCs w:val="24"/>
        </w:rPr>
        <w:t xml:space="preserve">ΣILCR = ILCR1 + ILCR2 + ILCR3 + ... + </w:t>
      </w:r>
      <w:proofErr w:type="spellStart"/>
      <w:r w:rsidRPr="00522A83">
        <w:rPr>
          <w:rFonts w:cs="Times New Roman"/>
          <w:sz w:val="24"/>
          <w:szCs w:val="24"/>
        </w:rPr>
        <w:t>ILCRn</w:t>
      </w:r>
      <w:proofErr w:type="spellEnd"/>
      <w:r w:rsidRPr="00522A83">
        <w:rPr>
          <w:rFonts w:cs="Times New Roman"/>
          <w:sz w:val="24"/>
          <w:szCs w:val="24"/>
        </w:rPr>
        <w:tab/>
      </w:r>
      <w:r w:rsidRPr="00522A83">
        <w:rPr>
          <w:rFonts w:cs="Times New Roman"/>
          <w:sz w:val="24"/>
          <w:szCs w:val="24"/>
        </w:rPr>
        <w:tab/>
      </w:r>
      <w:r w:rsidRPr="00522A83">
        <w:rPr>
          <w:rFonts w:cs="Times New Roman"/>
          <w:sz w:val="24"/>
          <w:szCs w:val="24"/>
        </w:rPr>
        <w:tab/>
      </w:r>
      <w:r w:rsidRPr="00522A83">
        <w:rPr>
          <w:rFonts w:cs="Times New Roman"/>
          <w:sz w:val="24"/>
          <w:szCs w:val="24"/>
        </w:rPr>
        <w:tab/>
        <w:t>(4)</w:t>
      </w:r>
    </w:p>
    <w:p w14:paraId="1A5BD66F" w14:textId="77777777" w:rsidR="00524B1F" w:rsidRDefault="00524B1F" w:rsidP="00524B1F">
      <w:pPr>
        <w:spacing w:after="0" w:line="240" w:lineRule="auto"/>
        <w:jc w:val="both"/>
        <w:rPr>
          <w:rFonts w:cs="Times New Roman"/>
          <w:sz w:val="24"/>
          <w:szCs w:val="24"/>
        </w:rPr>
      </w:pPr>
    </w:p>
    <w:p w14:paraId="503E1479"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Symbol</w:t>
      </w:r>
      <w:r w:rsidRPr="00522A83">
        <w:rPr>
          <w:rFonts w:cs="Times New Roman"/>
          <w:sz w:val="24"/>
          <w:szCs w:val="24"/>
        </w:rPr>
        <w:tab/>
        <w:t>Meaning</w:t>
      </w:r>
      <w:r w:rsidRPr="00522A83">
        <w:rPr>
          <w:rFonts w:cs="Times New Roman"/>
          <w:sz w:val="24"/>
          <w:szCs w:val="24"/>
        </w:rPr>
        <w:tab/>
      </w:r>
      <w:r w:rsidRPr="00522A83">
        <w:rPr>
          <w:rFonts w:cs="Times New Roman"/>
          <w:sz w:val="24"/>
          <w:szCs w:val="24"/>
        </w:rPr>
        <w:tab/>
        <w:t>Unit/description</w:t>
      </w:r>
    </w:p>
    <w:p w14:paraId="78A44FFA"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C</w:t>
      </w:r>
      <w:r w:rsidRPr="00522A83">
        <w:rPr>
          <w:rFonts w:cs="Times New Roman"/>
          <w:sz w:val="24"/>
          <w:szCs w:val="24"/>
        </w:rPr>
        <w:tab/>
      </w:r>
      <w:r w:rsidRPr="00522A83">
        <w:rPr>
          <w:rFonts w:cs="Times New Roman"/>
          <w:sz w:val="24"/>
          <w:szCs w:val="24"/>
        </w:rPr>
        <w:tab/>
        <w:t>Pollutant concentration</w:t>
      </w:r>
      <w:r w:rsidRPr="00522A83">
        <w:rPr>
          <w:rFonts w:cs="Times New Roman"/>
          <w:sz w:val="24"/>
          <w:szCs w:val="24"/>
        </w:rPr>
        <w:tab/>
        <w:t>Air: µg/m3; Plant leaves: mg/kg</w:t>
      </w:r>
    </w:p>
    <w:p w14:paraId="529D2AD9"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IR</w:t>
      </w:r>
      <w:r w:rsidRPr="00522A83">
        <w:rPr>
          <w:rFonts w:cs="Times New Roman"/>
          <w:sz w:val="24"/>
          <w:szCs w:val="24"/>
        </w:rPr>
        <w:tab/>
      </w:r>
      <w:r w:rsidRPr="00522A83">
        <w:rPr>
          <w:rFonts w:cs="Times New Roman"/>
          <w:sz w:val="24"/>
          <w:szCs w:val="24"/>
        </w:rPr>
        <w:tab/>
        <w:t>Intake rate</w:t>
      </w:r>
      <w:r w:rsidRPr="00522A83">
        <w:rPr>
          <w:rFonts w:cs="Times New Roman"/>
          <w:sz w:val="24"/>
          <w:szCs w:val="24"/>
        </w:rPr>
        <w:tab/>
        <w:t>Air: inhalation rate (m3/day); Plant: ingestion rate (kg/day)</w:t>
      </w:r>
    </w:p>
    <w:p w14:paraId="72819893"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EF</w:t>
      </w:r>
      <w:r w:rsidRPr="00522A83">
        <w:rPr>
          <w:rFonts w:cs="Times New Roman"/>
          <w:sz w:val="24"/>
          <w:szCs w:val="24"/>
        </w:rPr>
        <w:tab/>
      </w:r>
      <w:r w:rsidRPr="00522A83">
        <w:rPr>
          <w:rFonts w:cs="Times New Roman"/>
          <w:sz w:val="24"/>
          <w:szCs w:val="24"/>
        </w:rPr>
        <w:tab/>
        <w:t>Exposure frequency</w:t>
      </w:r>
      <w:r w:rsidRPr="00522A83">
        <w:rPr>
          <w:rFonts w:cs="Times New Roman"/>
          <w:sz w:val="24"/>
          <w:szCs w:val="24"/>
        </w:rPr>
        <w:tab/>
        <w:t>days/year</w:t>
      </w:r>
    </w:p>
    <w:p w14:paraId="70C7461F"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ED</w:t>
      </w:r>
      <w:r w:rsidRPr="00522A83">
        <w:rPr>
          <w:rFonts w:cs="Times New Roman"/>
          <w:sz w:val="24"/>
          <w:szCs w:val="24"/>
        </w:rPr>
        <w:tab/>
      </w:r>
      <w:r w:rsidRPr="00522A83">
        <w:rPr>
          <w:rFonts w:cs="Times New Roman"/>
          <w:sz w:val="24"/>
          <w:szCs w:val="24"/>
        </w:rPr>
        <w:tab/>
        <w:t>Exposure duration</w:t>
      </w:r>
      <w:r w:rsidRPr="00522A83">
        <w:rPr>
          <w:rFonts w:cs="Times New Roman"/>
          <w:sz w:val="24"/>
          <w:szCs w:val="24"/>
        </w:rPr>
        <w:tab/>
        <w:t>years</w:t>
      </w:r>
    </w:p>
    <w:p w14:paraId="27DA03E1"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BW</w:t>
      </w:r>
      <w:r w:rsidRPr="00522A83">
        <w:rPr>
          <w:rFonts w:cs="Times New Roman"/>
          <w:sz w:val="24"/>
          <w:szCs w:val="24"/>
        </w:rPr>
        <w:tab/>
      </w:r>
      <w:r w:rsidRPr="00522A83">
        <w:rPr>
          <w:rFonts w:cs="Times New Roman"/>
          <w:sz w:val="24"/>
          <w:szCs w:val="24"/>
        </w:rPr>
        <w:tab/>
        <w:t>Body weight</w:t>
      </w:r>
      <w:r w:rsidRPr="00522A83">
        <w:rPr>
          <w:rFonts w:cs="Times New Roman"/>
          <w:sz w:val="24"/>
          <w:szCs w:val="24"/>
        </w:rPr>
        <w:tab/>
        <w:t>kg</w:t>
      </w:r>
    </w:p>
    <w:p w14:paraId="71D3A8E0"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AT</w:t>
      </w:r>
      <w:r w:rsidRPr="00522A83">
        <w:rPr>
          <w:rFonts w:cs="Times New Roman"/>
          <w:sz w:val="24"/>
          <w:szCs w:val="24"/>
        </w:rPr>
        <w:tab/>
      </w:r>
      <w:r w:rsidRPr="00522A83">
        <w:rPr>
          <w:rFonts w:cs="Times New Roman"/>
          <w:sz w:val="24"/>
          <w:szCs w:val="24"/>
        </w:rPr>
        <w:tab/>
        <w:t>Averaging time</w:t>
      </w:r>
      <w:r w:rsidRPr="00522A83">
        <w:rPr>
          <w:rFonts w:cs="Times New Roman"/>
          <w:sz w:val="24"/>
          <w:szCs w:val="24"/>
        </w:rPr>
        <w:tab/>
        <w:t>days</w:t>
      </w:r>
    </w:p>
    <w:p w14:paraId="600286EB"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t>SF</w:t>
      </w:r>
      <w:r w:rsidRPr="00522A83">
        <w:rPr>
          <w:rFonts w:cs="Times New Roman"/>
          <w:sz w:val="24"/>
          <w:szCs w:val="24"/>
        </w:rPr>
        <w:tab/>
      </w:r>
      <w:r w:rsidRPr="00522A83">
        <w:rPr>
          <w:rFonts w:cs="Times New Roman"/>
          <w:sz w:val="24"/>
          <w:szCs w:val="24"/>
        </w:rPr>
        <w:tab/>
        <w:t>Cancer slope factor</w:t>
      </w:r>
      <w:r w:rsidRPr="00522A83">
        <w:rPr>
          <w:rFonts w:cs="Times New Roman"/>
          <w:sz w:val="24"/>
          <w:szCs w:val="24"/>
        </w:rPr>
        <w:tab/>
        <w:t>(mg/kg-day)-1</w:t>
      </w:r>
    </w:p>
    <w:p w14:paraId="5BFED4CA" w14:textId="77777777" w:rsidR="00524B1F" w:rsidRPr="00522A83" w:rsidRDefault="00524B1F" w:rsidP="00524B1F">
      <w:pPr>
        <w:spacing w:after="0" w:line="240" w:lineRule="auto"/>
        <w:jc w:val="both"/>
        <w:rPr>
          <w:rFonts w:cs="Times New Roman"/>
          <w:sz w:val="24"/>
          <w:szCs w:val="24"/>
        </w:rPr>
      </w:pPr>
      <w:r w:rsidRPr="00522A83">
        <w:rPr>
          <w:rFonts w:cs="Times New Roman"/>
          <w:sz w:val="24"/>
          <w:szCs w:val="24"/>
        </w:rPr>
        <w:lastRenderedPageBreak/>
        <w:t>LADD</w:t>
      </w:r>
      <w:r w:rsidRPr="00522A83">
        <w:rPr>
          <w:rFonts w:cs="Times New Roman"/>
          <w:sz w:val="24"/>
          <w:szCs w:val="24"/>
        </w:rPr>
        <w:tab/>
        <w:t>Lifetime Average Daily Dose</w:t>
      </w:r>
      <w:r w:rsidRPr="00522A83">
        <w:rPr>
          <w:rFonts w:cs="Times New Roman"/>
          <w:sz w:val="24"/>
          <w:szCs w:val="24"/>
        </w:rPr>
        <w:tab/>
        <w:t>mg/kg-day</w:t>
      </w:r>
    </w:p>
    <w:p w14:paraId="5A36270B" w14:textId="77777777" w:rsidR="00524B1F" w:rsidRDefault="00524B1F" w:rsidP="00524B1F">
      <w:pPr>
        <w:spacing w:after="0" w:line="240" w:lineRule="auto"/>
        <w:jc w:val="both"/>
        <w:rPr>
          <w:rFonts w:cs="Times New Roman"/>
          <w:sz w:val="24"/>
          <w:szCs w:val="24"/>
        </w:rPr>
      </w:pPr>
      <w:r w:rsidRPr="00522A83">
        <w:rPr>
          <w:rFonts w:cs="Times New Roman"/>
          <w:sz w:val="24"/>
          <w:szCs w:val="24"/>
        </w:rPr>
        <w:t>ILCR</w:t>
      </w:r>
      <w:r w:rsidRPr="00522A83">
        <w:rPr>
          <w:rFonts w:cs="Times New Roman"/>
          <w:sz w:val="24"/>
          <w:szCs w:val="24"/>
        </w:rPr>
        <w:tab/>
        <w:t>Incremental Lifetime Carcinogenic Risk</w:t>
      </w:r>
      <w:r w:rsidRPr="00522A83">
        <w:rPr>
          <w:rFonts w:cs="Times New Roman"/>
          <w:sz w:val="24"/>
          <w:szCs w:val="24"/>
        </w:rPr>
        <w:tab/>
        <w:t>unitless probability</w:t>
      </w:r>
    </w:p>
    <w:p w14:paraId="6A84ACC8" w14:textId="77777777" w:rsidR="00524B1F" w:rsidRDefault="00524B1F" w:rsidP="00524B1F">
      <w:pPr>
        <w:spacing w:after="0" w:line="240" w:lineRule="auto"/>
        <w:jc w:val="both"/>
        <w:rPr>
          <w:rFonts w:cs="Times New Roman"/>
          <w:b/>
          <w:bCs/>
          <w:sz w:val="24"/>
          <w:szCs w:val="24"/>
        </w:rPr>
      </w:pPr>
    </w:p>
    <w:p w14:paraId="7EE5620C" w14:textId="77777777" w:rsidR="00524B1F" w:rsidRPr="00522A83" w:rsidRDefault="00524B1F" w:rsidP="00524B1F">
      <w:pPr>
        <w:spacing w:after="0" w:line="240" w:lineRule="auto"/>
        <w:jc w:val="both"/>
        <w:rPr>
          <w:rFonts w:cs="Times New Roman"/>
          <w:b/>
          <w:bCs/>
          <w:sz w:val="24"/>
          <w:szCs w:val="24"/>
        </w:rPr>
      </w:pPr>
      <w:r w:rsidRPr="00522A83">
        <w:rPr>
          <w:rFonts w:cs="Times New Roman"/>
          <w:b/>
          <w:bCs/>
          <w:sz w:val="24"/>
          <w:szCs w:val="24"/>
        </w:rPr>
        <w:t>Statistical analysis</w:t>
      </w:r>
    </w:p>
    <w:p w14:paraId="40EF6E0E"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Analysis of variance was applied to evaluate the effects of season, indoor/outdoor environment and community on PAH concentrations. Statistical decisions were interpreted at p &lt; 0.05. Results are presented for individual PAH congeners and total PAHs.</w:t>
      </w:r>
    </w:p>
    <w:p w14:paraId="3C5DE721" w14:textId="77777777" w:rsidR="00524B1F" w:rsidRDefault="00524B1F" w:rsidP="00524B1F">
      <w:pPr>
        <w:spacing w:after="0" w:line="240" w:lineRule="auto"/>
        <w:jc w:val="both"/>
        <w:rPr>
          <w:rFonts w:cs="Times New Roman"/>
          <w:sz w:val="24"/>
          <w:szCs w:val="24"/>
        </w:rPr>
      </w:pPr>
      <w:r w:rsidRPr="00544BBF">
        <w:rPr>
          <w:rFonts w:cs="Times New Roman"/>
          <w:sz w:val="24"/>
          <w:szCs w:val="24"/>
        </w:rPr>
        <w:t>Principal component analysis was applied to the PAH-in-air dataset to describe the dominant multivariate patterns. Sampling adequacy was evaluated with the Kaiser-Meyer-Olkin statistic and Bartlett's test of sphericity. Components were retained using the thesis PCA output, and rotated loading patterns were used to interpret co-varying PAH groups.</w:t>
      </w:r>
    </w:p>
    <w:p w14:paraId="7978A0DF" w14:textId="77777777" w:rsidR="00F5154A" w:rsidRDefault="00F5154A" w:rsidP="00524B1F">
      <w:pPr>
        <w:spacing w:after="0" w:line="240" w:lineRule="auto"/>
        <w:jc w:val="both"/>
        <w:rPr>
          <w:rFonts w:cs="Times New Roman"/>
          <w:sz w:val="24"/>
          <w:szCs w:val="24"/>
        </w:rPr>
      </w:pPr>
    </w:p>
    <w:p w14:paraId="23C07A95" w14:textId="77777777" w:rsidR="00524B1F" w:rsidRDefault="00F5154A" w:rsidP="00524B1F">
      <w:pPr>
        <w:spacing w:line="480" w:lineRule="auto"/>
        <w:jc w:val="center"/>
        <w:rPr>
          <w:rFonts w:cs="Times New Roman"/>
          <w:b/>
          <w:bCs/>
          <w:sz w:val="24"/>
          <w:szCs w:val="24"/>
        </w:rPr>
      </w:pPr>
      <w:r w:rsidRPr="00517D8D">
        <w:rPr>
          <w:rFonts w:cs="Times New Roman"/>
          <w:noProof/>
          <w:sz w:val="24"/>
          <w:szCs w:val="24"/>
        </w:rPr>
        <w:drawing>
          <wp:inline distT="0" distB="0" distL="0" distR="0" wp14:anchorId="1780D0D9" wp14:editId="43D8CE14">
            <wp:extent cx="5388735" cy="3181350"/>
            <wp:effectExtent l="0" t="0" r="2540" b="0"/>
            <wp:docPr id="1968596284"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96284" name="Picture 4" descr="A map of a cit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2551" cy="3213122"/>
                    </a:xfrm>
                    <a:prstGeom prst="rect">
                      <a:avLst/>
                    </a:prstGeom>
                    <a:noFill/>
                    <a:ln>
                      <a:noFill/>
                    </a:ln>
                  </pic:spPr>
                </pic:pic>
              </a:graphicData>
            </a:graphic>
          </wp:inline>
        </w:drawing>
      </w:r>
    </w:p>
    <w:p w14:paraId="2A2B6B70" w14:textId="77777777" w:rsidR="00F5154A" w:rsidRDefault="00F5154A" w:rsidP="00524B1F">
      <w:pPr>
        <w:spacing w:after="0" w:line="240" w:lineRule="auto"/>
        <w:jc w:val="center"/>
        <w:rPr>
          <w:rFonts w:cs="Times New Roman"/>
          <w:b/>
          <w:bCs/>
          <w:sz w:val="24"/>
          <w:szCs w:val="24"/>
        </w:rPr>
      </w:pPr>
      <w:r w:rsidRPr="00D325F6">
        <w:rPr>
          <w:rFonts w:cs="Times New Roman"/>
          <w:b/>
          <w:color w:val="000000"/>
          <w:kern w:val="24"/>
          <w:sz w:val="24"/>
          <w:szCs w:val="24"/>
        </w:rPr>
        <w:t xml:space="preserve">Fig. </w:t>
      </w:r>
      <w:r>
        <w:rPr>
          <w:rFonts w:cs="Times New Roman"/>
          <w:b/>
          <w:color w:val="000000"/>
          <w:kern w:val="24"/>
          <w:sz w:val="24"/>
          <w:szCs w:val="24"/>
        </w:rPr>
        <w:t>1</w:t>
      </w:r>
      <w:r w:rsidRPr="00D325F6">
        <w:rPr>
          <w:rFonts w:cs="Times New Roman"/>
          <w:b/>
          <w:color w:val="000000"/>
          <w:kern w:val="24"/>
          <w:sz w:val="24"/>
          <w:szCs w:val="24"/>
        </w:rPr>
        <w:t>: The Study Area Showing Sampling Locations</w:t>
      </w:r>
    </w:p>
    <w:p w14:paraId="5EC58233" w14:textId="77777777" w:rsidR="00F5154A" w:rsidRDefault="00F5154A" w:rsidP="00524B1F">
      <w:pPr>
        <w:spacing w:after="0" w:line="240" w:lineRule="auto"/>
        <w:jc w:val="center"/>
        <w:rPr>
          <w:rFonts w:cs="Times New Roman"/>
          <w:b/>
          <w:bCs/>
          <w:sz w:val="24"/>
          <w:szCs w:val="24"/>
        </w:rPr>
      </w:pPr>
    </w:p>
    <w:p w14:paraId="5A20C88D" w14:textId="77777777" w:rsidR="00F5154A" w:rsidRDefault="00F5154A" w:rsidP="00524B1F">
      <w:pPr>
        <w:spacing w:after="0" w:line="240" w:lineRule="auto"/>
        <w:jc w:val="center"/>
        <w:rPr>
          <w:rFonts w:cs="Times New Roman"/>
          <w:b/>
          <w:bCs/>
          <w:sz w:val="24"/>
          <w:szCs w:val="24"/>
        </w:rPr>
      </w:pPr>
    </w:p>
    <w:p w14:paraId="36BAA3E3" w14:textId="77777777" w:rsidR="00524B1F" w:rsidRDefault="00524B1F" w:rsidP="00524B1F">
      <w:pPr>
        <w:spacing w:after="0" w:line="240" w:lineRule="auto"/>
        <w:jc w:val="center"/>
        <w:rPr>
          <w:rFonts w:cs="Times New Roman"/>
          <w:b/>
          <w:bCs/>
          <w:sz w:val="24"/>
          <w:szCs w:val="24"/>
        </w:rPr>
      </w:pPr>
      <w:r w:rsidRPr="00522A83">
        <w:rPr>
          <w:rFonts w:cs="Times New Roman"/>
          <w:b/>
          <w:bCs/>
          <w:sz w:val="24"/>
          <w:szCs w:val="24"/>
        </w:rPr>
        <w:t>RESULTS</w:t>
      </w:r>
      <w:r>
        <w:rPr>
          <w:rFonts w:cs="Times New Roman"/>
          <w:b/>
          <w:bCs/>
          <w:sz w:val="24"/>
          <w:szCs w:val="24"/>
        </w:rPr>
        <w:t xml:space="preserve"> AND </w:t>
      </w:r>
      <w:r w:rsidRPr="001D5E0D">
        <w:rPr>
          <w:rFonts w:cs="Times New Roman"/>
          <w:b/>
          <w:bCs/>
          <w:sz w:val="24"/>
          <w:szCs w:val="24"/>
        </w:rPr>
        <w:t>DISCUSSION</w:t>
      </w:r>
    </w:p>
    <w:p w14:paraId="312E0D10" w14:textId="77777777" w:rsidR="00524B1F" w:rsidRPr="001D5E0D" w:rsidRDefault="00524B1F" w:rsidP="00524B1F">
      <w:pPr>
        <w:spacing w:after="0" w:line="240" w:lineRule="auto"/>
        <w:jc w:val="center"/>
        <w:rPr>
          <w:rFonts w:cs="Times New Roman"/>
          <w:b/>
          <w:bCs/>
          <w:sz w:val="24"/>
          <w:szCs w:val="24"/>
        </w:rPr>
      </w:pPr>
    </w:p>
    <w:p w14:paraId="4EB7F13C" w14:textId="77777777" w:rsidR="00524B1F" w:rsidRPr="00544BBF" w:rsidRDefault="00F5154A" w:rsidP="00524B1F">
      <w:pPr>
        <w:spacing w:after="0" w:line="240" w:lineRule="auto"/>
        <w:jc w:val="both"/>
        <w:rPr>
          <w:rFonts w:cs="Times New Roman"/>
          <w:sz w:val="24"/>
          <w:szCs w:val="24"/>
        </w:rPr>
      </w:pPr>
      <w:r>
        <w:rPr>
          <w:rFonts w:cs="Times New Roman"/>
          <w:sz w:val="24"/>
          <w:szCs w:val="24"/>
        </w:rPr>
        <w:t xml:space="preserve">The results of the study are presented in Table 1 and Figure 2. </w:t>
      </w:r>
      <w:r w:rsidR="00524B1F" w:rsidRPr="00544BBF">
        <w:rPr>
          <w:rFonts w:cs="Times New Roman"/>
          <w:sz w:val="24"/>
          <w:szCs w:val="24"/>
        </w:rPr>
        <w:t>PAHs were detected in all selected communities, seasons and microenvironments. Total PAHs ranged from 7.40 to 30.55 µg/m</w:t>
      </w:r>
      <w:r w:rsidR="00524B1F" w:rsidRPr="00522A83">
        <w:rPr>
          <w:rFonts w:cs="Times New Roman"/>
          <w:sz w:val="24"/>
          <w:szCs w:val="24"/>
          <w:vertAlign w:val="superscript"/>
        </w:rPr>
        <w:t>3</w:t>
      </w:r>
      <w:r w:rsidR="00524B1F" w:rsidRPr="00544BBF">
        <w:rPr>
          <w:rFonts w:cs="Times New Roman"/>
          <w:sz w:val="24"/>
          <w:szCs w:val="24"/>
        </w:rPr>
        <w:t>, indicating substantial variability across community, season and indoor/outdoor setting.</w:t>
      </w:r>
    </w:p>
    <w:p w14:paraId="01AE5D26"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Across all conditions, the pooled mean total PAH concentration was 14.53 µg/m</w:t>
      </w:r>
      <w:r w:rsidRPr="00522A83">
        <w:rPr>
          <w:rFonts w:cs="Times New Roman"/>
          <w:sz w:val="24"/>
          <w:szCs w:val="24"/>
          <w:vertAlign w:val="superscript"/>
        </w:rPr>
        <w:t>3</w:t>
      </w:r>
      <w:r w:rsidRPr="00544BBF">
        <w:rPr>
          <w:rFonts w:cs="Times New Roman"/>
          <w:sz w:val="24"/>
          <w:szCs w:val="24"/>
        </w:rPr>
        <w:t xml:space="preserve">. The highest total PAH value occurred at </w:t>
      </w:r>
      <w:proofErr w:type="spellStart"/>
      <w:r w:rsidRPr="00544BBF">
        <w:rPr>
          <w:rFonts w:cs="Times New Roman"/>
          <w:sz w:val="24"/>
          <w:szCs w:val="24"/>
        </w:rPr>
        <w:t>Aleto</w:t>
      </w:r>
      <w:proofErr w:type="spellEnd"/>
      <w:r w:rsidRPr="00544BBF">
        <w:rPr>
          <w:rFonts w:cs="Times New Roman"/>
          <w:sz w:val="24"/>
          <w:szCs w:val="24"/>
        </w:rPr>
        <w:t xml:space="preserve"> dry-season outdoor air (30.55 µg/m</w:t>
      </w:r>
      <w:r w:rsidRPr="00522A83">
        <w:rPr>
          <w:rFonts w:cs="Times New Roman"/>
          <w:sz w:val="24"/>
          <w:szCs w:val="24"/>
          <w:vertAlign w:val="superscript"/>
        </w:rPr>
        <w:t>3</w:t>
      </w:r>
      <w:r w:rsidRPr="00544BBF">
        <w:rPr>
          <w:rFonts w:cs="Times New Roman"/>
          <w:sz w:val="24"/>
          <w:szCs w:val="24"/>
        </w:rPr>
        <w:t xml:space="preserve">), followed by </w:t>
      </w:r>
      <w:proofErr w:type="spellStart"/>
      <w:r w:rsidRPr="00544BBF">
        <w:rPr>
          <w:rFonts w:cs="Times New Roman"/>
          <w:sz w:val="24"/>
          <w:szCs w:val="24"/>
        </w:rPr>
        <w:t>Aleto</w:t>
      </w:r>
      <w:proofErr w:type="spellEnd"/>
      <w:r w:rsidRPr="00544BBF">
        <w:rPr>
          <w:rFonts w:cs="Times New Roman"/>
          <w:sz w:val="24"/>
          <w:szCs w:val="24"/>
        </w:rPr>
        <w:t xml:space="preserve"> dry-season indoor air (22.20 µg/m</w:t>
      </w:r>
      <w:r w:rsidRPr="00522A83">
        <w:rPr>
          <w:rFonts w:cs="Times New Roman"/>
          <w:sz w:val="24"/>
          <w:szCs w:val="24"/>
          <w:vertAlign w:val="superscript"/>
        </w:rPr>
        <w:t>3</w:t>
      </w:r>
      <w:r w:rsidRPr="00544BBF">
        <w:rPr>
          <w:rFonts w:cs="Times New Roman"/>
          <w:sz w:val="24"/>
          <w:szCs w:val="24"/>
        </w:rPr>
        <w:t xml:space="preserve">) and </w:t>
      </w:r>
      <w:proofErr w:type="spellStart"/>
      <w:r w:rsidRPr="00544BBF">
        <w:rPr>
          <w:rFonts w:cs="Times New Roman"/>
          <w:sz w:val="24"/>
          <w:szCs w:val="24"/>
        </w:rPr>
        <w:t>Aleto</w:t>
      </w:r>
      <w:proofErr w:type="spellEnd"/>
      <w:r w:rsidRPr="00544BBF">
        <w:rPr>
          <w:rFonts w:cs="Times New Roman"/>
          <w:sz w:val="24"/>
          <w:szCs w:val="24"/>
        </w:rPr>
        <w:t xml:space="preserve"> wet-season outdoor air (20.70 µg/m</w:t>
      </w:r>
      <w:r w:rsidRPr="00522A83">
        <w:rPr>
          <w:rFonts w:cs="Times New Roman"/>
          <w:sz w:val="24"/>
          <w:szCs w:val="24"/>
          <w:vertAlign w:val="superscript"/>
        </w:rPr>
        <w:t>3</w:t>
      </w:r>
      <w:r w:rsidRPr="00544BBF">
        <w:rPr>
          <w:rFonts w:cs="Times New Roman"/>
          <w:sz w:val="24"/>
          <w:szCs w:val="24"/>
        </w:rPr>
        <w:t>). The lowest value occurred at Alesa wet-season indoor air (7.40 µg/m</w:t>
      </w:r>
      <w:r w:rsidRPr="00522A83">
        <w:rPr>
          <w:rFonts w:cs="Times New Roman"/>
          <w:sz w:val="24"/>
          <w:szCs w:val="24"/>
          <w:vertAlign w:val="superscript"/>
        </w:rPr>
        <w:t>3</w:t>
      </w:r>
      <w:r w:rsidRPr="00544BBF">
        <w:rPr>
          <w:rFonts w:cs="Times New Roman"/>
          <w:sz w:val="24"/>
          <w:szCs w:val="24"/>
        </w:rPr>
        <w:t>).</w:t>
      </w:r>
    </w:p>
    <w:p w14:paraId="19381FD2"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Community mean total PAH concentration was highest in </w:t>
      </w:r>
      <w:proofErr w:type="spellStart"/>
      <w:r w:rsidRPr="00544BBF">
        <w:rPr>
          <w:rFonts w:cs="Times New Roman"/>
          <w:sz w:val="24"/>
          <w:szCs w:val="24"/>
        </w:rPr>
        <w:t>Aleto</w:t>
      </w:r>
      <w:proofErr w:type="spellEnd"/>
      <w:r w:rsidRPr="00544BBF">
        <w:rPr>
          <w:rFonts w:cs="Times New Roman"/>
          <w:sz w:val="24"/>
          <w:szCs w:val="24"/>
        </w:rPr>
        <w:t xml:space="preserve"> (21.41 µg/m</w:t>
      </w:r>
      <w:r w:rsidRPr="00522A83">
        <w:rPr>
          <w:rFonts w:cs="Times New Roman"/>
          <w:sz w:val="24"/>
          <w:szCs w:val="24"/>
          <w:vertAlign w:val="superscript"/>
        </w:rPr>
        <w:t>3</w:t>
      </w:r>
      <w:r w:rsidRPr="00544BBF">
        <w:rPr>
          <w:rFonts w:cs="Times New Roman"/>
          <w:sz w:val="24"/>
          <w:szCs w:val="24"/>
        </w:rPr>
        <w:t xml:space="preserve">), followed by </w:t>
      </w:r>
      <w:proofErr w:type="spellStart"/>
      <w:r w:rsidRPr="00544BBF">
        <w:rPr>
          <w:rFonts w:cs="Times New Roman"/>
          <w:sz w:val="24"/>
          <w:szCs w:val="24"/>
        </w:rPr>
        <w:t>Akpajo</w:t>
      </w:r>
      <w:proofErr w:type="spellEnd"/>
      <w:r w:rsidRPr="00544BBF">
        <w:rPr>
          <w:rFonts w:cs="Times New Roman"/>
          <w:sz w:val="24"/>
          <w:szCs w:val="24"/>
        </w:rPr>
        <w:t xml:space="preserve"> (11.80 µg/m</w:t>
      </w:r>
      <w:r w:rsidRPr="00522A83">
        <w:rPr>
          <w:rFonts w:cs="Times New Roman"/>
          <w:sz w:val="24"/>
          <w:szCs w:val="24"/>
          <w:vertAlign w:val="superscript"/>
        </w:rPr>
        <w:t>3</w:t>
      </w:r>
      <w:r w:rsidRPr="00544BBF">
        <w:rPr>
          <w:rFonts w:cs="Times New Roman"/>
          <w:sz w:val="24"/>
          <w:szCs w:val="24"/>
        </w:rPr>
        <w:t>) and Alesa (10.39 µg/m</w:t>
      </w:r>
      <w:r w:rsidRPr="00522A83">
        <w:rPr>
          <w:rFonts w:cs="Times New Roman"/>
          <w:sz w:val="24"/>
          <w:szCs w:val="24"/>
          <w:vertAlign w:val="superscript"/>
        </w:rPr>
        <w:t>3</w:t>
      </w:r>
      <w:r w:rsidRPr="00544BBF">
        <w:rPr>
          <w:rFonts w:cs="Times New Roman"/>
          <w:sz w:val="24"/>
          <w:szCs w:val="24"/>
        </w:rPr>
        <w:t>). Dry-season mean concentration (18.18 µg/m</w:t>
      </w:r>
      <w:r w:rsidRPr="00522A83">
        <w:rPr>
          <w:rFonts w:cs="Times New Roman"/>
          <w:sz w:val="24"/>
          <w:szCs w:val="24"/>
          <w:vertAlign w:val="superscript"/>
        </w:rPr>
        <w:t>3</w:t>
      </w:r>
      <w:r w:rsidRPr="00544BBF">
        <w:rPr>
          <w:rFonts w:cs="Times New Roman"/>
          <w:sz w:val="24"/>
          <w:szCs w:val="24"/>
        </w:rPr>
        <w:t>) was higher than</w:t>
      </w:r>
      <w:r>
        <w:rPr>
          <w:rFonts w:cs="Times New Roman"/>
          <w:sz w:val="24"/>
          <w:szCs w:val="24"/>
        </w:rPr>
        <w:t xml:space="preserve"> </w:t>
      </w:r>
      <w:r w:rsidRPr="00544BBF">
        <w:rPr>
          <w:rFonts w:cs="Times New Roman"/>
          <w:sz w:val="24"/>
          <w:szCs w:val="24"/>
        </w:rPr>
        <w:t>wet-season mean concentration (10.88 µg/m</w:t>
      </w:r>
      <w:r w:rsidRPr="00522A83">
        <w:rPr>
          <w:rFonts w:cs="Times New Roman"/>
          <w:sz w:val="24"/>
          <w:szCs w:val="24"/>
          <w:vertAlign w:val="superscript"/>
        </w:rPr>
        <w:t>3</w:t>
      </w:r>
      <w:r w:rsidRPr="00544BBF">
        <w:rPr>
          <w:rFonts w:cs="Times New Roman"/>
          <w:sz w:val="24"/>
          <w:szCs w:val="24"/>
        </w:rPr>
        <w:t>), suggesting stronger dry-season accumulation or reduced washout. Outdoor air averaged 15.75 µg/m</w:t>
      </w:r>
      <w:r w:rsidRPr="00522A83">
        <w:rPr>
          <w:rFonts w:cs="Times New Roman"/>
          <w:sz w:val="24"/>
          <w:szCs w:val="24"/>
          <w:vertAlign w:val="superscript"/>
        </w:rPr>
        <w:t>3</w:t>
      </w:r>
      <w:r w:rsidRPr="00544BBF">
        <w:rPr>
          <w:rFonts w:cs="Times New Roman"/>
          <w:sz w:val="24"/>
          <w:szCs w:val="24"/>
        </w:rPr>
        <w:t>, higher than indoor air at 13.32 µg/m</w:t>
      </w:r>
      <w:r w:rsidRPr="00522A83">
        <w:rPr>
          <w:rFonts w:cs="Times New Roman"/>
          <w:sz w:val="24"/>
          <w:szCs w:val="24"/>
          <w:vertAlign w:val="superscript"/>
        </w:rPr>
        <w:t>3</w:t>
      </w:r>
      <w:r w:rsidRPr="00544BBF">
        <w:rPr>
          <w:rFonts w:cs="Times New Roman"/>
          <w:sz w:val="24"/>
          <w:szCs w:val="24"/>
        </w:rPr>
        <w:t>.</w:t>
      </w:r>
    </w:p>
    <w:p w14:paraId="19298ACB" w14:textId="77777777" w:rsidR="00524B1F" w:rsidRDefault="00524B1F" w:rsidP="00524B1F">
      <w:pPr>
        <w:spacing w:after="0" w:line="240" w:lineRule="auto"/>
        <w:jc w:val="both"/>
        <w:rPr>
          <w:rFonts w:cs="Times New Roman"/>
          <w:sz w:val="24"/>
          <w:szCs w:val="24"/>
        </w:rPr>
        <w:sectPr w:rsidR="00524B1F"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docGrid w:linePitch="360"/>
        </w:sectPr>
      </w:pPr>
      <w:r w:rsidRPr="00544BBF">
        <w:rPr>
          <w:rFonts w:cs="Times New Roman"/>
          <w:sz w:val="24"/>
          <w:szCs w:val="24"/>
        </w:rPr>
        <w:t xml:space="preserve"> </w:t>
      </w:r>
      <w:r>
        <w:rPr>
          <w:rFonts w:cs="Times New Roman"/>
          <w:sz w:val="24"/>
          <w:szCs w:val="24"/>
        </w:rPr>
        <w:t xml:space="preserve"> </w:t>
      </w:r>
    </w:p>
    <w:p w14:paraId="69BE4D82" w14:textId="77777777" w:rsidR="00524B1F" w:rsidRDefault="00524B1F" w:rsidP="00524B1F">
      <w:pPr>
        <w:spacing w:after="0" w:line="240" w:lineRule="auto"/>
        <w:contextualSpacing/>
        <w:rPr>
          <w:rFonts w:cs="Times New Roman"/>
          <w:b/>
          <w:sz w:val="24"/>
          <w:szCs w:val="24"/>
        </w:rPr>
      </w:pPr>
    </w:p>
    <w:p w14:paraId="44B0642B" w14:textId="77777777" w:rsidR="00524B1F" w:rsidRPr="00544BBF" w:rsidRDefault="00524B1F" w:rsidP="00524B1F">
      <w:pPr>
        <w:spacing w:after="0" w:line="240" w:lineRule="auto"/>
        <w:contextualSpacing/>
        <w:rPr>
          <w:rFonts w:cs="Times New Roman"/>
          <w:sz w:val="24"/>
          <w:szCs w:val="24"/>
        </w:rPr>
      </w:pPr>
      <w:r w:rsidRPr="00544BBF">
        <w:rPr>
          <w:rFonts w:cs="Times New Roman"/>
          <w:b/>
          <w:sz w:val="24"/>
          <w:szCs w:val="24"/>
        </w:rPr>
        <w:t xml:space="preserve">Table </w:t>
      </w:r>
      <w:r>
        <w:rPr>
          <w:rFonts w:cs="Times New Roman"/>
          <w:b/>
          <w:sz w:val="24"/>
          <w:szCs w:val="24"/>
        </w:rPr>
        <w:t>1</w:t>
      </w:r>
      <w:r w:rsidRPr="00544BBF">
        <w:rPr>
          <w:rFonts w:cs="Times New Roman"/>
          <w:b/>
          <w:sz w:val="24"/>
          <w:szCs w:val="24"/>
        </w:rPr>
        <w:t xml:space="preserve">. Concentrations of PAH congeners in indoor and outdoor air across </w:t>
      </w:r>
      <w:proofErr w:type="spellStart"/>
      <w:r w:rsidRPr="00544BBF">
        <w:rPr>
          <w:rFonts w:cs="Times New Roman"/>
          <w:b/>
          <w:sz w:val="24"/>
          <w:szCs w:val="24"/>
        </w:rPr>
        <w:t>Akpajo</w:t>
      </w:r>
      <w:proofErr w:type="spellEnd"/>
      <w:r w:rsidRPr="00544BBF">
        <w:rPr>
          <w:rFonts w:cs="Times New Roman"/>
          <w:b/>
          <w:sz w:val="24"/>
          <w:szCs w:val="24"/>
        </w:rPr>
        <w:t xml:space="preserve">, Alesa and </w:t>
      </w:r>
      <w:proofErr w:type="spellStart"/>
      <w:r w:rsidRPr="00544BBF">
        <w:rPr>
          <w:rFonts w:cs="Times New Roman"/>
          <w:b/>
          <w:sz w:val="24"/>
          <w:szCs w:val="24"/>
        </w:rPr>
        <w:t>Aleto</w:t>
      </w:r>
      <w:proofErr w:type="spellEnd"/>
      <w:r w:rsidRPr="00544BBF">
        <w:rPr>
          <w:rFonts w:cs="Times New Roman"/>
          <w:b/>
          <w:sz w:val="24"/>
          <w:szCs w:val="24"/>
        </w:rPr>
        <w:t xml:space="preserve"> (µg/m</w:t>
      </w:r>
      <w:r w:rsidRPr="00522A83">
        <w:rPr>
          <w:rFonts w:cs="Times New Roman"/>
          <w:b/>
          <w:sz w:val="24"/>
          <w:szCs w:val="24"/>
          <w:vertAlign w:val="superscript"/>
        </w:rPr>
        <w:t>3</w:t>
      </w:r>
      <w:r w:rsidRPr="00544BBF">
        <w:rPr>
          <w:rFonts w:cs="Times New Roman"/>
          <w:b/>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4"/>
        <w:gridCol w:w="909"/>
        <w:gridCol w:w="1016"/>
        <w:gridCol w:w="909"/>
        <w:gridCol w:w="1016"/>
        <w:gridCol w:w="862"/>
        <w:gridCol w:w="1016"/>
        <w:gridCol w:w="862"/>
        <w:gridCol w:w="1016"/>
        <w:gridCol w:w="862"/>
        <w:gridCol w:w="1016"/>
        <w:gridCol w:w="862"/>
        <w:gridCol w:w="1016"/>
      </w:tblGrid>
      <w:tr w:rsidR="00524B1F" w:rsidRPr="00522A83" w14:paraId="69065F5D" w14:textId="77777777" w:rsidTr="00DA556B">
        <w:trPr>
          <w:trHeight w:val="1385"/>
          <w:jc w:val="center"/>
        </w:trPr>
        <w:tc>
          <w:tcPr>
            <w:tcW w:w="2182" w:type="dxa"/>
            <w:tcBorders>
              <w:top w:val="single" w:sz="4" w:space="0" w:color="auto"/>
              <w:bottom w:val="single" w:sz="4" w:space="0" w:color="auto"/>
            </w:tcBorders>
            <w:vAlign w:val="center"/>
          </w:tcPr>
          <w:p w14:paraId="3DFFADB2" w14:textId="77777777" w:rsidR="00524B1F" w:rsidRPr="00522A83" w:rsidRDefault="00524B1F" w:rsidP="00DA556B">
            <w:pPr>
              <w:spacing w:after="0" w:line="240" w:lineRule="auto"/>
              <w:jc w:val="center"/>
              <w:rPr>
                <w:rFonts w:cs="Times New Roman"/>
                <w:sz w:val="20"/>
                <w:szCs w:val="20"/>
              </w:rPr>
            </w:pPr>
            <w:r w:rsidRPr="00522A83">
              <w:rPr>
                <w:rFonts w:cs="Times New Roman"/>
                <w:b/>
                <w:sz w:val="20"/>
                <w:szCs w:val="20"/>
              </w:rPr>
              <w:t>PAH Component</w:t>
            </w:r>
          </w:p>
        </w:tc>
        <w:tc>
          <w:tcPr>
            <w:tcW w:w="913" w:type="dxa"/>
            <w:tcBorders>
              <w:top w:val="single" w:sz="4" w:space="0" w:color="auto"/>
              <w:bottom w:val="single" w:sz="4" w:space="0" w:color="auto"/>
            </w:tcBorders>
            <w:vAlign w:val="center"/>
          </w:tcPr>
          <w:p w14:paraId="14B76AF8"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Akpajo</w:t>
            </w:r>
            <w:proofErr w:type="spellEnd"/>
            <w:r w:rsidRPr="00522A83">
              <w:rPr>
                <w:rFonts w:cs="Times New Roman"/>
                <w:b/>
                <w:sz w:val="20"/>
                <w:szCs w:val="20"/>
              </w:rPr>
              <w:t xml:space="preserve"> Dry Indoor</w:t>
            </w:r>
          </w:p>
        </w:tc>
        <w:tc>
          <w:tcPr>
            <w:tcW w:w="1020" w:type="dxa"/>
            <w:tcBorders>
              <w:top w:val="single" w:sz="4" w:space="0" w:color="auto"/>
              <w:bottom w:val="single" w:sz="4" w:space="0" w:color="auto"/>
            </w:tcBorders>
            <w:vAlign w:val="center"/>
          </w:tcPr>
          <w:p w14:paraId="5B8F75BF"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Akpajo</w:t>
            </w:r>
            <w:proofErr w:type="spellEnd"/>
            <w:r w:rsidRPr="00522A83">
              <w:rPr>
                <w:rFonts w:cs="Times New Roman"/>
                <w:b/>
                <w:sz w:val="20"/>
                <w:szCs w:val="20"/>
              </w:rPr>
              <w:t xml:space="preserve"> Dry Outdoor</w:t>
            </w:r>
          </w:p>
        </w:tc>
        <w:tc>
          <w:tcPr>
            <w:tcW w:w="913" w:type="dxa"/>
            <w:tcBorders>
              <w:top w:val="single" w:sz="4" w:space="0" w:color="auto"/>
              <w:bottom w:val="single" w:sz="4" w:space="0" w:color="auto"/>
            </w:tcBorders>
            <w:vAlign w:val="center"/>
          </w:tcPr>
          <w:p w14:paraId="29A50F6F"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Akpajo</w:t>
            </w:r>
            <w:proofErr w:type="spellEnd"/>
            <w:r w:rsidRPr="00522A83">
              <w:rPr>
                <w:rFonts w:cs="Times New Roman"/>
                <w:b/>
                <w:sz w:val="20"/>
                <w:szCs w:val="20"/>
              </w:rPr>
              <w:t xml:space="preserve"> Wet Indoor</w:t>
            </w:r>
          </w:p>
        </w:tc>
        <w:tc>
          <w:tcPr>
            <w:tcW w:w="1020" w:type="dxa"/>
            <w:tcBorders>
              <w:top w:val="single" w:sz="4" w:space="0" w:color="auto"/>
              <w:bottom w:val="single" w:sz="4" w:space="0" w:color="auto"/>
            </w:tcBorders>
            <w:vAlign w:val="center"/>
          </w:tcPr>
          <w:p w14:paraId="3C4DD025"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Akpajo</w:t>
            </w:r>
            <w:proofErr w:type="spellEnd"/>
            <w:r w:rsidRPr="00522A83">
              <w:rPr>
                <w:rFonts w:cs="Times New Roman"/>
                <w:b/>
                <w:sz w:val="20"/>
                <w:szCs w:val="20"/>
              </w:rPr>
              <w:t xml:space="preserve"> Wet Outdoor</w:t>
            </w:r>
          </w:p>
        </w:tc>
        <w:tc>
          <w:tcPr>
            <w:tcW w:w="865" w:type="dxa"/>
            <w:tcBorders>
              <w:top w:val="single" w:sz="4" w:space="0" w:color="auto"/>
              <w:bottom w:val="single" w:sz="4" w:space="0" w:color="auto"/>
            </w:tcBorders>
            <w:vAlign w:val="center"/>
          </w:tcPr>
          <w:p w14:paraId="1036E579" w14:textId="77777777" w:rsidR="00524B1F" w:rsidRPr="00522A83" w:rsidRDefault="00524B1F" w:rsidP="00DA556B">
            <w:pPr>
              <w:spacing w:after="0" w:line="240" w:lineRule="auto"/>
              <w:jc w:val="center"/>
              <w:rPr>
                <w:rFonts w:cs="Times New Roman"/>
                <w:sz w:val="20"/>
                <w:szCs w:val="20"/>
              </w:rPr>
            </w:pPr>
            <w:r w:rsidRPr="00522A83">
              <w:rPr>
                <w:rFonts w:cs="Times New Roman"/>
                <w:b/>
                <w:sz w:val="20"/>
                <w:szCs w:val="20"/>
              </w:rPr>
              <w:t>Alesa Dry Indoor</w:t>
            </w:r>
          </w:p>
        </w:tc>
        <w:tc>
          <w:tcPr>
            <w:tcW w:w="1020" w:type="dxa"/>
            <w:tcBorders>
              <w:top w:val="single" w:sz="4" w:space="0" w:color="auto"/>
              <w:bottom w:val="single" w:sz="4" w:space="0" w:color="auto"/>
            </w:tcBorders>
            <w:vAlign w:val="center"/>
          </w:tcPr>
          <w:p w14:paraId="250E181E" w14:textId="77777777" w:rsidR="00524B1F" w:rsidRPr="00522A83" w:rsidRDefault="00524B1F" w:rsidP="00DA556B">
            <w:pPr>
              <w:spacing w:after="0" w:line="240" w:lineRule="auto"/>
              <w:jc w:val="center"/>
              <w:rPr>
                <w:rFonts w:cs="Times New Roman"/>
                <w:sz w:val="20"/>
                <w:szCs w:val="20"/>
              </w:rPr>
            </w:pPr>
            <w:r w:rsidRPr="00522A83">
              <w:rPr>
                <w:rFonts w:cs="Times New Roman"/>
                <w:b/>
                <w:sz w:val="20"/>
                <w:szCs w:val="20"/>
              </w:rPr>
              <w:t>Alesa Dry Outdoor</w:t>
            </w:r>
          </w:p>
        </w:tc>
        <w:tc>
          <w:tcPr>
            <w:tcW w:w="865" w:type="dxa"/>
            <w:tcBorders>
              <w:top w:val="single" w:sz="4" w:space="0" w:color="auto"/>
              <w:bottom w:val="single" w:sz="4" w:space="0" w:color="auto"/>
            </w:tcBorders>
            <w:vAlign w:val="center"/>
          </w:tcPr>
          <w:p w14:paraId="28C0037A" w14:textId="77777777" w:rsidR="00524B1F" w:rsidRPr="00522A83" w:rsidRDefault="00524B1F" w:rsidP="00DA556B">
            <w:pPr>
              <w:spacing w:after="0" w:line="240" w:lineRule="auto"/>
              <w:jc w:val="center"/>
              <w:rPr>
                <w:rFonts w:cs="Times New Roman"/>
                <w:sz w:val="20"/>
                <w:szCs w:val="20"/>
              </w:rPr>
            </w:pPr>
            <w:r w:rsidRPr="00522A83">
              <w:rPr>
                <w:rFonts w:cs="Times New Roman"/>
                <w:b/>
                <w:sz w:val="20"/>
                <w:szCs w:val="20"/>
              </w:rPr>
              <w:t>Alesa Wet Indoor</w:t>
            </w:r>
          </w:p>
        </w:tc>
        <w:tc>
          <w:tcPr>
            <w:tcW w:w="1020" w:type="dxa"/>
            <w:tcBorders>
              <w:top w:val="single" w:sz="4" w:space="0" w:color="auto"/>
              <w:bottom w:val="single" w:sz="4" w:space="0" w:color="auto"/>
            </w:tcBorders>
            <w:vAlign w:val="center"/>
          </w:tcPr>
          <w:p w14:paraId="69522B38" w14:textId="77777777" w:rsidR="00524B1F" w:rsidRPr="00522A83" w:rsidRDefault="00524B1F" w:rsidP="00DA556B">
            <w:pPr>
              <w:spacing w:after="0" w:line="240" w:lineRule="auto"/>
              <w:jc w:val="center"/>
              <w:rPr>
                <w:rFonts w:cs="Times New Roman"/>
                <w:sz w:val="20"/>
                <w:szCs w:val="20"/>
              </w:rPr>
            </w:pPr>
            <w:r w:rsidRPr="00522A83">
              <w:rPr>
                <w:rFonts w:cs="Times New Roman"/>
                <w:b/>
                <w:sz w:val="20"/>
                <w:szCs w:val="20"/>
              </w:rPr>
              <w:t>Alesa Wet Outdoor</w:t>
            </w:r>
          </w:p>
        </w:tc>
        <w:tc>
          <w:tcPr>
            <w:tcW w:w="865" w:type="dxa"/>
            <w:tcBorders>
              <w:top w:val="single" w:sz="4" w:space="0" w:color="auto"/>
              <w:bottom w:val="single" w:sz="4" w:space="0" w:color="auto"/>
            </w:tcBorders>
            <w:vAlign w:val="center"/>
          </w:tcPr>
          <w:p w14:paraId="105103A0"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Aleto</w:t>
            </w:r>
            <w:proofErr w:type="spellEnd"/>
            <w:r w:rsidRPr="00522A83">
              <w:rPr>
                <w:rFonts w:cs="Times New Roman"/>
                <w:b/>
                <w:sz w:val="20"/>
                <w:szCs w:val="20"/>
              </w:rPr>
              <w:t xml:space="preserve"> Dry Indoor</w:t>
            </w:r>
          </w:p>
        </w:tc>
        <w:tc>
          <w:tcPr>
            <w:tcW w:w="1020" w:type="dxa"/>
            <w:tcBorders>
              <w:top w:val="single" w:sz="4" w:space="0" w:color="auto"/>
              <w:bottom w:val="single" w:sz="4" w:space="0" w:color="auto"/>
            </w:tcBorders>
            <w:vAlign w:val="center"/>
          </w:tcPr>
          <w:p w14:paraId="0F04C368"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Aleto</w:t>
            </w:r>
            <w:proofErr w:type="spellEnd"/>
            <w:r w:rsidRPr="00522A83">
              <w:rPr>
                <w:rFonts w:cs="Times New Roman"/>
                <w:b/>
                <w:sz w:val="20"/>
                <w:szCs w:val="20"/>
              </w:rPr>
              <w:t xml:space="preserve"> Dry Outdoor</w:t>
            </w:r>
          </w:p>
        </w:tc>
        <w:tc>
          <w:tcPr>
            <w:tcW w:w="865" w:type="dxa"/>
            <w:tcBorders>
              <w:top w:val="single" w:sz="4" w:space="0" w:color="auto"/>
              <w:bottom w:val="single" w:sz="4" w:space="0" w:color="auto"/>
            </w:tcBorders>
            <w:vAlign w:val="center"/>
          </w:tcPr>
          <w:p w14:paraId="44C91BB0"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Aleto</w:t>
            </w:r>
            <w:proofErr w:type="spellEnd"/>
            <w:r w:rsidRPr="00522A83">
              <w:rPr>
                <w:rFonts w:cs="Times New Roman"/>
                <w:b/>
                <w:sz w:val="20"/>
                <w:szCs w:val="20"/>
              </w:rPr>
              <w:t xml:space="preserve"> Wet Indoor</w:t>
            </w:r>
          </w:p>
        </w:tc>
        <w:tc>
          <w:tcPr>
            <w:tcW w:w="1020" w:type="dxa"/>
            <w:tcBorders>
              <w:top w:val="single" w:sz="4" w:space="0" w:color="auto"/>
              <w:bottom w:val="single" w:sz="4" w:space="0" w:color="auto"/>
            </w:tcBorders>
            <w:vAlign w:val="center"/>
          </w:tcPr>
          <w:p w14:paraId="7237FD89"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b/>
                <w:sz w:val="20"/>
                <w:szCs w:val="20"/>
              </w:rPr>
              <w:t>Aleto</w:t>
            </w:r>
            <w:proofErr w:type="spellEnd"/>
            <w:r w:rsidRPr="00522A83">
              <w:rPr>
                <w:rFonts w:cs="Times New Roman"/>
                <w:b/>
                <w:sz w:val="20"/>
                <w:szCs w:val="20"/>
              </w:rPr>
              <w:t xml:space="preserve"> Wet Outdoor</w:t>
            </w:r>
          </w:p>
        </w:tc>
      </w:tr>
      <w:tr w:rsidR="00524B1F" w:rsidRPr="00522A83" w14:paraId="634CA3B3" w14:textId="77777777" w:rsidTr="00DA556B">
        <w:trPr>
          <w:trHeight w:val="461"/>
          <w:jc w:val="center"/>
        </w:trPr>
        <w:tc>
          <w:tcPr>
            <w:tcW w:w="2182" w:type="dxa"/>
            <w:tcBorders>
              <w:top w:val="single" w:sz="4" w:space="0" w:color="auto"/>
            </w:tcBorders>
            <w:vAlign w:val="center"/>
          </w:tcPr>
          <w:p w14:paraId="3485508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Naphthalene</w:t>
            </w:r>
          </w:p>
        </w:tc>
        <w:tc>
          <w:tcPr>
            <w:tcW w:w="913" w:type="dxa"/>
            <w:tcBorders>
              <w:top w:val="single" w:sz="4" w:space="0" w:color="auto"/>
            </w:tcBorders>
            <w:vAlign w:val="center"/>
          </w:tcPr>
          <w:p w14:paraId="796EE11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0.45</w:t>
            </w:r>
          </w:p>
        </w:tc>
        <w:tc>
          <w:tcPr>
            <w:tcW w:w="1020" w:type="dxa"/>
            <w:tcBorders>
              <w:top w:val="single" w:sz="4" w:space="0" w:color="auto"/>
            </w:tcBorders>
            <w:vAlign w:val="center"/>
          </w:tcPr>
          <w:p w14:paraId="2DBD58D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2.25</w:t>
            </w:r>
          </w:p>
        </w:tc>
        <w:tc>
          <w:tcPr>
            <w:tcW w:w="913" w:type="dxa"/>
            <w:tcBorders>
              <w:top w:val="single" w:sz="4" w:space="0" w:color="auto"/>
            </w:tcBorders>
            <w:vAlign w:val="center"/>
          </w:tcPr>
          <w:p w14:paraId="5405055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0.20</w:t>
            </w:r>
          </w:p>
        </w:tc>
        <w:tc>
          <w:tcPr>
            <w:tcW w:w="1020" w:type="dxa"/>
            <w:tcBorders>
              <w:top w:val="single" w:sz="4" w:space="0" w:color="auto"/>
            </w:tcBorders>
            <w:vAlign w:val="center"/>
          </w:tcPr>
          <w:p w14:paraId="5FAADC6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1.00</w:t>
            </w:r>
          </w:p>
        </w:tc>
        <w:tc>
          <w:tcPr>
            <w:tcW w:w="865" w:type="dxa"/>
            <w:tcBorders>
              <w:top w:val="single" w:sz="4" w:space="0" w:color="auto"/>
            </w:tcBorders>
            <w:vAlign w:val="center"/>
          </w:tcPr>
          <w:p w14:paraId="38D5662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1020" w:type="dxa"/>
            <w:tcBorders>
              <w:top w:val="single" w:sz="4" w:space="0" w:color="auto"/>
            </w:tcBorders>
            <w:vAlign w:val="center"/>
          </w:tcPr>
          <w:p w14:paraId="6DBCDC1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0.30</w:t>
            </w:r>
          </w:p>
        </w:tc>
        <w:tc>
          <w:tcPr>
            <w:tcW w:w="865" w:type="dxa"/>
            <w:tcBorders>
              <w:top w:val="single" w:sz="4" w:space="0" w:color="auto"/>
            </w:tcBorders>
            <w:vAlign w:val="center"/>
          </w:tcPr>
          <w:p w14:paraId="0154CDE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1020" w:type="dxa"/>
            <w:tcBorders>
              <w:top w:val="single" w:sz="4" w:space="0" w:color="auto"/>
            </w:tcBorders>
            <w:vAlign w:val="center"/>
          </w:tcPr>
          <w:p w14:paraId="2D6BE58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0.20</w:t>
            </w:r>
          </w:p>
        </w:tc>
        <w:tc>
          <w:tcPr>
            <w:tcW w:w="865" w:type="dxa"/>
            <w:tcBorders>
              <w:top w:val="single" w:sz="4" w:space="0" w:color="auto"/>
            </w:tcBorders>
            <w:vAlign w:val="center"/>
          </w:tcPr>
          <w:p w14:paraId="1F50E78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5.65</w:t>
            </w:r>
          </w:p>
        </w:tc>
        <w:tc>
          <w:tcPr>
            <w:tcW w:w="1020" w:type="dxa"/>
            <w:tcBorders>
              <w:top w:val="single" w:sz="4" w:space="0" w:color="auto"/>
            </w:tcBorders>
            <w:vAlign w:val="center"/>
          </w:tcPr>
          <w:p w14:paraId="7DCFCF1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4.95</w:t>
            </w:r>
          </w:p>
        </w:tc>
        <w:tc>
          <w:tcPr>
            <w:tcW w:w="865" w:type="dxa"/>
            <w:tcBorders>
              <w:top w:val="single" w:sz="4" w:space="0" w:color="auto"/>
            </w:tcBorders>
            <w:vAlign w:val="center"/>
          </w:tcPr>
          <w:p w14:paraId="2848BD2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1.45</w:t>
            </w:r>
          </w:p>
        </w:tc>
        <w:tc>
          <w:tcPr>
            <w:tcW w:w="1020" w:type="dxa"/>
            <w:tcBorders>
              <w:top w:val="single" w:sz="4" w:space="0" w:color="auto"/>
            </w:tcBorders>
            <w:vAlign w:val="center"/>
          </w:tcPr>
          <w:p w14:paraId="098C37F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3.25</w:t>
            </w:r>
          </w:p>
        </w:tc>
      </w:tr>
      <w:tr w:rsidR="00524B1F" w:rsidRPr="00522A83" w14:paraId="7567E4A8" w14:textId="77777777" w:rsidTr="00DA556B">
        <w:trPr>
          <w:trHeight w:val="472"/>
          <w:jc w:val="center"/>
        </w:trPr>
        <w:tc>
          <w:tcPr>
            <w:tcW w:w="2182" w:type="dxa"/>
            <w:vAlign w:val="center"/>
          </w:tcPr>
          <w:p w14:paraId="0E30EC1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Acenaphthylene</w:t>
            </w:r>
          </w:p>
        </w:tc>
        <w:tc>
          <w:tcPr>
            <w:tcW w:w="913" w:type="dxa"/>
            <w:vAlign w:val="center"/>
          </w:tcPr>
          <w:p w14:paraId="05DEBF1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1.20</w:t>
            </w:r>
          </w:p>
        </w:tc>
        <w:tc>
          <w:tcPr>
            <w:tcW w:w="1020" w:type="dxa"/>
            <w:vAlign w:val="center"/>
          </w:tcPr>
          <w:p w14:paraId="4D55DC2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1.25</w:t>
            </w:r>
          </w:p>
        </w:tc>
        <w:tc>
          <w:tcPr>
            <w:tcW w:w="913" w:type="dxa"/>
            <w:vAlign w:val="center"/>
          </w:tcPr>
          <w:p w14:paraId="71EB953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0.80</w:t>
            </w:r>
          </w:p>
        </w:tc>
        <w:tc>
          <w:tcPr>
            <w:tcW w:w="1020" w:type="dxa"/>
            <w:vAlign w:val="center"/>
          </w:tcPr>
          <w:p w14:paraId="75C9338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0.60</w:t>
            </w:r>
          </w:p>
        </w:tc>
        <w:tc>
          <w:tcPr>
            <w:tcW w:w="865" w:type="dxa"/>
            <w:vAlign w:val="center"/>
          </w:tcPr>
          <w:p w14:paraId="42CAB15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0.45</w:t>
            </w:r>
          </w:p>
        </w:tc>
        <w:tc>
          <w:tcPr>
            <w:tcW w:w="1020" w:type="dxa"/>
            <w:vAlign w:val="center"/>
          </w:tcPr>
          <w:p w14:paraId="750119D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1.20</w:t>
            </w:r>
          </w:p>
        </w:tc>
        <w:tc>
          <w:tcPr>
            <w:tcW w:w="865" w:type="dxa"/>
            <w:vAlign w:val="center"/>
          </w:tcPr>
          <w:p w14:paraId="4649F7E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0.35</w:t>
            </w:r>
          </w:p>
        </w:tc>
        <w:tc>
          <w:tcPr>
            <w:tcW w:w="1020" w:type="dxa"/>
            <w:vAlign w:val="center"/>
          </w:tcPr>
          <w:p w14:paraId="1EB8DAE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0.95</w:t>
            </w:r>
          </w:p>
        </w:tc>
        <w:tc>
          <w:tcPr>
            <w:tcW w:w="865" w:type="dxa"/>
            <w:vAlign w:val="center"/>
          </w:tcPr>
          <w:p w14:paraId="34B26BF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1.95</w:t>
            </w:r>
          </w:p>
        </w:tc>
        <w:tc>
          <w:tcPr>
            <w:tcW w:w="1020" w:type="dxa"/>
            <w:vAlign w:val="center"/>
          </w:tcPr>
          <w:p w14:paraId="3BE3D3D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2.30</w:t>
            </w:r>
          </w:p>
        </w:tc>
        <w:tc>
          <w:tcPr>
            <w:tcW w:w="865" w:type="dxa"/>
            <w:vAlign w:val="center"/>
          </w:tcPr>
          <w:p w14:paraId="2E42D06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1.40</w:t>
            </w:r>
          </w:p>
        </w:tc>
        <w:tc>
          <w:tcPr>
            <w:tcW w:w="1020" w:type="dxa"/>
            <w:vAlign w:val="center"/>
          </w:tcPr>
          <w:p w14:paraId="5441A51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1.45</w:t>
            </w:r>
          </w:p>
        </w:tc>
      </w:tr>
      <w:tr w:rsidR="00524B1F" w:rsidRPr="00522A83" w14:paraId="417BC66C" w14:textId="77777777" w:rsidTr="00DA556B">
        <w:trPr>
          <w:trHeight w:val="461"/>
          <w:jc w:val="center"/>
        </w:trPr>
        <w:tc>
          <w:tcPr>
            <w:tcW w:w="2182" w:type="dxa"/>
            <w:vAlign w:val="center"/>
          </w:tcPr>
          <w:p w14:paraId="2DBBF7C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Acenaphthene</w:t>
            </w:r>
          </w:p>
        </w:tc>
        <w:tc>
          <w:tcPr>
            <w:tcW w:w="913" w:type="dxa"/>
            <w:vAlign w:val="center"/>
          </w:tcPr>
          <w:p w14:paraId="1F1DFCD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0.40</w:t>
            </w:r>
          </w:p>
        </w:tc>
        <w:tc>
          <w:tcPr>
            <w:tcW w:w="1020" w:type="dxa"/>
            <w:vAlign w:val="center"/>
          </w:tcPr>
          <w:p w14:paraId="5C7992A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0.25</w:t>
            </w:r>
          </w:p>
        </w:tc>
        <w:tc>
          <w:tcPr>
            <w:tcW w:w="913" w:type="dxa"/>
            <w:vAlign w:val="center"/>
          </w:tcPr>
          <w:p w14:paraId="3EFB121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1020" w:type="dxa"/>
            <w:vAlign w:val="center"/>
          </w:tcPr>
          <w:p w14:paraId="40F2C46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3C6512B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0.20</w:t>
            </w:r>
          </w:p>
        </w:tc>
        <w:tc>
          <w:tcPr>
            <w:tcW w:w="1020" w:type="dxa"/>
            <w:vAlign w:val="center"/>
          </w:tcPr>
          <w:p w14:paraId="0C8B968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0.45</w:t>
            </w:r>
          </w:p>
        </w:tc>
        <w:tc>
          <w:tcPr>
            <w:tcW w:w="865" w:type="dxa"/>
            <w:vAlign w:val="center"/>
          </w:tcPr>
          <w:p w14:paraId="621B6F2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1020" w:type="dxa"/>
            <w:vAlign w:val="center"/>
          </w:tcPr>
          <w:p w14:paraId="5184BD8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0.20</w:t>
            </w:r>
          </w:p>
        </w:tc>
        <w:tc>
          <w:tcPr>
            <w:tcW w:w="865" w:type="dxa"/>
            <w:vAlign w:val="center"/>
          </w:tcPr>
          <w:p w14:paraId="6C68D0D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0.35</w:t>
            </w:r>
          </w:p>
        </w:tc>
        <w:tc>
          <w:tcPr>
            <w:tcW w:w="1020" w:type="dxa"/>
            <w:vAlign w:val="center"/>
          </w:tcPr>
          <w:p w14:paraId="0C21BE2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0.85</w:t>
            </w:r>
          </w:p>
        </w:tc>
        <w:tc>
          <w:tcPr>
            <w:tcW w:w="865" w:type="dxa"/>
            <w:vAlign w:val="center"/>
          </w:tcPr>
          <w:p w14:paraId="0588880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1020" w:type="dxa"/>
            <w:vAlign w:val="center"/>
          </w:tcPr>
          <w:p w14:paraId="61D8492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0.60</w:t>
            </w:r>
          </w:p>
        </w:tc>
      </w:tr>
      <w:tr w:rsidR="00524B1F" w:rsidRPr="00522A83" w14:paraId="2A3FDABE" w14:textId="77777777" w:rsidTr="00DA556B">
        <w:trPr>
          <w:trHeight w:val="461"/>
          <w:jc w:val="center"/>
        </w:trPr>
        <w:tc>
          <w:tcPr>
            <w:tcW w:w="2182" w:type="dxa"/>
            <w:vAlign w:val="center"/>
          </w:tcPr>
          <w:p w14:paraId="4477E1D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Fluorene</w:t>
            </w:r>
          </w:p>
        </w:tc>
        <w:tc>
          <w:tcPr>
            <w:tcW w:w="913" w:type="dxa"/>
            <w:vAlign w:val="center"/>
          </w:tcPr>
          <w:p w14:paraId="4620EA2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0.40</w:t>
            </w:r>
          </w:p>
        </w:tc>
        <w:tc>
          <w:tcPr>
            <w:tcW w:w="1020" w:type="dxa"/>
            <w:vAlign w:val="center"/>
          </w:tcPr>
          <w:p w14:paraId="77C482B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1.40</w:t>
            </w:r>
          </w:p>
        </w:tc>
        <w:tc>
          <w:tcPr>
            <w:tcW w:w="913" w:type="dxa"/>
            <w:vAlign w:val="center"/>
          </w:tcPr>
          <w:p w14:paraId="48D83D9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0.20</w:t>
            </w:r>
          </w:p>
        </w:tc>
        <w:tc>
          <w:tcPr>
            <w:tcW w:w="1020" w:type="dxa"/>
            <w:vAlign w:val="center"/>
          </w:tcPr>
          <w:p w14:paraId="2ABF94D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0.50</w:t>
            </w:r>
          </w:p>
        </w:tc>
        <w:tc>
          <w:tcPr>
            <w:tcW w:w="865" w:type="dxa"/>
            <w:vAlign w:val="center"/>
          </w:tcPr>
          <w:p w14:paraId="12BE8EF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0.65</w:t>
            </w:r>
          </w:p>
        </w:tc>
        <w:tc>
          <w:tcPr>
            <w:tcW w:w="1020" w:type="dxa"/>
            <w:vAlign w:val="center"/>
          </w:tcPr>
          <w:p w14:paraId="337E974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0.85</w:t>
            </w:r>
          </w:p>
        </w:tc>
        <w:tc>
          <w:tcPr>
            <w:tcW w:w="865" w:type="dxa"/>
            <w:vAlign w:val="center"/>
          </w:tcPr>
          <w:p w14:paraId="1A7E75E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0.50</w:t>
            </w:r>
          </w:p>
        </w:tc>
        <w:tc>
          <w:tcPr>
            <w:tcW w:w="1020" w:type="dxa"/>
            <w:vAlign w:val="center"/>
          </w:tcPr>
          <w:p w14:paraId="007EFDF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0.35</w:t>
            </w:r>
          </w:p>
        </w:tc>
        <w:tc>
          <w:tcPr>
            <w:tcW w:w="865" w:type="dxa"/>
            <w:vAlign w:val="center"/>
          </w:tcPr>
          <w:p w14:paraId="22E1795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2.45</w:t>
            </w:r>
          </w:p>
        </w:tc>
        <w:tc>
          <w:tcPr>
            <w:tcW w:w="1020" w:type="dxa"/>
            <w:vAlign w:val="center"/>
          </w:tcPr>
          <w:p w14:paraId="3EF8060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4.05</w:t>
            </w:r>
          </w:p>
        </w:tc>
        <w:tc>
          <w:tcPr>
            <w:tcW w:w="865" w:type="dxa"/>
            <w:vAlign w:val="center"/>
          </w:tcPr>
          <w:p w14:paraId="4C0CD5B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1.45</w:t>
            </w:r>
          </w:p>
        </w:tc>
        <w:tc>
          <w:tcPr>
            <w:tcW w:w="1020" w:type="dxa"/>
            <w:vAlign w:val="center"/>
          </w:tcPr>
          <w:p w14:paraId="2370678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3.00</w:t>
            </w:r>
          </w:p>
        </w:tc>
      </w:tr>
      <w:tr w:rsidR="00524B1F" w:rsidRPr="00522A83" w14:paraId="4E29CC87" w14:textId="77777777" w:rsidTr="00DA556B">
        <w:trPr>
          <w:trHeight w:val="461"/>
          <w:jc w:val="center"/>
        </w:trPr>
        <w:tc>
          <w:tcPr>
            <w:tcW w:w="2182" w:type="dxa"/>
            <w:vAlign w:val="center"/>
          </w:tcPr>
          <w:p w14:paraId="6EB76FC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Phenanthrene</w:t>
            </w:r>
          </w:p>
        </w:tc>
        <w:tc>
          <w:tcPr>
            <w:tcW w:w="913" w:type="dxa"/>
            <w:vAlign w:val="center"/>
          </w:tcPr>
          <w:p w14:paraId="0E49284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1.50</w:t>
            </w:r>
          </w:p>
        </w:tc>
        <w:tc>
          <w:tcPr>
            <w:tcW w:w="1020" w:type="dxa"/>
            <w:vAlign w:val="center"/>
          </w:tcPr>
          <w:p w14:paraId="279BCC3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913" w:type="dxa"/>
            <w:vAlign w:val="center"/>
          </w:tcPr>
          <w:p w14:paraId="1EF552D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0.85</w:t>
            </w:r>
          </w:p>
        </w:tc>
        <w:tc>
          <w:tcPr>
            <w:tcW w:w="1020" w:type="dxa"/>
            <w:vAlign w:val="center"/>
          </w:tcPr>
          <w:p w14:paraId="4476B55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1917211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1020" w:type="dxa"/>
            <w:vAlign w:val="center"/>
          </w:tcPr>
          <w:p w14:paraId="275D7DC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48AFBA0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1020" w:type="dxa"/>
            <w:vAlign w:val="center"/>
          </w:tcPr>
          <w:p w14:paraId="18814E6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33A8A7E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3.45</w:t>
            </w:r>
          </w:p>
        </w:tc>
        <w:tc>
          <w:tcPr>
            <w:tcW w:w="1020" w:type="dxa"/>
            <w:vAlign w:val="center"/>
          </w:tcPr>
          <w:p w14:paraId="683EC38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4.10</w:t>
            </w:r>
          </w:p>
        </w:tc>
        <w:tc>
          <w:tcPr>
            <w:tcW w:w="865" w:type="dxa"/>
            <w:vAlign w:val="center"/>
          </w:tcPr>
          <w:p w14:paraId="4AE0E89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1.45</w:t>
            </w:r>
          </w:p>
        </w:tc>
        <w:tc>
          <w:tcPr>
            <w:tcW w:w="1020" w:type="dxa"/>
            <w:vAlign w:val="center"/>
          </w:tcPr>
          <w:p w14:paraId="3148BA8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2.55</w:t>
            </w:r>
          </w:p>
        </w:tc>
      </w:tr>
      <w:tr w:rsidR="00524B1F" w:rsidRPr="00522A83" w14:paraId="6AB08BBE" w14:textId="77777777" w:rsidTr="00DA556B">
        <w:trPr>
          <w:trHeight w:val="461"/>
          <w:jc w:val="center"/>
        </w:trPr>
        <w:tc>
          <w:tcPr>
            <w:tcW w:w="2182" w:type="dxa"/>
            <w:vAlign w:val="center"/>
          </w:tcPr>
          <w:p w14:paraId="349822F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Anthracene</w:t>
            </w:r>
          </w:p>
        </w:tc>
        <w:tc>
          <w:tcPr>
            <w:tcW w:w="913" w:type="dxa"/>
            <w:vAlign w:val="center"/>
          </w:tcPr>
          <w:p w14:paraId="4B8177D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2.25</w:t>
            </w:r>
          </w:p>
        </w:tc>
        <w:tc>
          <w:tcPr>
            <w:tcW w:w="1020" w:type="dxa"/>
            <w:vAlign w:val="center"/>
          </w:tcPr>
          <w:p w14:paraId="40DED8A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3.15</w:t>
            </w:r>
          </w:p>
        </w:tc>
        <w:tc>
          <w:tcPr>
            <w:tcW w:w="913" w:type="dxa"/>
            <w:vAlign w:val="center"/>
          </w:tcPr>
          <w:p w14:paraId="402A7A4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1.70</w:t>
            </w:r>
          </w:p>
        </w:tc>
        <w:tc>
          <w:tcPr>
            <w:tcW w:w="1020" w:type="dxa"/>
            <w:vAlign w:val="center"/>
          </w:tcPr>
          <w:p w14:paraId="38A2AA9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2.20</w:t>
            </w:r>
          </w:p>
        </w:tc>
        <w:tc>
          <w:tcPr>
            <w:tcW w:w="865" w:type="dxa"/>
            <w:vAlign w:val="center"/>
          </w:tcPr>
          <w:p w14:paraId="537691A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2.75</w:t>
            </w:r>
          </w:p>
        </w:tc>
        <w:tc>
          <w:tcPr>
            <w:tcW w:w="1020" w:type="dxa"/>
            <w:vAlign w:val="center"/>
          </w:tcPr>
          <w:p w14:paraId="06BDD19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2.15</w:t>
            </w:r>
          </w:p>
        </w:tc>
        <w:tc>
          <w:tcPr>
            <w:tcW w:w="865" w:type="dxa"/>
            <w:vAlign w:val="center"/>
          </w:tcPr>
          <w:p w14:paraId="3B1E4A4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2.15</w:t>
            </w:r>
          </w:p>
        </w:tc>
        <w:tc>
          <w:tcPr>
            <w:tcW w:w="1020" w:type="dxa"/>
            <w:vAlign w:val="center"/>
          </w:tcPr>
          <w:p w14:paraId="14133C2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1.80</w:t>
            </w:r>
          </w:p>
        </w:tc>
        <w:tc>
          <w:tcPr>
            <w:tcW w:w="865" w:type="dxa"/>
            <w:vAlign w:val="center"/>
          </w:tcPr>
          <w:p w14:paraId="40F7D29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2.75</w:t>
            </w:r>
          </w:p>
        </w:tc>
        <w:tc>
          <w:tcPr>
            <w:tcW w:w="1020" w:type="dxa"/>
            <w:vAlign w:val="center"/>
          </w:tcPr>
          <w:p w14:paraId="7E57326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7.65</w:t>
            </w:r>
          </w:p>
        </w:tc>
        <w:tc>
          <w:tcPr>
            <w:tcW w:w="865" w:type="dxa"/>
            <w:vAlign w:val="center"/>
          </w:tcPr>
          <w:p w14:paraId="7234F50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2.20</w:t>
            </w:r>
          </w:p>
        </w:tc>
        <w:tc>
          <w:tcPr>
            <w:tcW w:w="1020" w:type="dxa"/>
            <w:vAlign w:val="center"/>
          </w:tcPr>
          <w:p w14:paraId="74A7F6B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5.40</w:t>
            </w:r>
          </w:p>
        </w:tc>
      </w:tr>
      <w:tr w:rsidR="00524B1F" w:rsidRPr="00522A83" w14:paraId="2F0B89ED" w14:textId="77777777" w:rsidTr="00DA556B">
        <w:trPr>
          <w:trHeight w:val="461"/>
          <w:jc w:val="center"/>
        </w:trPr>
        <w:tc>
          <w:tcPr>
            <w:tcW w:w="2182" w:type="dxa"/>
            <w:vAlign w:val="center"/>
          </w:tcPr>
          <w:p w14:paraId="11EDD9F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Fluoranthene</w:t>
            </w:r>
          </w:p>
        </w:tc>
        <w:tc>
          <w:tcPr>
            <w:tcW w:w="913" w:type="dxa"/>
            <w:vAlign w:val="center"/>
          </w:tcPr>
          <w:p w14:paraId="6CCF4EF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1.00</w:t>
            </w:r>
          </w:p>
        </w:tc>
        <w:tc>
          <w:tcPr>
            <w:tcW w:w="1020" w:type="dxa"/>
            <w:vAlign w:val="center"/>
          </w:tcPr>
          <w:p w14:paraId="6816289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0.90</w:t>
            </w:r>
          </w:p>
        </w:tc>
        <w:tc>
          <w:tcPr>
            <w:tcW w:w="913" w:type="dxa"/>
            <w:vAlign w:val="center"/>
          </w:tcPr>
          <w:p w14:paraId="351FD2E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0.55</w:t>
            </w:r>
          </w:p>
        </w:tc>
        <w:tc>
          <w:tcPr>
            <w:tcW w:w="1020" w:type="dxa"/>
            <w:vAlign w:val="center"/>
          </w:tcPr>
          <w:p w14:paraId="20EA4AD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0.75</w:t>
            </w:r>
          </w:p>
        </w:tc>
        <w:tc>
          <w:tcPr>
            <w:tcW w:w="865" w:type="dxa"/>
            <w:vAlign w:val="center"/>
          </w:tcPr>
          <w:p w14:paraId="57462E6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1020" w:type="dxa"/>
            <w:vAlign w:val="center"/>
          </w:tcPr>
          <w:p w14:paraId="3A6E77B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865" w:type="dxa"/>
            <w:vAlign w:val="center"/>
          </w:tcPr>
          <w:p w14:paraId="3AF3629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61A6D7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5EE7091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1.25</w:t>
            </w:r>
          </w:p>
        </w:tc>
        <w:tc>
          <w:tcPr>
            <w:tcW w:w="1020" w:type="dxa"/>
            <w:vAlign w:val="center"/>
          </w:tcPr>
          <w:p w14:paraId="60545F1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2.40</w:t>
            </w:r>
          </w:p>
        </w:tc>
        <w:tc>
          <w:tcPr>
            <w:tcW w:w="865" w:type="dxa"/>
            <w:vAlign w:val="center"/>
          </w:tcPr>
          <w:p w14:paraId="1FCFF35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1.00</w:t>
            </w:r>
          </w:p>
        </w:tc>
        <w:tc>
          <w:tcPr>
            <w:tcW w:w="1020" w:type="dxa"/>
            <w:vAlign w:val="center"/>
          </w:tcPr>
          <w:p w14:paraId="07B7BE4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1.50</w:t>
            </w:r>
          </w:p>
        </w:tc>
      </w:tr>
      <w:tr w:rsidR="00524B1F" w:rsidRPr="00522A83" w14:paraId="7EE3E4C2" w14:textId="77777777" w:rsidTr="00DA556B">
        <w:trPr>
          <w:trHeight w:val="472"/>
          <w:jc w:val="center"/>
        </w:trPr>
        <w:tc>
          <w:tcPr>
            <w:tcW w:w="2182" w:type="dxa"/>
            <w:vAlign w:val="center"/>
          </w:tcPr>
          <w:p w14:paraId="68B724A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Pyrene</w:t>
            </w:r>
          </w:p>
        </w:tc>
        <w:tc>
          <w:tcPr>
            <w:tcW w:w="913" w:type="dxa"/>
            <w:vAlign w:val="center"/>
          </w:tcPr>
          <w:p w14:paraId="55063FE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5.45</w:t>
            </w:r>
          </w:p>
        </w:tc>
        <w:tc>
          <w:tcPr>
            <w:tcW w:w="1020" w:type="dxa"/>
            <w:vAlign w:val="center"/>
          </w:tcPr>
          <w:p w14:paraId="6BCDAEC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2.35</w:t>
            </w:r>
          </w:p>
        </w:tc>
        <w:tc>
          <w:tcPr>
            <w:tcW w:w="913" w:type="dxa"/>
            <w:vAlign w:val="center"/>
          </w:tcPr>
          <w:p w14:paraId="4CB79EF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3.05</w:t>
            </w:r>
          </w:p>
        </w:tc>
        <w:tc>
          <w:tcPr>
            <w:tcW w:w="1020" w:type="dxa"/>
            <w:vAlign w:val="center"/>
          </w:tcPr>
          <w:p w14:paraId="3B59BE3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1.30</w:t>
            </w:r>
          </w:p>
        </w:tc>
        <w:tc>
          <w:tcPr>
            <w:tcW w:w="865" w:type="dxa"/>
            <w:vAlign w:val="center"/>
          </w:tcPr>
          <w:p w14:paraId="7CE26FE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4.15</w:t>
            </w:r>
          </w:p>
        </w:tc>
        <w:tc>
          <w:tcPr>
            <w:tcW w:w="1020" w:type="dxa"/>
            <w:vAlign w:val="center"/>
          </w:tcPr>
          <w:p w14:paraId="15EC1F2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4.45</w:t>
            </w:r>
          </w:p>
        </w:tc>
        <w:tc>
          <w:tcPr>
            <w:tcW w:w="865" w:type="dxa"/>
            <w:vAlign w:val="center"/>
          </w:tcPr>
          <w:p w14:paraId="1E72F49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2.35</w:t>
            </w:r>
          </w:p>
        </w:tc>
        <w:tc>
          <w:tcPr>
            <w:tcW w:w="1020" w:type="dxa"/>
            <w:vAlign w:val="center"/>
          </w:tcPr>
          <w:p w14:paraId="3B1E99F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2.95</w:t>
            </w:r>
          </w:p>
        </w:tc>
        <w:tc>
          <w:tcPr>
            <w:tcW w:w="865" w:type="dxa"/>
            <w:vAlign w:val="center"/>
          </w:tcPr>
          <w:p w14:paraId="2004EF9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2.25</w:t>
            </w:r>
          </w:p>
        </w:tc>
        <w:tc>
          <w:tcPr>
            <w:tcW w:w="1020" w:type="dxa"/>
            <w:vAlign w:val="center"/>
          </w:tcPr>
          <w:p w14:paraId="78687EC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1.90</w:t>
            </w:r>
          </w:p>
        </w:tc>
        <w:tc>
          <w:tcPr>
            <w:tcW w:w="865" w:type="dxa"/>
            <w:vAlign w:val="center"/>
          </w:tcPr>
          <w:p w14:paraId="5BD442A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1.85</w:t>
            </w:r>
          </w:p>
        </w:tc>
        <w:tc>
          <w:tcPr>
            <w:tcW w:w="1020" w:type="dxa"/>
            <w:vAlign w:val="center"/>
          </w:tcPr>
          <w:p w14:paraId="790CE61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1.45</w:t>
            </w:r>
          </w:p>
        </w:tc>
      </w:tr>
      <w:tr w:rsidR="00524B1F" w:rsidRPr="00522A83" w14:paraId="4A01B806" w14:textId="77777777" w:rsidTr="00DA556B">
        <w:trPr>
          <w:trHeight w:val="461"/>
          <w:jc w:val="center"/>
        </w:trPr>
        <w:tc>
          <w:tcPr>
            <w:tcW w:w="2182" w:type="dxa"/>
            <w:vAlign w:val="center"/>
          </w:tcPr>
          <w:p w14:paraId="07CBCF9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Benzo(a)anthracene</w:t>
            </w:r>
          </w:p>
        </w:tc>
        <w:tc>
          <w:tcPr>
            <w:tcW w:w="913" w:type="dxa"/>
            <w:vAlign w:val="center"/>
          </w:tcPr>
          <w:p w14:paraId="30E81AC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1020" w:type="dxa"/>
            <w:vAlign w:val="center"/>
          </w:tcPr>
          <w:p w14:paraId="53589B0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913" w:type="dxa"/>
            <w:vAlign w:val="center"/>
          </w:tcPr>
          <w:p w14:paraId="0940987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E24D74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3664A44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0.40</w:t>
            </w:r>
          </w:p>
        </w:tc>
        <w:tc>
          <w:tcPr>
            <w:tcW w:w="1020" w:type="dxa"/>
            <w:vAlign w:val="center"/>
          </w:tcPr>
          <w:p w14:paraId="4DFF029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0.50</w:t>
            </w:r>
          </w:p>
        </w:tc>
        <w:tc>
          <w:tcPr>
            <w:tcW w:w="865" w:type="dxa"/>
            <w:vAlign w:val="center"/>
          </w:tcPr>
          <w:p w14:paraId="4B127F8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1020" w:type="dxa"/>
            <w:vAlign w:val="center"/>
          </w:tcPr>
          <w:p w14:paraId="1FB2DB0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865" w:type="dxa"/>
            <w:vAlign w:val="center"/>
          </w:tcPr>
          <w:p w14:paraId="2B8A2B0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1020" w:type="dxa"/>
            <w:vAlign w:val="center"/>
          </w:tcPr>
          <w:p w14:paraId="6EA0C8C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0.90</w:t>
            </w:r>
          </w:p>
        </w:tc>
        <w:tc>
          <w:tcPr>
            <w:tcW w:w="865" w:type="dxa"/>
            <w:vAlign w:val="center"/>
          </w:tcPr>
          <w:p w14:paraId="2943B7C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5EE821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0.65</w:t>
            </w:r>
          </w:p>
        </w:tc>
      </w:tr>
      <w:tr w:rsidR="00524B1F" w:rsidRPr="00522A83" w14:paraId="4456A7F9" w14:textId="77777777" w:rsidTr="00DA556B">
        <w:trPr>
          <w:trHeight w:val="461"/>
          <w:jc w:val="center"/>
        </w:trPr>
        <w:tc>
          <w:tcPr>
            <w:tcW w:w="2182" w:type="dxa"/>
            <w:vAlign w:val="center"/>
          </w:tcPr>
          <w:p w14:paraId="3EFD87D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Chrysene</w:t>
            </w:r>
          </w:p>
        </w:tc>
        <w:tc>
          <w:tcPr>
            <w:tcW w:w="913" w:type="dxa"/>
            <w:vAlign w:val="center"/>
          </w:tcPr>
          <w:p w14:paraId="1F50E56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1020" w:type="dxa"/>
            <w:vAlign w:val="center"/>
          </w:tcPr>
          <w:p w14:paraId="7D7E416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913" w:type="dxa"/>
            <w:vAlign w:val="center"/>
          </w:tcPr>
          <w:p w14:paraId="6FA06FE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78F1B61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6BE2E9E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0.55</w:t>
            </w:r>
          </w:p>
        </w:tc>
        <w:tc>
          <w:tcPr>
            <w:tcW w:w="1020" w:type="dxa"/>
            <w:vAlign w:val="center"/>
          </w:tcPr>
          <w:p w14:paraId="7B34AF5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0.55</w:t>
            </w:r>
          </w:p>
        </w:tc>
        <w:tc>
          <w:tcPr>
            <w:tcW w:w="865" w:type="dxa"/>
            <w:vAlign w:val="center"/>
          </w:tcPr>
          <w:p w14:paraId="2F36934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0.20</w:t>
            </w:r>
          </w:p>
        </w:tc>
        <w:tc>
          <w:tcPr>
            <w:tcW w:w="1020" w:type="dxa"/>
            <w:vAlign w:val="center"/>
          </w:tcPr>
          <w:p w14:paraId="5BBC4D4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0.25</w:t>
            </w:r>
          </w:p>
        </w:tc>
        <w:tc>
          <w:tcPr>
            <w:tcW w:w="865" w:type="dxa"/>
            <w:vAlign w:val="center"/>
          </w:tcPr>
          <w:p w14:paraId="61ED71C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1020" w:type="dxa"/>
            <w:vAlign w:val="center"/>
          </w:tcPr>
          <w:p w14:paraId="6D321EE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865" w:type="dxa"/>
            <w:vAlign w:val="center"/>
          </w:tcPr>
          <w:p w14:paraId="36D9692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4DA4BF9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r>
      <w:tr w:rsidR="00524B1F" w:rsidRPr="00522A83" w14:paraId="56BD560F" w14:textId="77777777" w:rsidTr="00DA556B">
        <w:trPr>
          <w:trHeight w:val="461"/>
          <w:jc w:val="center"/>
        </w:trPr>
        <w:tc>
          <w:tcPr>
            <w:tcW w:w="2182" w:type="dxa"/>
            <w:vAlign w:val="center"/>
          </w:tcPr>
          <w:p w14:paraId="4B76C41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Benzo(b)fluoranthene</w:t>
            </w:r>
          </w:p>
        </w:tc>
        <w:tc>
          <w:tcPr>
            <w:tcW w:w="913" w:type="dxa"/>
            <w:vAlign w:val="center"/>
          </w:tcPr>
          <w:p w14:paraId="264C740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1020" w:type="dxa"/>
            <w:vAlign w:val="center"/>
          </w:tcPr>
          <w:p w14:paraId="5E0BFEB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913" w:type="dxa"/>
            <w:vAlign w:val="center"/>
          </w:tcPr>
          <w:p w14:paraId="0D36B77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72886E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38CB1FE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0.70</w:t>
            </w:r>
          </w:p>
        </w:tc>
        <w:tc>
          <w:tcPr>
            <w:tcW w:w="1020" w:type="dxa"/>
            <w:vAlign w:val="center"/>
          </w:tcPr>
          <w:p w14:paraId="6392F92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0.75</w:t>
            </w:r>
          </w:p>
        </w:tc>
        <w:tc>
          <w:tcPr>
            <w:tcW w:w="865" w:type="dxa"/>
            <w:vAlign w:val="center"/>
          </w:tcPr>
          <w:p w14:paraId="186CC45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0.15</w:t>
            </w:r>
          </w:p>
        </w:tc>
        <w:tc>
          <w:tcPr>
            <w:tcW w:w="1020" w:type="dxa"/>
            <w:vAlign w:val="center"/>
          </w:tcPr>
          <w:p w14:paraId="1FB493B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0.30</w:t>
            </w:r>
          </w:p>
        </w:tc>
        <w:tc>
          <w:tcPr>
            <w:tcW w:w="865" w:type="dxa"/>
            <w:vAlign w:val="center"/>
          </w:tcPr>
          <w:p w14:paraId="6D93E57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0.05</w:t>
            </w:r>
          </w:p>
        </w:tc>
        <w:tc>
          <w:tcPr>
            <w:tcW w:w="1020" w:type="dxa"/>
            <w:vAlign w:val="center"/>
          </w:tcPr>
          <w:p w14:paraId="5DD5F39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0.10</w:t>
            </w:r>
          </w:p>
        </w:tc>
        <w:tc>
          <w:tcPr>
            <w:tcW w:w="865" w:type="dxa"/>
            <w:vAlign w:val="center"/>
          </w:tcPr>
          <w:p w14:paraId="73EEFC6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325735F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r>
      <w:tr w:rsidR="00524B1F" w:rsidRPr="00522A83" w14:paraId="541378DD" w14:textId="77777777" w:rsidTr="00DA556B">
        <w:trPr>
          <w:trHeight w:val="461"/>
          <w:jc w:val="center"/>
        </w:trPr>
        <w:tc>
          <w:tcPr>
            <w:tcW w:w="2182" w:type="dxa"/>
            <w:vAlign w:val="center"/>
          </w:tcPr>
          <w:p w14:paraId="389B72C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Benzo(k)fluoranthene</w:t>
            </w:r>
          </w:p>
        </w:tc>
        <w:tc>
          <w:tcPr>
            <w:tcW w:w="913" w:type="dxa"/>
            <w:vAlign w:val="center"/>
          </w:tcPr>
          <w:p w14:paraId="3E8F741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3.85</w:t>
            </w:r>
          </w:p>
        </w:tc>
        <w:tc>
          <w:tcPr>
            <w:tcW w:w="1020" w:type="dxa"/>
            <w:vAlign w:val="center"/>
          </w:tcPr>
          <w:p w14:paraId="206585D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1.85</w:t>
            </w:r>
          </w:p>
        </w:tc>
        <w:tc>
          <w:tcPr>
            <w:tcW w:w="913" w:type="dxa"/>
            <w:vAlign w:val="center"/>
          </w:tcPr>
          <w:p w14:paraId="71CCBA7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1.75</w:t>
            </w:r>
          </w:p>
        </w:tc>
        <w:tc>
          <w:tcPr>
            <w:tcW w:w="1020" w:type="dxa"/>
            <w:vAlign w:val="center"/>
          </w:tcPr>
          <w:p w14:paraId="561A188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0.85</w:t>
            </w:r>
          </w:p>
        </w:tc>
        <w:tc>
          <w:tcPr>
            <w:tcW w:w="865" w:type="dxa"/>
            <w:vAlign w:val="center"/>
          </w:tcPr>
          <w:p w14:paraId="422C075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2.00</w:t>
            </w:r>
          </w:p>
        </w:tc>
        <w:tc>
          <w:tcPr>
            <w:tcW w:w="1020" w:type="dxa"/>
            <w:vAlign w:val="center"/>
          </w:tcPr>
          <w:p w14:paraId="2E21E6E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2.55</w:t>
            </w:r>
          </w:p>
        </w:tc>
        <w:tc>
          <w:tcPr>
            <w:tcW w:w="865" w:type="dxa"/>
            <w:vAlign w:val="center"/>
          </w:tcPr>
          <w:p w14:paraId="65A3E70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1.25</w:t>
            </w:r>
          </w:p>
        </w:tc>
        <w:tc>
          <w:tcPr>
            <w:tcW w:w="1020" w:type="dxa"/>
            <w:vAlign w:val="center"/>
          </w:tcPr>
          <w:p w14:paraId="5BE32A2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0.80</w:t>
            </w:r>
          </w:p>
        </w:tc>
        <w:tc>
          <w:tcPr>
            <w:tcW w:w="865" w:type="dxa"/>
            <w:vAlign w:val="center"/>
          </w:tcPr>
          <w:p w14:paraId="34D5B50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1.90</w:t>
            </w:r>
          </w:p>
        </w:tc>
        <w:tc>
          <w:tcPr>
            <w:tcW w:w="1020" w:type="dxa"/>
            <w:vAlign w:val="center"/>
          </w:tcPr>
          <w:p w14:paraId="058E754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1.20</w:t>
            </w:r>
          </w:p>
        </w:tc>
        <w:tc>
          <w:tcPr>
            <w:tcW w:w="865" w:type="dxa"/>
            <w:vAlign w:val="center"/>
          </w:tcPr>
          <w:p w14:paraId="453522C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1.30</w:t>
            </w:r>
          </w:p>
        </w:tc>
        <w:tc>
          <w:tcPr>
            <w:tcW w:w="1020" w:type="dxa"/>
            <w:vAlign w:val="center"/>
          </w:tcPr>
          <w:p w14:paraId="228499F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0.75</w:t>
            </w:r>
          </w:p>
        </w:tc>
      </w:tr>
      <w:tr w:rsidR="00524B1F" w:rsidRPr="00522A83" w14:paraId="1665B3D9" w14:textId="77777777" w:rsidTr="00DA556B">
        <w:trPr>
          <w:trHeight w:val="461"/>
          <w:jc w:val="center"/>
        </w:trPr>
        <w:tc>
          <w:tcPr>
            <w:tcW w:w="2182" w:type="dxa"/>
            <w:vAlign w:val="center"/>
          </w:tcPr>
          <w:p w14:paraId="0A1091D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Benzo(a)pyrene</w:t>
            </w:r>
          </w:p>
        </w:tc>
        <w:tc>
          <w:tcPr>
            <w:tcW w:w="913" w:type="dxa"/>
            <w:vAlign w:val="center"/>
          </w:tcPr>
          <w:p w14:paraId="38B80A5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770D97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913" w:type="dxa"/>
            <w:vAlign w:val="center"/>
          </w:tcPr>
          <w:p w14:paraId="0F5440E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E4A325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6F78E57A"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C085EE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382E6943"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67890DE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0FE7133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ED9C71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73B8164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783B4F7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r>
      <w:tr w:rsidR="00524B1F" w:rsidRPr="00522A83" w14:paraId="115882AF" w14:textId="77777777" w:rsidTr="00DA556B">
        <w:trPr>
          <w:trHeight w:val="472"/>
          <w:jc w:val="center"/>
        </w:trPr>
        <w:tc>
          <w:tcPr>
            <w:tcW w:w="2182" w:type="dxa"/>
            <w:vAlign w:val="center"/>
          </w:tcPr>
          <w:p w14:paraId="56B15749" w14:textId="77777777" w:rsidR="00524B1F" w:rsidRPr="00522A83" w:rsidRDefault="00524B1F" w:rsidP="00DA556B">
            <w:pPr>
              <w:spacing w:after="0" w:line="240" w:lineRule="auto"/>
              <w:jc w:val="center"/>
              <w:rPr>
                <w:rFonts w:cs="Times New Roman"/>
                <w:sz w:val="20"/>
                <w:szCs w:val="20"/>
              </w:rPr>
            </w:pPr>
            <w:proofErr w:type="spellStart"/>
            <w:r w:rsidRPr="00522A83">
              <w:rPr>
                <w:rFonts w:cs="Times New Roman"/>
                <w:sz w:val="20"/>
                <w:szCs w:val="20"/>
              </w:rPr>
              <w:t>Indeno</w:t>
            </w:r>
            <w:proofErr w:type="spellEnd"/>
            <w:r w:rsidRPr="00522A83">
              <w:rPr>
                <w:rFonts w:cs="Times New Roman"/>
                <w:sz w:val="20"/>
                <w:szCs w:val="20"/>
              </w:rPr>
              <w:t>(1,2,3-c,d)pyrene</w:t>
            </w:r>
          </w:p>
        </w:tc>
        <w:tc>
          <w:tcPr>
            <w:tcW w:w="913" w:type="dxa"/>
            <w:vAlign w:val="center"/>
          </w:tcPr>
          <w:p w14:paraId="6C6E61F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61B1F1E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913" w:type="dxa"/>
            <w:vAlign w:val="center"/>
          </w:tcPr>
          <w:p w14:paraId="029A711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79F1DD2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4EBDA11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5BD9FF9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552F36F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F5BBBC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4D3EACC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7877746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19B9AE5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3633E4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r>
      <w:tr w:rsidR="00524B1F" w:rsidRPr="00522A83" w14:paraId="7938BECA" w14:textId="77777777" w:rsidTr="00DA556B">
        <w:trPr>
          <w:trHeight w:val="145"/>
          <w:jc w:val="center"/>
        </w:trPr>
        <w:tc>
          <w:tcPr>
            <w:tcW w:w="2182" w:type="dxa"/>
            <w:vAlign w:val="center"/>
          </w:tcPr>
          <w:p w14:paraId="0B9A2E1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Dibenz(</w:t>
            </w:r>
            <w:proofErr w:type="spellStart"/>
            <w:r w:rsidRPr="00522A83">
              <w:rPr>
                <w:rFonts w:cs="Times New Roman"/>
                <w:sz w:val="20"/>
                <w:szCs w:val="20"/>
              </w:rPr>
              <w:t>a,h</w:t>
            </w:r>
            <w:proofErr w:type="spellEnd"/>
            <w:r w:rsidRPr="00522A83">
              <w:rPr>
                <w:rFonts w:cs="Times New Roman"/>
                <w:sz w:val="20"/>
                <w:szCs w:val="20"/>
              </w:rPr>
              <w:t>)anthracene</w:t>
            </w:r>
          </w:p>
        </w:tc>
        <w:tc>
          <w:tcPr>
            <w:tcW w:w="913" w:type="dxa"/>
            <w:vAlign w:val="center"/>
          </w:tcPr>
          <w:p w14:paraId="34E7233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23FB0C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913" w:type="dxa"/>
            <w:vAlign w:val="center"/>
          </w:tcPr>
          <w:p w14:paraId="006E99E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E13800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3D22393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64FB028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0C9D1F6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2CB9AC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57FC7EC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C989FFE"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563E9BE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3AEEE0F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r>
      <w:tr w:rsidR="00524B1F" w:rsidRPr="00522A83" w14:paraId="1867192C" w14:textId="77777777" w:rsidTr="00DA556B">
        <w:trPr>
          <w:trHeight w:val="145"/>
          <w:jc w:val="center"/>
        </w:trPr>
        <w:tc>
          <w:tcPr>
            <w:tcW w:w="2182" w:type="dxa"/>
            <w:vAlign w:val="center"/>
          </w:tcPr>
          <w:p w14:paraId="10FC368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Benzo(</w:t>
            </w:r>
            <w:proofErr w:type="spellStart"/>
            <w:r w:rsidRPr="00522A83">
              <w:rPr>
                <w:rFonts w:cs="Times New Roman"/>
                <w:sz w:val="20"/>
                <w:szCs w:val="20"/>
              </w:rPr>
              <w:t>g,h,i</w:t>
            </w:r>
            <w:proofErr w:type="spellEnd"/>
            <w:r w:rsidRPr="00522A83">
              <w:rPr>
                <w:rFonts w:cs="Times New Roman"/>
                <w:sz w:val="20"/>
                <w:szCs w:val="20"/>
              </w:rPr>
              <w:t>)perylene</w:t>
            </w:r>
          </w:p>
        </w:tc>
        <w:tc>
          <w:tcPr>
            <w:tcW w:w="913" w:type="dxa"/>
            <w:vAlign w:val="center"/>
          </w:tcPr>
          <w:p w14:paraId="36C4CFA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375F281D"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913" w:type="dxa"/>
            <w:vAlign w:val="center"/>
          </w:tcPr>
          <w:p w14:paraId="5892B05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0E8397E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696654E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15D3E44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7CEA5BA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45C9FA6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7098A6E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2B48939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865" w:type="dxa"/>
            <w:vAlign w:val="center"/>
          </w:tcPr>
          <w:p w14:paraId="1A52B20B"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c>
          <w:tcPr>
            <w:tcW w:w="1020" w:type="dxa"/>
            <w:vAlign w:val="center"/>
          </w:tcPr>
          <w:p w14:paraId="71850D96"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0.00</w:t>
            </w:r>
          </w:p>
        </w:tc>
      </w:tr>
      <w:tr w:rsidR="00524B1F" w:rsidRPr="00522A83" w14:paraId="03E2E333" w14:textId="77777777" w:rsidTr="00DA556B">
        <w:trPr>
          <w:trHeight w:val="461"/>
          <w:jc w:val="center"/>
        </w:trPr>
        <w:tc>
          <w:tcPr>
            <w:tcW w:w="2182" w:type="dxa"/>
            <w:vAlign w:val="center"/>
          </w:tcPr>
          <w:p w14:paraId="463D7331"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Total PAHs</w:t>
            </w:r>
          </w:p>
        </w:tc>
        <w:tc>
          <w:tcPr>
            <w:tcW w:w="913" w:type="dxa"/>
            <w:vAlign w:val="center"/>
          </w:tcPr>
          <w:p w14:paraId="3E790035"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16.65</w:t>
            </w:r>
          </w:p>
        </w:tc>
        <w:tc>
          <w:tcPr>
            <w:tcW w:w="1020" w:type="dxa"/>
            <w:vAlign w:val="center"/>
          </w:tcPr>
          <w:p w14:paraId="4309D030"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13.60</w:t>
            </w:r>
          </w:p>
        </w:tc>
        <w:tc>
          <w:tcPr>
            <w:tcW w:w="913" w:type="dxa"/>
            <w:vAlign w:val="center"/>
          </w:tcPr>
          <w:p w14:paraId="6A84A098"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9.25</w:t>
            </w:r>
          </w:p>
        </w:tc>
        <w:tc>
          <w:tcPr>
            <w:tcW w:w="1020" w:type="dxa"/>
            <w:vAlign w:val="center"/>
          </w:tcPr>
          <w:p w14:paraId="7D11DB47"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7.70</w:t>
            </w:r>
          </w:p>
        </w:tc>
        <w:tc>
          <w:tcPr>
            <w:tcW w:w="865" w:type="dxa"/>
            <w:vAlign w:val="center"/>
          </w:tcPr>
          <w:p w14:paraId="311640D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12.20</w:t>
            </w:r>
          </w:p>
        </w:tc>
        <w:tc>
          <w:tcPr>
            <w:tcW w:w="1020" w:type="dxa"/>
            <w:vAlign w:val="center"/>
          </w:tcPr>
          <w:p w14:paraId="3DC2FA62"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13.90</w:t>
            </w:r>
          </w:p>
        </w:tc>
        <w:tc>
          <w:tcPr>
            <w:tcW w:w="865" w:type="dxa"/>
            <w:vAlign w:val="center"/>
          </w:tcPr>
          <w:p w14:paraId="7C0C5FDC"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7.40</w:t>
            </w:r>
          </w:p>
        </w:tc>
        <w:tc>
          <w:tcPr>
            <w:tcW w:w="1020" w:type="dxa"/>
            <w:vAlign w:val="center"/>
          </w:tcPr>
          <w:p w14:paraId="01C6681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8.05</w:t>
            </w:r>
          </w:p>
        </w:tc>
        <w:tc>
          <w:tcPr>
            <w:tcW w:w="865" w:type="dxa"/>
            <w:vAlign w:val="center"/>
          </w:tcPr>
          <w:p w14:paraId="33942D3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22.20</w:t>
            </w:r>
          </w:p>
        </w:tc>
        <w:tc>
          <w:tcPr>
            <w:tcW w:w="1020" w:type="dxa"/>
            <w:vAlign w:val="center"/>
          </w:tcPr>
          <w:p w14:paraId="5697A8A4"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30.55</w:t>
            </w:r>
          </w:p>
        </w:tc>
        <w:tc>
          <w:tcPr>
            <w:tcW w:w="865" w:type="dxa"/>
            <w:vAlign w:val="center"/>
          </w:tcPr>
          <w:p w14:paraId="132D909F"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12.20</w:t>
            </w:r>
          </w:p>
        </w:tc>
        <w:tc>
          <w:tcPr>
            <w:tcW w:w="1020" w:type="dxa"/>
            <w:vAlign w:val="center"/>
          </w:tcPr>
          <w:p w14:paraId="5611CC99" w14:textId="77777777" w:rsidR="00524B1F" w:rsidRPr="00522A83" w:rsidRDefault="00524B1F" w:rsidP="00DA556B">
            <w:pPr>
              <w:spacing w:after="0" w:line="240" w:lineRule="auto"/>
              <w:jc w:val="center"/>
              <w:rPr>
                <w:rFonts w:cs="Times New Roman"/>
                <w:sz w:val="20"/>
                <w:szCs w:val="20"/>
              </w:rPr>
            </w:pPr>
            <w:r w:rsidRPr="00522A83">
              <w:rPr>
                <w:rFonts w:cs="Times New Roman"/>
                <w:sz w:val="20"/>
                <w:szCs w:val="20"/>
              </w:rPr>
              <w:t>20.70</w:t>
            </w:r>
          </w:p>
        </w:tc>
      </w:tr>
    </w:tbl>
    <w:p w14:paraId="3232D84C" w14:textId="77777777" w:rsidR="00524B1F" w:rsidRPr="00544BBF" w:rsidRDefault="00524B1F" w:rsidP="00524B1F">
      <w:pPr>
        <w:spacing w:after="0" w:line="240" w:lineRule="auto"/>
        <w:rPr>
          <w:rFonts w:cs="Times New Roman"/>
          <w:sz w:val="24"/>
          <w:szCs w:val="24"/>
        </w:rPr>
      </w:pPr>
    </w:p>
    <w:p w14:paraId="63A09AFF" w14:textId="77777777" w:rsidR="00524B1F" w:rsidRPr="00544BBF" w:rsidRDefault="00524B1F" w:rsidP="00524B1F">
      <w:pPr>
        <w:spacing w:after="0" w:line="240" w:lineRule="auto"/>
        <w:jc w:val="center"/>
        <w:rPr>
          <w:rFonts w:cs="Times New Roman"/>
          <w:sz w:val="24"/>
          <w:szCs w:val="24"/>
        </w:rPr>
      </w:pPr>
      <w:r w:rsidRPr="00544BBF">
        <w:rPr>
          <w:rFonts w:cs="Times New Roman"/>
          <w:noProof/>
          <w:sz w:val="24"/>
          <w:szCs w:val="24"/>
        </w:rPr>
        <w:lastRenderedPageBreak/>
        <w:drawing>
          <wp:inline distT="0" distB="0" distL="0" distR="0" wp14:anchorId="6EEE0580" wp14:editId="3C55FB22">
            <wp:extent cx="7673890" cy="353290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_pahs_chart.png"/>
                    <pic:cNvPicPr/>
                  </pic:nvPicPr>
                  <pic:blipFill>
                    <a:blip r:embed="rId14"/>
                    <a:stretch>
                      <a:fillRect/>
                    </a:stretch>
                  </pic:blipFill>
                  <pic:spPr>
                    <a:xfrm>
                      <a:off x="0" y="0"/>
                      <a:ext cx="7696737" cy="3543427"/>
                    </a:xfrm>
                    <a:prstGeom prst="rect">
                      <a:avLst/>
                    </a:prstGeom>
                  </pic:spPr>
                </pic:pic>
              </a:graphicData>
            </a:graphic>
          </wp:inline>
        </w:drawing>
      </w:r>
    </w:p>
    <w:p w14:paraId="23671C1A" w14:textId="77777777" w:rsidR="00524B1F" w:rsidRPr="00544BBF" w:rsidRDefault="00524B1F" w:rsidP="00524B1F">
      <w:pPr>
        <w:spacing w:after="0" w:line="240" w:lineRule="auto"/>
        <w:jc w:val="center"/>
        <w:rPr>
          <w:rFonts w:cs="Times New Roman"/>
          <w:sz w:val="24"/>
          <w:szCs w:val="24"/>
        </w:rPr>
      </w:pPr>
      <w:r w:rsidRPr="00544BBF">
        <w:rPr>
          <w:rFonts w:cs="Times New Roman"/>
          <w:b/>
          <w:sz w:val="24"/>
          <w:szCs w:val="24"/>
        </w:rPr>
        <w:t xml:space="preserve">Figure </w:t>
      </w:r>
      <w:r w:rsidR="00F5154A">
        <w:rPr>
          <w:rFonts w:cs="Times New Roman"/>
          <w:b/>
          <w:sz w:val="24"/>
          <w:szCs w:val="24"/>
        </w:rPr>
        <w:t>2</w:t>
      </w:r>
      <w:r w:rsidRPr="00544BBF">
        <w:rPr>
          <w:rFonts w:cs="Times New Roman"/>
          <w:b/>
          <w:sz w:val="24"/>
          <w:szCs w:val="24"/>
        </w:rPr>
        <w:t>. Total PAH concentrations by community, season and indoor/outdoor environment.</w:t>
      </w:r>
    </w:p>
    <w:p w14:paraId="45ADE7C3" w14:textId="77777777" w:rsidR="00524B1F" w:rsidRDefault="00524B1F" w:rsidP="00524B1F">
      <w:pPr>
        <w:spacing w:after="0" w:line="240" w:lineRule="auto"/>
        <w:rPr>
          <w:rFonts w:cs="Times New Roman"/>
          <w:b/>
          <w:sz w:val="24"/>
          <w:szCs w:val="24"/>
        </w:rPr>
      </w:pPr>
    </w:p>
    <w:p w14:paraId="3BA10745" w14:textId="77777777" w:rsidR="00524B1F" w:rsidRDefault="00524B1F" w:rsidP="00524B1F">
      <w:pPr>
        <w:spacing w:after="0" w:line="240" w:lineRule="auto"/>
        <w:ind w:left="720" w:firstLine="720"/>
        <w:contextualSpacing/>
        <w:rPr>
          <w:rFonts w:cs="Times New Roman"/>
          <w:b/>
          <w:sz w:val="24"/>
          <w:szCs w:val="24"/>
        </w:rPr>
      </w:pPr>
    </w:p>
    <w:p w14:paraId="2BA0BD55" w14:textId="77777777" w:rsidR="00524B1F" w:rsidRPr="00544BBF" w:rsidRDefault="00524B1F" w:rsidP="00524B1F">
      <w:pPr>
        <w:spacing w:after="0" w:line="240" w:lineRule="auto"/>
        <w:ind w:left="720" w:firstLine="720"/>
        <w:contextualSpacing/>
        <w:rPr>
          <w:rFonts w:cs="Times New Roman"/>
          <w:sz w:val="24"/>
          <w:szCs w:val="24"/>
        </w:rPr>
      </w:pPr>
      <w:r w:rsidRPr="00544BBF">
        <w:rPr>
          <w:rFonts w:cs="Times New Roman"/>
          <w:b/>
          <w:sz w:val="24"/>
          <w:szCs w:val="24"/>
        </w:rPr>
        <w:t xml:space="preserve">Table </w:t>
      </w:r>
      <w:r>
        <w:rPr>
          <w:rFonts w:cs="Times New Roman"/>
          <w:b/>
          <w:sz w:val="24"/>
          <w:szCs w:val="24"/>
        </w:rPr>
        <w:t>2</w:t>
      </w:r>
      <w:r w:rsidRPr="00544BBF">
        <w:rPr>
          <w:rFonts w:cs="Times New Roman"/>
          <w:b/>
          <w:sz w:val="24"/>
          <w:szCs w:val="24"/>
        </w:rPr>
        <w:t>. Summary statistics for total PAHs in air.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968"/>
      </w:tblGrid>
      <w:tr w:rsidR="00524B1F" w:rsidRPr="003A19C3" w14:paraId="42001AFC" w14:textId="77777777" w:rsidTr="00DA556B">
        <w:trPr>
          <w:jc w:val="center"/>
        </w:trPr>
        <w:tc>
          <w:tcPr>
            <w:tcW w:w="4968" w:type="dxa"/>
            <w:tcBorders>
              <w:top w:val="single" w:sz="4" w:space="0" w:color="auto"/>
              <w:bottom w:val="single" w:sz="4" w:space="0" w:color="auto"/>
            </w:tcBorders>
            <w:vAlign w:val="center"/>
          </w:tcPr>
          <w:p w14:paraId="508C227F"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Summary metric</w:t>
            </w:r>
          </w:p>
        </w:tc>
        <w:tc>
          <w:tcPr>
            <w:tcW w:w="4968" w:type="dxa"/>
            <w:tcBorders>
              <w:top w:val="single" w:sz="4" w:space="0" w:color="auto"/>
              <w:bottom w:val="single" w:sz="4" w:space="0" w:color="auto"/>
            </w:tcBorders>
            <w:vAlign w:val="center"/>
          </w:tcPr>
          <w:p w14:paraId="2B1439F4"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Value (µg/m</w:t>
            </w:r>
            <w:r w:rsidRPr="003A19C3">
              <w:rPr>
                <w:rFonts w:cs="Times New Roman"/>
                <w:b/>
                <w:sz w:val="20"/>
                <w:szCs w:val="20"/>
                <w:vertAlign w:val="superscript"/>
              </w:rPr>
              <w:t>3</w:t>
            </w:r>
            <w:r w:rsidRPr="003A19C3">
              <w:rPr>
                <w:rFonts w:cs="Times New Roman"/>
                <w:b/>
                <w:sz w:val="20"/>
                <w:szCs w:val="20"/>
              </w:rPr>
              <w:t>)</w:t>
            </w:r>
          </w:p>
        </w:tc>
      </w:tr>
      <w:tr w:rsidR="00524B1F" w:rsidRPr="003A19C3" w14:paraId="294424D7" w14:textId="77777777" w:rsidTr="00DA556B">
        <w:trPr>
          <w:jc w:val="center"/>
        </w:trPr>
        <w:tc>
          <w:tcPr>
            <w:tcW w:w="4968" w:type="dxa"/>
            <w:tcBorders>
              <w:top w:val="single" w:sz="4" w:space="0" w:color="auto"/>
            </w:tcBorders>
            <w:vAlign w:val="center"/>
          </w:tcPr>
          <w:p w14:paraId="19180B1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Minimum total PAHs</w:t>
            </w:r>
          </w:p>
        </w:tc>
        <w:tc>
          <w:tcPr>
            <w:tcW w:w="4968" w:type="dxa"/>
            <w:tcBorders>
              <w:top w:val="single" w:sz="4" w:space="0" w:color="auto"/>
            </w:tcBorders>
            <w:vAlign w:val="center"/>
          </w:tcPr>
          <w:p w14:paraId="4A6F420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7.40</w:t>
            </w:r>
          </w:p>
        </w:tc>
      </w:tr>
      <w:tr w:rsidR="00524B1F" w:rsidRPr="003A19C3" w14:paraId="3D7401FE" w14:textId="77777777" w:rsidTr="00DA556B">
        <w:trPr>
          <w:jc w:val="center"/>
        </w:trPr>
        <w:tc>
          <w:tcPr>
            <w:tcW w:w="4968" w:type="dxa"/>
            <w:vAlign w:val="center"/>
          </w:tcPr>
          <w:p w14:paraId="364604F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Maximum total PAHs</w:t>
            </w:r>
          </w:p>
        </w:tc>
        <w:tc>
          <w:tcPr>
            <w:tcW w:w="4968" w:type="dxa"/>
            <w:vAlign w:val="center"/>
          </w:tcPr>
          <w:p w14:paraId="3739BF7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30.55</w:t>
            </w:r>
          </w:p>
        </w:tc>
      </w:tr>
      <w:tr w:rsidR="00524B1F" w:rsidRPr="003A19C3" w14:paraId="6CE3CF35" w14:textId="77777777" w:rsidTr="00DA556B">
        <w:trPr>
          <w:jc w:val="center"/>
        </w:trPr>
        <w:tc>
          <w:tcPr>
            <w:tcW w:w="4968" w:type="dxa"/>
            <w:vAlign w:val="center"/>
          </w:tcPr>
          <w:p w14:paraId="267D301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Overall mean total PAHs</w:t>
            </w:r>
          </w:p>
        </w:tc>
        <w:tc>
          <w:tcPr>
            <w:tcW w:w="4968" w:type="dxa"/>
            <w:vAlign w:val="center"/>
          </w:tcPr>
          <w:p w14:paraId="2BAB7CE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14.53</w:t>
            </w:r>
          </w:p>
        </w:tc>
      </w:tr>
      <w:tr w:rsidR="00524B1F" w:rsidRPr="003A19C3" w14:paraId="5FA6BA85" w14:textId="77777777" w:rsidTr="00DA556B">
        <w:trPr>
          <w:jc w:val="center"/>
        </w:trPr>
        <w:tc>
          <w:tcPr>
            <w:tcW w:w="4968" w:type="dxa"/>
            <w:vAlign w:val="center"/>
          </w:tcPr>
          <w:p w14:paraId="7A9118E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Mean: dry season</w:t>
            </w:r>
          </w:p>
        </w:tc>
        <w:tc>
          <w:tcPr>
            <w:tcW w:w="4968" w:type="dxa"/>
            <w:vAlign w:val="center"/>
          </w:tcPr>
          <w:p w14:paraId="2B75C22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18.18</w:t>
            </w:r>
          </w:p>
        </w:tc>
      </w:tr>
      <w:tr w:rsidR="00524B1F" w:rsidRPr="003A19C3" w14:paraId="656F894D" w14:textId="77777777" w:rsidTr="00DA556B">
        <w:trPr>
          <w:jc w:val="center"/>
        </w:trPr>
        <w:tc>
          <w:tcPr>
            <w:tcW w:w="4968" w:type="dxa"/>
            <w:vAlign w:val="center"/>
          </w:tcPr>
          <w:p w14:paraId="1A4E646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Mean: wet season</w:t>
            </w:r>
          </w:p>
        </w:tc>
        <w:tc>
          <w:tcPr>
            <w:tcW w:w="4968" w:type="dxa"/>
            <w:vAlign w:val="center"/>
          </w:tcPr>
          <w:p w14:paraId="4C6F507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10.88</w:t>
            </w:r>
          </w:p>
        </w:tc>
      </w:tr>
      <w:tr w:rsidR="00524B1F" w:rsidRPr="003A19C3" w14:paraId="70049A38" w14:textId="77777777" w:rsidTr="00DA556B">
        <w:trPr>
          <w:jc w:val="center"/>
        </w:trPr>
        <w:tc>
          <w:tcPr>
            <w:tcW w:w="4968" w:type="dxa"/>
            <w:vAlign w:val="center"/>
          </w:tcPr>
          <w:p w14:paraId="02F32A2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Mean: indoor</w:t>
            </w:r>
          </w:p>
        </w:tc>
        <w:tc>
          <w:tcPr>
            <w:tcW w:w="4968" w:type="dxa"/>
            <w:vAlign w:val="center"/>
          </w:tcPr>
          <w:p w14:paraId="45A542E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13.32</w:t>
            </w:r>
          </w:p>
        </w:tc>
      </w:tr>
      <w:tr w:rsidR="00524B1F" w:rsidRPr="003A19C3" w14:paraId="0D760E44" w14:textId="77777777" w:rsidTr="00DA556B">
        <w:trPr>
          <w:jc w:val="center"/>
        </w:trPr>
        <w:tc>
          <w:tcPr>
            <w:tcW w:w="4968" w:type="dxa"/>
            <w:vAlign w:val="center"/>
          </w:tcPr>
          <w:p w14:paraId="7B9D425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Mean: outdoor</w:t>
            </w:r>
          </w:p>
        </w:tc>
        <w:tc>
          <w:tcPr>
            <w:tcW w:w="4968" w:type="dxa"/>
            <w:vAlign w:val="center"/>
          </w:tcPr>
          <w:p w14:paraId="5B05ED8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15.75</w:t>
            </w:r>
          </w:p>
        </w:tc>
      </w:tr>
    </w:tbl>
    <w:p w14:paraId="050DFF5A" w14:textId="77777777" w:rsidR="00524B1F" w:rsidRDefault="00524B1F" w:rsidP="00524B1F">
      <w:pPr>
        <w:spacing w:after="0" w:line="240" w:lineRule="auto"/>
        <w:ind w:left="720" w:firstLine="720"/>
        <w:contextualSpacing/>
        <w:rPr>
          <w:rFonts w:cs="Times New Roman"/>
          <w:b/>
          <w:sz w:val="24"/>
          <w:szCs w:val="24"/>
        </w:rPr>
      </w:pPr>
    </w:p>
    <w:p w14:paraId="0509DF77" w14:textId="77777777" w:rsidR="00524B1F" w:rsidRDefault="00524B1F" w:rsidP="00524B1F">
      <w:pPr>
        <w:spacing w:after="0" w:line="240" w:lineRule="auto"/>
        <w:ind w:left="720" w:firstLine="720"/>
        <w:contextualSpacing/>
        <w:rPr>
          <w:rFonts w:cs="Times New Roman"/>
          <w:b/>
          <w:sz w:val="24"/>
          <w:szCs w:val="24"/>
        </w:rPr>
      </w:pPr>
    </w:p>
    <w:p w14:paraId="66CE7B72" w14:textId="77777777" w:rsidR="00524B1F" w:rsidRDefault="00524B1F" w:rsidP="00524B1F">
      <w:pPr>
        <w:spacing w:after="0" w:line="240" w:lineRule="auto"/>
        <w:ind w:left="720" w:firstLine="720"/>
        <w:contextualSpacing/>
        <w:rPr>
          <w:rFonts w:cs="Times New Roman"/>
          <w:b/>
          <w:sz w:val="24"/>
          <w:szCs w:val="24"/>
        </w:rPr>
      </w:pPr>
    </w:p>
    <w:p w14:paraId="1A62AC7E" w14:textId="77777777" w:rsidR="00524B1F" w:rsidRDefault="00524B1F" w:rsidP="00524B1F">
      <w:pPr>
        <w:spacing w:after="0" w:line="240" w:lineRule="auto"/>
        <w:ind w:left="720" w:firstLine="720"/>
        <w:contextualSpacing/>
        <w:rPr>
          <w:rFonts w:cs="Times New Roman"/>
          <w:b/>
          <w:sz w:val="24"/>
          <w:szCs w:val="24"/>
        </w:rPr>
      </w:pPr>
    </w:p>
    <w:p w14:paraId="56801CB6" w14:textId="77777777" w:rsidR="00524B1F" w:rsidRDefault="00524B1F" w:rsidP="00524B1F">
      <w:pPr>
        <w:spacing w:after="0" w:line="240" w:lineRule="auto"/>
        <w:ind w:left="720" w:firstLine="720"/>
        <w:contextualSpacing/>
        <w:rPr>
          <w:rFonts w:cs="Times New Roman"/>
          <w:b/>
          <w:sz w:val="24"/>
          <w:szCs w:val="24"/>
        </w:rPr>
      </w:pPr>
    </w:p>
    <w:p w14:paraId="0BDA6223" w14:textId="77777777" w:rsidR="00524B1F" w:rsidRDefault="00524B1F" w:rsidP="00524B1F">
      <w:pPr>
        <w:spacing w:after="0" w:line="240" w:lineRule="auto"/>
        <w:ind w:left="720" w:firstLine="720"/>
        <w:contextualSpacing/>
        <w:rPr>
          <w:rFonts w:cs="Times New Roman"/>
          <w:b/>
          <w:sz w:val="24"/>
          <w:szCs w:val="24"/>
        </w:rPr>
      </w:pPr>
    </w:p>
    <w:p w14:paraId="53F3A165" w14:textId="77777777" w:rsidR="00524B1F" w:rsidRDefault="00524B1F" w:rsidP="00524B1F">
      <w:pPr>
        <w:spacing w:after="0" w:line="240" w:lineRule="auto"/>
        <w:ind w:left="720" w:firstLine="720"/>
        <w:contextualSpacing/>
        <w:rPr>
          <w:rFonts w:cs="Times New Roman"/>
          <w:b/>
          <w:sz w:val="24"/>
          <w:szCs w:val="24"/>
        </w:rPr>
      </w:pPr>
    </w:p>
    <w:p w14:paraId="448380E0" w14:textId="77777777" w:rsidR="00524B1F" w:rsidRPr="00544BBF" w:rsidRDefault="00524B1F" w:rsidP="00524B1F">
      <w:pPr>
        <w:spacing w:after="0" w:line="240" w:lineRule="auto"/>
        <w:ind w:left="720" w:firstLine="720"/>
        <w:contextualSpacing/>
        <w:rPr>
          <w:rFonts w:cs="Times New Roman"/>
          <w:sz w:val="24"/>
          <w:szCs w:val="24"/>
        </w:rPr>
      </w:pPr>
      <w:r w:rsidRPr="00544BBF">
        <w:rPr>
          <w:rFonts w:cs="Times New Roman"/>
          <w:b/>
          <w:sz w:val="24"/>
          <w:szCs w:val="24"/>
        </w:rPr>
        <w:t xml:space="preserve">Table </w:t>
      </w:r>
      <w:r>
        <w:rPr>
          <w:rFonts w:cs="Times New Roman"/>
          <w:b/>
          <w:sz w:val="24"/>
          <w:szCs w:val="24"/>
        </w:rPr>
        <w:t>3</w:t>
      </w:r>
      <w:r w:rsidRPr="00544BBF">
        <w:rPr>
          <w:rFonts w:cs="Times New Roman"/>
          <w:b/>
          <w:sz w:val="24"/>
          <w:szCs w:val="24"/>
        </w:rPr>
        <w:t xml:space="preserve">. Ten highest pooled PAH congeners across the 12 </w:t>
      </w:r>
      <w:proofErr w:type="spellStart"/>
      <w:r w:rsidRPr="00544BBF">
        <w:rPr>
          <w:rFonts w:cs="Times New Roman"/>
          <w:b/>
          <w:sz w:val="24"/>
          <w:szCs w:val="24"/>
        </w:rPr>
        <w:t>Akpajo</w:t>
      </w:r>
      <w:proofErr w:type="spellEnd"/>
      <w:r w:rsidRPr="00544BBF">
        <w:rPr>
          <w:rFonts w:cs="Times New Roman"/>
          <w:b/>
          <w:sz w:val="24"/>
          <w:szCs w:val="24"/>
        </w:rPr>
        <w:t>-Alesa-</w:t>
      </w:r>
      <w:proofErr w:type="spellStart"/>
      <w:r w:rsidRPr="00544BBF">
        <w:rPr>
          <w:rFonts w:cs="Times New Roman"/>
          <w:b/>
          <w:sz w:val="24"/>
          <w:szCs w:val="24"/>
        </w:rPr>
        <w:t>Aleto</w:t>
      </w:r>
      <w:proofErr w:type="spellEnd"/>
      <w:r w:rsidRPr="00544BBF">
        <w:rPr>
          <w:rFonts w:cs="Times New Roman"/>
          <w:b/>
          <w:sz w:val="24"/>
          <w:szCs w:val="24"/>
        </w:rPr>
        <w:t xml:space="preserve"> air conditions.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gridCol w:w="6636"/>
      </w:tblGrid>
      <w:tr w:rsidR="00524B1F" w:rsidRPr="003A19C3" w14:paraId="31FF8F21" w14:textId="77777777" w:rsidTr="00DA556B">
        <w:trPr>
          <w:trHeight w:val="328"/>
          <w:jc w:val="center"/>
        </w:trPr>
        <w:tc>
          <w:tcPr>
            <w:tcW w:w="6636" w:type="dxa"/>
            <w:tcBorders>
              <w:top w:val="single" w:sz="4" w:space="0" w:color="auto"/>
              <w:bottom w:val="single" w:sz="4" w:space="0" w:color="auto"/>
            </w:tcBorders>
            <w:vAlign w:val="center"/>
          </w:tcPr>
          <w:p w14:paraId="03F3DB68"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PAH Component</w:t>
            </w:r>
          </w:p>
        </w:tc>
        <w:tc>
          <w:tcPr>
            <w:tcW w:w="6636" w:type="dxa"/>
            <w:tcBorders>
              <w:top w:val="single" w:sz="4" w:space="0" w:color="auto"/>
              <w:bottom w:val="single" w:sz="4" w:space="0" w:color="auto"/>
            </w:tcBorders>
            <w:vAlign w:val="center"/>
          </w:tcPr>
          <w:p w14:paraId="3D34E9F1"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Pooled concentration</w:t>
            </w:r>
          </w:p>
        </w:tc>
      </w:tr>
      <w:tr w:rsidR="00524B1F" w:rsidRPr="003A19C3" w14:paraId="5101F5AA" w14:textId="77777777" w:rsidTr="00DA556B">
        <w:trPr>
          <w:trHeight w:val="328"/>
          <w:jc w:val="center"/>
        </w:trPr>
        <w:tc>
          <w:tcPr>
            <w:tcW w:w="6636" w:type="dxa"/>
            <w:tcBorders>
              <w:top w:val="single" w:sz="4" w:space="0" w:color="auto"/>
            </w:tcBorders>
            <w:vAlign w:val="center"/>
          </w:tcPr>
          <w:p w14:paraId="3422B0E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Anthracene</w:t>
            </w:r>
          </w:p>
        </w:tc>
        <w:tc>
          <w:tcPr>
            <w:tcW w:w="6636" w:type="dxa"/>
            <w:tcBorders>
              <w:top w:val="single" w:sz="4" w:space="0" w:color="auto"/>
            </w:tcBorders>
            <w:vAlign w:val="center"/>
          </w:tcPr>
          <w:p w14:paraId="31E8F4B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36.15</w:t>
            </w:r>
          </w:p>
        </w:tc>
      </w:tr>
      <w:tr w:rsidR="00524B1F" w:rsidRPr="003A19C3" w14:paraId="1375B2AD" w14:textId="77777777" w:rsidTr="00DA556B">
        <w:trPr>
          <w:trHeight w:val="328"/>
          <w:jc w:val="center"/>
        </w:trPr>
        <w:tc>
          <w:tcPr>
            <w:tcW w:w="6636" w:type="dxa"/>
            <w:vAlign w:val="center"/>
          </w:tcPr>
          <w:p w14:paraId="533A500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Pyrene</w:t>
            </w:r>
          </w:p>
        </w:tc>
        <w:tc>
          <w:tcPr>
            <w:tcW w:w="6636" w:type="dxa"/>
            <w:vAlign w:val="center"/>
          </w:tcPr>
          <w:p w14:paraId="7F1CEB2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33.50</w:t>
            </w:r>
          </w:p>
        </w:tc>
      </w:tr>
      <w:tr w:rsidR="00524B1F" w:rsidRPr="003A19C3" w14:paraId="591CB15B" w14:textId="77777777" w:rsidTr="00DA556B">
        <w:trPr>
          <w:trHeight w:val="328"/>
          <w:jc w:val="center"/>
        </w:trPr>
        <w:tc>
          <w:tcPr>
            <w:tcW w:w="6636" w:type="dxa"/>
            <w:vAlign w:val="center"/>
          </w:tcPr>
          <w:p w14:paraId="25544E3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Benzo(k)fluoranthene</w:t>
            </w:r>
          </w:p>
        </w:tc>
        <w:tc>
          <w:tcPr>
            <w:tcW w:w="6636" w:type="dxa"/>
            <w:vAlign w:val="center"/>
          </w:tcPr>
          <w:p w14:paraId="2E499D1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20.05</w:t>
            </w:r>
          </w:p>
        </w:tc>
      </w:tr>
      <w:tr w:rsidR="00524B1F" w:rsidRPr="003A19C3" w14:paraId="1F294EFB" w14:textId="77777777" w:rsidTr="00DA556B">
        <w:trPr>
          <w:trHeight w:val="336"/>
          <w:jc w:val="center"/>
        </w:trPr>
        <w:tc>
          <w:tcPr>
            <w:tcW w:w="6636" w:type="dxa"/>
            <w:vAlign w:val="center"/>
          </w:tcPr>
          <w:p w14:paraId="3CCCD1C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Naphthalene</w:t>
            </w:r>
          </w:p>
        </w:tc>
        <w:tc>
          <w:tcPr>
            <w:tcW w:w="6636" w:type="dxa"/>
            <w:vAlign w:val="center"/>
          </w:tcPr>
          <w:p w14:paraId="189820A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20.00</w:t>
            </w:r>
          </w:p>
        </w:tc>
      </w:tr>
      <w:tr w:rsidR="00524B1F" w:rsidRPr="003A19C3" w14:paraId="5D7D381C" w14:textId="77777777" w:rsidTr="00DA556B">
        <w:trPr>
          <w:trHeight w:val="328"/>
          <w:jc w:val="center"/>
        </w:trPr>
        <w:tc>
          <w:tcPr>
            <w:tcW w:w="6636" w:type="dxa"/>
            <w:vAlign w:val="center"/>
          </w:tcPr>
          <w:p w14:paraId="0EC7C26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Fluorene</w:t>
            </w:r>
          </w:p>
        </w:tc>
        <w:tc>
          <w:tcPr>
            <w:tcW w:w="6636" w:type="dxa"/>
            <w:vAlign w:val="center"/>
          </w:tcPr>
          <w:p w14:paraId="2079033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15.80</w:t>
            </w:r>
          </w:p>
        </w:tc>
      </w:tr>
      <w:tr w:rsidR="00524B1F" w:rsidRPr="003A19C3" w14:paraId="7E400ED7" w14:textId="77777777" w:rsidTr="00DA556B">
        <w:trPr>
          <w:trHeight w:val="328"/>
          <w:jc w:val="center"/>
        </w:trPr>
        <w:tc>
          <w:tcPr>
            <w:tcW w:w="6636" w:type="dxa"/>
            <w:vAlign w:val="center"/>
          </w:tcPr>
          <w:p w14:paraId="27DE6FE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Phenanthrene</w:t>
            </w:r>
          </w:p>
        </w:tc>
        <w:tc>
          <w:tcPr>
            <w:tcW w:w="6636" w:type="dxa"/>
            <w:vAlign w:val="center"/>
          </w:tcPr>
          <w:p w14:paraId="1B78A43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14.40</w:t>
            </w:r>
          </w:p>
        </w:tc>
      </w:tr>
      <w:tr w:rsidR="00524B1F" w:rsidRPr="003A19C3" w14:paraId="4C412DDA" w14:textId="77777777" w:rsidTr="00DA556B">
        <w:trPr>
          <w:trHeight w:val="328"/>
          <w:jc w:val="center"/>
        </w:trPr>
        <w:tc>
          <w:tcPr>
            <w:tcW w:w="6636" w:type="dxa"/>
            <w:vAlign w:val="center"/>
          </w:tcPr>
          <w:p w14:paraId="7A8657E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Acenaphthylene</w:t>
            </w:r>
          </w:p>
        </w:tc>
        <w:tc>
          <w:tcPr>
            <w:tcW w:w="6636" w:type="dxa"/>
            <w:vAlign w:val="center"/>
          </w:tcPr>
          <w:p w14:paraId="0EE6EDE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13.90</w:t>
            </w:r>
          </w:p>
        </w:tc>
      </w:tr>
      <w:tr w:rsidR="00524B1F" w:rsidRPr="003A19C3" w14:paraId="72F513CF" w14:textId="77777777" w:rsidTr="00DA556B">
        <w:trPr>
          <w:trHeight w:val="328"/>
          <w:jc w:val="center"/>
        </w:trPr>
        <w:tc>
          <w:tcPr>
            <w:tcW w:w="6636" w:type="dxa"/>
            <w:vAlign w:val="center"/>
          </w:tcPr>
          <w:p w14:paraId="7B88DED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Fluoranthene</w:t>
            </w:r>
          </w:p>
        </w:tc>
        <w:tc>
          <w:tcPr>
            <w:tcW w:w="6636" w:type="dxa"/>
            <w:vAlign w:val="center"/>
          </w:tcPr>
          <w:p w14:paraId="4CDA6F8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9.50</w:t>
            </w:r>
          </w:p>
        </w:tc>
      </w:tr>
      <w:tr w:rsidR="00524B1F" w:rsidRPr="003A19C3" w14:paraId="10EF4F83" w14:textId="77777777" w:rsidTr="00DA556B">
        <w:trPr>
          <w:trHeight w:val="328"/>
          <w:jc w:val="center"/>
        </w:trPr>
        <w:tc>
          <w:tcPr>
            <w:tcW w:w="6636" w:type="dxa"/>
            <w:vAlign w:val="center"/>
          </w:tcPr>
          <w:p w14:paraId="3F05EBE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Acenaphthene</w:t>
            </w:r>
          </w:p>
        </w:tc>
        <w:tc>
          <w:tcPr>
            <w:tcW w:w="6636" w:type="dxa"/>
            <w:vAlign w:val="center"/>
          </w:tcPr>
          <w:p w14:paraId="6136DDF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3.75</w:t>
            </w:r>
          </w:p>
        </w:tc>
      </w:tr>
      <w:tr w:rsidR="00524B1F" w:rsidRPr="003A19C3" w14:paraId="69A9A003" w14:textId="77777777" w:rsidTr="00DA556B">
        <w:trPr>
          <w:trHeight w:val="328"/>
          <w:jc w:val="center"/>
        </w:trPr>
        <w:tc>
          <w:tcPr>
            <w:tcW w:w="6636" w:type="dxa"/>
            <w:vAlign w:val="center"/>
          </w:tcPr>
          <w:p w14:paraId="47CA203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Benzo(a)anthracene</w:t>
            </w:r>
          </w:p>
        </w:tc>
        <w:tc>
          <w:tcPr>
            <w:tcW w:w="6636" w:type="dxa"/>
            <w:vAlign w:val="center"/>
          </w:tcPr>
          <w:p w14:paraId="3041DC3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3.05</w:t>
            </w:r>
          </w:p>
        </w:tc>
      </w:tr>
    </w:tbl>
    <w:p w14:paraId="2B6C8D39" w14:textId="77777777" w:rsidR="00524B1F" w:rsidRDefault="00524B1F" w:rsidP="00524B1F">
      <w:pPr>
        <w:spacing w:after="0" w:line="240" w:lineRule="auto"/>
        <w:jc w:val="both"/>
        <w:rPr>
          <w:rFonts w:cs="Times New Roman"/>
          <w:b/>
          <w:bCs/>
          <w:sz w:val="24"/>
          <w:szCs w:val="24"/>
        </w:rPr>
      </w:pPr>
    </w:p>
    <w:p w14:paraId="7E72A064" w14:textId="77777777" w:rsidR="00524B1F" w:rsidRPr="003A19C3" w:rsidRDefault="00524B1F" w:rsidP="00524B1F">
      <w:pPr>
        <w:spacing w:after="0" w:line="240" w:lineRule="auto"/>
        <w:jc w:val="both"/>
        <w:rPr>
          <w:rFonts w:cs="Times New Roman"/>
          <w:b/>
          <w:bCs/>
          <w:sz w:val="24"/>
          <w:szCs w:val="24"/>
        </w:rPr>
      </w:pPr>
      <w:r w:rsidRPr="003A19C3">
        <w:rPr>
          <w:rFonts w:cs="Times New Roman"/>
          <w:b/>
          <w:bCs/>
          <w:sz w:val="24"/>
          <w:szCs w:val="24"/>
        </w:rPr>
        <w:t>Health-risk results</w:t>
      </w:r>
    </w:p>
    <w:p w14:paraId="0E80109F"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Health-risk estimates followed the concentration pattern but were also affected by compound-specific slope factors. Children recorded higher LADD and ILCR than adults in every condition because the exposure model yields a larger dose per unit body weight for the child receptor.</w:t>
      </w:r>
    </w:p>
    <w:p w14:paraId="620A53A4"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Seven of the twelve child ILCR values exceeded 1.00E-04. The highest child ILCR occurred at </w:t>
      </w:r>
      <w:proofErr w:type="spellStart"/>
      <w:r w:rsidRPr="00544BBF">
        <w:rPr>
          <w:rFonts w:cs="Times New Roman"/>
          <w:sz w:val="24"/>
          <w:szCs w:val="24"/>
        </w:rPr>
        <w:t>Aleto</w:t>
      </w:r>
      <w:proofErr w:type="spellEnd"/>
      <w:r w:rsidRPr="00544BBF">
        <w:rPr>
          <w:rFonts w:cs="Times New Roman"/>
          <w:sz w:val="24"/>
          <w:szCs w:val="24"/>
        </w:rPr>
        <w:t xml:space="preserve"> dry-season outdoor air (4.12E-04), followed by Alesa dry-season outdoor air (3.07E-04), </w:t>
      </w:r>
      <w:proofErr w:type="spellStart"/>
      <w:r w:rsidRPr="00544BBF">
        <w:rPr>
          <w:rFonts w:cs="Times New Roman"/>
          <w:sz w:val="24"/>
          <w:szCs w:val="24"/>
        </w:rPr>
        <w:t>Aleto</w:t>
      </w:r>
      <w:proofErr w:type="spellEnd"/>
      <w:r w:rsidRPr="00544BBF">
        <w:rPr>
          <w:rFonts w:cs="Times New Roman"/>
          <w:sz w:val="24"/>
          <w:szCs w:val="24"/>
        </w:rPr>
        <w:t xml:space="preserve"> wet-season outdoor air (2.93E-04), Alesa dry-season indoor air (2.45E-04) and </w:t>
      </w:r>
      <w:proofErr w:type="spellStart"/>
      <w:r w:rsidRPr="00544BBF">
        <w:rPr>
          <w:rFonts w:cs="Times New Roman"/>
          <w:sz w:val="24"/>
          <w:szCs w:val="24"/>
        </w:rPr>
        <w:t>Akpajo</w:t>
      </w:r>
      <w:proofErr w:type="spellEnd"/>
      <w:r w:rsidRPr="00544BBF">
        <w:rPr>
          <w:rFonts w:cs="Times New Roman"/>
          <w:sz w:val="24"/>
          <w:szCs w:val="24"/>
        </w:rPr>
        <w:t xml:space="preserve"> dry-season indoor air (1.78E-04). Adult ILCR exceeded 1.00E-04 at Alesa dry-season outdoor, </w:t>
      </w:r>
      <w:proofErr w:type="spellStart"/>
      <w:r w:rsidRPr="00544BBF">
        <w:rPr>
          <w:rFonts w:cs="Times New Roman"/>
          <w:sz w:val="24"/>
          <w:szCs w:val="24"/>
        </w:rPr>
        <w:t>Aleto</w:t>
      </w:r>
      <w:proofErr w:type="spellEnd"/>
      <w:r w:rsidRPr="00544BBF">
        <w:rPr>
          <w:rFonts w:cs="Times New Roman"/>
          <w:sz w:val="24"/>
          <w:szCs w:val="24"/>
        </w:rPr>
        <w:t xml:space="preserve"> dry-season outdoor and </w:t>
      </w:r>
      <w:proofErr w:type="spellStart"/>
      <w:r w:rsidRPr="00544BBF">
        <w:rPr>
          <w:rFonts w:cs="Times New Roman"/>
          <w:sz w:val="24"/>
          <w:szCs w:val="24"/>
        </w:rPr>
        <w:t>Aleto</w:t>
      </w:r>
      <w:proofErr w:type="spellEnd"/>
      <w:r w:rsidRPr="00544BBF">
        <w:rPr>
          <w:rFonts w:cs="Times New Roman"/>
          <w:sz w:val="24"/>
          <w:szCs w:val="24"/>
        </w:rPr>
        <w:t xml:space="preserve"> wet-season outdoor conditions.</w:t>
      </w:r>
    </w:p>
    <w:p w14:paraId="4137970A" w14:textId="77777777" w:rsidR="00524B1F" w:rsidRDefault="00524B1F" w:rsidP="00524B1F">
      <w:pPr>
        <w:spacing w:after="0" w:line="240" w:lineRule="auto"/>
        <w:ind w:left="720" w:firstLine="720"/>
        <w:contextualSpacing/>
        <w:rPr>
          <w:rFonts w:cs="Times New Roman"/>
          <w:b/>
          <w:sz w:val="24"/>
          <w:szCs w:val="24"/>
        </w:rPr>
      </w:pPr>
    </w:p>
    <w:p w14:paraId="0CAA3A05" w14:textId="77777777" w:rsidR="00524B1F" w:rsidRPr="00544BBF" w:rsidRDefault="00524B1F" w:rsidP="00524B1F">
      <w:pPr>
        <w:spacing w:after="0" w:line="240" w:lineRule="auto"/>
        <w:ind w:left="720" w:firstLine="720"/>
        <w:contextualSpacing/>
        <w:rPr>
          <w:rFonts w:cs="Times New Roman"/>
          <w:sz w:val="24"/>
          <w:szCs w:val="24"/>
        </w:rPr>
      </w:pPr>
      <w:r w:rsidRPr="00544BBF">
        <w:rPr>
          <w:rFonts w:cs="Times New Roman"/>
          <w:b/>
          <w:sz w:val="24"/>
          <w:szCs w:val="24"/>
        </w:rPr>
        <w:t xml:space="preserve">Table </w:t>
      </w:r>
      <w:r>
        <w:rPr>
          <w:rFonts w:cs="Times New Roman"/>
          <w:b/>
          <w:sz w:val="24"/>
          <w:szCs w:val="24"/>
        </w:rPr>
        <w:t>4</w:t>
      </w:r>
      <w:r w:rsidRPr="00544BBF">
        <w:rPr>
          <w:rFonts w:cs="Times New Roman"/>
          <w:b/>
          <w:sz w:val="24"/>
          <w:szCs w:val="24"/>
        </w:rPr>
        <w:t>. Summary of total PAHs and inhalation health-risk estimates for adults and children.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2651"/>
        <w:gridCol w:w="1638"/>
        <w:gridCol w:w="1638"/>
        <w:gridCol w:w="1638"/>
        <w:gridCol w:w="1638"/>
        <w:gridCol w:w="1638"/>
      </w:tblGrid>
      <w:tr w:rsidR="00524B1F" w:rsidRPr="003A19C3" w14:paraId="41FDF93D" w14:textId="77777777" w:rsidTr="00DA556B">
        <w:trPr>
          <w:trHeight w:val="747"/>
          <w:jc w:val="center"/>
        </w:trPr>
        <w:tc>
          <w:tcPr>
            <w:tcW w:w="1638" w:type="dxa"/>
            <w:tcBorders>
              <w:top w:val="single" w:sz="4" w:space="0" w:color="auto"/>
              <w:bottom w:val="single" w:sz="4" w:space="0" w:color="auto"/>
            </w:tcBorders>
            <w:vAlign w:val="center"/>
          </w:tcPr>
          <w:p w14:paraId="79808E0E"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Location</w:t>
            </w:r>
          </w:p>
        </w:tc>
        <w:tc>
          <w:tcPr>
            <w:tcW w:w="2651" w:type="dxa"/>
            <w:tcBorders>
              <w:top w:val="single" w:sz="4" w:space="0" w:color="auto"/>
              <w:bottom w:val="single" w:sz="4" w:space="0" w:color="auto"/>
            </w:tcBorders>
            <w:vAlign w:val="center"/>
          </w:tcPr>
          <w:p w14:paraId="53D6B0C9"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Season/environment</w:t>
            </w:r>
          </w:p>
        </w:tc>
        <w:tc>
          <w:tcPr>
            <w:tcW w:w="1638" w:type="dxa"/>
            <w:tcBorders>
              <w:top w:val="single" w:sz="4" w:space="0" w:color="auto"/>
              <w:bottom w:val="single" w:sz="4" w:space="0" w:color="auto"/>
            </w:tcBorders>
            <w:vAlign w:val="center"/>
          </w:tcPr>
          <w:p w14:paraId="6E48F90A"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Total PAHs (µg/m³)</w:t>
            </w:r>
          </w:p>
        </w:tc>
        <w:tc>
          <w:tcPr>
            <w:tcW w:w="1638" w:type="dxa"/>
            <w:tcBorders>
              <w:top w:val="single" w:sz="4" w:space="0" w:color="auto"/>
              <w:bottom w:val="single" w:sz="4" w:space="0" w:color="auto"/>
            </w:tcBorders>
            <w:vAlign w:val="center"/>
          </w:tcPr>
          <w:p w14:paraId="0086F5AA"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Adult LADD</w:t>
            </w:r>
          </w:p>
        </w:tc>
        <w:tc>
          <w:tcPr>
            <w:tcW w:w="1638" w:type="dxa"/>
            <w:tcBorders>
              <w:top w:val="single" w:sz="4" w:space="0" w:color="auto"/>
              <w:bottom w:val="single" w:sz="4" w:space="0" w:color="auto"/>
            </w:tcBorders>
            <w:vAlign w:val="center"/>
          </w:tcPr>
          <w:p w14:paraId="548B2624"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Child LADD</w:t>
            </w:r>
          </w:p>
        </w:tc>
        <w:tc>
          <w:tcPr>
            <w:tcW w:w="1638" w:type="dxa"/>
            <w:tcBorders>
              <w:top w:val="single" w:sz="4" w:space="0" w:color="auto"/>
              <w:bottom w:val="single" w:sz="4" w:space="0" w:color="auto"/>
            </w:tcBorders>
            <w:vAlign w:val="center"/>
          </w:tcPr>
          <w:p w14:paraId="7943136F"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Adult ILCR</w:t>
            </w:r>
          </w:p>
        </w:tc>
        <w:tc>
          <w:tcPr>
            <w:tcW w:w="1638" w:type="dxa"/>
            <w:tcBorders>
              <w:top w:val="single" w:sz="4" w:space="0" w:color="auto"/>
              <w:bottom w:val="single" w:sz="4" w:space="0" w:color="auto"/>
            </w:tcBorders>
            <w:vAlign w:val="center"/>
          </w:tcPr>
          <w:p w14:paraId="1D4D8542"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Child ILCR</w:t>
            </w:r>
          </w:p>
        </w:tc>
      </w:tr>
      <w:tr w:rsidR="00524B1F" w:rsidRPr="003A19C3" w14:paraId="5878E817" w14:textId="77777777" w:rsidTr="00DA556B">
        <w:trPr>
          <w:trHeight w:val="541"/>
          <w:jc w:val="center"/>
        </w:trPr>
        <w:tc>
          <w:tcPr>
            <w:tcW w:w="1638" w:type="dxa"/>
            <w:tcBorders>
              <w:top w:val="single" w:sz="4" w:space="0" w:color="auto"/>
            </w:tcBorders>
            <w:vAlign w:val="center"/>
          </w:tcPr>
          <w:p w14:paraId="474F5ED8"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Akpajo</w:t>
            </w:r>
            <w:proofErr w:type="spellEnd"/>
          </w:p>
        </w:tc>
        <w:tc>
          <w:tcPr>
            <w:tcW w:w="2651" w:type="dxa"/>
            <w:tcBorders>
              <w:top w:val="single" w:sz="4" w:space="0" w:color="auto"/>
            </w:tcBorders>
            <w:vAlign w:val="center"/>
          </w:tcPr>
          <w:p w14:paraId="4AF65B7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Dry season indoor</w:t>
            </w:r>
          </w:p>
        </w:tc>
        <w:tc>
          <w:tcPr>
            <w:tcW w:w="1638" w:type="dxa"/>
            <w:tcBorders>
              <w:top w:val="single" w:sz="4" w:space="0" w:color="auto"/>
            </w:tcBorders>
            <w:vAlign w:val="center"/>
          </w:tcPr>
          <w:p w14:paraId="681F934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16.65</w:t>
            </w:r>
          </w:p>
        </w:tc>
        <w:tc>
          <w:tcPr>
            <w:tcW w:w="1638" w:type="dxa"/>
            <w:tcBorders>
              <w:top w:val="single" w:sz="4" w:space="0" w:color="auto"/>
            </w:tcBorders>
            <w:vAlign w:val="center"/>
          </w:tcPr>
          <w:p w14:paraId="1E62340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3.97E-03</w:t>
            </w:r>
          </w:p>
        </w:tc>
        <w:tc>
          <w:tcPr>
            <w:tcW w:w="1638" w:type="dxa"/>
            <w:tcBorders>
              <w:top w:val="single" w:sz="4" w:space="0" w:color="auto"/>
            </w:tcBorders>
            <w:vAlign w:val="center"/>
          </w:tcPr>
          <w:p w14:paraId="3873E37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1.12E-02</w:t>
            </w:r>
          </w:p>
        </w:tc>
        <w:tc>
          <w:tcPr>
            <w:tcW w:w="1638" w:type="dxa"/>
            <w:tcBorders>
              <w:top w:val="single" w:sz="4" w:space="0" w:color="auto"/>
            </w:tcBorders>
            <w:vAlign w:val="center"/>
          </w:tcPr>
          <w:p w14:paraId="50E91E2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6.33E-05</w:t>
            </w:r>
          </w:p>
        </w:tc>
        <w:tc>
          <w:tcPr>
            <w:tcW w:w="1638" w:type="dxa"/>
            <w:tcBorders>
              <w:top w:val="single" w:sz="4" w:space="0" w:color="auto"/>
            </w:tcBorders>
            <w:vAlign w:val="center"/>
          </w:tcPr>
          <w:p w14:paraId="1A3759B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1.78E-04</w:t>
            </w:r>
          </w:p>
        </w:tc>
      </w:tr>
      <w:tr w:rsidR="00524B1F" w:rsidRPr="003A19C3" w14:paraId="77145675" w14:textId="77777777" w:rsidTr="00DA556B">
        <w:trPr>
          <w:trHeight w:val="552"/>
          <w:jc w:val="center"/>
        </w:trPr>
        <w:tc>
          <w:tcPr>
            <w:tcW w:w="1638" w:type="dxa"/>
            <w:vAlign w:val="center"/>
          </w:tcPr>
          <w:p w14:paraId="316C9FCF"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Akpajo</w:t>
            </w:r>
            <w:proofErr w:type="spellEnd"/>
          </w:p>
        </w:tc>
        <w:tc>
          <w:tcPr>
            <w:tcW w:w="2651" w:type="dxa"/>
            <w:vAlign w:val="center"/>
          </w:tcPr>
          <w:p w14:paraId="2F3B9FC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Dry season outdoor</w:t>
            </w:r>
          </w:p>
        </w:tc>
        <w:tc>
          <w:tcPr>
            <w:tcW w:w="1638" w:type="dxa"/>
            <w:vAlign w:val="center"/>
          </w:tcPr>
          <w:p w14:paraId="1D6DEF3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13.60</w:t>
            </w:r>
          </w:p>
        </w:tc>
        <w:tc>
          <w:tcPr>
            <w:tcW w:w="1638" w:type="dxa"/>
            <w:vAlign w:val="center"/>
          </w:tcPr>
          <w:p w14:paraId="1D7DC00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3.25E-03</w:t>
            </w:r>
          </w:p>
        </w:tc>
        <w:tc>
          <w:tcPr>
            <w:tcW w:w="1638" w:type="dxa"/>
            <w:vAlign w:val="center"/>
          </w:tcPr>
          <w:p w14:paraId="7C3BCFB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9.13E-03</w:t>
            </w:r>
          </w:p>
        </w:tc>
        <w:tc>
          <w:tcPr>
            <w:tcW w:w="1638" w:type="dxa"/>
            <w:vAlign w:val="center"/>
          </w:tcPr>
          <w:p w14:paraId="1D9C61C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3.41E-05</w:t>
            </w:r>
          </w:p>
        </w:tc>
        <w:tc>
          <w:tcPr>
            <w:tcW w:w="1638" w:type="dxa"/>
            <w:vAlign w:val="center"/>
          </w:tcPr>
          <w:p w14:paraId="1360792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9.60E-05</w:t>
            </w:r>
          </w:p>
        </w:tc>
      </w:tr>
      <w:tr w:rsidR="00524B1F" w:rsidRPr="003A19C3" w14:paraId="399F442C" w14:textId="77777777" w:rsidTr="00DA556B">
        <w:trPr>
          <w:trHeight w:val="541"/>
          <w:jc w:val="center"/>
        </w:trPr>
        <w:tc>
          <w:tcPr>
            <w:tcW w:w="1638" w:type="dxa"/>
            <w:vAlign w:val="center"/>
          </w:tcPr>
          <w:p w14:paraId="6245B46C"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Akpajo</w:t>
            </w:r>
            <w:proofErr w:type="spellEnd"/>
          </w:p>
        </w:tc>
        <w:tc>
          <w:tcPr>
            <w:tcW w:w="2651" w:type="dxa"/>
            <w:vAlign w:val="center"/>
          </w:tcPr>
          <w:p w14:paraId="27277F0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Wet season indoor</w:t>
            </w:r>
          </w:p>
        </w:tc>
        <w:tc>
          <w:tcPr>
            <w:tcW w:w="1638" w:type="dxa"/>
            <w:vAlign w:val="center"/>
          </w:tcPr>
          <w:p w14:paraId="3142248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9.25</w:t>
            </w:r>
          </w:p>
        </w:tc>
        <w:tc>
          <w:tcPr>
            <w:tcW w:w="1638" w:type="dxa"/>
            <w:vAlign w:val="center"/>
          </w:tcPr>
          <w:p w14:paraId="51807D8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2.21E-03</w:t>
            </w:r>
          </w:p>
        </w:tc>
        <w:tc>
          <w:tcPr>
            <w:tcW w:w="1638" w:type="dxa"/>
            <w:vAlign w:val="center"/>
          </w:tcPr>
          <w:p w14:paraId="495D65A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6.21E-03</w:t>
            </w:r>
          </w:p>
        </w:tc>
        <w:tc>
          <w:tcPr>
            <w:tcW w:w="1638" w:type="dxa"/>
            <w:vAlign w:val="center"/>
          </w:tcPr>
          <w:p w14:paraId="1F10E8C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2.55E-05</w:t>
            </w:r>
          </w:p>
        </w:tc>
        <w:tc>
          <w:tcPr>
            <w:tcW w:w="1638" w:type="dxa"/>
            <w:vAlign w:val="center"/>
          </w:tcPr>
          <w:p w14:paraId="66BE9D2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7.17E-05</w:t>
            </w:r>
          </w:p>
        </w:tc>
      </w:tr>
      <w:tr w:rsidR="00524B1F" w:rsidRPr="003A19C3" w14:paraId="43736553" w14:textId="77777777" w:rsidTr="00DA556B">
        <w:trPr>
          <w:trHeight w:val="552"/>
          <w:jc w:val="center"/>
        </w:trPr>
        <w:tc>
          <w:tcPr>
            <w:tcW w:w="1638" w:type="dxa"/>
            <w:vAlign w:val="center"/>
          </w:tcPr>
          <w:p w14:paraId="2E071A83"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lastRenderedPageBreak/>
              <w:t>Akpajo</w:t>
            </w:r>
            <w:proofErr w:type="spellEnd"/>
          </w:p>
        </w:tc>
        <w:tc>
          <w:tcPr>
            <w:tcW w:w="2651" w:type="dxa"/>
            <w:vAlign w:val="center"/>
          </w:tcPr>
          <w:p w14:paraId="6190D4D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Wet season outdoor</w:t>
            </w:r>
          </w:p>
        </w:tc>
        <w:tc>
          <w:tcPr>
            <w:tcW w:w="1638" w:type="dxa"/>
            <w:vAlign w:val="center"/>
          </w:tcPr>
          <w:p w14:paraId="0C42910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7.70</w:t>
            </w:r>
          </w:p>
        </w:tc>
        <w:tc>
          <w:tcPr>
            <w:tcW w:w="1638" w:type="dxa"/>
            <w:vAlign w:val="center"/>
          </w:tcPr>
          <w:p w14:paraId="70C3821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1.84E-03</w:t>
            </w:r>
          </w:p>
        </w:tc>
        <w:tc>
          <w:tcPr>
            <w:tcW w:w="1638" w:type="dxa"/>
            <w:vAlign w:val="center"/>
          </w:tcPr>
          <w:p w14:paraId="17630C3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5.17E-03</w:t>
            </w:r>
          </w:p>
        </w:tc>
        <w:tc>
          <w:tcPr>
            <w:tcW w:w="1638" w:type="dxa"/>
            <w:vAlign w:val="center"/>
          </w:tcPr>
          <w:p w14:paraId="4DD9767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2.68E-05</w:t>
            </w:r>
          </w:p>
        </w:tc>
        <w:tc>
          <w:tcPr>
            <w:tcW w:w="1638" w:type="dxa"/>
            <w:vAlign w:val="center"/>
          </w:tcPr>
          <w:p w14:paraId="2AA2D28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7.55E-05</w:t>
            </w:r>
          </w:p>
        </w:tc>
      </w:tr>
      <w:tr w:rsidR="00524B1F" w:rsidRPr="003A19C3" w14:paraId="3B6F532C" w14:textId="77777777" w:rsidTr="00DA556B">
        <w:trPr>
          <w:trHeight w:val="552"/>
          <w:jc w:val="center"/>
        </w:trPr>
        <w:tc>
          <w:tcPr>
            <w:tcW w:w="1638" w:type="dxa"/>
            <w:vAlign w:val="center"/>
          </w:tcPr>
          <w:p w14:paraId="3D030AA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Alesa</w:t>
            </w:r>
          </w:p>
        </w:tc>
        <w:tc>
          <w:tcPr>
            <w:tcW w:w="2651" w:type="dxa"/>
            <w:vAlign w:val="center"/>
          </w:tcPr>
          <w:p w14:paraId="38BC78E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Dry season indoor</w:t>
            </w:r>
          </w:p>
        </w:tc>
        <w:tc>
          <w:tcPr>
            <w:tcW w:w="1638" w:type="dxa"/>
            <w:vAlign w:val="center"/>
          </w:tcPr>
          <w:p w14:paraId="3177977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12.20</w:t>
            </w:r>
          </w:p>
        </w:tc>
        <w:tc>
          <w:tcPr>
            <w:tcW w:w="1638" w:type="dxa"/>
            <w:vAlign w:val="center"/>
          </w:tcPr>
          <w:p w14:paraId="53FA0CF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2.91E-03</w:t>
            </w:r>
          </w:p>
        </w:tc>
        <w:tc>
          <w:tcPr>
            <w:tcW w:w="1638" w:type="dxa"/>
            <w:vAlign w:val="center"/>
          </w:tcPr>
          <w:p w14:paraId="3ACF3E3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8.19E-03</w:t>
            </w:r>
          </w:p>
        </w:tc>
        <w:tc>
          <w:tcPr>
            <w:tcW w:w="1638" w:type="dxa"/>
            <w:vAlign w:val="center"/>
          </w:tcPr>
          <w:p w14:paraId="3B91799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8.72E-05</w:t>
            </w:r>
          </w:p>
        </w:tc>
        <w:tc>
          <w:tcPr>
            <w:tcW w:w="1638" w:type="dxa"/>
            <w:vAlign w:val="center"/>
          </w:tcPr>
          <w:p w14:paraId="56F2CB5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2.45E-04</w:t>
            </w:r>
          </w:p>
        </w:tc>
      </w:tr>
      <w:tr w:rsidR="00524B1F" w:rsidRPr="003A19C3" w14:paraId="18046805" w14:textId="77777777" w:rsidTr="00DA556B">
        <w:trPr>
          <w:trHeight w:val="541"/>
          <w:jc w:val="center"/>
        </w:trPr>
        <w:tc>
          <w:tcPr>
            <w:tcW w:w="1638" w:type="dxa"/>
            <w:vAlign w:val="center"/>
          </w:tcPr>
          <w:p w14:paraId="38D689E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Alesa</w:t>
            </w:r>
          </w:p>
        </w:tc>
        <w:tc>
          <w:tcPr>
            <w:tcW w:w="2651" w:type="dxa"/>
            <w:vAlign w:val="center"/>
          </w:tcPr>
          <w:p w14:paraId="1975A21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Dry season outdoor</w:t>
            </w:r>
          </w:p>
        </w:tc>
        <w:tc>
          <w:tcPr>
            <w:tcW w:w="1638" w:type="dxa"/>
            <w:vAlign w:val="center"/>
          </w:tcPr>
          <w:p w14:paraId="50D7014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13.90</w:t>
            </w:r>
          </w:p>
        </w:tc>
        <w:tc>
          <w:tcPr>
            <w:tcW w:w="1638" w:type="dxa"/>
            <w:vAlign w:val="center"/>
          </w:tcPr>
          <w:p w14:paraId="6359B75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3.32E-03</w:t>
            </w:r>
          </w:p>
        </w:tc>
        <w:tc>
          <w:tcPr>
            <w:tcW w:w="1638" w:type="dxa"/>
            <w:vAlign w:val="center"/>
          </w:tcPr>
          <w:p w14:paraId="03DC8D8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9.33E-03</w:t>
            </w:r>
          </w:p>
        </w:tc>
        <w:tc>
          <w:tcPr>
            <w:tcW w:w="1638" w:type="dxa"/>
            <w:vAlign w:val="center"/>
          </w:tcPr>
          <w:p w14:paraId="3F2E61F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1.10E-04</w:t>
            </w:r>
          </w:p>
        </w:tc>
        <w:tc>
          <w:tcPr>
            <w:tcW w:w="1638" w:type="dxa"/>
            <w:vAlign w:val="center"/>
          </w:tcPr>
          <w:p w14:paraId="7171061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3.07E-04</w:t>
            </w:r>
          </w:p>
        </w:tc>
      </w:tr>
      <w:tr w:rsidR="00524B1F" w:rsidRPr="003A19C3" w14:paraId="5B8F9D2D" w14:textId="77777777" w:rsidTr="00DA556B">
        <w:trPr>
          <w:trHeight w:val="552"/>
          <w:jc w:val="center"/>
        </w:trPr>
        <w:tc>
          <w:tcPr>
            <w:tcW w:w="1638" w:type="dxa"/>
            <w:vAlign w:val="center"/>
          </w:tcPr>
          <w:p w14:paraId="7C17476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Alesa</w:t>
            </w:r>
          </w:p>
        </w:tc>
        <w:tc>
          <w:tcPr>
            <w:tcW w:w="2651" w:type="dxa"/>
            <w:vAlign w:val="center"/>
          </w:tcPr>
          <w:p w14:paraId="241C28F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Wet season indoor</w:t>
            </w:r>
          </w:p>
        </w:tc>
        <w:tc>
          <w:tcPr>
            <w:tcW w:w="1638" w:type="dxa"/>
            <w:vAlign w:val="center"/>
          </w:tcPr>
          <w:p w14:paraId="675C7C0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7.40</w:t>
            </w:r>
          </w:p>
        </w:tc>
        <w:tc>
          <w:tcPr>
            <w:tcW w:w="1638" w:type="dxa"/>
            <w:vAlign w:val="center"/>
          </w:tcPr>
          <w:p w14:paraId="620FBCE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1.77E-03</w:t>
            </w:r>
          </w:p>
        </w:tc>
        <w:tc>
          <w:tcPr>
            <w:tcW w:w="1638" w:type="dxa"/>
            <w:vAlign w:val="center"/>
          </w:tcPr>
          <w:p w14:paraId="10CF2DB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4.97E-03</w:t>
            </w:r>
          </w:p>
        </w:tc>
        <w:tc>
          <w:tcPr>
            <w:tcW w:w="1638" w:type="dxa"/>
            <w:vAlign w:val="center"/>
          </w:tcPr>
          <w:p w14:paraId="7719444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4.00E-05</w:t>
            </w:r>
          </w:p>
        </w:tc>
        <w:tc>
          <w:tcPr>
            <w:tcW w:w="1638" w:type="dxa"/>
            <w:vAlign w:val="center"/>
          </w:tcPr>
          <w:p w14:paraId="1F5D5B9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1.12E-04</w:t>
            </w:r>
          </w:p>
        </w:tc>
      </w:tr>
      <w:tr w:rsidR="00524B1F" w:rsidRPr="003A19C3" w14:paraId="4E064102" w14:textId="77777777" w:rsidTr="00DA556B">
        <w:trPr>
          <w:trHeight w:val="541"/>
          <w:jc w:val="center"/>
        </w:trPr>
        <w:tc>
          <w:tcPr>
            <w:tcW w:w="1638" w:type="dxa"/>
            <w:vAlign w:val="center"/>
          </w:tcPr>
          <w:p w14:paraId="2F8DA1B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Alesa</w:t>
            </w:r>
          </w:p>
        </w:tc>
        <w:tc>
          <w:tcPr>
            <w:tcW w:w="2651" w:type="dxa"/>
            <w:vAlign w:val="center"/>
          </w:tcPr>
          <w:p w14:paraId="67819F3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Wet season outdoor</w:t>
            </w:r>
          </w:p>
        </w:tc>
        <w:tc>
          <w:tcPr>
            <w:tcW w:w="1638" w:type="dxa"/>
            <w:vAlign w:val="center"/>
          </w:tcPr>
          <w:p w14:paraId="72C570C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8.05</w:t>
            </w:r>
          </w:p>
        </w:tc>
        <w:tc>
          <w:tcPr>
            <w:tcW w:w="1638" w:type="dxa"/>
            <w:vAlign w:val="center"/>
          </w:tcPr>
          <w:p w14:paraId="1B8512F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1.92E-03</w:t>
            </w:r>
          </w:p>
        </w:tc>
        <w:tc>
          <w:tcPr>
            <w:tcW w:w="1638" w:type="dxa"/>
            <w:vAlign w:val="center"/>
          </w:tcPr>
          <w:p w14:paraId="5B351A8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5.41E-03</w:t>
            </w:r>
          </w:p>
        </w:tc>
        <w:tc>
          <w:tcPr>
            <w:tcW w:w="1638" w:type="dxa"/>
            <w:vAlign w:val="center"/>
          </w:tcPr>
          <w:p w14:paraId="1F4822A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3.36E-05</w:t>
            </w:r>
          </w:p>
        </w:tc>
        <w:tc>
          <w:tcPr>
            <w:tcW w:w="1638" w:type="dxa"/>
            <w:vAlign w:val="center"/>
          </w:tcPr>
          <w:p w14:paraId="2D6670E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9.42E-05</w:t>
            </w:r>
          </w:p>
        </w:tc>
      </w:tr>
      <w:tr w:rsidR="00524B1F" w:rsidRPr="003A19C3" w14:paraId="1431F74E" w14:textId="77777777" w:rsidTr="00DA556B">
        <w:trPr>
          <w:trHeight w:val="552"/>
          <w:jc w:val="center"/>
        </w:trPr>
        <w:tc>
          <w:tcPr>
            <w:tcW w:w="1638" w:type="dxa"/>
            <w:vAlign w:val="center"/>
          </w:tcPr>
          <w:p w14:paraId="60F8C390"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Aleto</w:t>
            </w:r>
            <w:proofErr w:type="spellEnd"/>
          </w:p>
        </w:tc>
        <w:tc>
          <w:tcPr>
            <w:tcW w:w="2651" w:type="dxa"/>
            <w:vAlign w:val="center"/>
          </w:tcPr>
          <w:p w14:paraId="4273635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Dry season indoor</w:t>
            </w:r>
          </w:p>
        </w:tc>
        <w:tc>
          <w:tcPr>
            <w:tcW w:w="1638" w:type="dxa"/>
            <w:vAlign w:val="center"/>
          </w:tcPr>
          <w:p w14:paraId="5FB726B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22.20</w:t>
            </w:r>
          </w:p>
        </w:tc>
        <w:tc>
          <w:tcPr>
            <w:tcW w:w="1638" w:type="dxa"/>
            <w:vAlign w:val="center"/>
          </w:tcPr>
          <w:p w14:paraId="1055556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5.30E-03</w:t>
            </w:r>
          </w:p>
        </w:tc>
        <w:tc>
          <w:tcPr>
            <w:tcW w:w="1638" w:type="dxa"/>
            <w:vAlign w:val="center"/>
          </w:tcPr>
          <w:p w14:paraId="34BB4F1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1.49E-02</w:t>
            </w:r>
          </w:p>
        </w:tc>
        <w:tc>
          <w:tcPr>
            <w:tcW w:w="1638" w:type="dxa"/>
            <w:vAlign w:val="center"/>
          </w:tcPr>
          <w:p w14:paraId="10D57E3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4.21E-05</w:t>
            </w:r>
          </w:p>
        </w:tc>
        <w:tc>
          <w:tcPr>
            <w:tcW w:w="1638" w:type="dxa"/>
            <w:vAlign w:val="center"/>
          </w:tcPr>
          <w:p w14:paraId="6958F16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1.18E-04</w:t>
            </w:r>
          </w:p>
        </w:tc>
      </w:tr>
      <w:tr w:rsidR="00524B1F" w:rsidRPr="003A19C3" w14:paraId="212410C7" w14:textId="77777777" w:rsidTr="00DA556B">
        <w:trPr>
          <w:trHeight w:val="541"/>
          <w:jc w:val="center"/>
        </w:trPr>
        <w:tc>
          <w:tcPr>
            <w:tcW w:w="1638" w:type="dxa"/>
            <w:vAlign w:val="center"/>
          </w:tcPr>
          <w:p w14:paraId="5BE91A9D"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Aleto</w:t>
            </w:r>
            <w:proofErr w:type="spellEnd"/>
          </w:p>
        </w:tc>
        <w:tc>
          <w:tcPr>
            <w:tcW w:w="2651" w:type="dxa"/>
            <w:vAlign w:val="center"/>
          </w:tcPr>
          <w:p w14:paraId="18AEEA7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Dry season outdoor</w:t>
            </w:r>
          </w:p>
        </w:tc>
        <w:tc>
          <w:tcPr>
            <w:tcW w:w="1638" w:type="dxa"/>
            <w:vAlign w:val="center"/>
          </w:tcPr>
          <w:p w14:paraId="0966245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30.55</w:t>
            </w:r>
          </w:p>
        </w:tc>
        <w:tc>
          <w:tcPr>
            <w:tcW w:w="1638" w:type="dxa"/>
            <w:vAlign w:val="center"/>
          </w:tcPr>
          <w:p w14:paraId="2E8BCA4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7.30E-03</w:t>
            </w:r>
          </w:p>
        </w:tc>
        <w:tc>
          <w:tcPr>
            <w:tcW w:w="1638" w:type="dxa"/>
            <w:vAlign w:val="center"/>
          </w:tcPr>
          <w:p w14:paraId="43DD09D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2.05E-02</w:t>
            </w:r>
          </w:p>
        </w:tc>
        <w:tc>
          <w:tcPr>
            <w:tcW w:w="1638" w:type="dxa"/>
            <w:vAlign w:val="center"/>
          </w:tcPr>
          <w:p w14:paraId="11CF98C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1.47E-04</w:t>
            </w:r>
          </w:p>
        </w:tc>
        <w:tc>
          <w:tcPr>
            <w:tcW w:w="1638" w:type="dxa"/>
            <w:vAlign w:val="center"/>
          </w:tcPr>
          <w:p w14:paraId="642601E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4.12E-04</w:t>
            </w:r>
          </w:p>
        </w:tc>
      </w:tr>
      <w:tr w:rsidR="00524B1F" w:rsidRPr="003A19C3" w14:paraId="30473633" w14:textId="77777777" w:rsidTr="00DA556B">
        <w:trPr>
          <w:trHeight w:val="552"/>
          <w:jc w:val="center"/>
        </w:trPr>
        <w:tc>
          <w:tcPr>
            <w:tcW w:w="1638" w:type="dxa"/>
            <w:vAlign w:val="center"/>
          </w:tcPr>
          <w:p w14:paraId="7FA4608E"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Aleto</w:t>
            </w:r>
            <w:proofErr w:type="spellEnd"/>
          </w:p>
        </w:tc>
        <w:tc>
          <w:tcPr>
            <w:tcW w:w="2651" w:type="dxa"/>
            <w:vAlign w:val="center"/>
          </w:tcPr>
          <w:p w14:paraId="6019259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Wet season indoor</w:t>
            </w:r>
          </w:p>
        </w:tc>
        <w:tc>
          <w:tcPr>
            <w:tcW w:w="1638" w:type="dxa"/>
            <w:vAlign w:val="center"/>
          </w:tcPr>
          <w:p w14:paraId="3FC4E5F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12.20</w:t>
            </w:r>
          </w:p>
        </w:tc>
        <w:tc>
          <w:tcPr>
            <w:tcW w:w="1638" w:type="dxa"/>
            <w:vAlign w:val="center"/>
          </w:tcPr>
          <w:p w14:paraId="7FB6AD6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2.91E-03</w:t>
            </w:r>
          </w:p>
        </w:tc>
        <w:tc>
          <w:tcPr>
            <w:tcW w:w="1638" w:type="dxa"/>
            <w:vAlign w:val="center"/>
          </w:tcPr>
          <w:p w14:paraId="1E26907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8.19E-03</w:t>
            </w:r>
          </w:p>
        </w:tc>
        <w:tc>
          <w:tcPr>
            <w:tcW w:w="1638" w:type="dxa"/>
            <w:vAlign w:val="center"/>
          </w:tcPr>
          <w:p w14:paraId="48804B6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1.89E-05</w:t>
            </w:r>
          </w:p>
        </w:tc>
        <w:tc>
          <w:tcPr>
            <w:tcW w:w="1638" w:type="dxa"/>
            <w:vAlign w:val="center"/>
          </w:tcPr>
          <w:p w14:paraId="7CD91D5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5.32E-05</w:t>
            </w:r>
          </w:p>
        </w:tc>
      </w:tr>
      <w:tr w:rsidR="00524B1F" w:rsidRPr="003A19C3" w14:paraId="77E34794" w14:textId="77777777" w:rsidTr="00DA556B">
        <w:trPr>
          <w:trHeight w:val="541"/>
          <w:jc w:val="center"/>
        </w:trPr>
        <w:tc>
          <w:tcPr>
            <w:tcW w:w="1638" w:type="dxa"/>
            <w:vAlign w:val="center"/>
          </w:tcPr>
          <w:p w14:paraId="36F700CB"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Aleto</w:t>
            </w:r>
            <w:proofErr w:type="spellEnd"/>
          </w:p>
        </w:tc>
        <w:tc>
          <w:tcPr>
            <w:tcW w:w="2651" w:type="dxa"/>
            <w:vAlign w:val="center"/>
          </w:tcPr>
          <w:p w14:paraId="3CE6436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Wet season outdoor</w:t>
            </w:r>
          </w:p>
        </w:tc>
        <w:tc>
          <w:tcPr>
            <w:tcW w:w="1638" w:type="dxa"/>
            <w:vAlign w:val="center"/>
          </w:tcPr>
          <w:p w14:paraId="68B500E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20.70</w:t>
            </w:r>
          </w:p>
        </w:tc>
        <w:tc>
          <w:tcPr>
            <w:tcW w:w="1638" w:type="dxa"/>
            <w:vAlign w:val="center"/>
          </w:tcPr>
          <w:p w14:paraId="02F0EED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4.94E-03</w:t>
            </w:r>
          </w:p>
        </w:tc>
        <w:tc>
          <w:tcPr>
            <w:tcW w:w="1638" w:type="dxa"/>
            <w:vAlign w:val="center"/>
          </w:tcPr>
          <w:p w14:paraId="7006B1A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1.39E-02</w:t>
            </w:r>
          </w:p>
        </w:tc>
        <w:tc>
          <w:tcPr>
            <w:tcW w:w="1638" w:type="dxa"/>
            <w:vAlign w:val="center"/>
          </w:tcPr>
          <w:p w14:paraId="4BDA127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1.04E-04</w:t>
            </w:r>
          </w:p>
        </w:tc>
        <w:tc>
          <w:tcPr>
            <w:tcW w:w="1638" w:type="dxa"/>
            <w:vAlign w:val="center"/>
          </w:tcPr>
          <w:p w14:paraId="08030BA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2.93E-04</w:t>
            </w:r>
          </w:p>
        </w:tc>
      </w:tr>
    </w:tbl>
    <w:p w14:paraId="653DFC43" w14:textId="77777777" w:rsidR="00524B1F" w:rsidRDefault="00524B1F" w:rsidP="00524B1F">
      <w:pPr>
        <w:spacing w:after="0" w:line="240" w:lineRule="auto"/>
        <w:jc w:val="both"/>
        <w:rPr>
          <w:rFonts w:cs="Times New Roman"/>
          <w:sz w:val="24"/>
          <w:szCs w:val="24"/>
        </w:rPr>
      </w:pPr>
    </w:p>
    <w:p w14:paraId="16038E27" w14:textId="77777777" w:rsidR="00524B1F" w:rsidRPr="003A19C3" w:rsidRDefault="00524B1F" w:rsidP="00524B1F">
      <w:pPr>
        <w:spacing w:after="0" w:line="240" w:lineRule="auto"/>
        <w:jc w:val="both"/>
        <w:rPr>
          <w:rFonts w:cs="Times New Roman"/>
          <w:b/>
          <w:bCs/>
          <w:sz w:val="24"/>
          <w:szCs w:val="24"/>
        </w:rPr>
      </w:pPr>
      <w:r w:rsidRPr="003A19C3">
        <w:rPr>
          <w:rFonts w:cs="Times New Roman"/>
          <w:b/>
          <w:bCs/>
          <w:sz w:val="24"/>
          <w:szCs w:val="24"/>
        </w:rPr>
        <w:t>Analysis of variance for PAHs in air</w:t>
      </w:r>
    </w:p>
    <w:p w14:paraId="217132A8"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ANOVA was used to identify whether season, indoor/outdoor environment and community produced statistically significant differences in PAH concentrations. The results show that total PAHs varied significantly by season (F = 4.64, p = 0.0396), but not by indoor/outdoor environment (p = 0.5356) or community (p = 0.1131) when all communities in the wider thesis dataset were considered.</w:t>
      </w:r>
    </w:p>
    <w:p w14:paraId="0EB10B42"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For individual PAHs, season significantly influenced acenaphthene, benzo(b)fluoranthene, benzo(k)fluoranthene and pyrene. Indoor/outdoor environment significantly influenced acenaphthene, anthracene and benzo(a)anthracene. Community significantly influenced acenaphthylene, benzo(b)fluoranthene, chrysene, fluoranthene, fluorene and phenanthrene. These findings indicate that PAH </w:t>
      </w:r>
      <w:proofErr w:type="spellStart"/>
      <w:r w:rsidRPr="00544BBF">
        <w:rPr>
          <w:rFonts w:cs="Times New Roman"/>
          <w:sz w:val="24"/>
          <w:szCs w:val="24"/>
        </w:rPr>
        <w:t>behaviour</w:t>
      </w:r>
      <w:proofErr w:type="spellEnd"/>
      <w:r w:rsidRPr="00544BBF">
        <w:rPr>
          <w:rFonts w:cs="Times New Roman"/>
          <w:sz w:val="24"/>
          <w:szCs w:val="24"/>
        </w:rPr>
        <w:t xml:space="preserve"> was not controlled by a single factor; instead, different congeners responded to different spatial and seasonal processes.</w:t>
      </w:r>
    </w:p>
    <w:p w14:paraId="3909AD9B" w14:textId="77777777" w:rsidR="00524B1F" w:rsidRDefault="00524B1F" w:rsidP="00524B1F">
      <w:pPr>
        <w:spacing w:after="0" w:line="240" w:lineRule="auto"/>
        <w:rPr>
          <w:rFonts w:cs="Times New Roman"/>
          <w:b/>
          <w:sz w:val="24"/>
          <w:szCs w:val="24"/>
        </w:rPr>
      </w:pPr>
    </w:p>
    <w:p w14:paraId="4355E9DA" w14:textId="77777777" w:rsidR="00524B1F" w:rsidRDefault="00524B1F" w:rsidP="00524B1F">
      <w:pPr>
        <w:spacing w:after="0" w:line="240" w:lineRule="auto"/>
        <w:ind w:left="720" w:firstLine="720"/>
        <w:contextualSpacing/>
        <w:rPr>
          <w:rFonts w:cs="Times New Roman"/>
          <w:b/>
          <w:sz w:val="24"/>
          <w:szCs w:val="24"/>
        </w:rPr>
      </w:pPr>
    </w:p>
    <w:p w14:paraId="51F9222B" w14:textId="77777777" w:rsidR="00524B1F" w:rsidRDefault="00524B1F" w:rsidP="00524B1F">
      <w:pPr>
        <w:spacing w:after="0" w:line="240" w:lineRule="auto"/>
        <w:ind w:left="720" w:firstLine="720"/>
        <w:contextualSpacing/>
        <w:rPr>
          <w:rFonts w:cs="Times New Roman"/>
          <w:b/>
          <w:sz w:val="24"/>
          <w:szCs w:val="24"/>
        </w:rPr>
      </w:pPr>
    </w:p>
    <w:p w14:paraId="5DA09A85" w14:textId="77777777" w:rsidR="00524B1F" w:rsidRDefault="00524B1F" w:rsidP="00524B1F">
      <w:pPr>
        <w:spacing w:after="0" w:line="240" w:lineRule="auto"/>
        <w:ind w:left="720" w:firstLine="720"/>
        <w:contextualSpacing/>
        <w:rPr>
          <w:rFonts w:cs="Times New Roman"/>
          <w:b/>
          <w:sz w:val="24"/>
          <w:szCs w:val="24"/>
        </w:rPr>
      </w:pPr>
    </w:p>
    <w:p w14:paraId="7554C46B" w14:textId="77777777" w:rsidR="00524B1F" w:rsidRDefault="00524B1F" w:rsidP="00524B1F">
      <w:pPr>
        <w:spacing w:after="0" w:line="240" w:lineRule="auto"/>
        <w:ind w:left="720" w:firstLine="720"/>
        <w:contextualSpacing/>
        <w:rPr>
          <w:rFonts w:cs="Times New Roman"/>
          <w:b/>
          <w:sz w:val="24"/>
          <w:szCs w:val="24"/>
        </w:rPr>
      </w:pPr>
    </w:p>
    <w:p w14:paraId="5000307C" w14:textId="77777777" w:rsidR="00524B1F" w:rsidRDefault="00524B1F" w:rsidP="00524B1F">
      <w:pPr>
        <w:spacing w:after="0" w:line="240" w:lineRule="auto"/>
        <w:ind w:left="720" w:firstLine="720"/>
        <w:contextualSpacing/>
        <w:rPr>
          <w:rFonts w:cs="Times New Roman"/>
          <w:b/>
          <w:sz w:val="24"/>
          <w:szCs w:val="24"/>
        </w:rPr>
      </w:pPr>
    </w:p>
    <w:p w14:paraId="3250E961" w14:textId="77777777" w:rsidR="00524B1F" w:rsidRDefault="00524B1F" w:rsidP="00524B1F">
      <w:pPr>
        <w:spacing w:after="0" w:line="240" w:lineRule="auto"/>
        <w:ind w:left="720" w:firstLine="720"/>
        <w:contextualSpacing/>
        <w:rPr>
          <w:rFonts w:cs="Times New Roman"/>
          <w:b/>
          <w:sz w:val="24"/>
          <w:szCs w:val="24"/>
        </w:rPr>
      </w:pPr>
    </w:p>
    <w:p w14:paraId="6515EA07" w14:textId="77777777" w:rsidR="00524B1F" w:rsidRDefault="00524B1F" w:rsidP="00524B1F">
      <w:pPr>
        <w:spacing w:after="0" w:line="240" w:lineRule="auto"/>
        <w:ind w:left="720" w:firstLine="720"/>
        <w:contextualSpacing/>
        <w:rPr>
          <w:rFonts w:cs="Times New Roman"/>
          <w:b/>
          <w:sz w:val="24"/>
          <w:szCs w:val="24"/>
        </w:rPr>
      </w:pPr>
    </w:p>
    <w:p w14:paraId="14C00CCD" w14:textId="77777777" w:rsidR="00524B1F" w:rsidRDefault="00524B1F" w:rsidP="00524B1F">
      <w:pPr>
        <w:spacing w:after="0" w:line="240" w:lineRule="auto"/>
        <w:ind w:left="720" w:firstLine="720"/>
        <w:contextualSpacing/>
        <w:rPr>
          <w:rFonts w:cs="Times New Roman"/>
          <w:b/>
          <w:sz w:val="24"/>
          <w:szCs w:val="24"/>
        </w:rPr>
      </w:pPr>
    </w:p>
    <w:p w14:paraId="26B7CA6C" w14:textId="77777777" w:rsidR="00524B1F" w:rsidRPr="00544BBF" w:rsidRDefault="00524B1F" w:rsidP="00524B1F">
      <w:pPr>
        <w:spacing w:after="0" w:line="240" w:lineRule="auto"/>
        <w:ind w:left="720" w:firstLine="720"/>
        <w:contextualSpacing/>
        <w:rPr>
          <w:rFonts w:cs="Times New Roman"/>
          <w:sz w:val="24"/>
          <w:szCs w:val="24"/>
        </w:rPr>
      </w:pPr>
      <w:r w:rsidRPr="00544BBF">
        <w:rPr>
          <w:rFonts w:cs="Times New Roman"/>
          <w:b/>
          <w:sz w:val="24"/>
          <w:szCs w:val="24"/>
        </w:rPr>
        <w:lastRenderedPageBreak/>
        <w:t xml:space="preserve">Table </w:t>
      </w:r>
      <w:r>
        <w:rPr>
          <w:rFonts w:cs="Times New Roman"/>
          <w:b/>
          <w:sz w:val="24"/>
          <w:szCs w:val="24"/>
        </w:rPr>
        <w:t>5</w:t>
      </w:r>
      <w:r w:rsidRPr="00544BBF">
        <w:rPr>
          <w:rFonts w:cs="Times New Roman"/>
          <w:b/>
          <w:sz w:val="24"/>
          <w:szCs w:val="24"/>
        </w:rPr>
        <w:t xml:space="preserve">. ANOVA results for PAHs in air from the </w:t>
      </w:r>
      <w:r>
        <w:rPr>
          <w:rFonts w:cs="Times New Roman"/>
          <w:b/>
          <w:sz w:val="24"/>
          <w:szCs w:val="24"/>
        </w:rPr>
        <w:t>Study Areas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1916"/>
        <w:gridCol w:w="1916"/>
        <w:gridCol w:w="1916"/>
        <w:gridCol w:w="1916"/>
        <w:gridCol w:w="1916"/>
      </w:tblGrid>
      <w:tr w:rsidR="00524B1F" w:rsidRPr="003A19C3" w14:paraId="5C7E8A8A" w14:textId="77777777" w:rsidTr="00DA556B">
        <w:trPr>
          <w:trHeight w:val="440"/>
          <w:jc w:val="center"/>
        </w:trPr>
        <w:tc>
          <w:tcPr>
            <w:tcW w:w="2771" w:type="dxa"/>
            <w:tcBorders>
              <w:top w:val="single" w:sz="4" w:space="0" w:color="auto"/>
              <w:bottom w:val="single" w:sz="4" w:space="0" w:color="auto"/>
            </w:tcBorders>
            <w:vAlign w:val="center"/>
          </w:tcPr>
          <w:p w14:paraId="73DD62AE"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Parameter</w:t>
            </w:r>
          </w:p>
        </w:tc>
        <w:tc>
          <w:tcPr>
            <w:tcW w:w="1916" w:type="dxa"/>
            <w:tcBorders>
              <w:top w:val="single" w:sz="4" w:space="0" w:color="auto"/>
              <w:bottom w:val="single" w:sz="4" w:space="0" w:color="auto"/>
            </w:tcBorders>
            <w:vAlign w:val="center"/>
          </w:tcPr>
          <w:p w14:paraId="0F1F9810"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Factor</w:t>
            </w:r>
          </w:p>
        </w:tc>
        <w:tc>
          <w:tcPr>
            <w:tcW w:w="1916" w:type="dxa"/>
            <w:tcBorders>
              <w:top w:val="single" w:sz="4" w:space="0" w:color="auto"/>
              <w:bottom w:val="single" w:sz="4" w:space="0" w:color="auto"/>
            </w:tcBorders>
            <w:vAlign w:val="center"/>
          </w:tcPr>
          <w:p w14:paraId="4A195230"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b/>
                <w:sz w:val="20"/>
                <w:szCs w:val="20"/>
              </w:rPr>
              <w:t>df</w:t>
            </w:r>
            <w:proofErr w:type="spellEnd"/>
            <w:r w:rsidRPr="003A19C3">
              <w:rPr>
                <w:rFonts w:cs="Times New Roman"/>
                <w:b/>
                <w:sz w:val="20"/>
                <w:szCs w:val="20"/>
              </w:rPr>
              <w:t xml:space="preserve"> (B,W)</w:t>
            </w:r>
          </w:p>
        </w:tc>
        <w:tc>
          <w:tcPr>
            <w:tcW w:w="1916" w:type="dxa"/>
            <w:tcBorders>
              <w:top w:val="single" w:sz="4" w:space="0" w:color="auto"/>
              <w:bottom w:val="single" w:sz="4" w:space="0" w:color="auto"/>
            </w:tcBorders>
            <w:vAlign w:val="center"/>
          </w:tcPr>
          <w:p w14:paraId="4872D401"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F</w:t>
            </w:r>
          </w:p>
        </w:tc>
        <w:tc>
          <w:tcPr>
            <w:tcW w:w="1916" w:type="dxa"/>
            <w:tcBorders>
              <w:top w:val="single" w:sz="4" w:space="0" w:color="auto"/>
              <w:bottom w:val="single" w:sz="4" w:space="0" w:color="auto"/>
            </w:tcBorders>
            <w:vAlign w:val="center"/>
          </w:tcPr>
          <w:p w14:paraId="783BF8A9"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p</w:t>
            </w:r>
          </w:p>
        </w:tc>
        <w:tc>
          <w:tcPr>
            <w:tcW w:w="1916" w:type="dxa"/>
            <w:tcBorders>
              <w:top w:val="single" w:sz="4" w:space="0" w:color="auto"/>
              <w:bottom w:val="single" w:sz="4" w:space="0" w:color="auto"/>
            </w:tcBorders>
            <w:vAlign w:val="center"/>
          </w:tcPr>
          <w:p w14:paraId="2FBF647B"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Decision</w:t>
            </w:r>
          </w:p>
        </w:tc>
      </w:tr>
      <w:tr w:rsidR="00524B1F" w:rsidRPr="003A19C3" w14:paraId="66DB687F" w14:textId="77777777" w:rsidTr="00DA556B">
        <w:trPr>
          <w:trHeight w:val="545"/>
          <w:jc w:val="center"/>
        </w:trPr>
        <w:tc>
          <w:tcPr>
            <w:tcW w:w="2771" w:type="dxa"/>
            <w:tcBorders>
              <w:top w:val="single" w:sz="4" w:space="0" w:color="auto"/>
            </w:tcBorders>
            <w:vAlign w:val="center"/>
          </w:tcPr>
          <w:p w14:paraId="7D95B16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Acenaphthene</w:t>
            </w:r>
          </w:p>
        </w:tc>
        <w:tc>
          <w:tcPr>
            <w:tcW w:w="1916" w:type="dxa"/>
            <w:tcBorders>
              <w:top w:val="single" w:sz="4" w:space="0" w:color="auto"/>
            </w:tcBorders>
            <w:vAlign w:val="center"/>
          </w:tcPr>
          <w:p w14:paraId="72C31A5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tcBorders>
              <w:top w:val="single" w:sz="4" w:space="0" w:color="auto"/>
            </w:tcBorders>
            <w:vAlign w:val="center"/>
          </w:tcPr>
          <w:p w14:paraId="41D5C9A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tcBorders>
              <w:top w:val="single" w:sz="4" w:space="0" w:color="auto"/>
            </w:tcBorders>
            <w:vAlign w:val="center"/>
          </w:tcPr>
          <w:p w14:paraId="41A4F97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6.21</w:t>
            </w:r>
          </w:p>
        </w:tc>
        <w:tc>
          <w:tcPr>
            <w:tcW w:w="1916" w:type="dxa"/>
            <w:tcBorders>
              <w:top w:val="single" w:sz="4" w:space="0" w:color="auto"/>
            </w:tcBorders>
            <w:vAlign w:val="center"/>
          </w:tcPr>
          <w:p w14:paraId="7103D54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0.0187</w:t>
            </w:r>
          </w:p>
        </w:tc>
        <w:tc>
          <w:tcPr>
            <w:tcW w:w="1916" w:type="dxa"/>
            <w:tcBorders>
              <w:top w:val="single" w:sz="4" w:space="0" w:color="auto"/>
            </w:tcBorders>
            <w:vAlign w:val="center"/>
          </w:tcPr>
          <w:p w14:paraId="3B19C65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66FD0E79" w14:textId="77777777" w:rsidTr="00DA556B">
        <w:trPr>
          <w:trHeight w:val="556"/>
          <w:jc w:val="center"/>
        </w:trPr>
        <w:tc>
          <w:tcPr>
            <w:tcW w:w="2771" w:type="dxa"/>
            <w:vAlign w:val="center"/>
          </w:tcPr>
          <w:p w14:paraId="0A44CF5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Acenaphthylene</w:t>
            </w:r>
          </w:p>
        </w:tc>
        <w:tc>
          <w:tcPr>
            <w:tcW w:w="1916" w:type="dxa"/>
            <w:vAlign w:val="center"/>
          </w:tcPr>
          <w:p w14:paraId="0CD40CF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3E01FB9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6D1E32A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2.18</w:t>
            </w:r>
          </w:p>
        </w:tc>
        <w:tc>
          <w:tcPr>
            <w:tcW w:w="1916" w:type="dxa"/>
            <w:vAlign w:val="center"/>
          </w:tcPr>
          <w:p w14:paraId="3A8A76E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0.1504</w:t>
            </w:r>
          </w:p>
        </w:tc>
        <w:tc>
          <w:tcPr>
            <w:tcW w:w="1916" w:type="dxa"/>
            <w:vAlign w:val="center"/>
          </w:tcPr>
          <w:p w14:paraId="6D0153E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71CB5FA" w14:textId="77777777" w:rsidTr="00DA556B">
        <w:trPr>
          <w:trHeight w:val="545"/>
          <w:jc w:val="center"/>
        </w:trPr>
        <w:tc>
          <w:tcPr>
            <w:tcW w:w="2771" w:type="dxa"/>
            <w:vAlign w:val="center"/>
          </w:tcPr>
          <w:p w14:paraId="1521297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Anthracene</w:t>
            </w:r>
          </w:p>
        </w:tc>
        <w:tc>
          <w:tcPr>
            <w:tcW w:w="1916" w:type="dxa"/>
            <w:vAlign w:val="center"/>
          </w:tcPr>
          <w:p w14:paraId="3440E7E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390DD77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6310F4A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1.93</w:t>
            </w:r>
          </w:p>
        </w:tc>
        <w:tc>
          <w:tcPr>
            <w:tcW w:w="1916" w:type="dxa"/>
            <w:vAlign w:val="center"/>
          </w:tcPr>
          <w:p w14:paraId="1C86C2D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0.1750</w:t>
            </w:r>
          </w:p>
        </w:tc>
        <w:tc>
          <w:tcPr>
            <w:tcW w:w="1916" w:type="dxa"/>
            <w:vAlign w:val="center"/>
          </w:tcPr>
          <w:p w14:paraId="78EDD54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04FD83DA" w14:textId="77777777" w:rsidTr="00DA556B">
        <w:trPr>
          <w:trHeight w:val="556"/>
          <w:jc w:val="center"/>
        </w:trPr>
        <w:tc>
          <w:tcPr>
            <w:tcW w:w="2771" w:type="dxa"/>
            <w:vAlign w:val="center"/>
          </w:tcPr>
          <w:p w14:paraId="037E0AE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Benzo(a)Pyrene</w:t>
            </w:r>
          </w:p>
        </w:tc>
        <w:tc>
          <w:tcPr>
            <w:tcW w:w="1916" w:type="dxa"/>
            <w:vAlign w:val="center"/>
          </w:tcPr>
          <w:p w14:paraId="15759DB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5C2FF56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36E669A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4070017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23F4E4E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67D4D34B" w14:textId="77777777" w:rsidTr="00DA556B">
        <w:trPr>
          <w:trHeight w:val="545"/>
          <w:jc w:val="center"/>
        </w:trPr>
        <w:tc>
          <w:tcPr>
            <w:tcW w:w="2771" w:type="dxa"/>
            <w:vAlign w:val="center"/>
          </w:tcPr>
          <w:p w14:paraId="0CB7FC3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Benzo(a)anthracene</w:t>
            </w:r>
          </w:p>
        </w:tc>
        <w:tc>
          <w:tcPr>
            <w:tcW w:w="1916" w:type="dxa"/>
            <w:vAlign w:val="center"/>
          </w:tcPr>
          <w:p w14:paraId="0952ADE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43E6696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966A99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2.79</w:t>
            </w:r>
          </w:p>
        </w:tc>
        <w:tc>
          <w:tcPr>
            <w:tcW w:w="1916" w:type="dxa"/>
            <w:vAlign w:val="center"/>
          </w:tcPr>
          <w:p w14:paraId="7285453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0.1058</w:t>
            </w:r>
          </w:p>
        </w:tc>
        <w:tc>
          <w:tcPr>
            <w:tcW w:w="1916" w:type="dxa"/>
            <w:vAlign w:val="center"/>
          </w:tcPr>
          <w:p w14:paraId="7DBD723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453B9F51" w14:textId="77777777" w:rsidTr="00DA556B">
        <w:trPr>
          <w:trHeight w:val="556"/>
          <w:jc w:val="center"/>
        </w:trPr>
        <w:tc>
          <w:tcPr>
            <w:tcW w:w="2771" w:type="dxa"/>
            <w:vAlign w:val="center"/>
          </w:tcPr>
          <w:p w14:paraId="6ABAE08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Benzo(b)fluoranthene</w:t>
            </w:r>
          </w:p>
        </w:tc>
        <w:tc>
          <w:tcPr>
            <w:tcW w:w="1916" w:type="dxa"/>
            <w:vAlign w:val="center"/>
          </w:tcPr>
          <w:p w14:paraId="1E45682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67BA4FD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1963F4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4.22</w:t>
            </w:r>
          </w:p>
        </w:tc>
        <w:tc>
          <w:tcPr>
            <w:tcW w:w="1916" w:type="dxa"/>
            <w:vAlign w:val="center"/>
          </w:tcPr>
          <w:p w14:paraId="2C07566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0.0491</w:t>
            </w:r>
          </w:p>
        </w:tc>
        <w:tc>
          <w:tcPr>
            <w:tcW w:w="1916" w:type="dxa"/>
            <w:vAlign w:val="center"/>
          </w:tcPr>
          <w:p w14:paraId="308A506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319A70EC" w14:textId="77777777" w:rsidTr="00DA556B">
        <w:trPr>
          <w:trHeight w:val="545"/>
          <w:jc w:val="center"/>
        </w:trPr>
        <w:tc>
          <w:tcPr>
            <w:tcW w:w="2771" w:type="dxa"/>
            <w:vAlign w:val="center"/>
          </w:tcPr>
          <w:p w14:paraId="1B5BB1B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w:t>
            </w:r>
            <w:proofErr w:type="spellStart"/>
            <w:r w:rsidRPr="003A19C3">
              <w:rPr>
                <w:rFonts w:cs="Times New Roman"/>
                <w:sz w:val="20"/>
                <w:szCs w:val="20"/>
              </w:rPr>
              <w:t>g,h,i</w:t>
            </w:r>
            <w:proofErr w:type="spellEnd"/>
            <w:r w:rsidRPr="003A19C3">
              <w:rPr>
                <w:rFonts w:cs="Times New Roman"/>
                <w:sz w:val="20"/>
                <w:szCs w:val="20"/>
              </w:rPr>
              <w:t>)perylene</w:t>
            </w:r>
          </w:p>
        </w:tc>
        <w:tc>
          <w:tcPr>
            <w:tcW w:w="1916" w:type="dxa"/>
            <w:vAlign w:val="center"/>
          </w:tcPr>
          <w:p w14:paraId="27BE1B7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4330777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3564559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65346CA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2738301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1D97B813" w14:textId="77777777" w:rsidTr="00DA556B">
        <w:trPr>
          <w:trHeight w:val="556"/>
          <w:jc w:val="center"/>
        </w:trPr>
        <w:tc>
          <w:tcPr>
            <w:tcW w:w="2771" w:type="dxa"/>
            <w:vAlign w:val="center"/>
          </w:tcPr>
          <w:p w14:paraId="0CEAE3E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Benzo(k)fluoranthene</w:t>
            </w:r>
          </w:p>
        </w:tc>
        <w:tc>
          <w:tcPr>
            <w:tcW w:w="1916" w:type="dxa"/>
            <w:vAlign w:val="center"/>
          </w:tcPr>
          <w:p w14:paraId="2A35EA6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716EA1A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3C3C3F8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8.33</w:t>
            </w:r>
          </w:p>
        </w:tc>
        <w:tc>
          <w:tcPr>
            <w:tcW w:w="1916" w:type="dxa"/>
            <w:vAlign w:val="center"/>
          </w:tcPr>
          <w:p w14:paraId="6E5E49B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0.0073</w:t>
            </w:r>
          </w:p>
        </w:tc>
        <w:tc>
          <w:tcPr>
            <w:tcW w:w="1916" w:type="dxa"/>
            <w:vAlign w:val="center"/>
          </w:tcPr>
          <w:p w14:paraId="323E5D8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4B181F05" w14:textId="77777777" w:rsidTr="00DA556B">
        <w:trPr>
          <w:trHeight w:val="545"/>
          <w:jc w:val="center"/>
        </w:trPr>
        <w:tc>
          <w:tcPr>
            <w:tcW w:w="2771" w:type="dxa"/>
            <w:vAlign w:val="center"/>
          </w:tcPr>
          <w:p w14:paraId="607D802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Chrysene</w:t>
            </w:r>
          </w:p>
        </w:tc>
        <w:tc>
          <w:tcPr>
            <w:tcW w:w="1916" w:type="dxa"/>
            <w:vAlign w:val="center"/>
          </w:tcPr>
          <w:p w14:paraId="49AB1EE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44CE6F7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3E9734B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3.95</w:t>
            </w:r>
          </w:p>
        </w:tc>
        <w:tc>
          <w:tcPr>
            <w:tcW w:w="1916" w:type="dxa"/>
            <w:vAlign w:val="center"/>
          </w:tcPr>
          <w:p w14:paraId="49CE66C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0.0565</w:t>
            </w:r>
          </w:p>
        </w:tc>
        <w:tc>
          <w:tcPr>
            <w:tcW w:w="1916" w:type="dxa"/>
            <w:vAlign w:val="center"/>
          </w:tcPr>
          <w:p w14:paraId="0E4A151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0912F11D" w14:textId="77777777" w:rsidTr="00DA556B">
        <w:trPr>
          <w:trHeight w:val="556"/>
          <w:jc w:val="center"/>
        </w:trPr>
        <w:tc>
          <w:tcPr>
            <w:tcW w:w="2771" w:type="dxa"/>
            <w:vAlign w:val="center"/>
          </w:tcPr>
          <w:p w14:paraId="776AF2D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Dibenz(</w:t>
            </w:r>
            <w:proofErr w:type="spellStart"/>
            <w:r w:rsidRPr="003A19C3">
              <w:rPr>
                <w:rFonts w:cs="Times New Roman"/>
                <w:sz w:val="20"/>
                <w:szCs w:val="20"/>
              </w:rPr>
              <w:t>a,h</w:t>
            </w:r>
            <w:proofErr w:type="spellEnd"/>
            <w:r w:rsidRPr="003A19C3">
              <w:rPr>
                <w:rFonts w:cs="Times New Roman"/>
                <w:sz w:val="20"/>
                <w:szCs w:val="20"/>
              </w:rPr>
              <w:t>)anthracene</w:t>
            </w:r>
          </w:p>
        </w:tc>
        <w:tc>
          <w:tcPr>
            <w:tcW w:w="1916" w:type="dxa"/>
            <w:vAlign w:val="center"/>
          </w:tcPr>
          <w:p w14:paraId="5CF2C46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6866449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366146A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4CDFE4D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445B993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18BBA3D4" w14:textId="77777777" w:rsidTr="00DA556B">
        <w:trPr>
          <w:trHeight w:val="545"/>
          <w:jc w:val="center"/>
        </w:trPr>
        <w:tc>
          <w:tcPr>
            <w:tcW w:w="2771" w:type="dxa"/>
            <w:vAlign w:val="center"/>
          </w:tcPr>
          <w:p w14:paraId="36B8963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Fluoranthene</w:t>
            </w:r>
          </w:p>
        </w:tc>
        <w:tc>
          <w:tcPr>
            <w:tcW w:w="1916" w:type="dxa"/>
            <w:vAlign w:val="center"/>
          </w:tcPr>
          <w:p w14:paraId="62687E8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5DCB994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66C3F92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2.24</w:t>
            </w:r>
          </w:p>
        </w:tc>
        <w:tc>
          <w:tcPr>
            <w:tcW w:w="1916" w:type="dxa"/>
            <w:vAlign w:val="center"/>
          </w:tcPr>
          <w:p w14:paraId="073A4E7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0.1454</w:t>
            </w:r>
          </w:p>
        </w:tc>
        <w:tc>
          <w:tcPr>
            <w:tcW w:w="1916" w:type="dxa"/>
            <w:vAlign w:val="center"/>
          </w:tcPr>
          <w:p w14:paraId="62E2253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7BFE2DEE" w14:textId="77777777" w:rsidTr="00DA556B">
        <w:trPr>
          <w:trHeight w:val="556"/>
          <w:jc w:val="center"/>
        </w:trPr>
        <w:tc>
          <w:tcPr>
            <w:tcW w:w="2771" w:type="dxa"/>
            <w:vAlign w:val="center"/>
          </w:tcPr>
          <w:p w14:paraId="7188A97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Fluorene</w:t>
            </w:r>
          </w:p>
        </w:tc>
        <w:tc>
          <w:tcPr>
            <w:tcW w:w="1916" w:type="dxa"/>
            <w:vAlign w:val="center"/>
          </w:tcPr>
          <w:p w14:paraId="22DB50C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52B745B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5BF9C89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0.39</w:t>
            </w:r>
          </w:p>
        </w:tc>
        <w:tc>
          <w:tcPr>
            <w:tcW w:w="1916" w:type="dxa"/>
            <w:vAlign w:val="center"/>
          </w:tcPr>
          <w:p w14:paraId="1890CCD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0.5377</w:t>
            </w:r>
          </w:p>
        </w:tc>
        <w:tc>
          <w:tcPr>
            <w:tcW w:w="1916" w:type="dxa"/>
            <w:vAlign w:val="center"/>
          </w:tcPr>
          <w:p w14:paraId="060EAC8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09972296" w14:textId="77777777" w:rsidTr="00DA556B">
        <w:trPr>
          <w:trHeight w:val="1102"/>
          <w:jc w:val="center"/>
        </w:trPr>
        <w:tc>
          <w:tcPr>
            <w:tcW w:w="2771" w:type="dxa"/>
            <w:vAlign w:val="center"/>
          </w:tcPr>
          <w:p w14:paraId="6134F0B4"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Indeno</w:t>
            </w:r>
            <w:proofErr w:type="spellEnd"/>
            <w:r w:rsidRPr="003A19C3">
              <w:rPr>
                <w:rFonts w:cs="Times New Roman"/>
                <w:sz w:val="20"/>
                <w:szCs w:val="20"/>
              </w:rPr>
              <w:t>(1,2,3-c,d)pyrene</w:t>
            </w:r>
          </w:p>
        </w:tc>
        <w:tc>
          <w:tcPr>
            <w:tcW w:w="1916" w:type="dxa"/>
            <w:vAlign w:val="center"/>
          </w:tcPr>
          <w:p w14:paraId="4703234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5E6E08C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3E52AE6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04F97A8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71DEC0C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7DE8D642" w14:textId="77777777" w:rsidTr="00DA556B">
        <w:trPr>
          <w:trHeight w:val="545"/>
          <w:jc w:val="center"/>
        </w:trPr>
        <w:tc>
          <w:tcPr>
            <w:tcW w:w="2771" w:type="dxa"/>
            <w:vAlign w:val="center"/>
          </w:tcPr>
          <w:p w14:paraId="06168B4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Naphthalene</w:t>
            </w:r>
          </w:p>
        </w:tc>
        <w:tc>
          <w:tcPr>
            <w:tcW w:w="1916" w:type="dxa"/>
            <w:vAlign w:val="center"/>
          </w:tcPr>
          <w:p w14:paraId="29E9811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7E0999C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515D6C5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0.06</w:t>
            </w:r>
          </w:p>
        </w:tc>
        <w:tc>
          <w:tcPr>
            <w:tcW w:w="1916" w:type="dxa"/>
            <w:vAlign w:val="center"/>
          </w:tcPr>
          <w:p w14:paraId="08131C6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0.8016</w:t>
            </w:r>
          </w:p>
        </w:tc>
        <w:tc>
          <w:tcPr>
            <w:tcW w:w="1916" w:type="dxa"/>
            <w:vAlign w:val="center"/>
          </w:tcPr>
          <w:p w14:paraId="6035757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15A1E467" w14:textId="77777777" w:rsidTr="00DA556B">
        <w:trPr>
          <w:trHeight w:val="556"/>
          <w:jc w:val="center"/>
        </w:trPr>
        <w:tc>
          <w:tcPr>
            <w:tcW w:w="2771" w:type="dxa"/>
            <w:vAlign w:val="center"/>
          </w:tcPr>
          <w:p w14:paraId="6870955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Phenanthrene</w:t>
            </w:r>
          </w:p>
        </w:tc>
        <w:tc>
          <w:tcPr>
            <w:tcW w:w="1916" w:type="dxa"/>
            <w:vAlign w:val="center"/>
          </w:tcPr>
          <w:p w14:paraId="421F067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3B491DB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F04C3D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0.30</w:t>
            </w:r>
          </w:p>
        </w:tc>
        <w:tc>
          <w:tcPr>
            <w:tcW w:w="1916" w:type="dxa"/>
            <w:vAlign w:val="center"/>
          </w:tcPr>
          <w:p w14:paraId="74D95C2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0.5896</w:t>
            </w:r>
          </w:p>
        </w:tc>
        <w:tc>
          <w:tcPr>
            <w:tcW w:w="1916" w:type="dxa"/>
            <w:vAlign w:val="center"/>
          </w:tcPr>
          <w:p w14:paraId="51B1309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82175D6" w14:textId="77777777" w:rsidTr="00DA556B">
        <w:trPr>
          <w:trHeight w:val="545"/>
          <w:jc w:val="center"/>
        </w:trPr>
        <w:tc>
          <w:tcPr>
            <w:tcW w:w="2771" w:type="dxa"/>
            <w:vAlign w:val="center"/>
          </w:tcPr>
          <w:p w14:paraId="7EC40B3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lastRenderedPageBreak/>
              <w:t>Pyrene</w:t>
            </w:r>
          </w:p>
        </w:tc>
        <w:tc>
          <w:tcPr>
            <w:tcW w:w="1916" w:type="dxa"/>
            <w:vAlign w:val="center"/>
          </w:tcPr>
          <w:p w14:paraId="41EE7DD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755D901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216EBCE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9.45</w:t>
            </w:r>
          </w:p>
        </w:tc>
        <w:tc>
          <w:tcPr>
            <w:tcW w:w="1916" w:type="dxa"/>
            <w:vAlign w:val="center"/>
          </w:tcPr>
          <w:p w14:paraId="3051698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0.0046</w:t>
            </w:r>
          </w:p>
        </w:tc>
        <w:tc>
          <w:tcPr>
            <w:tcW w:w="1916" w:type="dxa"/>
            <w:vAlign w:val="center"/>
          </w:tcPr>
          <w:p w14:paraId="3E4AD6D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07A4D7E7" w14:textId="77777777" w:rsidTr="00DA556B">
        <w:trPr>
          <w:trHeight w:val="556"/>
          <w:jc w:val="center"/>
        </w:trPr>
        <w:tc>
          <w:tcPr>
            <w:tcW w:w="2771" w:type="dxa"/>
            <w:vAlign w:val="center"/>
          </w:tcPr>
          <w:p w14:paraId="16B26A4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Total PAHs</w:t>
            </w:r>
          </w:p>
        </w:tc>
        <w:tc>
          <w:tcPr>
            <w:tcW w:w="1916" w:type="dxa"/>
            <w:vAlign w:val="center"/>
          </w:tcPr>
          <w:p w14:paraId="55A345C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Season</w:t>
            </w:r>
          </w:p>
        </w:tc>
        <w:tc>
          <w:tcPr>
            <w:tcW w:w="1916" w:type="dxa"/>
            <w:vAlign w:val="center"/>
          </w:tcPr>
          <w:p w14:paraId="73B9FC4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410F0C3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4.64</w:t>
            </w:r>
          </w:p>
        </w:tc>
        <w:tc>
          <w:tcPr>
            <w:tcW w:w="1916" w:type="dxa"/>
            <w:vAlign w:val="center"/>
          </w:tcPr>
          <w:p w14:paraId="7954D2F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0.0396</w:t>
            </w:r>
          </w:p>
        </w:tc>
        <w:tc>
          <w:tcPr>
            <w:tcW w:w="1916" w:type="dxa"/>
            <w:vAlign w:val="center"/>
          </w:tcPr>
          <w:p w14:paraId="462EACB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7D545FE0" w14:textId="77777777" w:rsidTr="00DA556B">
        <w:trPr>
          <w:trHeight w:val="545"/>
          <w:jc w:val="center"/>
        </w:trPr>
        <w:tc>
          <w:tcPr>
            <w:tcW w:w="2771" w:type="dxa"/>
            <w:vAlign w:val="center"/>
          </w:tcPr>
          <w:p w14:paraId="59FB703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Acenaphthene</w:t>
            </w:r>
          </w:p>
        </w:tc>
        <w:tc>
          <w:tcPr>
            <w:tcW w:w="1916" w:type="dxa"/>
            <w:vAlign w:val="center"/>
          </w:tcPr>
          <w:p w14:paraId="1E0CC9C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6BA5519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40383BE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8.94</w:t>
            </w:r>
          </w:p>
        </w:tc>
        <w:tc>
          <w:tcPr>
            <w:tcW w:w="1916" w:type="dxa"/>
            <w:vAlign w:val="center"/>
          </w:tcPr>
          <w:p w14:paraId="485F580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0.0056</w:t>
            </w:r>
          </w:p>
        </w:tc>
        <w:tc>
          <w:tcPr>
            <w:tcW w:w="1916" w:type="dxa"/>
            <w:vAlign w:val="center"/>
          </w:tcPr>
          <w:p w14:paraId="0CC1AE9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5C1680A1" w14:textId="77777777" w:rsidTr="00DA556B">
        <w:trPr>
          <w:trHeight w:val="556"/>
          <w:jc w:val="center"/>
        </w:trPr>
        <w:tc>
          <w:tcPr>
            <w:tcW w:w="2771" w:type="dxa"/>
            <w:vAlign w:val="center"/>
          </w:tcPr>
          <w:p w14:paraId="28EEFFF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Acenaphthylene</w:t>
            </w:r>
          </w:p>
        </w:tc>
        <w:tc>
          <w:tcPr>
            <w:tcW w:w="1916" w:type="dxa"/>
            <w:vAlign w:val="center"/>
          </w:tcPr>
          <w:p w14:paraId="73DEC7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4485392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45EE1AE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0.62</w:t>
            </w:r>
          </w:p>
        </w:tc>
        <w:tc>
          <w:tcPr>
            <w:tcW w:w="1916" w:type="dxa"/>
            <w:vAlign w:val="center"/>
          </w:tcPr>
          <w:p w14:paraId="5A8A0CC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0.4381</w:t>
            </w:r>
          </w:p>
        </w:tc>
        <w:tc>
          <w:tcPr>
            <w:tcW w:w="1916" w:type="dxa"/>
            <w:vAlign w:val="center"/>
          </w:tcPr>
          <w:p w14:paraId="7D19A68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A993291" w14:textId="77777777" w:rsidTr="00DA556B">
        <w:trPr>
          <w:trHeight w:val="545"/>
          <w:jc w:val="center"/>
        </w:trPr>
        <w:tc>
          <w:tcPr>
            <w:tcW w:w="2771" w:type="dxa"/>
            <w:vAlign w:val="center"/>
          </w:tcPr>
          <w:p w14:paraId="6651766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Anthracene</w:t>
            </w:r>
          </w:p>
        </w:tc>
        <w:tc>
          <w:tcPr>
            <w:tcW w:w="1916" w:type="dxa"/>
            <w:vAlign w:val="center"/>
          </w:tcPr>
          <w:p w14:paraId="5E3940E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557C1A8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1511F4B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9.46</w:t>
            </w:r>
          </w:p>
        </w:tc>
        <w:tc>
          <w:tcPr>
            <w:tcW w:w="1916" w:type="dxa"/>
            <w:vAlign w:val="center"/>
          </w:tcPr>
          <w:p w14:paraId="6CE53A1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0.0045</w:t>
            </w:r>
          </w:p>
        </w:tc>
        <w:tc>
          <w:tcPr>
            <w:tcW w:w="1916" w:type="dxa"/>
            <w:vAlign w:val="center"/>
          </w:tcPr>
          <w:p w14:paraId="30F24DA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7F8A743A" w14:textId="77777777" w:rsidTr="00DA556B">
        <w:trPr>
          <w:trHeight w:val="556"/>
          <w:jc w:val="center"/>
        </w:trPr>
        <w:tc>
          <w:tcPr>
            <w:tcW w:w="2771" w:type="dxa"/>
            <w:vAlign w:val="center"/>
          </w:tcPr>
          <w:p w14:paraId="4235C20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Benzo(a)Pyrene</w:t>
            </w:r>
          </w:p>
        </w:tc>
        <w:tc>
          <w:tcPr>
            <w:tcW w:w="1916" w:type="dxa"/>
            <w:vAlign w:val="center"/>
          </w:tcPr>
          <w:p w14:paraId="2361B98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7718075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6FDFCDB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77E37EE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6D876DC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2119D3E3" w14:textId="77777777" w:rsidTr="00DA556B">
        <w:trPr>
          <w:trHeight w:val="545"/>
          <w:jc w:val="center"/>
        </w:trPr>
        <w:tc>
          <w:tcPr>
            <w:tcW w:w="2771" w:type="dxa"/>
            <w:vAlign w:val="center"/>
          </w:tcPr>
          <w:p w14:paraId="7D99E3A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Benzo(a)anthracene</w:t>
            </w:r>
          </w:p>
        </w:tc>
        <w:tc>
          <w:tcPr>
            <w:tcW w:w="1916" w:type="dxa"/>
            <w:vAlign w:val="center"/>
          </w:tcPr>
          <w:p w14:paraId="13BF975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381DF9C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10486A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15.79</w:t>
            </w:r>
          </w:p>
        </w:tc>
        <w:tc>
          <w:tcPr>
            <w:tcW w:w="1916" w:type="dxa"/>
            <w:vAlign w:val="center"/>
          </w:tcPr>
          <w:p w14:paraId="55AED7C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4.30e-04</w:t>
            </w:r>
          </w:p>
        </w:tc>
        <w:tc>
          <w:tcPr>
            <w:tcW w:w="1916" w:type="dxa"/>
            <w:vAlign w:val="center"/>
          </w:tcPr>
          <w:p w14:paraId="2F99247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3F61B796" w14:textId="77777777" w:rsidTr="00DA556B">
        <w:trPr>
          <w:trHeight w:val="556"/>
          <w:jc w:val="center"/>
        </w:trPr>
        <w:tc>
          <w:tcPr>
            <w:tcW w:w="2771" w:type="dxa"/>
            <w:vAlign w:val="center"/>
          </w:tcPr>
          <w:p w14:paraId="76E2645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Benzo(b)fluoranthene</w:t>
            </w:r>
          </w:p>
        </w:tc>
        <w:tc>
          <w:tcPr>
            <w:tcW w:w="1916" w:type="dxa"/>
            <w:vAlign w:val="center"/>
          </w:tcPr>
          <w:p w14:paraId="66300BE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5C45CD5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CE4ACA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0.82</w:t>
            </w:r>
          </w:p>
        </w:tc>
        <w:tc>
          <w:tcPr>
            <w:tcW w:w="1916" w:type="dxa"/>
            <w:vAlign w:val="center"/>
          </w:tcPr>
          <w:p w14:paraId="6BC02EC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0.3732</w:t>
            </w:r>
          </w:p>
        </w:tc>
        <w:tc>
          <w:tcPr>
            <w:tcW w:w="1916" w:type="dxa"/>
            <w:vAlign w:val="center"/>
          </w:tcPr>
          <w:p w14:paraId="46D047D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40BE08E0" w14:textId="77777777" w:rsidTr="00DA556B">
        <w:trPr>
          <w:trHeight w:val="545"/>
          <w:jc w:val="center"/>
        </w:trPr>
        <w:tc>
          <w:tcPr>
            <w:tcW w:w="2771" w:type="dxa"/>
            <w:vAlign w:val="center"/>
          </w:tcPr>
          <w:p w14:paraId="22CCC83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w:t>
            </w:r>
            <w:proofErr w:type="spellStart"/>
            <w:r w:rsidRPr="003A19C3">
              <w:rPr>
                <w:rFonts w:cs="Times New Roman"/>
                <w:sz w:val="20"/>
                <w:szCs w:val="20"/>
              </w:rPr>
              <w:t>g,h,i</w:t>
            </w:r>
            <w:proofErr w:type="spellEnd"/>
            <w:r w:rsidRPr="003A19C3">
              <w:rPr>
                <w:rFonts w:cs="Times New Roman"/>
                <w:sz w:val="20"/>
                <w:szCs w:val="20"/>
              </w:rPr>
              <w:t>)perylene</w:t>
            </w:r>
          </w:p>
        </w:tc>
        <w:tc>
          <w:tcPr>
            <w:tcW w:w="1916" w:type="dxa"/>
            <w:vAlign w:val="center"/>
          </w:tcPr>
          <w:p w14:paraId="2529ADD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4AFECC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2BE4ED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0864DA0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200D7E9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4D307E93" w14:textId="77777777" w:rsidTr="00DA556B">
        <w:trPr>
          <w:trHeight w:val="556"/>
          <w:jc w:val="center"/>
        </w:trPr>
        <w:tc>
          <w:tcPr>
            <w:tcW w:w="2771" w:type="dxa"/>
            <w:vAlign w:val="center"/>
          </w:tcPr>
          <w:p w14:paraId="55673EA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Benzo(k)fluoranthene</w:t>
            </w:r>
          </w:p>
        </w:tc>
        <w:tc>
          <w:tcPr>
            <w:tcW w:w="1916" w:type="dxa"/>
            <w:vAlign w:val="center"/>
          </w:tcPr>
          <w:p w14:paraId="74DC9A1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4E10280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5CDBFC3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4.05</w:t>
            </w:r>
          </w:p>
        </w:tc>
        <w:tc>
          <w:tcPr>
            <w:tcW w:w="1916" w:type="dxa"/>
            <w:vAlign w:val="center"/>
          </w:tcPr>
          <w:p w14:paraId="7E66BC5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0.0537</w:t>
            </w:r>
          </w:p>
        </w:tc>
        <w:tc>
          <w:tcPr>
            <w:tcW w:w="1916" w:type="dxa"/>
            <w:vAlign w:val="center"/>
          </w:tcPr>
          <w:p w14:paraId="4655307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35656699" w14:textId="77777777" w:rsidTr="00DA556B">
        <w:trPr>
          <w:trHeight w:val="545"/>
          <w:jc w:val="center"/>
        </w:trPr>
        <w:tc>
          <w:tcPr>
            <w:tcW w:w="2771" w:type="dxa"/>
            <w:vAlign w:val="center"/>
          </w:tcPr>
          <w:p w14:paraId="58749C3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Chrysene</w:t>
            </w:r>
          </w:p>
        </w:tc>
        <w:tc>
          <w:tcPr>
            <w:tcW w:w="1916" w:type="dxa"/>
            <w:vAlign w:val="center"/>
          </w:tcPr>
          <w:p w14:paraId="0C9A3A3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13B7D4A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0E64E20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1.52</w:t>
            </w:r>
          </w:p>
        </w:tc>
        <w:tc>
          <w:tcPr>
            <w:tcW w:w="1916" w:type="dxa"/>
            <w:vAlign w:val="center"/>
          </w:tcPr>
          <w:p w14:paraId="4F3F1F1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0.2278</w:t>
            </w:r>
          </w:p>
        </w:tc>
        <w:tc>
          <w:tcPr>
            <w:tcW w:w="1916" w:type="dxa"/>
            <w:vAlign w:val="center"/>
          </w:tcPr>
          <w:p w14:paraId="4397E62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2A179E9F" w14:textId="77777777" w:rsidTr="00DA556B">
        <w:trPr>
          <w:trHeight w:val="556"/>
          <w:jc w:val="center"/>
        </w:trPr>
        <w:tc>
          <w:tcPr>
            <w:tcW w:w="2771" w:type="dxa"/>
            <w:vAlign w:val="center"/>
          </w:tcPr>
          <w:p w14:paraId="0E1DBBC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Dibenz(</w:t>
            </w:r>
            <w:proofErr w:type="spellStart"/>
            <w:r w:rsidRPr="003A19C3">
              <w:rPr>
                <w:rFonts w:cs="Times New Roman"/>
                <w:sz w:val="20"/>
                <w:szCs w:val="20"/>
              </w:rPr>
              <w:t>a,h</w:t>
            </w:r>
            <w:proofErr w:type="spellEnd"/>
            <w:r w:rsidRPr="003A19C3">
              <w:rPr>
                <w:rFonts w:cs="Times New Roman"/>
                <w:sz w:val="20"/>
                <w:szCs w:val="20"/>
              </w:rPr>
              <w:t>)anthracene</w:t>
            </w:r>
          </w:p>
        </w:tc>
        <w:tc>
          <w:tcPr>
            <w:tcW w:w="1916" w:type="dxa"/>
            <w:vAlign w:val="center"/>
          </w:tcPr>
          <w:p w14:paraId="25BA4E2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7754641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B8FA15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502E47D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1A8637C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459F7E35" w14:textId="77777777" w:rsidTr="00DA556B">
        <w:trPr>
          <w:trHeight w:val="545"/>
          <w:jc w:val="center"/>
        </w:trPr>
        <w:tc>
          <w:tcPr>
            <w:tcW w:w="2771" w:type="dxa"/>
            <w:vAlign w:val="center"/>
          </w:tcPr>
          <w:p w14:paraId="672D09D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Fluoranthene</w:t>
            </w:r>
          </w:p>
        </w:tc>
        <w:tc>
          <w:tcPr>
            <w:tcW w:w="1916" w:type="dxa"/>
            <w:vAlign w:val="center"/>
          </w:tcPr>
          <w:p w14:paraId="45E01D6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41D5DD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448C334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0.05</w:t>
            </w:r>
          </w:p>
        </w:tc>
        <w:tc>
          <w:tcPr>
            <w:tcW w:w="1916" w:type="dxa"/>
            <w:vAlign w:val="center"/>
          </w:tcPr>
          <w:p w14:paraId="5196E77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0.8332</w:t>
            </w:r>
          </w:p>
        </w:tc>
        <w:tc>
          <w:tcPr>
            <w:tcW w:w="1916" w:type="dxa"/>
            <w:vAlign w:val="center"/>
          </w:tcPr>
          <w:p w14:paraId="253A38B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70B3841" w14:textId="77777777" w:rsidTr="00DA556B">
        <w:trPr>
          <w:trHeight w:val="556"/>
          <w:jc w:val="center"/>
        </w:trPr>
        <w:tc>
          <w:tcPr>
            <w:tcW w:w="2771" w:type="dxa"/>
            <w:vAlign w:val="center"/>
          </w:tcPr>
          <w:p w14:paraId="12B97F0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Fluorene</w:t>
            </w:r>
          </w:p>
        </w:tc>
        <w:tc>
          <w:tcPr>
            <w:tcW w:w="1916" w:type="dxa"/>
            <w:vAlign w:val="center"/>
          </w:tcPr>
          <w:p w14:paraId="714B568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7244811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4918503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2.33</w:t>
            </w:r>
          </w:p>
        </w:tc>
        <w:tc>
          <w:tcPr>
            <w:tcW w:w="1916" w:type="dxa"/>
            <w:vAlign w:val="center"/>
          </w:tcPr>
          <w:p w14:paraId="44C9AB7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0.1374</w:t>
            </w:r>
          </w:p>
        </w:tc>
        <w:tc>
          <w:tcPr>
            <w:tcW w:w="1916" w:type="dxa"/>
            <w:vAlign w:val="center"/>
          </w:tcPr>
          <w:p w14:paraId="07C2CBA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0B02FAED" w14:textId="77777777" w:rsidTr="00DA556B">
        <w:trPr>
          <w:trHeight w:val="1102"/>
          <w:jc w:val="center"/>
        </w:trPr>
        <w:tc>
          <w:tcPr>
            <w:tcW w:w="2771" w:type="dxa"/>
            <w:vAlign w:val="center"/>
          </w:tcPr>
          <w:p w14:paraId="647A021C"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Indeno</w:t>
            </w:r>
            <w:proofErr w:type="spellEnd"/>
            <w:r w:rsidRPr="003A19C3">
              <w:rPr>
                <w:rFonts w:cs="Times New Roman"/>
                <w:sz w:val="20"/>
                <w:szCs w:val="20"/>
              </w:rPr>
              <w:t>(1,2,3-c,d)pyrene</w:t>
            </w:r>
          </w:p>
        </w:tc>
        <w:tc>
          <w:tcPr>
            <w:tcW w:w="1916" w:type="dxa"/>
            <w:vAlign w:val="center"/>
          </w:tcPr>
          <w:p w14:paraId="37AFC69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6D6331B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11778B5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3229F35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0E69C6F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1B21F212" w14:textId="77777777" w:rsidTr="00DA556B">
        <w:trPr>
          <w:trHeight w:val="556"/>
          <w:jc w:val="center"/>
        </w:trPr>
        <w:tc>
          <w:tcPr>
            <w:tcW w:w="2771" w:type="dxa"/>
            <w:vAlign w:val="center"/>
          </w:tcPr>
          <w:p w14:paraId="0C611FF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Naphthalene</w:t>
            </w:r>
          </w:p>
        </w:tc>
        <w:tc>
          <w:tcPr>
            <w:tcW w:w="1916" w:type="dxa"/>
            <w:vAlign w:val="center"/>
          </w:tcPr>
          <w:p w14:paraId="0514976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0201459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05D7F01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0.28</w:t>
            </w:r>
          </w:p>
        </w:tc>
        <w:tc>
          <w:tcPr>
            <w:tcW w:w="1916" w:type="dxa"/>
            <w:vAlign w:val="center"/>
          </w:tcPr>
          <w:p w14:paraId="4822D00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0.5983</w:t>
            </w:r>
          </w:p>
        </w:tc>
        <w:tc>
          <w:tcPr>
            <w:tcW w:w="1916" w:type="dxa"/>
            <w:vAlign w:val="center"/>
          </w:tcPr>
          <w:p w14:paraId="7A94021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8A26EAC" w14:textId="77777777" w:rsidTr="00DA556B">
        <w:trPr>
          <w:trHeight w:val="545"/>
          <w:jc w:val="center"/>
        </w:trPr>
        <w:tc>
          <w:tcPr>
            <w:tcW w:w="2771" w:type="dxa"/>
            <w:vAlign w:val="center"/>
          </w:tcPr>
          <w:p w14:paraId="005066C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Phenanthrene</w:t>
            </w:r>
          </w:p>
        </w:tc>
        <w:tc>
          <w:tcPr>
            <w:tcW w:w="1916" w:type="dxa"/>
            <w:vAlign w:val="center"/>
          </w:tcPr>
          <w:p w14:paraId="278453D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1A9012C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242D37B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0.53</w:t>
            </w:r>
          </w:p>
        </w:tc>
        <w:tc>
          <w:tcPr>
            <w:tcW w:w="1916" w:type="dxa"/>
            <w:vAlign w:val="center"/>
          </w:tcPr>
          <w:p w14:paraId="75BEE54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0.4714</w:t>
            </w:r>
          </w:p>
        </w:tc>
        <w:tc>
          <w:tcPr>
            <w:tcW w:w="1916" w:type="dxa"/>
            <w:vAlign w:val="center"/>
          </w:tcPr>
          <w:p w14:paraId="376FD74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D1C2B7F" w14:textId="77777777" w:rsidTr="00DA556B">
        <w:trPr>
          <w:trHeight w:val="556"/>
          <w:jc w:val="center"/>
        </w:trPr>
        <w:tc>
          <w:tcPr>
            <w:tcW w:w="2771" w:type="dxa"/>
            <w:vAlign w:val="center"/>
          </w:tcPr>
          <w:p w14:paraId="6A7C98F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lastRenderedPageBreak/>
              <w:t>Pyrene</w:t>
            </w:r>
          </w:p>
        </w:tc>
        <w:tc>
          <w:tcPr>
            <w:tcW w:w="1916" w:type="dxa"/>
            <w:vAlign w:val="center"/>
          </w:tcPr>
          <w:p w14:paraId="49045B4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472F553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7DE4FA5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3.55</w:t>
            </w:r>
          </w:p>
        </w:tc>
        <w:tc>
          <w:tcPr>
            <w:tcW w:w="1916" w:type="dxa"/>
            <w:vAlign w:val="center"/>
          </w:tcPr>
          <w:p w14:paraId="5463DF6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0.0697</w:t>
            </w:r>
          </w:p>
        </w:tc>
        <w:tc>
          <w:tcPr>
            <w:tcW w:w="1916" w:type="dxa"/>
            <w:vAlign w:val="center"/>
          </w:tcPr>
          <w:p w14:paraId="167D39B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73296EAF" w14:textId="77777777" w:rsidTr="00DA556B">
        <w:trPr>
          <w:trHeight w:val="545"/>
          <w:jc w:val="center"/>
        </w:trPr>
        <w:tc>
          <w:tcPr>
            <w:tcW w:w="2771" w:type="dxa"/>
            <w:vAlign w:val="center"/>
          </w:tcPr>
          <w:p w14:paraId="1CBD974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Total PAHs</w:t>
            </w:r>
          </w:p>
        </w:tc>
        <w:tc>
          <w:tcPr>
            <w:tcW w:w="1916" w:type="dxa"/>
            <w:vAlign w:val="center"/>
          </w:tcPr>
          <w:p w14:paraId="306261F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Environs</w:t>
            </w:r>
          </w:p>
        </w:tc>
        <w:tc>
          <w:tcPr>
            <w:tcW w:w="1916" w:type="dxa"/>
            <w:vAlign w:val="center"/>
          </w:tcPr>
          <w:p w14:paraId="4954A69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4F876CE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0.39</w:t>
            </w:r>
          </w:p>
        </w:tc>
        <w:tc>
          <w:tcPr>
            <w:tcW w:w="1916" w:type="dxa"/>
            <w:vAlign w:val="center"/>
          </w:tcPr>
          <w:p w14:paraId="1969E4C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0.5356</w:t>
            </w:r>
          </w:p>
        </w:tc>
        <w:tc>
          <w:tcPr>
            <w:tcW w:w="1916" w:type="dxa"/>
            <w:vAlign w:val="center"/>
          </w:tcPr>
          <w:p w14:paraId="0E79D69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429D2F22" w14:textId="77777777" w:rsidTr="00DA556B">
        <w:trPr>
          <w:trHeight w:val="556"/>
          <w:jc w:val="center"/>
        </w:trPr>
        <w:tc>
          <w:tcPr>
            <w:tcW w:w="2771" w:type="dxa"/>
            <w:vAlign w:val="center"/>
          </w:tcPr>
          <w:p w14:paraId="178833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Acenaphthene</w:t>
            </w:r>
          </w:p>
        </w:tc>
        <w:tc>
          <w:tcPr>
            <w:tcW w:w="1916" w:type="dxa"/>
            <w:vAlign w:val="center"/>
          </w:tcPr>
          <w:p w14:paraId="5F19518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695A842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508CEEF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0.91</w:t>
            </w:r>
          </w:p>
        </w:tc>
        <w:tc>
          <w:tcPr>
            <w:tcW w:w="1916" w:type="dxa"/>
            <w:vAlign w:val="center"/>
          </w:tcPr>
          <w:p w14:paraId="49B92E6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0.5064</w:t>
            </w:r>
          </w:p>
        </w:tc>
        <w:tc>
          <w:tcPr>
            <w:tcW w:w="1916" w:type="dxa"/>
            <w:vAlign w:val="center"/>
          </w:tcPr>
          <w:p w14:paraId="60373FF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6900BF6B" w14:textId="77777777" w:rsidTr="00DA556B">
        <w:trPr>
          <w:trHeight w:val="545"/>
          <w:jc w:val="center"/>
        </w:trPr>
        <w:tc>
          <w:tcPr>
            <w:tcW w:w="2771" w:type="dxa"/>
            <w:vAlign w:val="center"/>
          </w:tcPr>
          <w:p w14:paraId="23260DB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Acenaphthylene</w:t>
            </w:r>
          </w:p>
        </w:tc>
        <w:tc>
          <w:tcPr>
            <w:tcW w:w="1916" w:type="dxa"/>
            <w:vAlign w:val="center"/>
          </w:tcPr>
          <w:p w14:paraId="05E9ABB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706DF4E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455854A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2.88</w:t>
            </w:r>
          </w:p>
        </w:tc>
        <w:tc>
          <w:tcPr>
            <w:tcW w:w="1916" w:type="dxa"/>
            <w:vAlign w:val="center"/>
          </w:tcPr>
          <w:p w14:paraId="68B52AE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0.0292</w:t>
            </w:r>
          </w:p>
        </w:tc>
        <w:tc>
          <w:tcPr>
            <w:tcW w:w="1916" w:type="dxa"/>
            <w:vAlign w:val="center"/>
          </w:tcPr>
          <w:p w14:paraId="093C4A7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66C80CEE" w14:textId="77777777" w:rsidTr="00DA556B">
        <w:trPr>
          <w:trHeight w:val="556"/>
          <w:jc w:val="center"/>
        </w:trPr>
        <w:tc>
          <w:tcPr>
            <w:tcW w:w="2771" w:type="dxa"/>
            <w:vAlign w:val="center"/>
          </w:tcPr>
          <w:p w14:paraId="5CBC5B1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Anthracene</w:t>
            </w:r>
          </w:p>
        </w:tc>
        <w:tc>
          <w:tcPr>
            <w:tcW w:w="1916" w:type="dxa"/>
            <w:vAlign w:val="center"/>
          </w:tcPr>
          <w:p w14:paraId="40FE63E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7A4C899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654811F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1.73</w:t>
            </w:r>
          </w:p>
        </w:tc>
        <w:tc>
          <w:tcPr>
            <w:tcW w:w="1916" w:type="dxa"/>
            <w:vAlign w:val="center"/>
          </w:tcPr>
          <w:p w14:paraId="18E5368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0.1573</w:t>
            </w:r>
          </w:p>
        </w:tc>
        <w:tc>
          <w:tcPr>
            <w:tcW w:w="1916" w:type="dxa"/>
            <w:vAlign w:val="center"/>
          </w:tcPr>
          <w:p w14:paraId="2C6982B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68AFC48D" w14:textId="77777777" w:rsidTr="00DA556B">
        <w:trPr>
          <w:trHeight w:val="545"/>
          <w:jc w:val="center"/>
        </w:trPr>
        <w:tc>
          <w:tcPr>
            <w:tcW w:w="2771" w:type="dxa"/>
            <w:vAlign w:val="center"/>
          </w:tcPr>
          <w:p w14:paraId="23A4E2A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Benzo(a)Pyrene</w:t>
            </w:r>
          </w:p>
        </w:tc>
        <w:tc>
          <w:tcPr>
            <w:tcW w:w="1916" w:type="dxa"/>
            <w:vAlign w:val="center"/>
          </w:tcPr>
          <w:p w14:paraId="0796D7A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40DB54F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39567B6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45C87D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3770426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379EB2CC" w14:textId="77777777" w:rsidTr="00DA556B">
        <w:trPr>
          <w:trHeight w:val="556"/>
          <w:jc w:val="center"/>
        </w:trPr>
        <w:tc>
          <w:tcPr>
            <w:tcW w:w="2771" w:type="dxa"/>
            <w:vAlign w:val="center"/>
          </w:tcPr>
          <w:p w14:paraId="3A14475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Benzo(a)anthracene</w:t>
            </w:r>
          </w:p>
        </w:tc>
        <w:tc>
          <w:tcPr>
            <w:tcW w:w="1916" w:type="dxa"/>
            <w:vAlign w:val="center"/>
          </w:tcPr>
          <w:p w14:paraId="3701A09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547A550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741C289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1.13</w:t>
            </w:r>
          </w:p>
        </w:tc>
        <w:tc>
          <w:tcPr>
            <w:tcW w:w="1916" w:type="dxa"/>
            <w:vAlign w:val="center"/>
          </w:tcPr>
          <w:p w14:paraId="774EBE5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0.3761</w:t>
            </w:r>
          </w:p>
        </w:tc>
        <w:tc>
          <w:tcPr>
            <w:tcW w:w="1916" w:type="dxa"/>
            <w:vAlign w:val="center"/>
          </w:tcPr>
          <w:p w14:paraId="22E7F49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2749EEBE" w14:textId="77777777" w:rsidTr="00DA556B">
        <w:trPr>
          <w:trHeight w:val="545"/>
          <w:jc w:val="center"/>
        </w:trPr>
        <w:tc>
          <w:tcPr>
            <w:tcW w:w="2771" w:type="dxa"/>
            <w:vAlign w:val="center"/>
          </w:tcPr>
          <w:p w14:paraId="5E3E1E9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Benzo(b)fluoranthene</w:t>
            </w:r>
          </w:p>
        </w:tc>
        <w:tc>
          <w:tcPr>
            <w:tcW w:w="1916" w:type="dxa"/>
            <w:vAlign w:val="center"/>
          </w:tcPr>
          <w:p w14:paraId="10276E1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53B6C11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251A88A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3.70</w:t>
            </w:r>
          </w:p>
        </w:tc>
        <w:tc>
          <w:tcPr>
            <w:tcW w:w="1916" w:type="dxa"/>
            <w:vAlign w:val="center"/>
          </w:tcPr>
          <w:p w14:paraId="05F9BE8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0.0095</w:t>
            </w:r>
          </w:p>
        </w:tc>
        <w:tc>
          <w:tcPr>
            <w:tcW w:w="1916" w:type="dxa"/>
            <w:vAlign w:val="center"/>
          </w:tcPr>
          <w:p w14:paraId="590EC93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2A40ECED" w14:textId="77777777" w:rsidTr="00DA556B">
        <w:trPr>
          <w:trHeight w:val="556"/>
          <w:jc w:val="center"/>
        </w:trPr>
        <w:tc>
          <w:tcPr>
            <w:tcW w:w="2771" w:type="dxa"/>
            <w:vAlign w:val="center"/>
          </w:tcPr>
          <w:p w14:paraId="5A58A57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w:t>
            </w:r>
            <w:proofErr w:type="spellStart"/>
            <w:r w:rsidRPr="003A19C3">
              <w:rPr>
                <w:rFonts w:cs="Times New Roman"/>
                <w:sz w:val="20"/>
                <w:szCs w:val="20"/>
              </w:rPr>
              <w:t>g,h,i</w:t>
            </w:r>
            <w:proofErr w:type="spellEnd"/>
            <w:r w:rsidRPr="003A19C3">
              <w:rPr>
                <w:rFonts w:cs="Times New Roman"/>
                <w:sz w:val="20"/>
                <w:szCs w:val="20"/>
              </w:rPr>
              <w:t>)perylene</w:t>
            </w:r>
          </w:p>
        </w:tc>
        <w:tc>
          <w:tcPr>
            <w:tcW w:w="1916" w:type="dxa"/>
            <w:vAlign w:val="center"/>
          </w:tcPr>
          <w:p w14:paraId="15D1D5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2DE52F0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4C48F03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25341FF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5BBAD9C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140B294D" w14:textId="77777777" w:rsidTr="00DA556B">
        <w:trPr>
          <w:trHeight w:val="545"/>
          <w:jc w:val="center"/>
        </w:trPr>
        <w:tc>
          <w:tcPr>
            <w:tcW w:w="2771" w:type="dxa"/>
            <w:vAlign w:val="center"/>
          </w:tcPr>
          <w:p w14:paraId="17CE06D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Benzo(k)fluoranthene</w:t>
            </w:r>
          </w:p>
        </w:tc>
        <w:tc>
          <w:tcPr>
            <w:tcW w:w="1916" w:type="dxa"/>
            <w:vAlign w:val="center"/>
          </w:tcPr>
          <w:p w14:paraId="55E8DED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61B9A03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2943599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0.93</w:t>
            </w:r>
          </w:p>
        </w:tc>
        <w:tc>
          <w:tcPr>
            <w:tcW w:w="1916" w:type="dxa"/>
            <w:vAlign w:val="center"/>
          </w:tcPr>
          <w:p w14:paraId="17D0848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0.4909</w:t>
            </w:r>
          </w:p>
        </w:tc>
        <w:tc>
          <w:tcPr>
            <w:tcW w:w="1916" w:type="dxa"/>
            <w:vAlign w:val="center"/>
          </w:tcPr>
          <w:p w14:paraId="3579930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7CEE2189" w14:textId="77777777" w:rsidTr="00DA556B">
        <w:trPr>
          <w:trHeight w:val="556"/>
          <w:jc w:val="center"/>
        </w:trPr>
        <w:tc>
          <w:tcPr>
            <w:tcW w:w="2771" w:type="dxa"/>
            <w:vAlign w:val="center"/>
          </w:tcPr>
          <w:p w14:paraId="0B3C1EB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Chrysene</w:t>
            </w:r>
          </w:p>
        </w:tc>
        <w:tc>
          <w:tcPr>
            <w:tcW w:w="1916" w:type="dxa"/>
            <w:vAlign w:val="center"/>
          </w:tcPr>
          <w:p w14:paraId="1C72ADE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7686D1A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2D2515B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4.27</w:t>
            </w:r>
          </w:p>
        </w:tc>
        <w:tc>
          <w:tcPr>
            <w:tcW w:w="1916" w:type="dxa"/>
            <w:vAlign w:val="center"/>
          </w:tcPr>
          <w:p w14:paraId="02BEA34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0.0046</w:t>
            </w:r>
          </w:p>
        </w:tc>
        <w:tc>
          <w:tcPr>
            <w:tcW w:w="1916" w:type="dxa"/>
            <w:vAlign w:val="center"/>
          </w:tcPr>
          <w:p w14:paraId="668AFBE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47FC0AC6" w14:textId="77777777" w:rsidTr="00DA556B">
        <w:trPr>
          <w:trHeight w:val="545"/>
          <w:jc w:val="center"/>
        </w:trPr>
        <w:tc>
          <w:tcPr>
            <w:tcW w:w="2771" w:type="dxa"/>
            <w:vAlign w:val="center"/>
          </w:tcPr>
          <w:p w14:paraId="56896F1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Dibenz(</w:t>
            </w:r>
            <w:proofErr w:type="spellStart"/>
            <w:r w:rsidRPr="003A19C3">
              <w:rPr>
                <w:rFonts w:cs="Times New Roman"/>
                <w:sz w:val="20"/>
                <w:szCs w:val="20"/>
              </w:rPr>
              <w:t>a,h</w:t>
            </w:r>
            <w:proofErr w:type="spellEnd"/>
            <w:r w:rsidRPr="003A19C3">
              <w:rPr>
                <w:rFonts w:cs="Times New Roman"/>
                <w:sz w:val="20"/>
                <w:szCs w:val="20"/>
              </w:rPr>
              <w:t>)anthracene</w:t>
            </w:r>
          </w:p>
        </w:tc>
        <w:tc>
          <w:tcPr>
            <w:tcW w:w="1916" w:type="dxa"/>
            <w:vAlign w:val="center"/>
          </w:tcPr>
          <w:p w14:paraId="7177BBF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1972E12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67354B4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0296752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611A45F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19485622" w14:textId="77777777" w:rsidTr="00DA556B">
        <w:trPr>
          <w:trHeight w:val="556"/>
          <w:jc w:val="center"/>
        </w:trPr>
        <w:tc>
          <w:tcPr>
            <w:tcW w:w="2771" w:type="dxa"/>
            <w:vAlign w:val="center"/>
          </w:tcPr>
          <w:p w14:paraId="2B36352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Fluoranthene</w:t>
            </w:r>
          </w:p>
        </w:tc>
        <w:tc>
          <w:tcPr>
            <w:tcW w:w="1916" w:type="dxa"/>
            <w:vAlign w:val="center"/>
          </w:tcPr>
          <w:p w14:paraId="59A30B1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5EED41F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4F08FEB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2.53</w:t>
            </w:r>
          </w:p>
        </w:tc>
        <w:tc>
          <w:tcPr>
            <w:tcW w:w="1916" w:type="dxa"/>
            <w:vAlign w:val="center"/>
          </w:tcPr>
          <w:p w14:paraId="2721A09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0.0484</w:t>
            </w:r>
          </w:p>
        </w:tc>
        <w:tc>
          <w:tcPr>
            <w:tcW w:w="1916" w:type="dxa"/>
            <w:vAlign w:val="center"/>
          </w:tcPr>
          <w:p w14:paraId="501A3AA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15F775B5" w14:textId="77777777" w:rsidTr="00DA556B">
        <w:trPr>
          <w:trHeight w:val="545"/>
          <w:jc w:val="center"/>
        </w:trPr>
        <w:tc>
          <w:tcPr>
            <w:tcW w:w="2771" w:type="dxa"/>
            <w:vAlign w:val="center"/>
          </w:tcPr>
          <w:p w14:paraId="071D24C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Fluorene</w:t>
            </w:r>
          </w:p>
        </w:tc>
        <w:tc>
          <w:tcPr>
            <w:tcW w:w="1916" w:type="dxa"/>
            <w:vAlign w:val="center"/>
          </w:tcPr>
          <w:p w14:paraId="0419AD2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6813B0F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5678D5B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5.01</w:t>
            </w:r>
          </w:p>
        </w:tc>
        <w:tc>
          <w:tcPr>
            <w:tcW w:w="1916" w:type="dxa"/>
            <w:vAlign w:val="center"/>
          </w:tcPr>
          <w:p w14:paraId="74AC7D9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0.0019</w:t>
            </w:r>
          </w:p>
        </w:tc>
        <w:tc>
          <w:tcPr>
            <w:tcW w:w="1916" w:type="dxa"/>
            <w:vAlign w:val="center"/>
          </w:tcPr>
          <w:p w14:paraId="185BD49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32FD713C" w14:textId="77777777" w:rsidTr="00DA556B">
        <w:trPr>
          <w:trHeight w:val="556"/>
          <w:jc w:val="center"/>
        </w:trPr>
        <w:tc>
          <w:tcPr>
            <w:tcW w:w="2771" w:type="dxa"/>
            <w:vAlign w:val="center"/>
          </w:tcPr>
          <w:p w14:paraId="516B53DB"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sz w:val="20"/>
                <w:szCs w:val="20"/>
              </w:rPr>
              <w:t>Indeno</w:t>
            </w:r>
            <w:proofErr w:type="spellEnd"/>
            <w:r w:rsidRPr="003A19C3">
              <w:rPr>
                <w:rFonts w:cs="Times New Roman"/>
                <w:sz w:val="20"/>
                <w:szCs w:val="20"/>
              </w:rPr>
              <w:t>(1,2,3-c,d)pyrene</w:t>
            </w:r>
          </w:p>
        </w:tc>
        <w:tc>
          <w:tcPr>
            <w:tcW w:w="1916" w:type="dxa"/>
            <w:vAlign w:val="center"/>
          </w:tcPr>
          <w:p w14:paraId="1D7CCDC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57EE2CB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673767B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53939B0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w:t>
            </w:r>
          </w:p>
        </w:tc>
        <w:tc>
          <w:tcPr>
            <w:tcW w:w="1916" w:type="dxa"/>
            <w:vAlign w:val="center"/>
          </w:tcPr>
          <w:p w14:paraId="60AEF51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6FDD885" w14:textId="77777777" w:rsidTr="00DA556B">
        <w:trPr>
          <w:trHeight w:val="144"/>
          <w:jc w:val="center"/>
        </w:trPr>
        <w:tc>
          <w:tcPr>
            <w:tcW w:w="2771" w:type="dxa"/>
            <w:vAlign w:val="center"/>
          </w:tcPr>
          <w:p w14:paraId="3FEDEAA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Naphthalene</w:t>
            </w:r>
          </w:p>
        </w:tc>
        <w:tc>
          <w:tcPr>
            <w:tcW w:w="1916" w:type="dxa"/>
            <w:vAlign w:val="center"/>
          </w:tcPr>
          <w:p w14:paraId="254F088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64077F1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0EA41B0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2.23</w:t>
            </w:r>
          </w:p>
        </w:tc>
        <w:tc>
          <w:tcPr>
            <w:tcW w:w="1916" w:type="dxa"/>
            <w:vAlign w:val="center"/>
          </w:tcPr>
          <w:p w14:paraId="48ACDA4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0.0753</w:t>
            </w:r>
          </w:p>
        </w:tc>
        <w:tc>
          <w:tcPr>
            <w:tcW w:w="1916" w:type="dxa"/>
            <w:vAlign w:val="center"/>
          </w:tcPr>
          <w:p w14:paraId="2A3F3C6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511DE143" w14:textId="77777777" w:rsidTr="00DA556B">
        <w:trPr>
          <w:trHeight w:val="144"/>
          <w:jc w:val="center"/>
        </w:trPr>
        <w:tc>
          <w:tcPr>
            <w:tcW w:w="2771" w:type="dxa"/>
            <w:vAlign w:val="center"/>
          </w:tcPr>
          <w:p w14:paraId="636845A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Phenanthrene</w:t>
            </w:r>
          </w:p>
        </w:tc>
        <w:tc>
          <w:tcPr>
            <w:tcW w:w="1916" w:type="dxa"/>
            <w:vAlign w:val="center"/>
          </w:tcPr>
          <w:p w14:paraId="3243E6C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71F8A64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6B109B2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4.70</w:t>
            </w:r>
          </w:p>
        </w:tc>
        <w:tc>
          <w:tcPr>
            <w:tcW w:w="1916" w:type="dxa"/>
            <w:vAlign w:val="center"/>
          </w:tcPr>
          <w:p w14:paraId="771E315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0.0027</w:t>
            </w:r>
          </w:p>
        </w:tc>
        <w:tc>
          <w:tcPr>
            <w:tcW w:w="1916" w:type="dxa"/>
            <w:vAlign w:val="center"/>
          </w:tcPr>
          <w:p w14:paraId="5C58AE2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Significant</w:t>
            </w:r>
          </w:p>
        </w:tc>
      </w:tr>
      <w:tr w:rsidR="00524B1F" w:rsidRPr="003A19C3" w14:paraId="1190F0D6" w14:textId="77777777" w:rsidTr="00DA556B">
        <w:trPr>
          <w:trHeight w:val="144"/>
          <w:jc w:val="center"/>
        </w:trPr>
        <w:tc>
          <w:tcPr>
            <w:tcW w:w="2771" w:type="dxa"/>
            <w:vAlign w:val="center"/>
          </w:tcPr>
          <w:p w14:paraId="0257B20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Pyrene</w:t>
            </w:r>
          </w:p>
        </w:tc>
        <w:tc>
          <w:tcPr>
            <w:tcW w:w="1916" w:type="dxa"/>
            <w:vAlign w:val="center"/>
          </w:tcPr>
          <w:p w14:paraId="7955F648"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71D6216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3ECBE63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1.29</w:t>
            </w:r>
          </w:p>
        </w:tc>
        <w:tc>
          <w:tcPr>
            <w:tcW w:w="1916" w:type="dxa"/>
            <w:vAlign w:val="center"/>
          </w:tcPr>
          <w:p w14:paraId="2F4B098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0.2998</w:t>
            </w:r>
          </w:p>
        </w:tc>
        <w:tc>
          <w:tcPr>
            <w:tcW w:w="1916" w:type="dxa"/>
            <w:vAlign w:val="center"/>
          </w:tcPr>
          <w:p w14:paraId="6CB908B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r w:rsidR="00524B1F" w:rsidRPr="003A19C3" w14:paraId="394E2418" w14:textId="77777777" w:rsidTr="00DA556B">
        <w:trPr>
          <w:trHeight w:val="80"/>
          <w:jc w:val="center"/>
        </w:trPr>
        <w:tc>
          <w:tcPr>
            <w:tcW w:w="2771" w:type="dxa"/>
            <w:vAlign w:val="center"/>
          </w:tcPr>
          <w:p w14:paraId="007401C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Total PAHs</w:t>
            </w:r>
          </w:p>
        </w:tc>
        <w:tc>
          <w:tcPr>
            <w:tcW w:w="1916" w:type="dxa"/>
            <w:vAlign w:val="center"/>
          </w:tcPr>
          <w:p w14:paraId="7D76214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Community</w:t>
            </w:r>
          </w:p>
        </w:tc>
        <w:tc>
          <w:tcPr>
            <w:tcW w:w="1916" w:type="dxa"/>
            <w:vAlign w:val="center"/>
          </w:tcPr>
          <w:p w14:paraId="37E7EB7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6,24</w:t>
            </w:r>
          </w:p>
        </w:tc>
        <w:tc>
          <w:tcPr>
            <w:tcW w:w="1916" w:type="dxa"/>
            <w:vAlign w:val="center"/>
          </w:tcPr>
          <w:p w14:paraId="5741735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1.95</w:t>
            </w:r>
          </w:p>
        </w:tc>
        <w:tc>
          <w:tcPr>
            <w:tcW w:w="1916" w:type="dxa"/>
            <w:vAlign w:val="center"/>
          </w:tcPr>
          <w:p w14:paraId="04F3EB5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0.1131</w:t>
            </w:r>
          </w:p>
        </w:tc>
        <w:tc>
          <w:tcPr>
            <w:tcW w:w="1916" w:type="dxa"/>
            <w:vAlign w:val="center"/>
          </w:tcPr>
          <w:p w14:paraId="1C991F3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Not significant</w:t>
            </w:r>
          </w:p>
        </w:tc>
      </w:tr>
    </w:tbl>
    <w:p w14:paraId="05CB7447" w14:textId="77777777" w:rsidR="00524B1F" w:rsidRDefault="00524B1F" w:rsidP="00524B1F">
      <w:pPr>
        <w:spacing w:after="0" w:line="240" w:lineRule="auto"/>
        <w:rPr>
          <w:rFonts w:cs="Times New Roman"/>
          <w:i/>
          <w:sz w:val="24"/>
          <w:szCs w:val="24"/>
        </w:rPr>
      </w:pPr>
      <w:r w:rsidRPr="00544BBF">
        <w:rPr>
          <w:rFonts w:cs="Times New Roman"/>
          <w:i/>
          <w:sz w:val="24"/>
          <w:szCs w:val="24"/>
        </w:rPr>
        <w:t>Note: Significance was interpreted at p &lt; 0.05. N/A indicates insufficient variation for F-test calculation.</w:t>
      </w:r>
    </w:p>
    <w:p w14:paraId="69388D2D" w14:textId="77777777" w:rsidR="00524B1F" w:rsidRDefault="00524B1F" w:rsidP="00524B1F">
      <w:pPr>
        <w:spacing w:after="0" w:line="240" w:lineRule="auto"/>
        <w:rPr>
          <w:rFonts w:cs="Times New Roman"/>
          <w:b/>
          <w:bCs/>
          <w:sz w:val="24"/>
          <w:szCs w:val="24"/>
        </w:rPr>
      </w:pPr>
    </w:p>
    <w:p w14:paraId="398CD8D5" w14:textId="77777777" w:rsidR="00524B1F" w:rsidRPr="003A19C3" w:rsidRDefault="00524B1F" w:rsidP="00524B1F">
      <w:pPr>
        <w:spacing w:after="0" w:line="240" w:lineRule="auto"/>
        <w:rPr>
          <w:rFonts w:cs="Times New Roman"/>
          <w:b/>
          <w:bCs/>
          <w:sz w:val="24"/>
          <w:szCs w:val="24"/>
        </w:rPr>
      </w:pPr>
      <w:r w:rsidRPr="003A19C3">
        <w:rPr>
          <w:rFonts w:cs="Times New Roman"/>
          <w:b/>
          <w:bCs/>
          <w:sz w:val="24"/>
          <w:szCs w:val="24"/>
        </w:rPr>
        <w:lastRenderedPageBreak/>
        <w:t>Principal component analysis</w:t>
      </w:r>
    </w:p>
    <w:p w14:paraId="6B6722EA"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PCA of individual PAHs in air was statistically suitable based on the thesis output. The KMO value for individual PAHs in air was 0.621, and Bartlett's test was significant at p &lt; 0.001, indicating that the correlation structure was adequate for component extraction.</w:t>
      </w:r>
    </w:p>
    <w:p w14:paraId="6EB36C68" w14:textId="77777777" w:rsidR="00524B1F" w:rsidRDefault="00524B1F" w:rsidP="00524B1F">
      <w:pPr>
        <w:spacing w:after="0" w:line="240" w:lineRule="auto"/>
        <w:jc w:val="both"/>
        <w:rPr>
          <w:rFonts w:cs="Times New Roman"/>
          <w:sz w:val="24"/>
          <w:szCs w:val="24"/>
        </w:rPr>
      </w:pPr>
      <w:r w:rsidRPr="00544BBF">
        <w:rPr>
          <w:rFonts w:cs="Times New Roman"/>
          <w:sz w:val="24"/>
          <w:szCs w:val="24"/>
        </w:rPr>
        <w:t>Three principal components were retained for individual PAHs in air and together explained 90.73% of total variance. PC1 explained 52.98%, PC2 explained 21.19% and PC3 explained 16.56%. High positive PC1 loadings for several lower- and mid-molecular PAHs suggest a broad combustion/source mixture influence, while PC2 and PC3 separate additional congener groups that may reflect differences in volatility, particle affinity, microenvironment and source contributions.</w:t>
      </w:r>
    </w:p>
    <w:p w14:paraId="7452C64B" w14:textId="77777777" w:rsidR="00524B1F" w:rsidRDefault="00524B1F" w:rsidP="00524B1F">
      <w:pPr>
        <w:spacing w:after="0" w:line="240" w:lineRule="auto"/>
        <w:jc w:val="both"/>
        <w:rPr>
          <w:rFonts w:cs="Times New Roman"/>
          <w:sz w:val="24"/>
          <w:szCs w:val="24"/>
        </w:rPr>
      </w:pPr>
    </w:p>
    <w:p w14:paraId="268E1678" w14:textId="77777777" w:rsidR="00524B1F" w:rsidRDefault="00524B1F" w:rsidP="00524B1F">
      <w:pPr>
        <w:spacing w:after="0" w:line="240" w:lineRule="auto"/>
        <w:jc w:val="both"/>
        <w:rPr>
          <w:rFonts w:cs="Times New Roman"/>
          <w:sz w:val="24"/>
          <w:szCs w:val="24"/>
        </w:rPr>
      </w:pPr>
    </w:p>
    <w:p w14:paraId="3400D0BD" w14:textId="77777777" w:rsidR="00524B1F" w:rsidRPr="00544BBF" w:rsidRDefault="00524B1F" w:rsidP="00524B1F">
      <w:pPr>
        <w:spacing w:after="0" w:line="240" w:lineRule="auto"/>
        <w:ind w:left="720" w:firstLine="720"/>
        <w:contextualSpacing/>
        <w:rPr>
          <w:rFonts w:cs="Times New Roman"/>
          <w:sz w:val="24"/>
          <w:szCs w:val="24"/>
        </w:rPr>
      </w:pPr>
      <w:r w:rsidRPr="00544BBF">
        <w:rPr>
          <w:rFonts w:cs="Times New Roman"/>
          <w:b/>
          <w:sz w:val="24"/>
          <w:szCs w:val="24"/>
        </w:rPr>
        <w:t xml:space="preserve">Table </w:t>
      </w:r>
      <w:r>
        <w:rPr>
          <w:rFonts w:cs="Times New Roman"/>
          <w:b/>
          <w:sz w:val="24"/>
          <w:szCs w:val="24"/>
        </w:rPr>
        <w:t>6</w:t>
      </w:r>
      <w:r w:rsidRPr="00544BBF">
        <w:rPr>
          <w:rFonts w:cs="Times New Roman"/>
          <w:b/>
          <w:sz w:val="24"/>
          <w:szCs w:val="24"/>
        </w:rPr>
        <w:t>. PCA adequacy and variance summary.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250"/>
        <w:gridCol w:w="1362"/>
        <w:gridCol w:w="1250"/>
        <w:gridCol w:w="1250"/>
        <w:gridCol w:w="289"/>
        <w:gridCol w:w="961"/>
        <w:gridCol w:w="1250"/>
        <w:gridCol w:w="1286"/>
        <w:gridCol w:w="1604"/>
      </w:tblGrid>
      <w:tr w:rsidR="00524B1F" w:rsidRPr="003A19C3" w14:paraId="1473278A" w14:textId="77777777" w:rsidTr="00DA556B">
        <w:trPr>
          <w:trHeight w:val="330"/>
          <w:jc w:val="center"/>
        </w:trPr>
        <w:tc>
          <w:tcPr>
            <w:tcW w:w="1710" w:type="dxa"/>
            <w:tcBorders>
              <w:top w:val="single" w:sz="4" w:space="0" w:color="auto"/>
              <w:bottom w:val="single" w:sz="4" w:space="0" w:color="auto"/>
            </w:tcBorders>
            <w:vAlign w:val="center"/>
          </w:tcPr>
          <w:p w14:paraId="1E549FA7"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Dataset</w:t>
            </w:r>
          </w:p>
        </w:tc>
        <w:tc>
          <w:tcPr>
            <w:tcW w:w="1250" w:type="dxa"/>
            <w:tcBorders>
              <w:top w:val="single" w:sz="4" w:space="0" w:color="auto"/>
              <w:bottom w:val="single" w:sz="4" w:space="0" w:color="auto"/>
            </w:tcBorders>
            <w:vAlign w:val="center"/>
          </w:tcPr>
          <w:p w14:paraId="2F7D9DF7"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n</w:t>
            </w:r>
          </w:p>
        </w:tc>
        <w:tc>
          <w:tcPr>
            <w:tcW w:w="1362" w:type="dxa"/>
            <w:tcBorders>
              <w:top w:val="single" w:sz="4" w:space="0" w:color="auto"/>
              <w:bottom w:val="single" w:sz="4" w:space="0" w:color="auto"/>
            </w:tcBorders>
            <w:vAlign w:val="center"/>
          </w:tcPr>
          <w:p w14:paraId="0121CD79"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Variables</w:t>
            </w:r>
          </w:p>
        </w:tc>
        <w:tc>
          <w:tcPr>
            <w:tcW w:w="1250" w:type="dxa"/>
            <w:tcBorders>
              <w:top w:val="single" w:sz="4" w:space="0" w:color="auto"/>
              <w:bottom w:val="single" w:sz="4" w:space="0" w:color="auto"/>
            </w:tcBorders>
            <w:vAlign w:val="center"/>
          </w:tcPr>
          <w:p w14:paraId="08D44C0A"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KMO</w:t>
            </w:r>
          </w:p>
        </w:tc>
        <w:tc>
          <w:tcPr>
            <w:tcW w:w="1539" w:type="dxa"/>
            <w:gridSpan w:val="2"/>
            <w:tcBorders>
              <w:top w:val="single" w:sz="4" w:space="0" w:color="auto"/>
              <w:bottom w:val="single" w:sz="4" w:space="0" w:color="auto"/>
            </w:tcBorders>
            <w:vAlign w:val="center"/>
          </w:tcPr>
          <w:p w14:paraId="5375CE23"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Bartlett chi-square</w:t>
            </w:r>
          </w:p>
        </w:tc>
        <w:tc>
          <w:tcPr>
            <w:tcW w:w="961" w:type="dxa"/>
            <w:tcBorders>
              <w:top w:val="single" w:sz="4" w:space="0" w:color="auto"/>
              <w:bottom w:val="single" w:sz="4" w:space="0" w:color="auto"/>
            </w:tcBorders>
            <w:vAlign w:val="center"/>
          </w:tcPr>
          <w:p w14:paraId="6971E406" w14:textId="77777777" w:rsidR="00524B1F" w:rsidRPr="003A19C3" w:rsidRDefault="00524B1F" w:rsidP="00DA556B">
            <w:pPr>
              <w:spacing w:after="0" w:line="240" w:lineRule="auto"/>
              <w:jc w:val="center"/>
              <w:rPr>
                <w:rFonts w:cs="Times New Roman"/>
                <w:sz w:val="20"/>
                <w:szCs w:val="20"/>
              </w:rPr>
            </w:pPr>
            <w:proofErr w:type="spellStart"/>
            <w:r w:rsidRPr="003A19C3">
              <w:rPr>
                <w:rFonts w:cs="Times New Roman"/>
                <w:b/>
                <w:sz w:val="20"/>
                <w:szCs w:val="20"/>
              </w:rPr>
              <w:t>df</w:t>
            </w:r>
            <w:proofErr w:type="spellEnd"/>
          </w:p>
        </w:tc>
        <w:tc>
          <w:tcPr>
            <w:tcW w:w="1250" w:type="dxa"/>
            <w:tcBorders>
              <w:top w:val="single" w:sz="4" w:space="0" w:color="auto"/>
              <w:bottom w:val="single" w:sz="4" w:space="0" w:color="auto"/>
            </w:tcBorders>
            <w:vAlign w:val="center"/>
          </w:tcPr>
          <w:p w14:paraId="5145B177"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p-value</w:t>
            </w:r>
          </w:p>
        </w:tc>
        <w:tc>
          <w:tcPr>
            <w:tcW w:w="1286" w:type="dxa"/>
            <w:tcBorders>
              <w:top w:val="single" w:sz="4" w:space="0" w:color="auto"/>
              <w:bottom w:val="single" w:sz="4" w:space="0" w:color="auto"/>
            </w:tcBorders>
            <w:vAlign w:val="center"/>
          </w:tcPr>
          <w:p w14:paraId="79B602A9"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Retained PCs</w:t>
            </w:r>
          </w:p>
        </w:tc>
        <w:tc>
          <w:tcPr>
            <w:tcW w:w="1604" w:type="dxa"/>
            <w:tcBorders>
              <w:top w:val="single" w:sz="4" w:space="0" w:color="auto"/>
              <w:bottom w:val="single" w:sz="4" w:space="0" w:color="auto"/>
            </w:tcBorders>
            <w:vAlign w:val="center"/>
          </w:tcPr>
          <w:p w14:paraId="569104D4" w14:textId="77777777" w:rsidR="00524B1F" w:rsidRPr="003A19C3" w:rsidRDefault="00524B1F" w:rsidP="00DA556B">
            <w:pPr>
              <w:spacing w:after="0" w:line="240" w:lineRule="auto"/>
              <w:jc w:val="center"/>
              <w:rPr>
                <w:rFonts w:cs="Times New Roman"/>
                <w:sz w:val="20"/>
                <w:szCs w:val="20"/>
              </w:rPr>
            </w:pPr>
            <w:r w:rsidRPr="003A19C3">
              <w:rPr>
                <w:rFonts w:cs="Times New Roman"/>
                <w:b/>
                <w:sz w:val="20"/>
                <w:szCs w:val="20"/>
              </w:rPr>
              <w:t>Cumulative variance (%)</w:t>
            </w:r>
          </w:p>
        </w:tc>
      </w:tr>
      <w:tr w:rsidR="00524B1F" w:rsidRPr="003A19C3" w14:paraId="45862043" w14:textId="77777777" w:rsidTr="00DA556B">
        <w:trPr>
          <w:trHeight w:val="1389"/>
          <w:jc w:val="center"/>
        </w:trPr>
        <w:tc>
          <w:tcPr>
            <w:tcW w:w="1710" w:type="dxa"/>
            <w:tcBorders>
              <w:top w:val="single" w:sz="4" w:space="0" w:color="auto"/>
            </w:tcBorders>
            <w:vAlign w:val="center"/>
          </w:tcPr>
          <w:p w14:paraId="20C0898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Conventional air pollutants (particulate matter and gases)</w:t>
            </w:r>
          </w:p>
        </w:tc>
        <w:tc>
          <w:tcPr>
            <w:tcW w:w="1250" w:type="dxa"/>
            <w:tcBorders>
              <w:top w:val="single" w:sz="4" w:space="0" w:color="auto"/>
            </w:tcBorders>
            <w:vAlign w:val="center"/>
          </w:tcPr>
          <w:p w14:paraId="156933A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42</w:t>
            </w:r>
          </w:p>
        </w:tc>
        <w:tc>
          <w:tcPr>
            <w:tcW w:w="1362" w:type="dxa"/>
            <w:tcBorders>
              <w:top w:val="single" w:sz="4" w:space="0" w:color="auto"/>
            </w:tcBorders>
            <w:vAlign w:val="center"/>
          </w:tcPr>
          <w:p w14:paraId="7FEF29D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11</w:t>
            </w:r>
          </w:p>
        </w:tc>
        <w:tc>
          <w:tcPr>
            <w:tcW w:w="1250" w:type="dxa"/>
            <w:tcBorders>
              <w:top w:val="single" w:sz="4" w:space="0" w:color="auto"/>
            </w:tcBorders>
            <w:vAlign w:val="center"/>
          </w:tcPr>
          <w:p w14:paraId="1525025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0.570</w:t>
            </w:r>
          </w:p>
        </w:tc>
        <w:tc>
          <w:tcPr>
            <w:tcW w:w="1250" w:type="dxa"/>
            <w:tcBorders>
              <w:top w:val="single" w:sz="4" w:space="0" w:color="auto"/>
            </w:tcBorders>
            <w:vAlign w:val="center"/>
          </w:tcPr>
          <w:p w14:paraId="47D7600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280.01</w:t>
            </w:r>
          </w:p>
        </w:tc>
        <w:tc>
          <w:tcPr>
            <w:tcW w:w="1250" w:type="dxa"/>
            <w:gridSpan w:val="2"/>
            <w:tcBorders>
              <w:top w:val="single" w:sz="4" w:space="0" w:color="auto"/>
            </w:tcBorders>
            <w:vAlign w:val="center"/>
          </w:tcPr>
          <w:p w14:paraId="2C8ADA22"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55</w:t>
            </w:r>
          </w:p>
        </w:tc>
        <w:tc>
          <w:tcPr>
            <w:tcW w:w="1250" w:type="dxa"/>
            <w:tcBorders>
              <w:top w:val="single" w:sz="4" w:space="0" w:color="auto"/>
            </w:tcBorders>
            <w:vAlign w:val="center"/>
          </w:tcPr>
          <w:p w14:paraId="65DF270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 &lt; 0.001</w:t>
            </w:r>
          </w:p>
        </w:tc>
        <w:tc>
          <w:tcPr>
            <w:tcW w:w="1286" w:type="dxa"/>
            <w:tcBorders>
              <w:top w:val="single" w:sz="4" w:space="0" w:color="auto"/>
            </w:tcBorders>
            <w:vAlign w:val="center"/>
          </w:tcPr>
          <w:p w14:paraId="3CE9788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w:t>
            </w:r>
          </w:p>
        </w:tc>
        <w:tc>
          <w:tcPr>
            <w:tcW w:w="1604" w:type="dxa"/>
            <w:tcBorders>
              <w:top w:val="single" w:sz="4" w:space="0" w:color="auto"/>
            </w:tcBorders>
            <w:vAlign w:val="center"/>
          </w:tcPr>
          <w:p w14:paraId="63C2DC3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79.58</w:t>
            </w:r>
          </w:p>
        </w:tc>
      </w:tr>
      <w:tr w:rsidR="00524B1F" w:rsidRPr="003A19C3" w14:paraId="602D4A51" w14:textId="77777777" w:rsidTr="00DA556B">
        <w:trPr>
          <w:trHeight w:val="554"/>
          <w:jc w:val="center"/>
        </w:trPr>
        <w:tc>
          <w:tcPr>
            <w:tcW w:w="1710" w:type="dxa"/>
            <w:vAlign w:val="center"/>
          </w:tcPr>
          <w:p w14:paraId="459089B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Heavy metals in air</w:t>
            </w:r>
          </w:p>
        </w:tc>
        <w:tc>
          <w:tcPr>
            <w:tcW w:w="1250" w:type="dxa"/>
            <w:vAlign w:val="center"/>
          </w:tcPr>
          <w:p w14:paraId="550060D0"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28</w:t>
            </w:r>
          </w:p>
        </w:tc>
        <w:tc>
          <w:tcPr>
            <w:tcW w:w="1362" w:type="dxa"/>
            <w:vAlign w:val="center"/>
          </w:tcPr>
          <w:p w14:paraId="0A8EE6E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w:t>
            </w:r>
          </w:p>
        </w:tc>
        <w:tc>
          <w:tcPr>
            <w:tcW w:w="1250" w:type="dxa"/>
            <w:vAlign w:val="center"/>
          </w:tcPr>
          <w:p w14:paraId="273CEF8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0.401</w:t>
            </w:r>
          </w:p>
        </w:tc>
        <w:tc>
          <w:tcPr>
            <w:tcW w:w="1250" w:type="dxa"/>
            <w:vAlign w:val="center"/>
          </w:tcPr>
          <w:p w14:paraId="67BCFB8E"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214.79</w:t>
            </w:r>
          </w:p>
        </w:tc>
        <w:tc>
          <w:tcPr>
            <w:tcW w:w="1250" w:type="dxa"/>
            <w:gridSpan w:val="2"/>
            <w:vAlign w:val="center"/>
          </w:tcPr>
          <w:p w14:paraId="580B72A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10</w:t>
            </w:r>
          </w:p>
        </w:tc>
        <w:tc>
          <w:tcPr>
            <w:tcW w:w="1250" w:type="dxa"/>
            <w:vAlign w:val="center"/>
          </w:tcPr>
          <w:p w14:paraId="4A3ADC2B"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 &lt; 0.001</w:t>
            </w:r>
          </w:p>
        </w:tc>
        <w:tc>
          <w:tcPr>
            <w:tcW w:w="1286" w:type="dxa"/>
            <w:vAlign w:val="center"/>
          </w:tcPr>
          <w:p w14:paraId="4F1D337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w:t>
            </w:r>
          </w:p>
        </w:tc>
        <w:tc>
          <w:tcPr>
            <w:tcW w:w="1604" w:type="dxa"/>
            <w:vAlign w:val="center"/>
          </w:tcPr>
          <w:p w14:paraId="2E4D226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89.70</w:t>
            </w:r>
          </w:p>
        </w:tc>
      </w:tr>
      <w:tr w:rsidR="00524B1F" w:rsidRPr="003A19C3" w14:paraId="05601BEF" w14:textId="77777777" w:rsidTr="00DA556B">
        <w:trPr>
          <w:trHeight w:val="554"/>
          <w:jc w:val="center"/>
        </w:trPr>
        <w:tc>
          <w:tcPr>
            <w:tcW w:w="1710" w:type="dxa"/>
            <w:vAlign w:val="center"/>
          </w:tcPr>
          <w:p w14:paraId="4488E62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Individual PAHs in air</w:t>
            </w:r>
          </w:p>
        </w:tc>
        <w:tc>
          <w:tcPr>
            <w:tcW w:w="1250" w:type="dxa"/>
            <w:vAlign w:val="center"/>
          </w:tcPr>
          <w:p w14:paraId="52F2797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27</w:t>
            </w:r>
          </w:p>
        </w:tc>
        <w:tc>
          <w:tcPr>
            <w:tcW w:w="1362" w:type="dxa"/>
            <w:vAlign w:val="center"/>
          </w:tcPr>
          <w:p w14:paraId="3B2B1B3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12</w:t>
            </w:r>
          </w:p>
        </w:tc>
        <w:tc>
          <w:tcPr>
            <w:tcW w:w="1250" w:type="dxa"/>
            <w:vAlign w:val="center"/>
          </w:tcPr>
          <w:p w14:paraId="7FBF8A94"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0.621</w:t>
            </w:r>
          </w:p>
        </w:tc>
        <w:tc>
          <w:tcPr>
            <w:tcW w:w="1250" w:type="dxa"/>
            <w:vAlign w:val="center"/>
          </w:tcPr>
          <w:p w14:paraId="7234572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480.86</w:t>
            </w:r>
          </w:p>
        </w:tc>
        <w:tc>
          <w:tcPr>
            <w:tcW w:w="1250" w:type="dxa"/>
            <w:gridSpan w:val="2"/>
            <w:vAlign w:val="center"/>
          </w:tcPr>
          <w:p w14:paraId="5D00A26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66</w:t>
            </w:r>
          </w:p>
        </w:tc>
        <w:tc>
          <w:tcPr>
            <w:tcW w:w="1250" w:type="dxa"/>
            <w:vAlign w:val="center"/>
          </w:tcPr>
          <w:p w14:paraId="7C64040A"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 &lt; 0.001</w:t>
            </w:r>
          </w:p>
        </w:tc>
        <w:tc>
          <w:tcPr>
            <w:tcW w:w="1286" w:type="dxa"/>
            <w:vAlign w:val="center"/>
          </w:tcPr>
          <w:p w14:paraId="23FBE8A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3</w:t>
            </w:r>
          </w:p>
        </w:tc>
        <w:tc>
          <w:tcPr>
            <w:tcW w:w="1604" w:type="dxa"/>
            <w:vAlign w:val="center"/>
          </w:tcPr>
          <w:p w14:paraId="1219DDD6"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90.73</w:t>
            </w:r>
          </w:p>
        </w:tc>
      </w:tr>
      <w:tr w:rsidR="00524B1F" w:rsidRPr="003A19C3" w14:paraId="5DF13B03" w14:textId="77777777" w:rsidTr="00DA556B">
        <w:trPr>
          <w:trHeight w:val="39"/>
          <w:jc w:val="center"/>
        </w:trPr>
        <w:tc>
          <w:tcPr>
            <w:tcW w:w="1710" w:type="dxa"/>
            <w:vAlign w:val="center"/>
          </w:tcPr>
          <w:p w14:paraId="531C545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Leaf biochemical parameters</w:t>
            </w:r>
          </w:p>
        </w:tc>
        <w:tc>
          <w:tcPr>
            <w:tcW w:w="1250" w:type="dxa"/>
            <w:vAlign w:val="center"/>
          </w:tcPr>
          <w:p w14:paraId="00DCC0D7"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52</w:t>
            </w:r>
          </w:p>
        </w:tc>
        <w:tc>
          <w:tcPr>
            <w:tcW w:w="1362" w:type="dxa"/>
            <w:vAlign w:val="center"/>
          </w:tcPr>
          <w:p w14:paraId="2FDE97CD"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5</w:t>
            </w:r>
          </w:p>
        </w:tc>
        <w:tc>
          <w:tcPr>
            <w:tcW w:w="1250" w:type="dxa"/>
            <w:vAlign w:val="center"/>
          </w:tcPr>
          <w:p w14:paraId="097266F3"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0.475</w:t>
            </w:r>
          </w:p>
        </w:tc>
        <w:tc>
          <w:tcPr>
            <w:tcW w:w="1250" w:type="dxa"/>
            <w:vAlign w:val="center"/>
          </w:tcPr>
          <w:p w14:paraId="04E41E3C"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158.79</w:t>
            </w:r>
          </w:p>
        </w:tc>
        <w:tc>
          <w:tcPr>
            <w:tcW w:w="1250" w:type="dxa"/>
            <w:gridSpan w:val="2"/>
            <w:vAlign w:val="center"/>
          </w:tcPr>
          <w:p w14:paraId="3E688421"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10</w:t>
            </w:r>
          </w:p>
        </w:tc>
        <w:tc>
          <w:tcPr>
            <w:tcW w:w="1250" w:type="dxa"/>
            <w:vAlign w:val="center"/>
          </w:tcPr>
          <w:p w14:paraId="4AA1BB25"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p &lt; 0.001</w:t>
            </w:r>
          </w:p>
        </w:tc>
        <w:tc>
          <w:tcPr>
            <w:tcW w:w="1286" w:type="dxa"/>
            <w:vAlign w:val="center"/>
          </w:tcPr>
          <w:p w14:paraId="399551CF"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2</w:t>
            </w:r>
          </w:p>
        </w:tc>
        <w:tc>
          <w:tcPr>
            <w:tcW w:w="1604" w:type="dxa"/>
            <w:vAlign w:val="center"/>
          </w:tcPr>
          <w:p w14:paraId="30704419" w14:textId="77777777" w:rsidR="00524B1F" w:rsidRPr="003A19C3" w:rsidRDefault="00524B1F" w:rsidP="00DA556B">
            <w:pPr>
              <w:spacing w:after="0" w:line="240" w:lineRule="auto"/>
              <w:jc w:val="center"/>
              <w:rPr>
                <w:rFonts w:cs="Times New Roman"/>
                <w:sz w:val="20"/>
                <w:szCs w:val="20"/>
              </w:rPr>
            </w:pPr>
            <w:r w:rsidRPr="003A19C3">
              <w:rPr>
                <w:rFonts w:cs="Times New Roman"/>
                <w:sz w:val="20"/>
                <w:szCs w:val="20"/>
              </w:rPr>
              <w:t>83.35</w:t>
            </w:r>
          </w:p>
        </w:tc>
      </w:tr>
    </w:tbl>
    <w:p w14:paraId="0A71CA52" w14:textId="77777777" w:rsidR="00524B1F" w:rsidRDefault="00524B1F" w:rsidP="00524B1F">
      <w:pPr>
        <w:spacing w:after="0" w:line="240" w:lineRule="auto"/>
        <w:rPr>
          <w:rFonts w:cs="Times New Roman"/>
          <w:b/>
          <w:sz w:val="24"/>
          <w:szCs w:val="24"/>
        </w:rPr>
      </w:pPr>
    </w:p>
    <w:p w14:paraId="4A6B524D" w14:textId="77777777" w:rsidR="00524B1F" w:rsidRDefault="00524B1F" w:rsidP="00524B1F">
      <w:pPr>
        <w:spacing w:after="0" w:line="240" w:lineRule="auto"/>
        <w:rPr>
          <w:rFonts w:cs="Times New Roman"/>
          <w:b/>
          <w:sz w:val="24"/>
          <w:szCs w:val="24"/>
        </w:rPr>
      </w:pPr>
    </w:p>
    <w:p w14:paraId="12413BC0" w14:textId="77777777" w:rsidR="00524B1F" w:rsidRDefault="00524B1F" w:rsidP="00524B1F">
      <w:pPr>
        <w:spacing w:after="0" w:line="240" w:lineRule="auto"/>
        <w:rPr>
          <w:rFonts w:cs="Times New Roman"/>
          <w:b/>
          <w:sz w:val="24"/>
          <w:szCs w:val="24"/>
        </w:rPr>
      </w:pPr>
    </w:p>
    <w:p w14:paraId="6B9DFE2D" w14:textId="77777777" w:rsidR="00524B1F" w:rsidRPr="00544BBF" w:rsidRDefault="00524B1F" w:rsidP="00524B1F">
      <w:pPr>
        <w:spacing w:after="0" w:line="240" w:lineRule="auto"/>
        <w:ind w:left="1440" w:firstLine="720"/>
        <w:contextualSpacing/>
        <w:rPr>
          <w:rFonts w:cs="Times New Roman"/>
          <w:sz w:val="24"/>
          <w:szCs w:val="24"/>
        </w:rPr>
      </w:pPr>
      <w:r w:rsidRPr="00544BBF">
        <w:rPr>
          <w:rFonts w:cs="Times New Roman"/>
          <w:b/>
          <w:sz w:val="24"/>
          <w:szCs w:val="24"/>
        </w:rPr>
        <w:t xml:space="preserve">Table </w:t>
      </w:r>
      <w:r>
        <w:rPr>
          <w:rFonts w:cs="Times New Roman"/>
          <w:b/>
          <w:sz w:val="24"/>
          <w:szCs w:val="24"/>
        </w:rPr>
        <w:t>7</w:t>
      </w:r>
      <w:r w:rsidRPr="00544BBF">
        <w:rPr>
          <w:rFonts w:cs="Times New Roman"/>
          <w:b/>
          <w:sz w:val="24"/>
          <w:szCs w:val="24"/>
        </w:rPr>
        <w:t>. Eigenvalue and variance structure for PCA of individual PAHs in air.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2484"/>
        <w:gridCol w:w="2484"/>
        <w:gridCol w:w="2484"/>
      </w:tblGrid>
      <w:tr w:rsidR="00524B1F" w:rsidRPr="00544BBF" w14:paraId="66D96E7D" w14:textId="77777777" w:rsidTr="00DA556B">
        <w:trPr>
          <w:jc w:val="center"/>
        </w:trPr>
        <w:tc>
          <w:tcPr>
            <w:tcW w:w="2484" w:type="dxa"/>
            <w:tcBorders>
              <w:top w:val="single" w:sz="4" w:space="0" w:color="auto"/>
              <w:bottom w:val="single" w:sz="4" w:space="0" w:color="auto"/>
            </w:tcBorders>
            <w:vAlign w:val="center"/>
          </w:tcPr>
          <w:p w14:paraId="272D04DA"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Component</w:t>
            </w:r>
          </w:p>
        </w:tc>
        <w:tc>
          <w:tcPr>
            <w:tcW w:w="2484" w:type="dxa"/>
            <w:tcBorders>
              <w:top w:val="single" w:sz="4" w:space="0" w:color="auto"/>
              <w:bottom w:val="single" w:sz="4" w:space="0" w:color="auto"/>
            </w:tcBorders>
            <w:vAlign w:val="center"/>
          </w:tcPr>
          <w:p w14:paraId="051FE675"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Eigenvalue</w:t>
            </w:r>
          </w:p>
        </w:tc>
        <w:tc>
          <w:tcPr>
            <w:tcW w:w="2484" w:type="dxa"/>
            <w:tcBorders>
              <w:top w:val="single" w:sz="4" w:space="0" w:color="auto"/>
              <w:bottom w:val="single" w:sz="4" w:space="0" w:color="auto"/>
            </w:tcBorders>
            <w:vAlign w:val="center"/>
          </w:tcPr>
          <w:p w14:paraId="33D8C004"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Variance (%)</w:t>
            </w:r>
          </w:p>
        </w:tc>
        <w:tc>
          <w:tcPr>
            <w:tcW w:w="2484" w:type="dxa"/>
            <w:tcBorders>
              <w:top w:val="single" w:sz="4" w:space="0" w:color="auto"/>
              <w:bottom w:val="single" w:sz="4" w:space="0" w:color="auto"/>
            </w:tcBorders>
            <w:vAlign w:val="center"/>
          </w:tcPr>
          <w:p w14:paraId="1D4B250F"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Cumulative (%)</w:t>
            </w:r>
          </w:p>
        </w:tc>
      </w:tr>
      <w:tr w:rsidR="00524B1F" w:rsidRPr="00544BBF" w14:paraId="326868C3" w14:textId="77777777" w:rsidTr="00DA556B">
        <w:trPr>
          <w:jc w:val="center"/>
        </w:trPr>
        <w:tc>
          <w:tcPr>
            <w:tcW w:w="2484" w:type="dxa"/>
            <w:tcBorders>
              <w:top w:val="single" w:sz="4" w:space="0" w:color="auto"/>
            </w:tcBorders>
            <w:vAlign w:val="center"/>
          </w:tcPr>
          <w:p w14:paraId="3E709A89"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PC1</w:t>
            </w:r>
          </w:p>
        </w:tc>
        <w:tc>
          <w:tcPr>
            <w:tcW w:w="2484" w:type="dxa"/>
            <w:tcBorders>
              <w:top w:val="single" w:sz="4" w:space="0" w:color="auto"/>
            </w:tcBorders>
            <w:vAlign w:val="center"/>
          </w:tcPr>
          <w:p w14:paraId="00E54D8B"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6.602</w:t>
            </w:r>
          </w:p>
        </w:tc>
        <w:tc>
          <w:tcPr>
            <w:tcW w:w="2484" w:type="dxa"/>
            <w:tcBorders>
              <w:top w:val="single" w:sz="4" w:space="0" w:color="auto"/>
            </w:tcBorders>
            <w:vAlign w:val="center"/>
          </w:tcPr>
          <w:p w14:paraId="77DC83D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52.98</w:t>
            </w:r>
          </w:p>
        </w:tc>
        <w:tc>
          <w:tcPr>
            <w:tcW w:w="2484" w:type="dxa"/>
            <w:tcBorders>
              <w:top w:val="single" w:sz="4" w:space="0" w:color="auto"/>
            </w:tcBorders>
            <w:vAlign w:val="center"/>
          </w:tcPr>
          <w:p w14:paraId="61B9DD3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52.98</w:t>
            </w:r>
          </w:p>
        </w:tc>
      </w:tr>
      <w:tr w:rsidR="00524B1F" w:rsidRPr="00544BBF" w14:paraId="4A31433E" w14:textId="77777777" w:rsidTr="00DA556B">
        <w:trPr>
          <w:jc w:val="center"/>
        </w:trPr>
        <w:tc>
          <w:tcPr>
            <w:tcW w:w="2484" w:type="dxa"/>
            <w:vAlign w:val="center"/>
          </w:tcPr>
          <w:p w14:paraId="6A87DC4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PC2</w:t>
            </w:r>
          </w:p>
        </w:tc>
        <w:tc>
          <w:tcPr>
            <w:tcW w:w="2484" w:type="dxa"/>
            <w:vAlign w:val="center"/>
          </w:tcPr>
          <w:p w14:paraId="7919742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2.641</w:t>
            </w:r>
          </w:p>
        </w:tc>
        <w:tc>
          <w:tcPr>
            <w:tcW w:w="2484" w:type="dxa"/>
            <w:vAlign w:val="center"/>
          </w:tcPr>
          <w:p w14:paraId="608A653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21.19</w:t>
            </w:r>
          </w:p>
        </w:tc>
        <w:tc>
          <w:tcPr>
            <w:tcW w:w="2484" w:type="dxa"/>
            <w:vAlign w:val="center"/>
          </w:tcPr>
          <w:p w14:paraId="38590568"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74.17</w:t>
            </w:r>
          </w:p>
        </w:tc>
      </w:tr>
      <w:tr w:rsidR="00524B1F" w:rsidRPr="00544BBF" w14:paraId="6976B214" w14:textId="77777777" w:rsidTr="00DA556B">
        <w:trPr>
          <w:jc w:val="center"/>
        </w:trPr>
        <w:tc>
          <w:tcPr>
            <w:tcW w:w="2484" w:type="dxa"/>
            <w:vAlign w:val="center"/>
          </w:tcPr>
          <w:p w14:paraId="5EED80E8"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PC3</w:t>
            </w:r>
          </w:p>
        </w:tc>
        <w:tc>
          <w:tcPr>
            <w:tcW w:w="2484" w:type="dxa"/>
            <w:vAlign w:val="center"/>
          </w:tcPr>
          <w:p w14:paraId="587726E3"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2.064</w:t>
            </w:r>
          </w:p>
        </w:tc>
        <w:tc>
          <w:tcPr>
            <w:tcW w:w="2484" w:type="dxa"/>
            <w:vAlign w:val="center"/>
          </w:tcPr>
          <w:p w14:paraId="6E1BADCD"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16.56</w:t>
            </w:r>
          </w:p>
        </w:tc>
        <w:tc>
          <w:tcPr>
            <w:tcW w:w="2484" w:type="dxa"/>
            <w:vAlign w:val="center"/>
          </w:tcPr>
          <w:p w14:paraId="36E77B6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90.73</w:t>
            </w:r>
          </w:p>
        </w:tc>
      </w:tr>
      <w:tr w:rsidR="00524B1F" w:rsidRPr="00544BBF" w14:paraId="7F676A13" w14:textId="77777777" w:rsidTr="00DA556B">
        <w:trPr>
          <w:jc w:val="center"/>
        </w:trPr>
        <w:tc>
          <w:tcPr>
            <w:tcW w:w="2484" w:type="dxa"/>
            <w:vAlign w:val="center"/>
          </w:tcPr>
          <w:p w14:paraId="099A8CED"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PC4</w:t>
            </w:r>
          </w:p>
        </w:tc>
        <w:tc>
          <w:tcPr>
            <w:tcW w:w="2484" w:type="dxa"/>
            <w:vAlign w:val="center"/>
          </w:tcPr>
          <w:p w14:paraId="091D038B"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0.391</w:t>
            </w:r>
          </w:p>
        </w:tc>
        <w:tc>
          <w:tcPr>
            <w:tcW w:w="2484" w:type="dxa"/>
            <w:vAlign w:val="center"/>
          </w:tcPr>
          <w:p w14:paraId="391D9BC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3.14</w:t>
            </w:r>
          </w:p>
        </w:tc>
        <w:tc>
          <w:tcPr>
            <w:tcW w:w="2484" w:type="dxa"/>
            <w:vAlign w:val="center"/>
          </w:tcPr>
          <w:p w14:paraId="3FECEDB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93.87</w:t>
            </w:r>
          </w:p>
        </w:tc>
      </w:tr>
      <w:tr w:rsidR="00524B1F" w:rsidRPr="00544BBF" w14:paraId="72975357" w14:textId="77777777" w:rsidTr="00DA556B">
        <w:trPr>
          <w:jc w:val="center"/>
        </w:trPr>
        <w:tc>
          <w:tcPr>
            <w:tcW w:w="2484" w:type="dxa"/>
            <w:vAlign w:val="center"/>
          </w:tcPr>
          <w:p w14:paraId="3D5D65BF"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PC5</w:t>
            </w:r>
          </w:p>
        </w:tc>
        <w:tc>
          <w:tcPr>
            <w:tcW w:w="2484" w:type="dxa"/>
            <w:vAlign w:val="center"/>
          </w:tcPr>
          <w:p w14:paraId="43151A3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0.296</w:t>
            </w:r>
          </w:p>
        </w:tc>
        <w:tc>
          <w:tcPr>
            <w:tcW w:w="2484" w:type="dxa"/>
            <w:vAlign w:val="center"/>
          </w:tcPr>
          <w:p w14:paraId="1B9AA06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2.38</w:t>
            </w:r>
          </w:p>
        </w:tc>
        <w:tc>
          <w:tcPr>
            <w:tcW w:w="2484" w:type="dxa"/>
            <w:vAlign w:val="center"/>
          </w:tcPr>
          <w:p w14:paraId="160901D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96.25</w:t>
            </w:r>
          </w:p>
        </w:tc>
      </w:tr>
      <w:tr w:rsidR="00524B1F" w:rsidRPr="00544BBF" w14:paraId="53C97A5E" w14:textId="77777777" w:rsidTr="00DA556B">
        <w:trPr>
          <w:jc w:val="center"/>
        </w:trPr>
        <w:tc>
          <w:tcPr>
            <w:tcW w:w="2484" w:type="dxa"/>
            <w:vAlign w:val="center"/>
          </w:tcPr>
          <w:p w14:paraId="32651516"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PC6</w:t>
            </w:r>
          </w:p>
        </w:tc>
        <w:tc>
          <w:tcPr>
            <w:tcW w:w="2484" w:type="dxa"/>
            <w:vAlign w:val="center"/>
          </w:tcPr>
          <w:p w14:paraId="6AE6B6CB"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0.179</w:t>
            </w:r>
          </w:p>
        </w:tc>
        <w:tc>
          <w:tcPr>
            <w:tcW w:w="2484" w:type="dxa"/>
            <w:vAlign w:val="center"/>
          </w:tcPr>
          <w:p w14:paraId="2FFF86B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1.43</w:t>
            </w:r>
          </w:p>
        </w:tc>
        <w:tc>
          <w:tcPr>
            <w:tcW w:w="2484" w:type="dxa"/>
            <w:vAlign w:val="center"/>
          </w:tcPr>
          <w:p w14:paraId="78E0668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97.68</w:t>
            </w:r>
          </w:p>
        </w:tc>
      </w:tr>
      <w:tr w:rsidR="00524B1F" w:rsidRPr="00544BBF" w14:paraId="5824F22A" w14:textId="77777777" w:rsidTr="00DA556B">
        <w:trPr>
          <w:jc w:val="center"/>
        </w:trPr>
        <w:tc>
          <w:tcPr>
            <w:tcW w:w="2484" w:type="dxa"/>
            <w:vAlign w:val="center"/>
          </w:tcPr>
          <w:p w14:paraId="73684CC6"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PC7</w:t>
            </w:r>
          </w:p>
        </w:tc>
        <w:tc>
          <w:tcPr>
            <w:tcW w:w="2484" w:type="dxa"/>
            <w:vAlign w:val="center"/>
          </w:tcPr>
          <w:p w14:paraId="035645F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0.136</w:t>
            </w:r>
          </w:p>
        </w:tc>
        <w:tc>
          <w:tcPr>
            <w:tcW w:w="2484" w:type="dxa"/>
            <w:vAlign w:val="center"/>
          </w:tcPr>
          <w:p w14:paraId="1FC6B5ED"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1.09</w:t>
            </w:r>
          </w:p>
        </w:tc>
        <w:tc>
          <w:tcPr>
            <w:tcW w:w="2484" w:type="dxa"/>
            <w:vAlign w:val="center"/>
          </w:tcPr>
          <w:p w14:paraId="253E0A7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98.77</w:t>
            </w:r>
          </w:p>
        </w:tc>
      </w:tr>
      <w:tr w:rsidR="00524B1F" w:rsidRPr="00544BBF" w14:paraId="59962384" w14:textId="77777777" w:rsidTr="00DA556B">
        <w:trPr>
          <w:jc w:val="center"/>
        </w:trPr>
        <w:tc>
          <w:tcPr>
            <w:tcW w:w="2484" w:type="dxa"/>
            <w:vAlign w:val="center"/>
          </w:tcPr>
          <w:p w14:paraId="1C6B1B2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PC8</w:t>
            </w:r>
          </w:p>
        </w:tc>
        <w:tc>
          <w:tcPr>
            <w:tcW w:w="2484" w:type="dxa"/>
            <w:vAlign w:val="center"/>
          </w:tcPr>
          <w:p w14:paraId="53FDCEEE"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0.065</w:t>
            </w:r>
          </w:p>
        </w:tc>
        <w:tc>
          <w:tcPr>
            <w:tcW w:w="2484" w:type="dxa"/>
            <w:vAlign w:val="center"/>
          </w:tcPr>
          <w:p w14:paraId="4AF874E6"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0.52</w:t>
            </w:r>
          </w:p>
        </w:tc>
        <w:tc>
          <w:tcPr>
            <w:tcW w:w="2484" w:type="dxa"/>
            <w:vAlign w:val="center"/>
          </w:tcPr>
          <w:p w14:paraId="38A97FB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99.29</w:t>
            </w:r>
          </w:p>
        </w:tc>
      </w:tr>
      <w:tr w:rsidR="00524B1F" w:rsidRPr="00544BBF" w14:paraId="12F6F85C" w14:textId="77777777" w:rsidTr="00DA556B">
        <w:trPr>
          <w:jc w:val="center"/>
        </w:trPr>
        <w:tc>
          <w:tcPr>
            <w:tcW w:w="2484" w:type="dxa"/>
            <w:vAlign w:val="center"/>
          </w:tcPr>
          <w:p w14:paraId="6FDD5F15"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lastRenderedPageBreak/>
              <w:t>PC9</w:t>
            </w:r>
          </w:p>
        </w:tc>
        <w:tc>
          <w:tcPr>
            <w:tcW w:w="2484" w:type="dxa"/>
            <w:vAlign w:val="center"/>
          </w:tcPr>
          <w:p w14:paraId="1A95AA8F"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0.050</w:t>
            </w:r>
          </w:p>
        </w:tc>
        <w:tc>
          <w:tcPr>
            <w:tcW w:w="2484" w:type="dxa"/>
            <w:vAlign w:val="center"/>
          </w:tcPr>
          <w:p w14:paraId="7ABCE239"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0.40</w:t>
            </w:r>
          </w:p>
        </w:tc>
        <w:tc>
          <w:tcPr>
            <w:tcW w:w="2484" w:type="dxa"/>
            <w:vAlign w:val="center"/>
          </w:tcPr>
          <w:p w14:paraId="3B3FA05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99.69</w:t>
            </w:r>
          </w:p>
        </w:tc>
      </w:tr>
      <w:tr w:rsidR="00524B1F" w:rsidRPr="00544BBF" w14:paraId="40EF2F77" w14:textId="77777777" w:rsidTr="00DA556B">
        <w:trPr>
          <w:jc w:val="center"/>
        </w:trPr>
        <w:tc>
          <w:tcPr>
            <w:tcW w:w="2484" w:type="dxa"/>
            <w:vAlign w:val="center"/>
          </w:tcPr>
          <w:p w14:paraId="27A2913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PC10</w:t>
            </w:r>
          </w:p>
        </w:tc>
        <w:tc>
          <w:tcPr>
            <w:tcW w:w="2484" w:type="dxa"/>
            <w:vAlign w:val="center"/>
          </w:tcPr>
          <w:p w14:paraId="22AA339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0.028</w:t>
            </w:r>
          </w:p>
        </w:tc>
        <w:tc>
          <w:tcPr>
            <w:tcW w:w="2484" w:type="dxa"/>
            <w:vAlign w:val="center"/>
          </w:tcPr>
          <w:p w14:paraId="7688FED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0.23</w:t>
            </w:r>
          </w:p>
        </w:tc>
        <w:tc>
          <w:tcPr>
            <w:tcW w:w="2484" w:type="dxa"/>
            <w:vAlign w:val="center"/>
          </w:tcPr>
          <w:p w14:paraId="00A47A29"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99.92</w:t>
            </w:r>
          </w:p>
        </w:tc>
      </w:tr>
      <w:tr w:rsidR="00524B1F" w:rsidRPr="00544BBF" w14:paraId="3D3BA79E" w14:textId="77777777" w:rsidTr="00DA556B">
        <w:trPr>
          <w:jc w:val="center"/>
        </w:trPr>
        <w:tc>
          <w:tcPr>
            <w:tcW w:w="2484" w:type="dxa"/>
            <w:vAlign w:val="center"/>
          </w:tcPr>
          <w:p w14:paraId="32FCC76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PC11</w:t>
            </w:r>
          </w:p>
        </w:tc>
        <w:tc>
          <w:tcPr>
            <w:tcW w:w="2484" w:type="dxa"/>
            <w:vAlign w:val="center"/>
          </w:tcPr>
          <w:p w14:paraId="267A207F"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0.006</w:t>
            </w:r>
          </w:p>
        </w:tc>
        <w:tc>
          <w:tcPr>
            <w:tcW w:w="2484" w:type="dxa"/>
            <w:vAlign w:val="center"/>
          </w:tcPr>
          <w:p w14:paraId="363D6175"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0.05</w:t>
            </w:r>
          </w:p>
        </w:tc>
        <w:tc>
          <w:tcPr>
            <w:tcW w:w="2484" w:type="dxa"/>
            <w:vAlign w:val="center"/>
          </w:tcPr>
          <w:p w14:paraId="6BD09D9E"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99.97</w:t>
            </w:r>
          </w:p>
        </w:tc>
      </w:tr>
      <w:tr w:rsidR="00524B1F" w:rsidRPr="00544BBF" w14:paraId="1525ABA9" w14:textId="77777777" w:rsidTr="00DA556B">
        <w:trPr>
          <w:jc w:val="center"/>
        </w:trPr>
        <w:tc>
          <w:tcPr>
            <w:tcW w:w="2484" w:type="dxa"/>
            <w:vAlign w:val="center"/>
          </w:tcPr>
          <w:p w14:paraId="349A1D8F"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PC12</w:t>
            </w:r>
          </w:p>
        </w:tc>
        <w:tc>
          <w:tcPr>
            <w:tcW w:w="2484" w:type="dxa"/>
            <w:vAlign w:val="center"/>
          </w:tcPr>
          <w:p w14:paraId="176CC38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0.004</w:t>
            </w:r>
          </w:p>
        </w:tc>
        <w:tc>
          <w:tcPr>
            <w:tcW w:w="2484" w:type="dxa"/>
            <w:vAlign w:val="center"/>
          </w:tcPr>
          <w:p w14:paraId="4295DDF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0.03</w:t>
            </w:r>
          </w:p>
        </w:tc>
        <w:tc>
          <w:tcPr>
            <w:tcW w:w="2484" w:type="dxa"/>
            <w:vAlign w:val="center"/>
          </w:tcPr>
          <w:p w14:paraId="0A7066D5"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100.00</w:t>
            </w:r>
          </w:p>
        </w:tc>
      </w:tr>
    </w:tbl>
    <w:p w14:paraId="6137214C" w14:textId="77777777" w:rsidR="00524B1F" w:rsidRDefault="00524B1F" w:rsidP="00524B1F">
      <w:pPr>
        <w:spacing w:after="0" w:line="240" w:lineRule="auto"/>
        <w:rPr>
          <w:rFonts w:cs="Times New Roman"/>
          <w:b/>
          <w:sz w:val="24"/>
          <w:szCs w:val="24"/>
        </w:rPr>
      </w:pPr>
    </w:p>
    <w:p w14:paraId="1B055593" w14:textId="77777777" w:rsidR="00524B1F" w:rsidRDefault="00524B1F" w:rsidP="00524B1F">
      <w:pPr>
        <w:spacing w:after="0" w:line="240" w:lineRule="auto"/>
        <w:ind w:left="720" w:firstLine="720"/>
        <w:rPr>
          <w:rFonts w:cs="Times New Roman"/>
          <w:b/>
          <w:sz w:val="24"/>
          <w:szCs w:val="24"/>
        </w:rPr>
      </w:pPr>
    </w:p>
    <w:p w14:paraId="36B0B0A2" w14:textId="77777777" w:rsidR="00524B1F" w:rsidRDefault="00524B1F" w:rsidP="00524B1F">
      <w:pPr>
        <w:spacing w:after="0" w:line="240" w:lineRule="auto"/>
        <w:ind w:left="720" w:firstLine="720"/>
        <w:rPr>
          <w:rFonts w:cs="Times New Roman"/>
          <w:b/>
          <w:sz w:val="24"/>
          <w:szCs w:val="24"/>
        </w:rPr>
      </w:pPr>
    </w:p>
    <w:p w14:paraId="33751497" w14:textId="77777777" w:rsidR="00524B1F" w:rsidRPr="00544BBF" w:rsidRDefault="00524B1F" w:rsidP="00524B1F">
      <w:pPr>
        <w:spacing w:after="0" w:line="240" w:lineRule="auto"/>
        <w:ind w:left="1440" w:firstLine="720"/>
        <w:contextualSpacing/>
        <w:rPr>
          <w:rFonts w:cs="Times New Roman"/>
          <w:sz w:val="24"/>
          <w:szCs w:val="24"/>
        </w:rPr>
      </w:pPr>
      <w:r w:rsidRPr="00544BBF">
        <w:rPr>
          <w:rFonts w:cs="Times New Roman"/>
          <w:b/>
          <w:sz w:val="24"/>
          <w:szCs w:val="24"/>
        </w:rPr>
        <w:t xml:space="preserve">Table </w:t>
      </w:r>
      <w:r>
        <w:rPr>
          <w:rFonts w:cs="Times New Roman"/>
          <w:b/>
          <w:sz w:val="24"/>
          <w:szCs w:val="24"/>
        </w:rPr>
        <w:t>8</w:t>
      </w:r>
      <w:r w:rsidRPr="00544BBF">
        <w:rPr>
          <w:rFonts w:cs="Times New Roman"/>
          <w:b/>
          <w:sz w:val="24"/>
          <w:szCs w:val="24"/>
        </w:rPr>
        <w:t>. Rotated PCA loadings for individual PAHs in air.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2484"/>
        <w:gridCol w:w="2484"/>
        <w:gridCol w:w="2484"/>
      </w:tblGrid>
      <w:tr w:rsidR="00524B1F" w:rsidRPr="00544BBF" w14:paraId="7711FC00" w14:textId="77777777" w:rsidTr="00DA556B">
        <w:trPr>
          <w:jc w:val="center"/>
        </w:trPr>
        <w:tc>
          <w:tcPr>
            <w:tcW w:w="2484" w:type="dxa"/>
            <w:tcBorders>
              <w:top w:val="single" w:sz="4" w:space="0" w:color="auto"/>
              <w:bottom w:val="single" w:sz="4" w:space="0" w:color="auto"/>
            </w:tcBorders>
            <w:vAlign w:val="center"/>
          </w:tcPr>
          <w:p w14:paraId="2DA3A140"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Variable</w:t>
            </w:r>
          </w:p>
        </w:tc>
        <w:tc>
          <w:tcPr>
            <w:tcW w:w="2484" w:type="dxa"/>
            <w:tcBorders>
              <w:top w:val="single" w:sz="4" w:space="0" w:color="auto"/>
              <w:bottom w:val="single" w:sz="4" w:space="0" w:color="auto"/>
            </w:tcBorders>
            <w:vAlign w:val="center"/>
          </w:tcPr>
          <w:p w14:paraId="796DD728"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PC1</w:t>
            </w:r>
          </w:p>
        </w:tc>
        <w:tc>
          <w:tcPr>
            <w:tcW w:w="2484" w:type="dxa"/>
            <w:tcBorders>
              <w:top w:val="single" w:sz="4" w:space="0" w:color="auto"/>
              <w:bottom w:val="single" w:sz="4" w:space="0" w:color="auto"/>
            </w:tcBorders>
            <w:vAlign w:val="center"/>
          </w:tcPr>
          <w:p w14:paraId="05E4219B"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PC2</w:t>
            </w:r>
          </w:p>
        </w:tc>
        <w:tc>
          <w:tcPr>
            <w:tcW w:w="2484" w:type="dxa"/>
            <w:tcBorders>
              <w:top w:val="single" w:sz="4" w:space="0" w:color="auto"/>
              <w:bottom w:val="single" w:sz="4" w:space="0" w:color="auto"/>
            </w:tcBorders>
            <w:vAlign w:val="center"/>
          </w:tcPr>
          <w:p w14:paraId="1BE9E564" w14:textId="77777777" w:rsidR="00524B1F" w:rsidRPr="00544BBF" w:rsidRDefault="00524B1F" w:rsidP="00DA556B">
            <w:pPr>
              <w:spacing w:after="0" w:line="240" w:lineRule="auto"/>
              <w:jc w:val="center"/>
              <w:rPr>
                <w:rFonts w:cs="Times New Roman"/>
                <w:sz w:val="24"/>
                <w:szCs w:val="24"/>
              </w:rPr>
            </w:pPr>
            <w:r w:rsidRPr="00544BBF">
              <w:rPr>
                <w:rFonts w:cs="Times New Roman"/>
                <w:b/>
                <w:sz w:val="24"/>
                <w:szCs w:val="24"/>
              </w:rPr>
              <w:t>PC3</w:t>
            </w:r>
          </w:p>
        </w:tc>
      </w:tr>
      <w:tr w:rsidR="00524B1F" w:rsidRPr="00544BBF" w14:paraId="00518AF6" w14:textId="77777777" w:rsidTr="00DA556B">
        <w:trPr>
          <w:jc w:val="center"/>
        </w:trPr>
        <w:tc>
          <w:tcPr>
            <w:tcW w:w="2484" w:type="dxa"/>
            <w:tcBorders>
              <w:top w:val="single" w:sz="4" w:space="0" w:color="auto"/>
            </w:tcBorders>
            <w:vAlign w:val="center"/>
          </w:tcPr>
          <w:p w14:paraId="07FD819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Naphthalene</w:t>
            </w:r>
          </w:p>
        </w:tc>
        <w:tc>
          <w:tcPr>
            <w:tcW w:w="2484" w:type="dxa"/>
            <w:tcBorders>
              <w:top w:val="single" w:sz="4" w:space="0" w:color="auto"/>
            </w:tcBorders>
            <w:vAlign w:val="center"/>
          </w:tcPr>
          <w:p w14:paraId="23604B0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+0.772</w:t>
            </w:r>
          </w:p>
        </w:tc>
        <w:tc>
          <w:tcPr>
            <w:tcW w:w="2484" w:type="dxa"/>
            <w:tcBorders>
              <w:top w:val="single" w:sz="4" w:space="0" w:color="auto"/>
            </w:tcBorders>
            <w:vAlign w:val="center"/>
          </w:tcPr>
          <w:p w14:paraId="402A2919"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-0.444</w:t>
            </w:r>
          </w:p>
        </w:tc>
        <w:tc>
          <w:tcPr>
            <w:tcW w:w="2484" w:type="dxa"/>
            <w:tcBorders>
              <w:top w:val="single" w:sz="4" w:space="0" w:color="auto"/>
            </w:tcBorders>
            <w:vAlign w:val="center"/>
          </w:tcPr>
          <w:p w14:paraId="2C7785B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-0.339</w:t>
            </w:r>
          </w:p>
        </w:tc>
      </w:tr>
      <w:tr w:rsidR="00524B1F" w:rsidRPr="00544BBF" w14:paraId="4AA78F5D" w14:textId="77777777" w:rsidTr="00DA556B">
        <w:trPr>
          <w:jc w:val="center"/>
        </w:trPr>
        <w:tc>
          <w:tcPr>
            <w:tcW w:w="2484" w:type="dxa"/>
            <w:vAlign w:val="center"/>
          </w:tcPr>
          <w:p w14:paraId="534CABC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Acenaphthylene</w:t>
            </w:r>
          </w:p>
        </w:tc>
        <w:tc>
          <w:tcPr>
            <w:tcW w:w="2484" w:type="dxa"/>
            <w:vAlign w:val="center"/>
          </w:tcPr>
          <w:p w14:paraId="3F67A64D"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+0.846</w:t>
            </w:r>
          </w:p>
        </w:tc>
        <w:tc>
          <w:tcPr>
            <w:tcW w:w="2484" w:type="dxa"/>
            <w:vAlign w:val="center"/>
          </w:tcPr>
          <w:p w14:paraId="06639D23"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-0.405</w:t>
            </w:r>
          </w:p>
        </w:tc>
        <w:tc>
          <w:tcPr>
            <w:tcW w:w="2484" w:type="dxa"/>
            <w:vAlign w:val="center"/>
          </w:tcPr>
          <w:p w14:paraId="368FEDEE"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+0.025</w:t>
            </w:r>
          </w:p>
        </w:tc>
      </w:tr>
      <w:tr w:rsidR="00524B1F" w:rsidRPr="00544BBF" w14:paraId="6F1C446E" w14:textId="77777777" w:rsidTr="00DA556B">
        <w:trPr>
          <w:jc w:val="center"/>
        </w:trPr>
        <w:tc>
          <w:tcPr>
            <w:tcW w:w="2484" w:type="dxa"/>
            <w:vAlign w:val="center"/>
          </w:tcPr>
          <w:p w14:paraId="1933BCB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Acenaphthene</w:t>
            </w:r>
          </w:p>
        </w:tc>
        <w:tc>
          <w:tcPr>
            <w:tcW w:w="2484" w:type="dxa"/>
            <w:vAlign w:val="center"/>
          </w:tcPr>
          <w:p w14:paraId="70DAF7A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+0.950</w:t>
            </w:r>
          </w:p>
        </w:tc>
        <w:tc>
          <w:tcPr>
            <w:tcW w:w="2484" w:type="dxa"/>
            <w:vAlign w:val="center"/>
          </w:tcPr>
          <w:p w14:paraId="1B5C306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+0.143</w:t>
            </w:r>
          </w:p>
        </w:tc>
        <w:tc>
          <w:tcPr>
            <w:tcW w:w="2484" w:type="dxa"/>
            <w:vAlign w:val="center"/>
          </w:tcPr>
          <w:p w14:paraId="3AB93B1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+0.121</w:t>
            </w:r>
          </w:p>
        </w:tc>
      </w:tr>
      <w:tr w:rsidR="00524B1F" w:rsidRPr="00544BBF" w14:paraId="04920BCB" w14:textId="77777777" w:rsidTr="00DA556B">
        <w:trPr>
          <w:jc w:val="center"/>
        </w:trPr>
        <w:tc>
          <w:tcPr>
            <w:tcW w:w="2484" w:type="dxa"/>
            <w:vAlign w:val="center"/>
          </w:tcPr>
          <w:p w14:paraId="2A7A2BD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Fluorene</w:t>
            </w:r>
          </w:p>
        </w:tc>
        <w:tc>
          <w:tcPr>
            <w:tcW w:w="2484" w:type="dxa"/>
            <w:vAlign w:val="center"/>
          </w:tcPr>
          <w:p w14:paraId="2BEFD48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+0.909</w:t>
            </w:r>
          </w:p>
        </w:tc>
        <w:tc>
          <w:tcPr>
            <w:tcW w:w="2484" w:type="dxa"/>
            <w:vAlign w:val="center"/>
          </w:tcPr>
          <w:p w14:paraId="2AB8421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-0.246</w:t>
            </w:r>
          </w:p>
        </w:tc>
        <w:tc>
          <w:tcPr>
            <w:tcW w:w="2484" w:type="dxa"/>
            <w:vAlign w:val="center"/>
          </w:tcPr>
          <w:p w14:paraId="79CB3A8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-0.328</w:t>
            </w:r>
          </w:p>
        </w:tc>
      </w:tr>
      <w:tr w:rsidR="00524B1F" w:rsidRPr="00544BBF" w14:paraId="6610BDCC" w14:textId="77777777" w:rsidTr="00DA556B">
        <w:trPr>
          <w:jc w:val="center"/>
        </w:trPr>
        <w:tc>
          <w:tcPr>
            <w:tcW w:w="2484" w:type="dxa"/>
            <w:vAlign w:val="center"/>
          </w:tcPr>
          <w:p w14:paraId="71DB12D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Phenanthrene</w:t>
            </w:r>
          </w:p>
        </w:tc>
        <w:tc>
          <w:tcPr>
            <w:tcW w:w="2484" w:type="dxa"/>
            <w:vAlign w:val="center"/>
          </w:tcPr>
          <w:p w14:paraId="7C6E5608"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+0.786</w:t>
            </w:r>
          </w:p>
        </w:tc>
        <w:tc>
          <w:tcPr>
            <w:tcW w:w="2484" w:type="dxa"/>
            <w:vAlign w:val="center"/>
          </w:tcPr>
          <w:p w14:paraId="2FE77D66"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-0.487</w:t>
            </w:r>
          </w:p>
        </w:tc>
        <w:tc>
          <w:tcPr>
            <w:tcW w:w="2484" w:type="dxa"/>
            <w:vAlign w:val="center"/>
          </w:tcPr>
          <w:p w14:paraId="5EC27BB5"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-0.050</w:t>
            </w:r>
          </w:p>
        </w:tc>
      </w:tr>
      <w:tr w:rsidR="00524B1F" w:rsidRPr="00544BBF" w14:paraId="4EF6801E" w14:textId="77777777" w:rsidTr="00DA556B">
        <w:trPr>
          <w:jc w:val="center"/>
        </w:trPr>
        <w:tc>
          <w:tcPr>
            <w:tcW w:w="2484" w:type="dxa"/>
            <w:vAlign w:val="center"/>
          </w:tcPr>
          <w:p w14:paraId="2B4E1C4B"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Anthracene</w:t>
            </w:r>
          </w:p>
        </w:tc>
        <w:tc>
          <w:tcPr>
            <w:tcW w:w="2484" w:type="dxa"/>
            <w:vAlign w:val="center"/>
          </w:tcPr>
          <w:p w14:paraId="6EA03346"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+0.897</w:t>
            </w:r>
          </w:p>
        </w:tc>
        <w:tc>
          <w:tcPr>
            <w:tcW w:w="2484" w:type="dxa"/>
            <w:vAlign w:val="center"/>
          </w:tcPr>
          <w:p w14:paraId="12DBEFF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-0.036</w:t>
            </w:r>
          </w:p>
        </w:tc>
        <w:tc>
          <w:tcPr>
            <w:tcW w:w="2484" w:type="dxa"/>
            <w:vAlign w:val="center"/>
          </w:tcPr>
          <w:p w14:paraId="1A91304B"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-0.276</w:t>
            </w:r>
          </w:p>
        </w:tc>
      </w:tr>
      <w:tr w:rsidR="00524B1F" w:rsidRPr="00544BBF" w14:paraId="1C9BBDF2" w14:textId="77777777" w:rsidTr="00DA556B">
        <w:trPr>
          <w:jc w:val="center"/>
        </w:trPr>
        <w:tc>
          <w:tcPr>
            <w:tcW w:w="2484" w:type="dxa"/>
            <w:vAlign w:val="center"/>
          </w:tcPr>
          <w:p w14:paraId="619DD4B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Fluoranthene</w:t>
            </w:r>
          </w:p>
        </w:tc>
        <w:tc>
          <w:tcPr>
            <w:tcW w:w="2484" w:type="dxa"/>
            <w:vAlign w:val="center"/>
          </w:tcPr>
          <w:p w14:paraId="7EF5635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+0.697</w:t>
            </w:r>
          </w:p>
        </w:tc>
        <w:tc>
          <w:tcPr>
            <w:tcW w:w="2484" w:type="dxa"/>
            <w:vAlign w:val="center"/>
          </w:tcPr>
          <w:p w14:paraId="26EFEC2D"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-0.573</w:t>
            </w:r>
          </w:p>
        </w:tc>
        <w:tc>
          <w:tcPr>
            <w:tcW w:w="2484" w:type="dxa"/>
            <w:vAlign w:val="center"/>
          </w:tcPr>
          <w:p w14:paraId="5D44346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+0.283</w:t>
            </w:r>
          </w:p>
        </w:tc>
      </w:tr>
      <w:tr w:rsidR="00524B1F" w:rsidRPr="00544BBF" w14:paraId="6E77FF71" w14:textId="77777777" w:rsidTr="00DA556B">
        <w:trPr>
          <w:jc w:val="center"/>
        </w:trPr>
        <w:tc>
          <w:tcPr>
            <w:tcW w:w="2484" w:type="dxa"/>
            <w:vAlign w:val="center"/>
          </w:tcPr>
          <w:p w14:paraId="1DD2B4E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Pyrene</w:t>
            </w:r>
          </w:p>
        </w:tc>
        <w:tc>
          <w:tcPr>
            <w:tcW w:w="2484" w:type="dxa"/>
            <w:vAlign w:val="center"/>
          </w:tcPr>
          <w:p w14:paraId="37738A9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-0.154</w:t>
            </w:r>
          </w:p>
        </w:tc>
        <w:tc>
          <w:tcPr>
            <w:tcW w:w="2484" w:type="dxa"/>
            <w:vAlign w:val="center"/>
          </w:tcPr>
          <w:p w14:paraId="6697A56E"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+0.306</w:t>
            </w:r>
          </w:p>
        </w:tc>
        <w:tc>
          <w:tcPr>
            <w:tcW w:w="2484" w:type="dxa"/>
            <w:vAlign w:val="center"/>
          </w:tcPr>
          <w:p w14:paraId="62B2551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+0.939</w:t>
            </w:r>
          </w:p>
        </w:tc>
      </w:tr>
      <w:tr w:rsidR="00524B1F" w:rsidRPr="00544BBF" w14:paraId="21C49F83" w14:textId="77777777" w:rsidTr="00DA556B">
        <w:trPr>
          <w:jc w:val="center"/>
        </w:trPr>
        <w:tc>
          <w:tcPr>
            <w:tcW w:w="2484" w:type="dxa"/>
            <w:vAlign w:val="center"/>
          </w:tcPr>
          <w:p w14:paraId="0C8F7DF3"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Benzo(a)anthracene</w:t>
            </w:r>
          </w:p>
        </w:tc>
        <w:tc>
          <w:tcPr>
            <w:tcW w:w="2484" w:type="dxa"/>
            <w:vAlign w:val="center"/>
          </w:tcPr>
          <w:p w14:paraId="77DF9C54"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+0.873</w:t>
            </w:r>
          </w:p>
        </w:tc>
        <w:tc>
          <w:tcPr>
            <w:tcW w:w="2484" w:type="dxa"/>
            <w:vAlign w:val="center"/>
          </w:tcPr>
          <w:p w14:paraId="587D468A"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+0.441</w:t>
            </w:r>
          </w:p>
        </w:tc>
        <w:tc>
          <w:tcPr>
            <w:tcW w:w="2484" w:type="dxa"/>
            <w:vAlign w:val="center"/>
          </w:tcPr>
          <w:p w14:paraId="5907F81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-0.178</w:t>
            </w:r>
          </w:p>
        </w:tc>
      </w:tr>
      <w:tr w:rsidR="00524B1F" w:rsidRPr="00544BBF" w14:paraId="021661E4" w14:textId="77777777" w:rsidTr="00DA556B">
        <w:trPr>
          <w:jc w:val="center"/>
        </w:trPr>
        <w:tc>
          <w:tcPr>
            <w:tcW w:w="2484" w:type="dxa"/>
            <w:vAlign w:val="center"/>
          </w:tcPr>
          <w:p w14:paraId="0F28175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Chrysene</w:t>
            </w:r>
          </w:p>
        </w:tc>
        <w:tc>
          <w:tcPr>
            <w:tcW w:w="2484" w:type="dxa"/>
            <w:vAlign w:val="center"/>
          </w:tcPr>
          <w:p w14:paraId="10135725"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+0.016</w:t>
            </w:r>
          </w:p>
        </w:tc>
        <w:tc>
          <w:tcPr>
            <w:tcW w:w="2484" w:type="dxa"/>
            <w:vAlign w:val="center"/>
          </w:tcPr>
          <w:p w14:paraId="5102DC5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+0.990</w:t>
            </w:r>
          </w:p>
        </w:tc>
        <w:tc>
          <w:tcPr>
            <w:tcW w:w="2484" w:type="dxa"/>
            <w:vAlign w:val="center"/>
          </w:tcPr>
          <w:p w14:paraId="75CAD9E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+0.119</w:t>
            </w:r>
          </w:p>
        </w:tc>
      </w:tr>
      <w:tr w:rsidR="00524B1F" w:rsidRPr="00544BBF" w14:paraId="1FF8C3C5" w14:textId="77777777" w:rsidTr="00DA556B">
        <w:trPr>
          <w:jc w:val="center"/>
        </w:trPr>
        <w:tc>
          <w:tcPr>
            <w:tcW w:w="2484" w:type="dxa"/>
            <w:vAlign w:val="center"/>
          </w:tcPr>
          <w:p w14:paraId="2FB61BC1"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Benzo(b)fluoranthene</w:t>
            </w:r>
          </w:p>
        </w:tc>
        <w:tc>
          <w:tcPr>
            <w:tcW w:w="2484" w:type="dxa"/>
            <w:vAlign w:val="center"/>
          </w:tcPr>
          <w:p w14:paraId="7853903B"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-0.134</w:t>
            </w:r>
          </w:p>
        </w:tc>
        <w:tc>
          <w:tcPr>
            <w:tcW w:w="2484" w:type="dxa"/>
            <w:vAlign w:val="center"/>
          </w:tcPr>
          <w:p w14:paraId="38D12577"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+0.962</w:t>
            </w:r>
          </w:p>
        </w:tc>
        <w:tc>
          <w:tcPr>
            <w:tcW w:w="2484" w:type="dxa"/>
            <w:vAlign w:val="center"/>
          </w:tcPr>
          <w:p w14:paraId="4A970DC9"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+0.151</w:t>
            </w:r>
          </w:p>
        </w:tc>
      </w:tr>
      <w:tr w:rsidR="00524B1F" w:rsidRPr="00544BBF" w14:paraId="7039842F" w14:textId="77777777" w:rsidTr="00DA556B">
        <w:trPr>
          <w:jc w:val="center"/>
        </w:trPr>
        <w:tc>
          <w:tcPr>
            <w:tcW w:w="2484" w:type="dxa"/>
            <w:vAlign w:val="center"/>
          </w:tcPr>
          <w:p w14:paraId="257B17B0"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Benzo(k)fluoranthene</w:t>
            </w:r>
          </w:p>
        </w:tc>
        <w:tc>
          <w:tcPr>
            <w:tcW w:w="2484" w:type="dxa"/>
            <w:vAlign w:val="center"/>
          </w:tcPr>
          <w:p w14:paraId="7E487A79"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-0.079</w:t>
            </w:r>
          </w:p>
        </w:tc>
        <w:tc>
          <w:tcPr>
            <w:tcW w:w="2484" w:type="dxa"/>
            <w:vAlign w:val="center"/>
          </w:tcPr>
          <w:p w14:paraId="3D8F755C"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-0.061</w:t>
            </w:r>
          </w:p>
        </w:tc>
        <w:tc>
          <w:tcPr>
            <w:tcW w:w="2484" w:type="dxa"/>
            <w:vAlign w:val="center"/>
          </w:tcPr>
          <w:p w14:paraId="43961892" w14:textId="77777777" w:rsidR="00524B1F" w:rsidRPr="00544BBF" w:rsidRDefault="00524B1F" w:rsidP="00DA556B">
            <w:pPr>
              <w:spacing w:after="0" w:line="240" w:lineRule="auto"/>
              <w:jc w:val="center"/>
              <w:rPr>
                <w:rFonts w:cs="Times New Roman"/>
                <w:sz w:val="24"/>
                <w:szCs w:val="24"/>
              </w:rPr>
            </w:pPr>
            <w:r w:rsidRPr="00544BBF">
              <w:rPr>
                <w:rFonts w:cs="Times New Roman"/>
                <w:sz w:val="24"/>
                <w:szCs w:val="24"/>
              </w:rPr>
              <w:t>+0.997</w:t>
            </w:r>
          </w:p>
        </w:tc>
      </w:tr>
    </w:tbl>
    <w:p w14:paraId="6990F589" w14:textId="77777777" w:rsidR="00524B1F" w:rsidRDefault="00524B1F" w:rsidP="00524B1F">
      <w:pPr>
        <w:spacing w:after="0" w:line="240" w:lineRule="auto"/>
        <w:ind w:left="1440" w:firstLine="720"/>
        <w:rPr>
          <w:rFonts w:cs="Times New Roman"/>
          <w:i/>
          <w:sz w:val="24"/>
          <w:szCs w:val="24"/>
        </w:rPr>
      </w:pPr>
      <w:r w:rsidRPr="00544BBF">
        <w:rPr>
          <w:rFonts w:cs="Times New Roman"/>
          <w:i/>
          <w:sz w:val="24"/>
          <w:szCs w:val="24"/>
        </w:rPr>
        <w:t>Note: Loadings with larger absolute values show stronger association with the component.</w:t>
      </w:r>
    </w:p>
    <w:p w14:paraId="79286959" w14:textId="77777777" w:rsidR="00524B1F" w:rsidRDefault="00524B1F" w:rsidP="00524B1F">
      <w:pPr>
        <w:spacing w:after="0" w:line="240" w:lineRule="auto"/>
        <w:ind w:left="1440" w:firstLine="720"/>
        <w:rPr>
          <w:rFonts w:cs="Times New Roman"/>
          <w:i/>
          <w:sz w:val="24"/>
          <w:szCs w:val="24"/>
        </w:rPr>
      </w:pPr>
    </w:p>
    <w:p w14:paraId="1E5E80B5" w14:textId="77777777" w:rsidR="00524B1F" w:rsidRDefault="00524B1F" w:rsidP="00524B1F">
      <w:pPr>
        <w:spacing w:after="0" w:line="240" w:lineRule="auto"/>
        <w:ind w:left="1440" w:firstLine="720"/>
        <w:rPr>
          <w:rFonts w:cs="Times New Roman"/>
          <w:i/>
          <w:sz w:val="24"/>
          <w:szCs w:val="24"/>
        </w:rPr>
        <w:sectPr w:rsidR="00524B1F" w:rsidSect="00522A83">
          <w:pgSz w:w="15840" w:h="12240" w:orient="landscape"/>
          <w:pgMar w:top="1152" w:right="1152" w:bottom="1152" w:left="1152" w:header="720" w:footer="720" w:gutter="0"/>
          <w:cols w:space="720"/>
          <w:docGrid w:linePitch="360"/>
        </w:sectPr>
      </w:pPr>
    </w:p>
    <w:p w14:paraId="2A7C5F85"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lastRenderedPageBreak/>
        <w:t xml:space="preserve">The PAH data show clear evidence of spatial and seasonal heterogeneity across </w:t>
      </w:r>
      <w:proofErr w:type="spellStart"/>
      <w:r w:rsidRPr="00544BBF">
        <w:rPr>
          <w:rFonts w:cs="Times New Roman"/>
          <w:sz w:val="24"/>
          <w:szCs w:val="24"/>
        </w:rPr>
        <w:t>Akpajo</w:t>
      </w:r>
      <w:proofErr w:type="spellEnd"/>
      <w:r w:rsidRPr="00544BBF">
        <w:rPr>
          <w:rFonts w:cs="Times New Roman"/>
          <w:sz w:val="24"/>
          <w:szCs w:val="24"/>
        </w:rPr>
        <w:t xml:space="preserve">, Alesa and </w:t>
      </w:r>
      <w:proofErr w:type="spellStart"/>
      <w:r w:rsidRPr="00544BBF">
        <w:rPr>
          <w:rFonts w:cs="Times New Roman"/>
          <w:sz w:val="24"/>
          <w:szCs w:val="24"/>
        </w:rPr>
        <w:t>Aleto</w:t>
      </w:r>
      <w:proofErr w:type="spellEnd"/>
      <w:r w:rsidRPr="00544BBF">
        <w:rPr>
          <w:rFonts w:cs="Times New Roman"/>
          <w:sz w:val="24"/>
          <w:szCs w:val="24"/>
        </w:rPr>
        <w:t xml:space="preserve">. </w:t>
      </w:r>
      <w:proofErr w:type="spellStart"/>
      <w:r w:rsidRPr="00544BBF">
        <w:rPr>
          <w:rFonts w:cs="Times New Roman"/>
          <w:sz w:val="24"/>
          <w:szCs w:val="24"/>
        </w:rPr>
        <w:t>Aleto</w:t>
      </w:r>
      <w:proofErr w:type="spellEnd"/>
      <w:r w:rsidRPr="00544BBF">
        <w:rPr>
          <w:rFonts w:cs="Times New Roman"/>
          <w:sz w:val="24"/>
          <w:szCs w:val="24"/>
        </w:rPr>
        <w:t xml:space="preserve"> recorded the highest total PAH burden in three of the four </w:t>
      </w:r>
      <w:proofErr w:type="spellStart"/>
      <w:r w:rsidRPr="00544BBF">
        <w:rPr>
          <w:rFonts w:cs="Times New Roman"/>
          <w:sz w:val="24"/>
          <w:szCs w:val="24"/>
        </w:rPr>
        <w:t>Aleto</w:t>
      </w:r>
      <w:proofErr w:type="spellEnd"/>
      <w:r w:rsidRPr="00544BBF">
        <w:rPr>
          <w:rFonts w:cs="Times New Roman"/>
          <w:sz w:val="24"/>
          <w:szCs w:val="24"/>
        </w:rPr>
        <w:t xml:space="preserve"> conditions and the highest community mean. This suggests that local emission intensity, traffic, industrial activity, microclimate, dust resuspension or a combination of these factors may have been stronger around </w:t>
      </w:r>
      <w:proofErr w:type="spellStart"/>
      <w:r w:rsidRPr="00544BBF">
        <w:rPr>
          <w:rFonts w:cs="Times New Roman"/>
          <w:sz w:val="24"/>
          <w:szCs w:val="24"/>
        </w:rPr>
        <w:t>Aleto</w:t>
      </w:r>
      <w:proofErr w:type="spellEnd"/>
      <w:r w:rsidRPr="00544BBF">
        <w:rPr>
          <w:rFonts w:cs="Times New Roman"/>
          <w:sz w:val="24"/>
          <w:szCs w:val="24"/>
        </w:rPr>
        <w:t xml:space="preserve"> sampling points during the study.</w:t>
      </w:r>
    </w:p>
    <w:p w14:paraId="00693AE6"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The dry-season elevation is environmentally plausible for Eleme. Lower rainfall during dry periods reduces wet scavenging of airborne pollutants, while dusty roads, construction, vehicular movement and generator emissions may increase particle-bound PAHs. Wet-season values were generally lower, consistent with dilution and washout, although </w:t>
      </w:r>
      <w:proofErr w:type="spellStart"/>
      <w:r w:rsidRPr="00544BBF">
        <w:rPr>
          <w:rFonts w:cs="Times New Roman"/>
          <w:sz w:val="24"/>
          <w:szCs w:val="24"/>
        </w:rPr>
        <w:t>Aleto</w:t>
      </w:r>
      <w:proofErr w:type="spellEnd"/>
      <w:r w:rsidRPr="00544BBF">
        <w:rPr>
          <w:rFonts w:cs="Times New Roman"/>
          <w:sz w:val="24"/>
          <w:szCs w:val="24"/>
        </w:rPr>
        <w:t xml:space="preserve"> wet-season outdoor air still remained high, showing that rainfall did not eliminate PAH exposure.</w:t>
      </w:r>
    </w:p>
    <w:p w14:paraId="60054B44"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Anthracene and pyrene were the largest pooled contributors among the quantified congeners, followed by benzo(k)fluoranthene and naphthalene. The dominance of combustion-related PAHs is consistent with mixed petroleum, traffic, biomass/waste-burning and industrial emissions. The detection of higher-molecular-weight carcinogenic PAHs, even at lower concentrations, is important because risk is strongly influenced by toxicity and slope factors rather than concentration alone.</w:t>
      </w:r>
    </w:p>
    <w:p w14:paraId="46255502"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 xml:space="preserve">The risk assessment highlights children as a priority receptor group. Child LADD and child ILCR exceeded adult values in all scenarios, and several child ILCR estimates were above the 1.00E-04 risk-screening benchmark used in the thesis narrative. </w:t>
      </w:r>
      <w:proofErr w:type="spellStart"/>
      <w:r w:rsidRPr="00544BBF">
        <w:rPr>
          <w:rFonts w:cs="Times New Roman"/>
          <w:sz w:val="24"/>
          <w:szCs w:val="24"/>
        </w:rPr>
        <w:t>Aleto</w:t>
      </w:r>
      <w:proofErr w:type="spellEnd"/>
      <w:r w:rsidRPr="00544BBF">
        <w:rPr>
          <w:rFonts w:cs="Times New Roman"/>
          <w:sz w:val="24"/>
          <w:szCs w:val="24"/>
        </w:rPr>
        <w:t xml:space="preserve"> dry-season outdoor air produced the highest risk, indicating that outdoor exposure in the dry season may be a key driver of inhalation risk.</w:t>
      </w:r>
    </w:p>
    <w:p w14:paraId="213B05C5" w14:textId="77777777" w:rsidR="00524B1F" w:rsidRPr="00544BBF" w:rsidRDefault="00524B1F" w:rsidP="00524B1F">
      <w:pPr>
        <w:spacing w:after="0" w:line="240" w:lineRule="auto"/>
        <w:jc w:val="both"/>
        <w:rPr>
          <w:rFonts w:cs="Times New Roman"/>
          <w:sz w:val="24"/>
          <w:szCs w:val="24"/>
        </w:rPr>
      </w:pPr>
      <w:r w:rsidRPr="00544BBF">
        <w:rPr>
          <w:rFonts w:cs="Times New Roman"/>
          <w:sz w:val="24"/>
          <w:szCs w:val="24"/>
        </w:rPr>
        <w:t>The ANOVA findings strengthen the interpretation that seasonal variation is important for total PAHs and selected congeners. However, the non-significant community effect for total PAHs in the wider statistical output does not mean communities are identical; rather, it indicates that total PAH differences across all communities and observations did not reach the p &lt; 0.05 threshold in that model. Individual congeners showed significant community effects, implying that congener-specific profiles may be more diagnostic than total PAHs alone.</w:t>
      </w:r>
    </w:p>
    <w:p w14:paraId="70591A73" w14:textId="77777777" w:rsidR="00524B1F" w:rsidRDefault="00524B1F" w:rsidP="00524B1F">
      <w:pPr>
        <w:spacing w:after="0" w:line="240" w:lineRule="auto"/>
        <w:jc w:val="both"/>
        <w:rPr>
          <w:rFonts w:cs="Times New Roman"/>
          <w:sz w:val="24"/>
          <w:szCs w:val="24"/>
        </w:rPr>
      </w:pPr>
      <w:r w:rsidRPr="00544BBF">
        <w:rPr>
          <w:rFonts w:cs="Times New Roman"/>
          <w:sz w:val="24"/>
          <w:szCs w:val="24"/>
        </w:rPr>
        <w:t>The PCA results indicate that most PAH variance can be summarized by three components. PC1 had strong positive loadings for naphthalene, acenaphthylene, acenaphthene, fluorene, phenanthrene and fluoranthene, suggesting a dominant shared source or co-transport pattern. Additional components separated other PAHs, supporting the conclusion that multiple sources and environmental processes influenced PAH distributions in air.</w:t>
      </w:r>
    </w:p>
    <w:p w14:paraId="25589D59" w14:textId="77777777" w:rsidR="00524B1F" w:rsidRDefault="00524B1F" w:rsidP="00524B1F">
      <w:pPr>
        <w:spacing w:after="0" w:line="240" w:lineRule="auto"/>
        <w:jc w:val="center"/>
        <w:rPr>
          <w:rFonts w:cs="Times New Roman"/>
          <w:b/>
          <w:bCs/>
          <w:sz w:val="24"/>
          <w:szCs w:val="24"/>
        </w:rPr>
      </w:pPr>
    </w:p>
    <w:p w14:paraId="4FBB24E0" w14:textId="77777777" w:rsidR="0037428A" w:rsidRDefault="0037428A" w:rsidP="0037428A">
      <w:pPr>
        <w:pStyle w:val="isselectedend"/>
      </w:pPr>
      <w:r>
        <w:rPr>
          <w:rStyle w:val="Strong"/>
          <w:rFonts w:eastAsiaTheme="majorEastAsia"/>
        </w:rPr>
        <w:t>Conclusion</w:t>
      </w:r>
    </w:p>
    <w:p w14:paraId="59829850" w14:textId="77777777" w:rsidR="0037428A" w:rsidRDefault="0037428A" w:rsidP="0037428A">
      <w:pPr>
        <w:pStyle w:val="NormalWeb"/>
      </w:pPr>
      <w:r>
        <w:t xml:space="preserve">PAHs were detected in indoor and outdoor air across </w:t>
      </w:r>
      <w:proofErr w:type="spellStart"/>
      <w:r>
        <w:t>Akpajo</w:t>
      </w:r>
      <w:proofErr w:type="spellEnd"/>
      <w:r>
        <w:t xml:space="preserve">, Alesa and </w:t>
      </w:r>
      <w:proofErr w:type="spellStart"/>
      <w:r>
        <w:t>Aleto</w:t>
      </w:r>
      <w:proofErr w:type="spellEnd"/>
      <w:r>
        <w:t xml:space="preserve"> communities in Eleme Local Government Area, Rivers State, Nigeria. Total PAH concentrations varied with community, season and microenvironment, with the highest concentration recorded in </w:t>
      </w:r>
      <w:proofErr w:type="spellStart"/>
      <w:r>
        <w:t>Aleto</w:t>
      </w:r>
      <w:proofErr w:type="spellEnd"/>
      <w:r>
        <w:t xml:space="preserve"> dry-season outdoor air and the lowest in Alesa wet-season indoor air. The overall pattern showed higher PAH concentrations during the dry season than the wet season, and higher mean concentrations outdoors than indoors. Among the quantified congeners, anthracene, pyrene, benzo(k)fluoranthene, naphthalene and fluorene contributed substantially to the pooled PAH burden. The health-risk assessment indicated that children had higher estimated exposure and incremental lifetime carcinogenic risk than adults under the same environmental conditions. Several child risk estimates exceeded the risk-screening benchmark applied in the study, with </w:t>
      </w:r>
      <w:proofErr w:type="spellStart"/>
      <w:r>
        <w:t>Aleto</w:t>
      </w:r>
      <w:proofErr w:type="spellEnd"/>
      <w:r>
        <w:t xml:space="preserve"> dry-season outdoor air showing the highest value. Statistical analysis indicated that season significantly influenced total PAHs and selected congeners, while principal component analysis showed that three components accounted for most of the observed PAH variability. Overall, the results indicate that PAH contamination is present in the studied communities and that regular monitoring, emission reduction, improved dust control and risk communication are needed, particularly for children and other sensitive groups.</w:t>
      </w:r>
    </w:p>
    <w:p w14:paraId="021A2755" w14:textId="77777777" w:rsidR="0037428A" w:rsidRDefault="0037428A" w:rsidP="0037428A">
      <w:pPr>
        <w:pStyle w:val="isselectedend"/>
      </w:pPr>
      <w:r>
        <w:rPr>
          <w:rStyle w:val="Strong"/>
          <w:rFonts w:eastAsiaTheme="majorEastAsia"/>
        </w:rPr>
        <w:lastRenderedPageBreak/>
        <w:t>Limitations</w:t>
      </w:r>
    </w:p>
    <w:p w14:paraId="40639B6E" w14:textId="77777777" w:rsidR="0037428A" w:rsidRDefault="0037428A" w:rsidP="0037428A">
      <w:pPr>
        <w:pStyle w:val="NormalWeb"/>
      </w:pPr>
      <w:r>
        <w:t xml:space="preserve">This study provides useful information on PAH occurrence in indoor and outdoor air in selected Eleme communities; however, some limitations should be considered when interpreting the findings. The investigation was limited to three communities and two seasonal periods, which may not fully represent long-term temporal variation in PAH concentrations. The sampling design also focused on selected indoor and outdoor microenvironments, and wider spatial coverage may be required to capture local differences in traffic density, industrial activity, household practices and ventilation conditions. Source identification was based on observed concentration patterns and statistical grouping rather than direct source-apportionment modelling. Therefore, the contribution of specific emission sources could not be quantified. Health-risk estimates were derived from exposure assumptions and available toxicity parameters, and actual individual exposure may vary with age, activity pattern, occupation, residence time and indoor </w:t>
      </w:r>
      <w:proofErr w:type="spellStart"/>
      <w:r>
        <w:t>behaviour</w:t>
      </w:r>
      <w:proofErr w:type="spellEnd"/>
      <w:r>
        <w:t>. Despite these limitations, the study provides a relevant screening-level assessment of PAH contamination and associated inhalation risk in the selected communities.</w:t>
      </w:r>
    </w:p>
    <w:p w14:paraId="484EA39A" w14:textId="77777777" w:rsidR="0037428A" w:rsidRPr="00695CC9" w:rsidRDefault="0037428A" w:rsidP="0037428A"/>
    <w:p w14:paraId="49C62C84" w14:textId="77777777" w:rsidR="00524B1F" w:rsidRDefault="00524B1F" w:rsidP="00524B1F">
      <w:pPr>
        <w:spacing w:after="0" w:line="240" w:lineRule="auto"/>
        <w:jc w:val="center"/>
        <w:rPr>
          <w:rFonts w:cs="Times New Roman"/>
          <w:b/>
          <w:bCs/>
          <w:sz w:val="24"/>
          <w:szCs w:val="24"/>
        </w:rPr>
      </w:pPr>
    </w:p>
    <w:p w14:paraId="52A69660" w14:textId="77777777" w:rsidR="00524B1F" w:rsidRDefault="00524B1F" w:rsidP="00524B1F">
      <w:pPr>
        <w:spacing w:after="0" w:line="240" w:lineRule="auto"/>
        <w:jc w:val="center"/>
        <w:rPr>
          <w:rFonts w:cs="Times New Roman"/>
          <w:b/>
          <w:bCs/>
          <w:sz w:val="24"/>
          <w:szCs w:val="24"/>
        </w:rPr>
      </w:pPr>
    </w:p>
    <w:p w14:paraId="5BE3B338" w14:textId="77777777" w:rsidR="00524B1F" w:rsidRDefault="00524B1F" w:rsidP="00524B1F">
      <w:pPr>
        <w:spacing w:after="0" w:line="240" w:lineRule="auto"/>
        <w:jc w:val="center"/>
        <w:rPr>
          <w:rFonts w:cs="Times New Roman"/>
          <w:b/>
          <w:bCs/>
          <w:sz w:val="24"/>
          <w:szCs w:val="24"/>
        </w:rPr>
      </w:pPr>
    </w:p>
    <w:p w14:paraId="495F5D16" w14:textId="77777777" w:rsidR="00524B1F" w:rsidRDefault="00524B1F" w:rsidP="00524B1F">
      <w:pPr>
        <w:spacing w:after="0" w:line="240" w:lineRule="auto"/>
        <w:jc w:val="center"/>
        <w:rPr>
          <w:rFonts w:cs="Times New Roman"/>
          <w:b/>
          <w:bCs/>
          <w:sz w:val="24"/>
          <w:szCs w:val="24"/>
        </w:rPr>
      </w:pPr>
    </w:p>
    <w:p w14:paraId="6A82E47D" w14:textId="77777777" w:rsidR="00524B1F" w:rsidRDefault="00524B1F" w:rsidP="00524B1F">
      <w:pPr>
        <w:spacing w:after="0" w:line="240" w:lineRule="auto"/>
        <w:jc w:val="center"/>
        <w:rPr>
          <w:rFonts w:cs="Times New Roman"/>
          <w:b/>
          <w:bCs/>
          <w:sz w:val="24"/>
          <w:szCs w:val="24"/>
        </w:rPr>
      </w:pPr>
      <w:r w:rsidRPr="001D5E0D">
        <w:rPr>
          <w:rFonts w:cs="Times New Roman"/>
          <w:b/>
          <w:bCs/>
          <w:sz w:val="24"/>
          <w:szCs w:val="24"/>
        </w:rPr>
        <w:t>REFERENCES</w:t>
      </w:r>
    </w:p>
    <w:p w14:paraId="3A8484E6" w14:textId="77777777" w:rsidR="00524B1F" w:rsidRPr="001D5E0D" w:rsidRDefault="00524B1F" w:rsidP="00524B1F">
      <w:pPr>
        <w:spacing w:after="0" w:line="240" w:lineRule="auto"/>
        <w:jc w:val="center"/>
        <w:rPr>
          <w:rFonts w:cs="Times New Roman"/>
          <w:b/>
          <w:bCs/>
          <w:sz w:val="24"/>
          <w:szCs w:val="24"/>
        </w:rPr>
      </w:pPr>
    </w:p>
    <w:p w14:paraId="08EB3E34" w14:textId="77777777" w:rsidR="00524B1F" w:rsidRPr="001D5E0D" w:rsidRDefault="00524B1F" w:rsidP="00524B1F">
      <w:pPr>
        <w:spacing w:after="0" w:line="240" w:lineRule="auto"/>
        <w:ind w:left="360" w:hanging="360"/>
        <w:jc w:val="both"/>
        <w:rPr>
          <w:rFonts w:cs="Times New Roman"/>
          <w:i/>
          <w:iCs/>
          <w:sz w:val="24"/>
          <w:szCs w:val="24"/>
        </w:rPr>
      </w:pPr>
      <w:r w:rsidRPr="00544BBF">
        <w:rPr>
          <w:rFonts w:cs="Times New Roman"/>
          <w:sz w:val="24"/>
          <w:szCs w:val="24"/>
        </w:rPr>
        <w:t xml:space="preserve">Ana, G. R. E. E., Sridhar, M. K. C., &amp; </w:t>
      </w:r>
      <w:proofErr w:type="spellStart"/>
      <w:r w:rsidRPr="00544BBF">
        <w:rPr>
          <w:rFonts w:cs="Times New Roman"/>
          <w:sz w:val="24"/>
          <w:szCs w:val="24"/>
        </w:rPr>
        <w:t>Emerole</w:t>
      </w:r>
      <w:proofErr w:type="spellEnd"/>
      <w:r w:rsidRPr="00544BBF">
        <w:rPr>
          <w:rFonts w:cs="Times New Roman"/>
          <w:sz w:val="24"/>
          <w:szCs w:val="24"/>
        </w:rPr>
        <w:t xml:space="preserve">, G. O. (2012). Polycyclic Aromatic Hydrocarbon Burden in Ambient Air in selected Niger Delta communities in Nigeria. </w:t>
      </w:r>
      <w:r w:rsidRPr="001D5E0D">
        <w:rPr>
          <w:rFonts w:cs="Times New Roman"/>
          <w:i/>
          <w:iCs/>
          <w:sz w:val="24"/>
          <w:szCs w:val="24"/>
        </w:rPr>
        <w:t>Journal of the Air &amp; Waste Management Association.</w:t>
      </w:r>
    </w:p>
    <w:p w14:paraId="43BE11C7"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Aghanenu, A. S., &amp; Uffie, E. J. (2018). Economic Growth and Pollution </w:t>
      </w:r>
      <w:proofErr w:type="gramStart"/>
      <w:r w:rsidRPr="00544BBF">
        <w:rPr>
          <w:rFonts w:cs="Times New Roman"/>
          <w:sz w:val="24"/>
          <w:szCs w:val="24"/>
        </w:rPr>
        <w:t>In</w:t>
      </w:r>
      <w:proofErr w:type="gramEnd"/>
      <w:r w:rsidRPr="00544BBF">
        <w:rPr>
          <w:rFonts w:cs="Times New Roman"/>
          <w:sz w:val="24"/>
          <w:szCs w:val="24"/>
        </w:rPr>
        <w:t xml:space="preserve"> Nigeria: An Econometric Assessment. European Journal of Economic and Financial Research, 3(2).</w:t>
      </w:r>
    </w:p>
    <w:p w14:paraId="6DBCE4AB" w14:textId="77777777" w:rsidR="00524B1F" w:rsidRPr="00544BBF" w:rsidRDefault="00524B1F" w:rsidP="00524B1F">
      <w:pPr>
        <w:spacing w:after="0" w:line="240" w:lineRule="auto"/>
        <w:ind w:left="360" w:hanging="360"/>
        <w:jc w:val="both"/>
        <w:rPr>
          <w:rFonts w:cs="Times New Roman"/>
          <w:sz w:val="24"/>
          <w:szCs w:val="24"/>
        </w:rPr>
      </w:pPr>
      <w:proofErr w:type="spellStart"/>
      <w:r w:rsidRPr="00544BBF">
        <w:rPr>
          <w:rFonts w:cs="Times New Roman"/>
          <w:sz w:val="24"/>
          <w:szCs w:val="24"/>
        </w:rPr>
        <w:t>Antai</w:t>
      </w:r>
      <w:proofErr w:type="spellEnd"/>
      <w:r w:rsidRPr="00544BBF">
        <w:rPr>
          <w:rFonts w:cs="Times New Roman"/>
          <w:sz w:val="24"/>
          <w:szCs w:val="24"/>
        </w:rPr>
        <w:t xml:space="preserve">, A. S., Ekpo, I. E., &amp; Okon, A. O. (2020). Evaluation of dry season Ambient Air Quality in Eleme industrial zone of Rivers State, Nigeria. </w:t>
      </w:r>
      <w:r w:rsidRPr="001D5E0D">
        <w:rPr>
          <w:rFonts w:cs="Times New Roman"/>
          <w:i/>
          <w:iCs/>
          <w:sz w:val="24"/>
          <w:szCs w:val="24"/>
        </w:rPr>
        <w:t xml:space="preserve">Journal of Applied Sciences and Environmental Management, </w:t>
      </w:r>
      <w:r w:rsidRPr="00544BBF">
        <w:rPr>
          <w:rFonts w:cs="Times New Roman"/>
          <w:sz w:val="24"/>
          <w:szCs w:val="24"/>
        </w:rPr>
        <w:t>24(2), 157–164.</w:t>
      </w:r>
    </w:p>
    <w:p w14:paraId="029D6B1C"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Ede, P. N., &amp; </w:t>
      </w:r>
      <w:proofErr w:type="spellStart"/>
      <w:r w:rsidRPr="00544BBF">
        <w:rPr>
          <w:rFonts w:cs="Times New Roman"/>
          <w:sz w:val="24"/>
          <w:szCs w:val="24"/>
        </w:rPr>
        <w:t>Edokpa</w:t>
      </w:r>
      <w:proofErr w:type="spellEnd"/>
      <w:r w:rsidRPr="00544BBF">
        <w:rPr>
          <w:rFonts w:cs="Times New Roman"/>
          <w:sz w:val="24"/>
          <w:szCs w:val="24"/>
        </w:rPr>
        <w:t xml:space="preserve">, D. O. (2015). Regional Air Quality of the Nigeria’s Niger Delta. </w:t>
      </w:r>
      <w:r w:rsidRPr="001D5E0D">
        <w:rPr>
          <w:rFonts w:cs="Times New Roman"/>
          <w:i/>
          <w:iCs/>
          <w:sz w:val="24"/>
          <w:szCs w:val="24"/>
        </w:rPr>
        <w:t>Open Journal of Air Pollution,</w:t>
      </w:r>
      <w:r w:rsidRPr="00544BBF">
        <w:rPr>
          <w:rFonts w:cs="Times New Roman"/>
          <w:sz w:val="24"/>
          <w:szCs w:val="24"/>
        </w:rPr>
        <w:t xml:space="preserve"> 4(1), 7-15.</w:t>
      </w:r>
    </w:p>
    <w:p w14:paraId="6C22D5BB"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Evelyn, M. I., &amp; </w:t>
      </w:r>
      <w:proofErr w:type="spellStart"/>
      <w:r w:rsidRPr="00544BBF">
        <w:rPr>
          <w:rFonts w:cs="Times New Roman"/>
          <w:sz w:val="24"/>
          <w:szCs w:val="24"/>
        </w:rPr>
        <w:t>Tyav</w:t>
      </w:r>
      <w:proofErr w:type="spellEnd"/>
      <w:r w:rsidRPr="00544BBF">
        <w:rPr>
          <w:rFonts w:cs="Times New Roman"/>
          <w:sz w:val="24"/>
          <w:szCs w:val="24"/>
        </w:rPr>
        <w:t xml:space="preserve">, T. T. (2012). Environmental Pollution in Nigeria: The Need </w:t>
      </w:r>
      <w:proofErr w:type="gramStart"/>
      <w:r w:rsidRPr="00544BBF">
        <w:rPr>
          <w:rFonts w:cs="Times New Roman"/>
          <w:sz w:val="24"/>
          <w:szCs w:val="24"/>
        </w:rPr>
        <w:t>For</w:t>
      </w:r>
      <w:proofErr w:type="gramEnd"/>
      <w:r w:rsidRPr="00544BBF">
        <w:rPr>
          <w:rFonts w:cs="Times New Roman"/>
          <w:sz w:val="24"/>
          <w:szCs w:val="24"/>
        </w:rPr>
        <w:t xml:space="preserve"> Awareness Creation </w:t>
      </w:r>
      <w:proofErr w:type="gramStart"/>
      <w:r w:rsidRPr="00544BBF">
        <w:rPr>
          <w:rFonts w:cs="Times New Roman"/>
          <w:sz w:val="24"/>
          <w:szCs w:val="24"/>
        </w:rPr>
        <w:t>For</w:t>
      </w:r>
      <w:proofErr w:type="gramEnd"/>
      <w:r w:rsidRPr="00544BBF">
        <w:rPr>
          <w:rFonts w:cs="Times New Roman"/>
          <w:sz w:val="24"/>
          <w:szCs w:val="24"/>
        </w:rPr>
        <w:t xml:space="preserve"> Sustainable Development. Journal of Research in Forestry, Wildlife and Environment.</w:t>
      </w:r>
    </w:p>
    <w:p w14:paraId="0F6E487F"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Fann, N., Brennan, T., Dolwick, P., Gamble, J. L., Ilacqua, V., Kolb, L., Nolte, C. G., Spero, T. L., &amp; Ziska, L. (2016). Chapter 3: Air Quality Impacts. The Impacts of Climate Change on Human Health in the United States.</w:t>
      </w:r>
    </w:p>
    <w:p w14:paraId="14DFE75D"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Ghetu, C. C., Rohlman, D., Smith, B. W., Scott, R. P., Adams, K. A., Hoffman, P. D., &amp; Anderson, K. A. (2022). Wildfire impact on indoor and outdoor PAH air quality. </w:t>
      </w:r>
      <w:r w:rsidRPr="001D5E0D">
        <w:rPr>
          <w:rFonts w:cs="Times New Roman"/>
          <w:i/>
          <w:iCs/>
          <w:sz w:val="24"/>
          <w:szCs w:val="24"/>
        </w:rPr>
        <w:t xml:space="preserve">Environmental science &amp; technology, </w:t>
      </w:r>
      <w:r w:rsidRPr="00544BBF">
        <w:rPr>
          <w:rFonts w:cs="Times New Roman"/>
          <w:sz w:val="24"/>
          <w:szCs w:val="24"/>
        </w:rPr>
        <w:t>56(14), 10042-10052.</w:t>
      </w:r>
    </w:p>
    <w:p w14:paraId="6CBB893D"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Maliszewska-</w:t>
      </w:r>
      <w:proofErr w:type="spellStart"/>
      <w:r w:rsidRPr="00544BBF">
        <w:rPr>
          <w:rFonts w:cs="Times New Roman"/>
          <w:sz w:val="24"/>
          <w:szCs w:val="24"/>
        </w:rPr>
        <w:t>Kordybach</w:t>
      </w:r>
      <w:proofErr w:type="spellEnd"/>
      <w:r w:rsidRPr="00544BBF">
        <w:rPr>
          <w:rFonts w:cs="Times New Roman"/>
          <w:sz w:val="24"/>
          <w:szCs w:val="24"/>
        </w:rPr>
        <w:t xml:space="preserve">, B. (1999). Sources, concentrations, fate and effects of polycyclic aromatic hydrocarbons (PAHs) in the environment. Part A: PAHs in air. </w:t>
      </w:r>
      <w:r w:rsidRPr="001D5E0D">
        <w:rPr>
          <w:rFonts w:cs="Times New Roman"/>
          <w:i/>
          <w:iCs/>
          <w:sz w:val="24"/>
          <w:szCs w:val="24"/>
        </w:rPr>
        <w:t>Polish Journal of Environmental Studies</w:t>
      </w:r>
      <w:r w:rsidRPr="00544BBF">
        <w:rPr>
          <w:rFonts w:cs="Times New Roman"/>
          <w:sz w:val="24"/>
          <w:szCs w:val="24"/>
        </w:rPr>
        <w:t>, 8, 131-136.</w:t>
      </w:r>
    </w:p>
    <w:p w14:paraId="718CDAAC"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Mannan, M., &amp; Al-Ghamdi, S. G. (2021). Indoor air quality in buildings: a comprehensive review on the factors influencing air pollution in residential and commercial structure. </w:t>
      </w:r>
      <w:r w:rsidRPr="001D5E0D">
        <w:rPr>
          <w:rFonts w:cs="Times New Roman"/>
          <w:i/>
          <w:iCs/>
          <w:sz w:val="24"/>
          <w:szCs w:val="24"/>
        </w:rPr>
        <w:t>International journal of environmental research and public health,</w:t>
      </w:r>
      <w:r w:rsidRPr="00544BBF">
        <w:rPr>
          <w:rFonts w:cs="Times New Roman"/>
          <w:sz w:val="24"/>
          <w:szCs w:val="24"/>
        </w:rPr>
        <w:t xml:space="preserve"> 18(6), 3276.</w:t>
      </w:r>
    </w:p>
    <w:p w14:paraId="43ADFFE1"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Mohan, D., Thiyagarajan, D., &amp; Murthy, P. B. (2013). Toxicity of exhaust nanoparticles. </w:t>
      </w:r>
      <w:r w:rsidRPr="001D5E0D">
        <w:rPr>
          <w:rFonts w:cs="Times New Roman"/>
          <w:i/>
          <w:iCs/>
          <w:sz w:val="24"/>
          <w:szCs w:val="24"/>
        </w:rPr>
        <w:t xml:space="preserve">African Journal of Pharmacy and Pharmacology, </w:t>
      </w:r>
      <w:r w:rsidRPr="00544BBF">
        <w:rPr>
          <w:rFonts w:cs="Times New Roman"/>
          <w:sz w:val="24"/>
          <w:szCs w:val="24"/>
        </w:rPr>
        <w:t>7(7), 318-331.</w:t>
      </w:r>
    </w:p>
    <w:p w14:paraId="053E3D46"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lastRenderedPageBreak/>
        <w:t xml:space="preserve">Obanya, H., </w:t>
      </w:r>
      <w:proofErr w:type="spellStart"/>
      <w:r w:rsidRPr="00544BBF">
        <w:rPr>
          <w:rFonts w:cs="Times New Roman"/>
          <w:sz w:val="24"/>
          <w:szCs w:val="24"/>
        </w:rPr>
        <w:t>Amaeze</w:t>
      </w:r>
      <w:proofErr w:type="spellEnd"/>
      <w:r w:rsidRPr="00544BBF">
        <w:rPr>
          <w:rFonts w:cs="Times New Roman"/>
          <w:sz w:val="24"/>
          <w:szCs w:val="24"/>
        </w:rPr>
        <w:t xml:space="preserve">, N., </w:t>
      </w:r>
      <w:proofErr w:type="spellStart"/>
      <w:r w:rsidRPr="00544BBF">
        <w:rPr>
          <w:rFonts w:cs="Times New Roman"/>
          <w:sz w:val="24"/>
          <w:szCs w:val="24"/>
        </w:rPr>
        <w:t>Togunde</w:t>
      </w:r>
      <w:proofErr w:type="spellEnd"/>
      <w:r w:rsidRPr="00544BBF">
        <w:rPr>
          <w:rFonts w:cs="Times New Roman"/>
          <w:sz w:val="24"/>
          <w:szCs w:val="24"/>
        </w:rPr>
        <w:t xml:space="preserve">, O., &amp; </w:t>
      </w:r>
      <w:proofErr w:type="spellStart"/>
      <w:r w:rsidRPr="00544BBF">
        <w:rPr>
          <w:rFonts w:cs="Times New Roman"/>
          <w:sz w:val="24"/>
          <w:szCs w:val="24"/>
        </w:rPr>
        <w:t>Otitoloju</w:t>
      </w:r>
      <w:proofErr w:type="spellEnd"/>
      <w:r w:rsidRPr="00544BBF">
        <w:rPr>
          <w:rFonts w:cs="Times New Roman"/>
          <w:sz w:val="24"/>
          <w:szCs w:val="24"/>
        </w:rPr>
        <w:t xml:space="preserve">, A. (2018). Air pollution monitoring around residential and transportation sector locations in Lagos Mainland. </w:t>
      </w:r>
      <w:r w:rsidRPr="001D5E0D">
        <w:rPr>
          <w:rFonts w:cs="Times New Roman"/>
          <w:i/>
          <w:iCs/>
          <w:sz w:val="24"/>
          <w:szCs w:val="24"/>
        </w:rPr>
        <w:t>Journal of Health and Pollution</w:t>
      </w:r>
      <w:r w:rsidRPr="00544BBF">
        <w:rPr>
          <w:rFonts w:cs="Times New Roman"/>
          <w:sz w:val="24"/>
          <w:szCs w:val="24"/>
        </w:rPr>
        <w:t>, 8(19), 180903.</w:t>
      </w:r>
    </w:p>
    <w:p w14:paraId="3FC15470"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Salem, A. A., Soliman, A. A., &amp; El-</w:t>
      </w:r>
      <w:proofErr w:type="spellStart"/>
      <w:r w:rsidRPr="00544BBF">
        <w:rPr>
          <w:rFonts w:cs="Times New Roman"/>
          <w:sz w:val="24"/>
          <w:szCs w:val="24"/>
        </w:rPr>
        <w:t>Haty</w:t>
      </w:r>
      <w:proofErr w:type="spellEnd"/>
      <w:r w:rsidRPr="00544BBF">
        <w:rPr>
          <w:rFonts w:cs="Times New Roman"/>
          <w:sz w:val="24"/>
          <w:szCs w:val="24"/>
        </w:rPr>
        <w:t xml:space="preserve">, I. A. (2009). Determination of nitrogen dioxide, </w:t>
      </w:r>
      <w:proofErr w:type="spellStart"/>
      <w:r w:rsidRPr="00544BBF">
        <w:rPr>
          <w:rFonts w:cs="Times New Roman"/>
          <w:sz w:val="24"/>
          <w:szCs w:val="24"/>
        </w:rPr>
        <w:t>sulphur</w:t>
      </w:r>
      <w:proofErr w:type="spellEnd"/>
      <w:r w:rsidRPr="00544BBF">
        <w:rPr>
          <w:rFonts w:cs="Times New Roman"/>
          <w:sz w:val="24"/>
          <w:szCs w:val="24"/>
        </w:rPr>
        <w:t xml:space="preserve"> dioxide, ozone and ammonia in ambient air using the passive sampling method associated with ion chromatography.</w:t>
      </w:r>
    </w:p>
    <w:p w14:paraId="76D11464"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 xml:space="preserve">U.S. Environmental Protection Agency. (2018). Method 8270E: </w:t>
      </w:r>
      <w:proofErr w:type="spellStart"/>
      <w:r w:rsidRPr="00544BBF">
        <w:rPr>
          <w:rFonts w:cs="Times New Roman"/>
          <w:sz w:val="24"/>
          <w:szCs w:val="24"/>
        </w:rPr>
        <w:t>Semivolatile</w:t>
      </w:r>
      <w:proofErr w:type="spellEnd"/>
      <w:r w:rsidRPr="00544BBF">
        <w:rPr>
          <w:rFonts w:cs="Times New Roman"/>
          <w:sz w:val="24"/>
          <w:szCs w:val="24"/>
        </w:rPr>
        <w:t xml:space="preserve"> organic compounds by gas chromatography/mass spectrometry (GC/MS). Test Methods for Evaluating Solid Waste, Physical/Chemical Methods.</w:t>
      </w:r>
    </w:p>
    <w:p w14:paraId="4E083A03"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University Corporation for Atmospheric Research (UCAR). (2022). What’s in the Air. UCAR Center for Science Education.</w:t>
      </w:r>
    </w:p>
    <w:p w14:paraId="2CA65E55"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World Health Organization (WHO). (2019). Health Consequences of Air Pollution on populations. Geneva, Switzerland</w:t>
      </w:r>
    </w:p>
    <w:p w14:paraId="057DA32C"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World Health Organization (WHO). (2021). Ambient (outdoor) Air Pollution. WHO Global Air Quality Guidelines(AQG).</w:t>
      </w:r>
    </w:p>
    <w:p w14:paraId="3FE97C9E" w14:textId="77777777" w:rsidR="00524B1F" w:rsidRPr="00544BBF" w:rsidRDefault="00524B1F" w:rsidP="00524B1F">
      <w:pPr>
        <w:spacing w:after="0" w:line="240" w:lineRule="auto"/>
        <w:ind w:left="360" w:hanging="360"/>
        <w:jc w:val="both"/>
        <w:rPr>
          <w:rFonts w:cs="Times New Roman"/>
          <w:sz w:val="24"/>
          <w:szCs w:val="24"/>
        </w:rPr>
      </w:pPr>
      <w:r w:rsidRPr="00544BBF">
        <w:rPr>
          <w:rFonts w:cs="Times New Roman"/>
          <w:sz w:val="24"/>
          <w:szCs w:val="24"/>
        </w:rPr>
        <w:t>World Health Organization. (2023). Improving the capacity of countries to report on air quality in cities: Users’ guide to the repository of United Nations tools. World Health Organization.</w:t>
      </w:r>
    </w:p>
    <w:p w14:paraId="7B5E84A0" w14:textId="77777777" w:rsidR="00524B1F" w:rsidRPr="00544BBF" w:rsidRDefault="00524B1F" w:rsidP="00524B1F">
      <w:pPr>
        <w:spacing w:after="0" w:line="240" w:lineRule="auto"/>
        <w:ind w:left="360" w:hanging="360"/>
        <w:jc w:val="both"/>
        <w:rPr>
          <w:rFonts w:cs="Times New Roman"/>
          <w:sz w:val="24"/>
          <w:szCs w:val="24"/>
        </w:rPr>
      </w:pPr>
      <w:proofErr w:type="spellStart"/>
      <w:r w:rsidRPr="00544BBF">
        <w:rPr>
          <w:rFonts w:cs="Times New Roman"/>
          <w:sz w:val="24"/>
          <w:szCs w:val="24"/>
        </w:rPr>
        <w:t>Yorkor</w:t>
      </w:r>
      <w:proofErr w:type="spellEnd"/>
      <w:r w:rsidRPr="00544BBF">
        <w:rPr>
          <w:rFonts w:cs="Times New Roman"/>
          <w:sz w:val="24"/>
          <w:szCs w:val="24"/>
        </w:rPr>
        <w:t xml:space="preserve">, B., </w:t>
      </w:r>
      <w:proofErr w:type="spellStart"/>
      <w:r w:rsidRPr="00544BBF">
        <w:rPr>
          <w:rFonts w:cs="Times New Roman"/>
          <w:sz w:val="24"/>
          <w:szCs w:val="24"/>
        </w:rPr>
        <w:t>Leton</w:t>
      </w:r>
      <w:proofErr w:type="spellEnd"/>
      <w:r w:rsidRPr="00544BBF">
        <w:rPr>
          <w:rFonts w:cs="Times New Roman"/>
          <w:sz w:val="24"/>
          <w:szCs w:val="24"/>
        </w:rPr>
        <w:t xml:space="preserve">, T. G., &amp; </w:t>
      </w:r>
      <w:proofErr w:type="spellStart"/>
      <w:r w:rsidRPr="00544BBF">
        <w:rPr>
          <w:rFonts w:cs="Times New Roman"/>
          <w:sz w:val="24"/>
          <w:szCs w:val="24"/>
        </w:rPr>
        <w:t>Ugbebor</w:t>
      </w:r>
      <w:proofErr w:type="spellEnd"/>
      <w:r w:rsidRPr="00544BBF">
        <w:rPr>
          <w:rFonts w:cs="Times New Roman"/>
          <w:sz w:val="24"/>
          <w:szCs w:val="24"/>
        </w:rPr>
        <w:t xml:space="preserve">, J. N. (2017). The role of meteorology for seasonal variation in air pollution level in Eleme, Rivers State, Nigeria. </w:t>
      </w:r>
      <w:r w:rsidRPr="001D5E0D">
        <w:rPr>
          <w:rFonts w:cs="Times New Roman"/>
          <w:i/>
          <w:iCs/>
          <w:sz w:val="24"/>
          <w:szCs w:val="24"/>
        </w:rPr>
        <w:t>Journal of Scientific Research and Reports,</w:t>
      </w:r>
      <w:r w:rsidRPr="00544BBF">
        <w:rPr>
          <w:rFonts w:cs="Times New Roman"/>
          <w:sz w:val="24"/>
          <w:szCs w:val="24"/>
        </w:rPr>
        <w:t xml:space="preserve"> 17(3), 1–17.</w:t>
      </w:r>
      <w:r>
        <w:rPr>
          <w:rFonts w:cs="Times New Roman"/>
          <w:sz w:val="24"/>
          <w:szCs w:val="24"/>
        </w:rPr>
        <w:t xml:space="preserve"> </w:t>
      </w:r>
    </w:p>
    <w:sectPr w:rsidR="00524B1F" w:rsidRPr="00544BBF" w:rsidSect="001D5E0D">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89E3" w14:textId="77777777" w:rsidR="008D47F0" w:rsidRDefault="008D47F0">
      <w:pPr>
        <w:spacing w:after="0" w:line="240" w:lineRule="auto"/>
      </w:pPr>
      <w:r>
        <w:separator/>
      </w:r>
    </w:p>
  </w:endnote>
  <w:endnote w:type="continuationSeparator" w:id="0">
    <w:p w14:paraId="7AF5A485" w14:textId="77777777" w:rsidR="008D47F0" w:rsidRDefault="008D4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F6AA" w14:textId="77777777" w:rsidR="00FB686C" w:rsidRDefault="00FB6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C645" w14:textId="77777777" w:rsidR="004D7E2B" w:rsidRDefault="00524B1F">
    <w:pPr>
      <w:pStyle w:val="Footer"/>
      <w:jc w:val="center"/>
    </w:pPr>
    <w:r>
      <w:fldChar w:fldCharType="begin"/>
    </w:r>
    <w:r>
      <w:instrText>PAGE</w:instrText>
    </w:r>
    <w:r>
      <w:fldChar w:fldCharType="separate"/>
    </w:r>
    <w:r w:rsidR="00F5154A">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F11F" w14:textId="77777777" w:rsidR="00FB686C" w:rsidRDefault="00FB6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D5A11" w14:textId="77777777" w:rsidR="008D47F0" w:rsidRDefault="008D47F0">
      <w:pPr>
        <w:spacing w:after="0" w:line="240" w:lineRule="auto"/>
      </w:pPr>
      <w:r>
        <w:separator/>
      </w:r>
    </w:p>
  </w:footnote>
  <w:footnote w:type="continuationSeparator" w:id="0">
    <w:p w14:paraId="0BA3E7FD" w14:textId="77777777" w:rsidR="008D47F0" w:rsidRDefault="008D4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A9DF" w14:textId="63380D69" w:rsidR="00FB686C" w:rsidRDefault="00FB686C">
    <w:pPr>
      <w:pStyle w:val="Header"/>
    </w:pPr>
    <w:r>
      <w:rPr>
        <w:noProof/>
      </w:rPr>
      <w:pict w14:anchorId="34776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36079" o:spid="_x0000_s1026" type="#_x0000_t136" style="position:absolute;margin-left:0;margin-top:0;width:630.3pt;height:70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4230C" w14:textId="43708E1F" w:rsidR="00FB686C" w:rsidRDefault="00FB686C">
    <w:pPr>
      <w:pStyle w:val="Header"/>
    </w:pPr>
    <w:r>
      <w:rPr>
        <w:noProof/>
      </w:rPr>
      <w:pict w14:anchorId="45F783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36080" o:spid="_x0000_s1027" type="#_x0000_t136" style="position:absolute;margin-left:0;margin-top:0;width:630.3pt;height:70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92FA" w14:textId="46BE26B9" w:rsidR="00FB686C" w:rsidRDefault="00FB686C">
    <w:pPr>
      <w:pStyle w:val="Header"/>
    </w:pPr>
    <w:r>
      <w:rPr>
        <w:noProof/>
      </w:rPr>
      <w:pict w14:anchorId="38AFAE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36078" o:spid="_x0000_s1025" type="#_x0000_t136" style="position:absolute;margin-left:0;margin-top:0;width:630.3pt;height:70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3081433">
    <w:abstractNumId w:val="8"/>
  </w:num>
  <w:num w:numId="2" w16cid:durableId="818040309">
    <w:abstractNumId w:val="6"/>
  </w:num>
  <w:num w:numId="3" w16cid:durableId="460152853">
    <w:abstractNumId w:val="5"/>
  </w:num>
  <w:num w:numId="4" w16cid:durableId="690180268">
    <w:abstractNumId w:val="4"/>
  </w:num>
  <w:num w:numId="5" w16cid:durableId="1256480112">
    <w:abstractNumId w:val="7"/>
  </w:num>
  <w:num w:numId="6" w16cid:durableId="824204340">
    <w:abstractNumId w:val="3"/>
  </w:num>
  <w:num w:numId="7" w16cid:durableId="167600664">
    <w:abstractNumId w:val="2"/>
  </w:num>
  <w:num w:numId="8" w16cid:durableId="962880899">
    <w:abstractNumId w:val="1"/>
  </w:num>
  <w:num w:numId="9" w16cid:durableId="90715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1F"/>
    <w:rsid w:val="0037428A"/>
    <w:rsid w:val="004453F9"/>
    <w:rsid w:val="004D7E2B"/>
    <w:rsid w:val="004F56E8"/>
    <w:rsid w:val="00524B1F"/>
    <w:rsid w:val="006B6452"/>
    <w:rsid w:val="008C1D52"/>
    <w:rsid w:val="008D47F0"/>
    <w:rsid w:val="00A84E3A"/>
    <w:rsid w:val="00AE140E"/>
    <w:rsid w:val="00B70C3A"/>
    <w:rsid w:val="00C279AB"/>
    <w:rsid w:val="00CA365E"/>
    <w:rsid w:val="00EB6950"/>
    <w:rsid w:val="00F5154A"/>
    <w:rsid w:val="00FB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87376"/>
  <w15:chartTrackingRefBased/>
  <w15:docId w15:val="{F47180E2-F5FF-4662-9184-C8194585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B1F"/>
    <w:pPr>
      <w:spacing w:after="200" w:line="276" w:lineRule="auto"/>
    </w:pPr>
    <w:rPr>
      <w:rFonts w:ascii="Times New Roman" w:eastAsia="Times New Roman" w:hAnsi="Times New Roman"/>
    </w:rPr>
  </w:style>
  <w:style w:type="paragraph" w:styleId="Heading1">
    <w:name w:val="heading 1"/>
    <w:basedOn w:val="Normal"/>
    <w:next w:val="Normal"/>
    <w:link w:val="Heading1Char"/>
    <w:uiPriority w:val="9"/>
    <w:qFormat/>
    <w:rsid w:val="00524B1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24B1F"/>
    <w:pPr>
      <w:keepNext/>
      <w:keepLines/>
      <w:spacing w:before="200" w:after="0"/>
      <w:outlineLvl w:val="1"/>
    </w:pPr>
    <w:rPr>
      <w:rFonts w:asciiTheme="majorHAnsi" w:eastAsiaTheme="majorEastAsia" w:hAnsiTheme="majorHAnsi" w:cstheme="majorBidi"/>
      <w:b/>
      <w:bCs/>
      <w:color w:val="5B9BD5" w:themeColor="accent1"/>
      <w:sz w:val="24"/>
      <w:szCs w:val="26"/>
    </w:rPr>
  </w:style>
  <w:style w:type="paragraph" w:styleId="Heading3">
    <w:name w:val="heading 3"/>
    <w:basedOn w:val="Normal"/>
    <w:next w:val="Normal"/>
    <w:link w:val="Heading3Char"/>
    <w:uiPriority w:val="9"/>
    <w:unhideWhenUsed/>
    <w:qFormat/>
    <w:rsid w:val="00524B1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24B1F"/>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24B1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24B1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24B1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24B1F"/>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524B1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B1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24B1F"/>
    <w:rPr>
      <w:rFonts w:asciiTheme="majorHAnsi" w:eastAsiaTheme="majorEastAsia" w:hAnsiTheme="majorHAnsi" w:cstheme="majorBidi"/>
      <w:b/>
      <w:bCs/>
      <w:color w:val="5B9BD5" w:themeColor="accent1"/>
      <w:sz w:val="24"/>
      <w:szCs w:val="26"/>
    </w:rPr>
  </w:style>
  <w:style w:type="character" w:customStyle="1" w:styleId="Heading3Char">
    <w:name w:val="Heading 3 Char"/>
    <w:basedOn w:val="DefaultParagraphFont"/>
    <w:link w:val="Heading3"/>
    <w:uiPriority w:val="9"/>
    <w:rsid w:val="00524B1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24B1F"/>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24B1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24B1F"/>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24B1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24B1F"/>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524B1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524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B1F"/>
    <w:rPr>
      <w:rFonts w:ascii="Times New Roman" w:eastAsia="Times New Roman" w:hAnsi="Times New Roman"/>
    </w:rPr>
  </w:style>
  <w:style w:type="paragraph" w:styleId="Footer">
    <w:name w:val="footer"/>
    <w:basedOn w:val="Normal"/>
    <w:link w:val="FooterChar"/>
    <w:uiPriority w:val="99"/>
    <w:unhideWhenUsed/>
    <w:rsid w:val="00524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B1F"/>
    <w:rPr>
      <w:rFonts w:ascii="Times New Roman" w:eastAsia="Times New Roman" w:hAnsi="Times New Roman"/>
    </w:rPr>
  </w:style>
  <w:style w:type="paragraph" w:styleId="NoSpacing">
    <w:name w:val="No Spacing"/>
    <w:uiPriority w:val="1"/>
    <w:qFormat/>
    <w:rsid w:val="00524B1F"/>
    <w:pPr>
      <w:spacing w:after="0" w:line="240" w:lineRule="auto"/>
    </w:pPr>
    <w:rPr>
      <w:rFonts w:eastAsiaTheme="minorEastAsia"/>
    </w:rPr>
  </w:style>
  <w:style w:type="paragraph" w:styleId="Title">
    <w:name w:val="Title"/>
    <w:basedOn w:val="Normal"/>
    <w:next w:val="Normal"/>
    <w:link w:val="TitleChar"/>
    <w:uiPriority w:val="10"/>
    <w:qFormat/>
    <w:rsid w:val="00524B1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24B1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24B1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24B1F"/>
    <w:rPr>
      <w:rFonts w:asciiTheme="majorHAnsi" w:eastAsiaTheme="majorEastAsia" w:hAnsiTheme="majorHAnsi" w:cstheme="majorBidi"/>
      <w:i/>
      <w:iCs/>
      <w:color w:val="5B9BD5" w:themeColor="accent1"/>
      <w:spacing w:val="15"/>
      <w:sz w:val="24"/>
      <w:szCs w:val="24"/>
    </w:rPr>
  </w:style>
  <w:style w:type="paragraph" w:styleId="ListParagraph">
    <w:name w:val="List Paragraph"/>
    <w:basedOn w:val="Normal"/>
    <w:uiPriority w:val="34"/>
    <w:qFormat/>
    <w:rsid w:val="00524B1F"/>
    <w:pPr>
      <w:ind w:left="720"/>
      <w:contextualSpacing/>
    </w:pPr>
  </w:style>
  <w:style w:type="paragraph" w:styleId="BodyText">
    <w:name w:val="Body Text"/>
    <w:basedOn w:val="Normal"/>
    <w:link w:val="BodyTextChar"/>
    <w:uiPriority w:val="99"/>
    <w:unhideWhenUsed/>
    <w:rsid w:val="00524B1F"/>
    <w:pPr>
      <w:spacing w:after="120"/>
    </w:pPr>
  </w:style>
  <w:style w:type="character" w:customStyle="1" w:styleId="BodyTextChar">
    <w:name w:val="Body Text Char"/>
    <w:basedOn w:val="DefaultParagraphFont"/>
    <w:link w:val="BodyText"/>
    <w:uiPriority w:val="99"/>
    <w:rsid w:val="00524B1F"/>
    <w:rPr>
      <w:rFonts w:ascii="Times New Roman" w:eastAsia="Times New Roman" w:hAnsi="Times New Roman"/>
    </w:rPr>
  </w:style>
  <w:style w:type="paragraph" w:styleId="BodyText2">
    <w:name w:val="Body Text 2"/>
    <w:basedOn w:val="Normal"/>
    <w:link w:val="BodyText2Char"/>
    <w:uiPriority w:val="99"/>
    <w:unhideWhenUsed/>
    <w:rsid w:val="00524B1F"/>
    <w:pPr>
      <w:spacing w:after="120" w:line="480" w:lineRule="auto"/>
    </w:pPr>
  </w:style>
  <w:style w:type="character" w:customStyle="1" w:styleId="BodyText2Char">
    <w:name w:val="Body Text 2 Char"/>
    <w:basedOn w:val="DefaultParagraphFont"/>
    <w:link w:val="BodyText2"/>
    <w:uiPriority w:val="99"/>
    <w:rsid w:val="00524B1F"/>
    <w:rPr>
      <w:rFonts w:ascii="Times New Roman" w:eastAsia="Times New Roman" w:hAnsi="Times New Roman"/>
    </w:rPr>
  </w:style>
  <w:style w:type="paragraph" w:styleId="BodyText3">
    <w:name w:val="Body Text 3"/>
    <w:basedOn w:val="Normal"/>
    <w:link w:val="BodyText3Char"/>
    <w:uiPriority w:val="99"/>
    <w:unhideWhenUsed/>
    <w:rsid w:val="00524B1F"/>
    <w:pPr>
      <w:spacing w:after="120"/>
    </w:pPr>
    <w:rPr>
      <w:sz w:val="16"/>
      <w:szCs w:val="16"/>
    </w:rPr>
  </w:style>
  <w:style w:type="character" w:customStyle="1" w:styleId="BodyText3Char">
    <w:name w:val="Body Text 3 Char"/>
    <w:basedOn w:val="DefaultParagraphFont"/>
    <w:link w:val="BodyText3"/>
    <w:uiPriority w:val="99"/>
    <w:rsid w:val="00524B1F"/>
    <w:rPr>
      <w:rFonts w:ascii="Times New Roman" w:eastAsia="Times New Roman" w:hAnsi="Times New Roman"/>
      <w:sz w:val="16"/>
      <w:szCs w:val="16"/>
    </w:rPr>
  </w:style>
  <w:style w:type="paragraph" w:styleId="List">
    <w:name w:val="List"/>
    <w:basedOn w:val="Normal"/>
    <w:uiPriority w:val="99"/>
    <w:unhideWhenUsed/>
    <w:rsid w:val="00524B1F"/>
    <w:pPr>
      <w:ind w:left="360" w:hanging="360"/>
      <w:contextualSpacing/>
    </w:pPr>
  </w:style>
  <w:style w:type="paragraph" w:styleId="List2">
    <w:name w:val="List 2"/>
    <w:basedOn w:val="Normal"/>
    <w:uiPriority w:val="99"/>
    <w:unhideWhenUsed/>
    <w:rsid w:val="00524B1F"/>
    <w:pPr>
      <w:ind w:left="720" w:hanging="360"/>
      <w:contextualSpacing/>
    </w:pPr>
  </w:style>
  <w:style w:type="paragraph" w:styleId="List3">
    <w:name w:val="List 3"/>
    <w:basedOn w:val="Normal"/>
    <w:uiPriority w:val="99"/>
    <w:unhideWhenUsed/>
    <w:rsid w:val="00524B1F"/>
    <w:pPr>
      <w:ind w:left="1080" w:hanging="360"/>
      <w:contextualSpacing/>
    </w:pPr>
  </w:style>
  <w:style w:type="paragraph" w:styleId="ListBullet">
    <w:name w:val="List Bullet"/>
    <w:basedOn w:val="Normal"/>
    <w:uiPriority w:val="99"/>
    <w:unhideWhenUsed/>
    <w:rsid w:val="00524B1F"/>
    <w:pPr>
      <w:numPr>
        <w:numId w:val="1"/>
      </w:numPr>
      <w:contextualSpacing/>
    </w:pPr>
  </w:style>
  <w:style w:type="paragraph" w:styleId="ListBullet2">
    <w:name w:val="List Bullet 2"/>
    <w:basedOn w:val="Normal"/>
    <w:uiPriority w:val="99"/>
    <w:unhideWhenUsed/>
    <w:rsid w:val="00524B1F"/>
    <w:pPr>
      <w:numPr>
        <w:numId w:val="2"/>
      </w:numPr>
      <w:contextualSpacing/>
    </w:pPr>
  </w:style>
  <w:style w:type="paragraph" w:styleId="ListBullet3">
    <w:name w:val="List Bullet 3"/>
    <w:basedOn w:val="Normal"/>
    <w:uiPriority w:val="99"/>
    <w:unhideWhenUsed/>
    <w:rsid w:val="00524B1F"/>
    <w:pPr>
      <w:numPr>
        <w:numId w:val="3"/>
      </w:numPr>
      <w:contextualSpacing/>
    </w:pPr>
  </w:style>
  <w:style w:type="paragraph" w:styleId="ListNumber">
    <w:name w:val="List Number"/>
    <w:basedOn w:val="Normal"/>
    <w:uiPriority w:val="99"/>
    <w:unhideWhenUsed/>
    <w:rsid w:val="00524B1F"/>
    <w:pPr>
      <w:numPr>
        <w:numId w:val="5"/>
      </w:numPr>
      <w:contextualSpacing/>
    </w:pPr>
  </w:style>
  <w:style w:type="paragraph" w:styleId="ListNumber2">
    <w:name w:val="List Number 2"/>
    <w:basedOn w:val="Normal"/>
    <w:uiPriority w:val="99"/>
    <w:unhideWhenUsed/>
    <w:rsid w:val="00524B1F"/>
    <w:pPr>
      <w:numPr>
        <w:numId w:val="6"/>
      </w:numPr>
      <w:contextualSpacing/>
    </w:pPr>
  </w:style>
  <w:style w:type="paragraph" w:styleId="ListNumber3">
    <w:name w:val="List Number 3"/>
    <w:basedOn w:val="Normal"/>
    <w:uiPriority w:val="99"/>
    <w:unhideWhenUsed/>
    <w:rsid w:val="00524B1F"/>
    <w:pPr>
      <w:numPr>
        <w:numId w:val="7"/>
      </w:numPr>
      <w:contextualSpacing/>
    </w:pPr>
  </w:style>
  <w:style w:type="paragraph" w:styleId="ListContinue">
    <w:name w:val="List Continue"/>
    <w:basedOn w:val="Normal"/>
    <w:uiPriority w:val="99"/>
    <w:unhideWhenUsed/>
    <w:rsid w:val="00524B1F"/>
    <w:pPr>
      <w:spacing w:after="120"/>
      <w:ind w:left="360"/>
      <w:contextualSpacing/>
    </w:pPr>
  </w:style>
  <w:style w:type="paragraph" w:styleId="ListContinue2">
    <w:name w:val="List Continue 2"/>
    <w:basedOn w:val="Normal"/>
    <w:uiPriority w:val="99"/>
    <w:unhideWhenUsed/>
    <w:rsid w:val="00524B1F"/>
    <w:pPr>
      <w:spacing w:after="120"/>
      <w:ind w:left="720"/>
      <w:contextualSpacing/>
    </w:pPr>
  </w:style>
  <w:style w:type="paragraph" w:styleId="ListContinue3">
    <w:name w:val="List Continue 3"/>
    <w:basedOn w:val="Normal"/>
    <w:uiPriority w:val="99"/>
    <w:unhideWhenUsed/>
    <w:rsid w:val="00524B1F"/>
    <w:pPr>
      <w:spacing w:after="120"/>
      <w:ind w:left="1080"/>
      <w:contextualSpacing/>
    </w:pPr>
  </w:style>
  <w:style w:type="paragraph" w:styleId="MacroText">
    <w:name w:val="macro"/>
    <w:link w:val="MacroTextChar"/>
    <w:uiPriority w:val="99"/>
    <w:unhideWhenUsed/>
    <w:rsid w:val="00524B1F"/>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524B1F"/>
    <w:rPr>
      <w:rFonts w:ascii="Courier" w:eastAsiaTheme="minorEastAsia" w:hAnsi="Courier"/>
      <w:sz w:val="20"/>
      <w:szCs w:val="20"/>
    </w:rPr>
  </w:style>
  <w:style w:type="paragraph" w:styleId="Quote">
    <w:name w:val="Quote"/>
    <w:basedOn w:val="Normal"/>
    <w:next w:val="Normal"/>
    <w:link w:val="QuoteChar"/>
    <w:uiPriority w:val="29"/>
    <w:qFormat/>
    <w:rsid w:val="00524B1F"/>
    <w:rPr>
      <w:i/>
      <w:iCs/>
      <w:color w:val="000000" w:themeColor="text1"/>
    </w:rPr>
  </w:style>
  <w:style w:type="character" w:customStyle="1" w:styleId="QuoteChar">
    <w:name w:val="Quote Char"/>
    <w:basedOn w:val="DefaultParagraphFont"/>
    <w:link w:val="Quote"/>
    <w:uiPriority w:val="29"/>
    <w:rsid w:val="00524B1F"/>
    <w:rPr>
      <w:rFonts w:ascii="Times New Roman" w:eastAsia="Times New Roman" w:hAnsi="Times New Roman"/>
      <w:i/>
      <w:iCs/>
      <w:color w:val="000000" w:themeColor="text1"/>
    </w:rPr>
  </w:style>
  <w:style w:type="paragraph" w:styleId="Caption">
    <w:name w:val="caption"/>
    <w:basedOn w:val="Normal"/>
    <w:next w:val="Normal"/>
    <w:uiPriority w:val="35"/>
    <w:semiHidden/>
    <w:unhideWhenUsed/>
    <w:qFormat/>
    <w:rsid w:val="00524B1F"/>
    <w:pPr>
      <w:spacing w:line="240" w:lineRule="auto"/>
    </w:pPr>
    <w:rPr>
      <w:b/>
      <w:bCs/>
      <w:color w:val="5B9BD5" w:themeColor="accent1"/>
      <w:sz w:val="18"/>
      <w:szCs w:val="18"/>
    </w:rPr>
  </w:style>
  <w:style w:type="character" w:styleId="Strong">
    <w:name w:val="Strong"/>
    <w:basedOn w:val="DefaultParagraphFont"/>
    <w:uiPriority w:val="22"/>
    <w:qFormat/>
    <w:rsid w:val="00524B1F"/>
    <w:rPr>
      <w:b/>
      <w:bCs/>
    </w:rPr>
  </w:style>
  <w:style w:type="character" w:styleId="Emphasis">
    <w:name w:val="Emphasis"/>
    <w:basedOn w:val="DefaultParagraphFont"/>
    <w:uiPriority w:val="20"/>
    <w:qFormat/>
    <w:rsid w:val="00524B1F"/>
    <w:rPr>
      <w:i/>
      <w:iCs/>
    </w:rPr>
  </w:style>
  <w:style w:type="paragraph" w:styleId="IntenseQuote">
    <w:name w:val="Intense Quote"/>
    <w:basedOn w:val="Normal"/>
    <w:next w:val="Normal"/>
    <w:link w:val="IntenseQuoteChar"/>
    <w:uiPriority w:val="30"/>
    <w:qFormat/>
    <w:rsid w:val="00524B1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24B1F"/>
    <w:rPr>
      <w:rFonts w:ascii="Times New Roman" w:eastAsia="Times New Roman" w:hAnsi="Times New Roman"/>
      <w:b/>
      <w:bCs/>
      <w:i/>
      <w:iCs/>
      <w:color w:val="5B9BD5" w:themeColor="accent1"/>
    </w:rPr>
  </w:style>
  <w:style w:type="character" w:styleId="SubtleEmphasis">
    <w:name w:val="Subtle Emphasis"/>
    <w:basedOn w:val="DefaultParagraphFont"/>
    <w:uiPriority w:val="19"/>
    <w:qFormat/>
    <w:rsid w:val="00524B1F"/>
    <w:rPr>
      <w:i/>
      <w:iCs/>
      <w:color w:val="808080" w:themeColor="text1" w:themeTint="7F"/>
    </w:rPr>
  </w:style>
  <w:style w:type="character" w:styleId="IntenseEmphasis">
    <w:name w:val="Intense Emphasis"/>
    <w:basedOn w:val="DefaultParagraphFont"/>
    <w:uiPriority w:val="21"/>
    <w:qFormat/>
    <w:rsid w:val="00524B1F"/>
    <w:rPr>
      <w:b/>
      <w:bCs/>
      <w:i/>
      <w:iCs/>
      <w:color w:val="5B9BD5" w:themeColor="accent1"/>
    </w:rPr>
  </w:style>
  <w:style w:type="character" w:styleId="SubtleReference">
    <w:name w:val="Subtle Reference"/>
    <w:basedOn w:val="DefaultParagraphFont"/>
    <w:uiPriority w:val="31"/>
    <w:qFormat/>
    <w:rsid w:val="00524B1F"/>
    <w:rPr>
      <w:smallCaps/>
      <w:color w:val="ED7D31" w:themeColor="accent2"/>
      <w:u w:val="single"/>
    </w:rPr>
  </w:style>
  <w:style w:type="character" w:styleId="IntenseReference">
    <w:name w:val="Intense Reference"/>
    <w:basedOn w:val="DefaultParagraphFont"/>
    <w:uiPriority w:val="32"/>
    <w:qFormat/>
    <w:rsid w:val="00524B1F"/>
    <w:rPr>
      <w:b/>
      <w:bCs/>
      <w:smallCaps/>
      <w:color w:val="ED7D31" w:themeColor="accent2"/>
      <w:spacing w:val="5"/>
      <w:u w:val="single"/>
    </w:rPr>
  </w:style>
  <w:style w:type="character" w:styleId="BookTitle">
    <w:name w:val="Book Title"/>
    <w:basedOn w:val="DefaultParagraphFont"/>
    <w:uiPriority w:val="33"/>
    <w:qFormat/>
    <w:rsid w:val="00524B1F"/>
    <w:rPr>
      <w:b/>
      <w:bCs/>
      <w:smallCaps/>
      <w:spacing w:val="5"/>
    </w:rPr>
  </w:style>
  <w:style w:type="paragraph" w:styleId="TOCHeading">
    <w:name w:val="TOC Heading"/>
    <w:basedOn w:val="Heading1"/>
    <w:next w:val="Normal"/>
    <w:uiPriority w:val="39"/>
    <w:semiHidden/>
    <w:unhideWhenUsed/>
    <w:qFormat/>
    <w:rsid w:val="00524B1F"/>
    <w:pPr>
      <w:outlineLvl w:val="9"/>
    </w:pPr>
  </w:style>
  <w:style w:type="table" w:styleId="TableGrid">
    <w:name w:val="Table Grid"/>
    <w:basedOn w:val="TableNormal"/>
    <w:uiPriority w:val="59"/>
    <w:rsid w:val="00524B1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24B1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24B1F"/>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524B1F"/>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524B1F"/>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524B1F"/>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524B1F"/>
    <w:pPr>
      <w:spacing w:after="0" w:line="240" w:lineRule="auto"/>
    </w:pPr>
    <w:rPr>
      <w:rFonts w:eastAsiaTheme="minorEastAsia"/>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524B1F"/>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524B1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24B1F"/>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524B1F"/>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524B1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524B1F"/>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524B1F"/>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524B1F"/>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524B1F"/>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24B1F"/>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524B1F"/>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524B1F"/>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524B1F"/>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524B1F"/>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524B1F"/>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524B1F"/>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24B1F"/>
    <w:pPr>
      <w:spacing w:after="0" w:line="240" w:lineRule="auto"/>
    </w:pPr>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24B1F"/>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24B1F"/>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24B1F"/>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24B1F"/>
    <w:pPr>
      <w:spacing w:after="0" w:line="240" w:lineRule="auto"/>
    </w:pPr>
    <w:rPr>
      <w:rFonts w:eastAsiaTheme="minorEastAsia"/>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24B1F"/>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24B1F"/>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524B1F"/>
    <w:pPr>
      <w:spacing w:after="0" w:line="240" w:lineRule="auto"/>
    </w:pPr>
    <w:rPr>
      <w:rFonts w:eastAsiaTheme="minorEastAsia"/>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524B1F"/>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24B1F"/>
    <w:pPr>
      <w:spacing w:after="0" w:line="240" w:lineRule="auto"/>
    </w:pPr>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524B1F"/>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524B1F"/>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524B1F"/>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524B1F"/>
    <w:pPr>
      <w:spacing w:after="0" w:line="240" w:lineRule="auto"/>
    </w:pPr>
    <w:rPr>
      <w:rFonts w:eastAsiaTheme="minorEastAsia"/>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524B1F"/>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24B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524B1F"/>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524B1F"/>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24B1F"/>
    <w:pPr>
      <w:spacing w:after="0" w:line="240" w:lineRule="auto"/>
    </w:pPr>
    <w:rPr>
      <w:rFonts w:eastAsiaTheme="minorEastAsia"/>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524B1F"/>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524B1F"/>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Hyperlink">
    <w:name w:val="Hyperlink"/>
    <w:basedOn w:val="DefaultParagraphFont"/>
    <w:uiPriority w:val="99"/>
    <w:unhideWhenUsed/>
    <w:rsid w:val="008C1D52"/>
    <w:rPr>
      <w:color w:val="0563C1" w:themeColor="hyperlink"/>
      <w:u w:val="single"/>
    </w:rPr>
  </w:style>
  <w:style w:type="character" w:styleId="UnresolvedMention">
    <w:name w:val="Unresolved Mention"/>
    <w:basedOn w:val="DefaultParagraphFont"/>
    <w:uiPriority w:val="99"/>
    <w:semiHidden/>
    <w:unhideWhenUsed/>
    <w:rsid w:val="008C1D52"/>
    <w:rPr>
      <w:color w:val="605E5C"/>
      <w:shd w:val="clear" w:color="auto" w:fill="E1DFDD"/>
    </w:rPr>
  </w:style>
  <w:style w:type="paragraph" w:customStyle="1" w:styleId="isselectedend">
    <w:name w:val="isselectedend"/>
    <w:basedOn w:val="Normal"/>
    <w:rsid w:val="0037428A"/>
    <w:pPr>
      <w:spacing w:before="100" w:beforeAutospacing="1" w:after="100" w:afterAutospacing="1" w:line="240" w:lineRule="auto"/>
    </w:pPr>
    <w:rPr>
      <w:rFonts w:cs="Times New Roman"/>
      <w:sz w:val="24"/>
      <w:szCs w:val="24"/>
      <w:lang w:bidi="bn-IN"/>
    </w:rPr>
  </w:style>
  <w:style w:type="paragraph" w:styleId="NormalWeb">
    <w:name w:val="Normal (Web)"/>
    <w:basedOn w:val="Normal"/>
    <w:uiPriority w:val="99"/>
    <w:semiHidden/>
    <w:unhideWhenUsed/>
    <w:rsid w:val="0037428A"/>
    <w:pPr>
      <w:spacing w:before="100" w:beforeAutospacing="1" w:after="100" w:afterAutospacing="1" w:line="240" w:lineRule="auto"/>
    </w:pPr>
    <w:rPr>
      <w:rFonts w:cs="Times New Roman"/>
      <w:sz w:val="24"/>
      <w:szCs w:val="24"/>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4566</Words>
  <Characters>26030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users1</dc:creator>
  <cp:keywords/>
  <dc:description/>
  <cp:lastModifiedBy>SDI 1166</cp:lastModifiedBy>
  <cp:revision>7</cp:revision>
  <dcterms:created xsi:type="dcterms:W3CDTF">2026-06-12T09:15:00Z</dcterms:created>
  <dcterms:modified xsi:type="dcterms:W3CDTF">2026-06-13T13:15:00Z</dcterms:modified>
</cp:coreProperties>
</file>