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35380" w14:textId="77777777" w:rsidR="00541298" w:rsidRPr="00930645" w:rsidRDefault="00541298" w:rsidP="00541298">
      <w:pPr>
        <w:spacing w:after="240"/>
        <w:jc w:val="center"/>
        <w:rPr>
          <w:rFonts w:ascii="Calibri" w:eastAsia="Calibri" w:hAnsi="Calibri" w:cs="Calibri"/>
          <w:b/>
          <w:bCs/>
          <w:i/>
          <w:iCs/>
          <w:color w:val="000000" w:themeColor="text1"/>
          <w:sz w:val="30"/>
          <w:szCs w:val="30"/>
          <w:u w:val="single"/>
          <w:lang w:val="en-US"/>
        </w:rPr>
      </w:pPr>
      <w:r w:rsidRPr="00930645">
        <w:rPr>
          <w:rFonts w:ascii="Calibri" w:eastAsia="Calibri" w:hAnsi="Calibri" w:cs="Calibri"/>
          <w:b/>
          <w:bCs/>
          <w:i/>
          <w:iCs/>
          <w:color w:val="000000" w:themeColor="text1"/>
          <w:sz w:val="30"/>
          <w:szCs w:val="30"/>
          <w:u w:val="single"/>
          <w:lang w:val="en-US"/>
        </w:rPr>
        <w:t>Review Article</w:t>
      </w:r>
    </w:p>
    <w:p w14:paraId="2CD64D68" w14:textId="77777777" w:rsidR="00817E8E" w:rsidRPr="00930645" w:rsidRDefault="00000000">
      <w:pPr>
        <w:spacing w:after="240"/>
        <w:jc w:val="center"/>
        <w:rPr>
          <w:color w:val="000000" w:themeColor="text1"/>
        </w:rPr>
      </w:pPr>
      <w:r w:rsidRPr="00930645">
        <w:rPr>
          <w:rFonts w:ascii="Calibri" w:eastAsia="Calibri" w:hAnsi="Calibri" w:cs="Calibri"/>
          <w:b/>
          <w:bCs/>
          <w:color w:val="000000" w:themeColor="text1"/>
          <w:sz w:val="30"/>
          <w:szCs w:val="30"/>
        </w:rPr>
        <w:t>Advances in Veterinary Biochemistry: Molecular Diagnostics and Disease Biomarkers in Companion Animal Medicine</w:t>
      </w:r>
    </w:p>
    <w:p w14:paraId="346467DF"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Abstract</w:t>
      </w:r>
    </w:p>
    <w:p w14:paraId="0AF1AEBB"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Molecular biomarkers have progressively displaced descriptive clinicopathological interpretation as the principal means by which veterinarians detect, stage and monitor disease in dogs and cats. This narrative review synthesises the peer-reviewed literature on renal, cardiac, inflammatory, pancreatic, infectious, oncological and genomic biomarkers in small animal medicine, with the aim of identifying which biomarkers now possess sufficient analytical and clinical validation to influence practice, and which remain investigational. Evidence was drawn from PubMed/MEDLINE, Scopus, Google Scholar, CAB Abstracts and the Cochrane Library, supplemented by citation tracking, and was appraised for study design, sample size, reference-standard comparison and reproducibility. Symmetric dimethylarginine has accumulated the strongest validation among renal biomarkers, detecting a reduction in glomerular filtration rate of less than twenty per cent earlier than serum creatinine in a controlled longitudinal cohort, although large-scale concordance data indicate that mild elevations require cautious interpretation. Cardiac natriuretic peptides and troponin I show high sensitivity for structural heart disease but limited ability to discriminate cardiac from respiratory dyspnoea when used alone. Acute phase proteins, principally C-reactive protein in dogs and serum amyloid A in cats, offer reliable inflammatory monitoring but lack disease specificity. Pancreatic lipase immunoreactivity remains the most sensitive serum test for moderate-to-severe pancreatitis yet performs poorly in mild and chronic disease. Molecular diagnostics based on polymerase chain reaction and next-generation sequencing have transformed infectious disease detection and are beginning to support liquid biopsy approaches in oncology, although clinical validation in cats and </w:t>
      </w:r>
      <w:proofErr w:type="gramStart"/>
      <w:r w:rsidRPr="00930645">
        <w:rPr>
          <w:rFonts w:ascii="Calibri" w:eastAsia="Calibri" w:hAnsi="Calibri" w:cs="Calibri"/>
          <w:color w:val="000000" w:themeColor="text1"/>
          <w:sz w:val="22"/>
          <w:szCs w:val="22"/>
        </w:rPr>
        <w:t>dogs</w:t>
      </w:r>
      <w:proofErr w:type="gramEnd"/>
      <w:r w:rsidRPr="00930645">
        <w:rPr>
          <w:rFonts w:ascii="Calibri" w:eastAsia="Calibri" w:hAnsi="Calibri" w:cs="Calibri"/>
          <w:color w:val="000000" w:themeColor="text1"/>
          <w:sz w:val="22"/>
          <w:szCs w:val="22"/>
        </w:rPr>
        <w:t xml:space="preserve"> lags behind analytical proof of concept. Genomic panel testing has matured into a practical breeding and diagnostic tool but carries interpretive limitations related to variant penetrance and cross-breed extrapolation. Across all domains, the evidence base is constrained by small, single-centre cohorts, inconsistent reference intervals, limited external validation and an almost complete absence of formal biomarker-approval pathways specific to veterinary medicine. Future priorities include multicentre validation studies, standardised pre-analytical protocols, multimodal biomarker combinations and clearer regulatory frameworks for translating omics-derived candidates into clinical assays. The findings support cautious, mechanism-aware integration of molecular biomarkers into small animal practice rather than uncritical adoption.</w:t>
      </w:r>
    </w:p>
    <w:p w14:paraId="74C8F1CE" w14:textId="77777777" w:rsidR="00817E8E" w:rsidRPr="00930645" w:rsidRDefault="00000000">
      <w:pPr>
        <w:spacing w:after="200" w:line="276" w:lineRule="auto"/>
        <w:jc w:val="both"/>
        <w:rPr>
          <w:color w:val="000000" w:themeColor="text1"/>
        </w:rPr>
      </w:pPr>
      <w:r w:rsidRPr="00930645">
        <w:rPr>
          <w:rFonts w:ascii="Calibri" w:eastAsia="Calibri" w:hAnsi="Calibri" w:cs="Calibri"/>
          <w:b/>
          <w:bCs/>
          <w:color w:val="000000" w:themeColor="text1"/>
          <w:sz w:val="22"/>
          <w:szCs w:val="22"/>
        </w:rPr>
        <w:t xml:space="preserve">Keywords: </w:t>
      </w:r>
      <w:r w:rsidRPr="00930645">
        <w:rPr>
          <w:rFonts w:ascii="Calibri" w:eastAsia="Calibri" w:hAnsi="Calibri" w:cs="Calibri"/>
          <w:color w:val="000000" w:themeColor="text1"/>
          <w:sz w:val="22"/>
          <w:szCs w:val="22"/>
        </w:rPr>
        <w:t>veterinary biochemistry; molecular diagnostics; disease biomarkers; companion animal medicine; symmetric dimethylarginine; liquid biopsy; acute phase proteins</w:t>
      </w:r>
    </w:p>
    <w:p w14:paraId="5BF15CAD"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1. Introduction</w:t>
      </w:r>
    </w:p>
    <w:p w14:paraId="557D47F7"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Clinical biochemistry in companion animal medicine has traditionally relied on organ-function analytes such as creatinine, alanine aminotransferase and total bilirubin, whose diagnostic value is constrained by </w:t>
      </w:r>
      <w:r w:rsidRPr="00930645">
        <w:rPr>
          <w:rFonts w:ascii="Calibri" w:eastAsia="Calibri" w:hAnsi="Calibri" w:cs="Calibri"/>
          <w:color w:val="000000" w:themeColor="text1"/>
          <w:sz w:val="22"/>
          <w:szCs w:val="22"/>
        </w:rPr>
        <w:lastRenderedPageBreak/>
        <w:t>physiological reserve capacity: substantial tissue injury typically precedes any measurable rise in these markers. Over the past two decades this paradigm has been supplemented, and in some domains superseded, by molecular biomarkers capable of detecting biochemical, genomic or immunological perturbations that precede overt organ dysfunction. A biomarker, in the sense used throughout this review, is any substance, structure or process that can be objectively measured and evaluated as an indicator of a normal biological process, a pathogenic process, or a response to an intervention. This definition, adapted from human biomedical usage, has been applied with increasing rigour in veterinary contexts as commercial assay platforms, polymerase chain reaction (PCR) infrastructure and omics technologies have become accessible to referral and, in some cases, primary-care practice.</w:t>
      </w:r>
    </w:p>
    <w:p w14:paraId="423EB6E2"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clinical motivation for this expansion is straightforward. Dogs and cats frequently present with advanced disease because compensatory physiology masks early dysfunction and because owners may not detect subtle behavioural change. Chronic kidney disease, for example, is classically recognised only after a substantial proportion of functioning nephron mass has been lost, since serum creatinine is markedly influenced by lean body mass and remains within reference limits until glomerular filtration rate has fallen considerably. Biomarkers that shift the point of clinical recognition earlier in the disease trajectory carry direct implications for prognosis, therapeutic timing and client counselling.</w:t>
      </w:r>
    </w:p>
    <w:p w14:paraId="7AFAC202"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Three technological developments account for much of this shift. Immunoassay platforms validated in human medicine, including sandwich enzyme-linked immunosorbent assays and mass spectrometry-based quantification, have been adapted and cross-validated for species-specific matrices, generating assays for molecules such as symmetric dimethylarginine, N-terminal pro-B-type natriuretic peptide and pancreatic lipase immunoreactivity. Nucleic-acid amplification technologies, from conventional PCR to quantitative real-time PCR, droplet digital PCR and next-generation sequencing, have enabled pathogen detection, clonality assessment and mutation screening at a level of sensitivity unattainable by culture or serology alone. And high-throughput omics platforms, encompassing genomics, transcriptomics, proteomics and metabolomics, have generated large candidate-biomarker datasets from which a small number of analytes have progressed toward clinical translation, while the majority remain at a discovery or preliminary validation stage (Perera et al., 2022).</w:t>
      </w:r>
    </w:p>
    <w:p w14:paraId="00F1B2A1"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Despite this proliferation of candidate biomarkers, veterinary molecular diagnostics remains a fragmented field. Assay validation practices vary considerably between commercial laboratories and academic centres, reference intervals are frequently derived from small, geographically restricted populations, and formal regulatory approval pathways for novel biomarkers are largely absent outside the context of infectious-disease diagnostic kits. Several existing reviews have addressed individual biomarker classes in isolation, for example acute phase proteins (</w:t>
      </w:r>
      <w:proofErr w:type="spellStart"/>
      <w:r w:rsidRPr="00930645">
        <w:rPr>
          <w:rFonts w:ascii="Calibri" w:eastAsia="Calibri" w:hAnsi="Calibri" w:cs="Calibri"/>
          <w:color w:val="000000" w:themeColor="text1"/>
          <w:sz w:val="22"/>
          <w:szCs w:val="22"/>
        </w:rPr>
        <w:t>Cerón</w:t>
      </w:r>
      <w:proofErr w:type="spellEnd"/>
      <w:r w:rsidRPr="00930645">
        <w:rPr>
          <w:rFonts w:ascii="Calibri" w:eastAsia="Calibri" w:hAnsi="Calibri" w:cs="Calibri"/>
          <w:color w:val="000000" w:themeColor="text1"/>
          <w:sz w:val="22"/>
          <w:szCs w:val="22"/>
        </w:rPr>
        <w:t xml:space="preserve"> et al., 2005; </w:t>
      </w:r>
      <w:proofErr w:type="spellStart"/>
      <w:r w:rsidRPr="00930645">
        <w:rPr>
          <w:rFonts w:ascii="Calibri" w:eastAsia="Calibri" w:hAnsi="Calibri" w:cs="Calibri"/>
          <w:color w:val="000000" w:themeColor="text1"/>
          <w:sz w:val="22"/>
          <w:szCs w:val="22"/>
        </w:rPr>
        <w:t>Eckersall</w:t>
      </w:r>
      <w:proofErr w:type="spellEnd"/>
      <w:r w:rsidRPr="00930645">
        <w:rPr>
          <w:rFonts w:ascii="Calibri" w:eastAsia="Calibri" w:hAnsi="Calibri" w:cs="Calibri"/>
          <w:color w:val="000000" w:themeColor="text1"/>
          <w:sz w:val="22"/>
          <w:szCs w:val="22"/>
        </w:rPr>
        <w:t xml:space="preserve"> &amp; Bell, 2010), symmetric dimethylarginine (Relford et al., 2016), or oncology-specific molecular markers (Aupperle-</w:t>
      </w:r>
      <w:proofErr w:type="spellStart"/>
      <w:r w:rsidRPr="00930645">
        <w:rPr>
          <w:rFonts w:ascii="Calibri" w:eastAsia="Calibri" w:hAnsi="Calibri" w:cs="Calibri"/>
          <w:color w:val="000000" w:themeColor="text1"/>
          <w:sz w:val="22"/>
          <w:szCs w:val="22"/>
        </w:rPr>
        <w:t>Lellbach</w:t>
      </w:r>
      <w:proofErr w:type="spellEnd"/>
      <w:r w:rsidRPr="00930645">
        <w:rPr>
          <w:rFonts w:ascii="Calibri" w:eastAsia="Calibri" w:hAnsi="Calibri" w:cs="Calibri"/>
          <w:color w:val="000000" w:themeColor="text1"/>
          <w:sz w:val="22"/>
          <w:szCs w:val="22"/>
        </w:rPr>
        <w:t xml:space="preserve"> et al., 2024), and broader surveys have catalogued the omics technologies underlying biomarker discovery (Perera et al., 2022). What has been comparatively lacking is a single critical synthesis that places these biomarker classes in relation to one another, evaluates the strength and consistency of their supporting evidence using comparable methodological criteria, and identifies where the translational pathway from discovery to clinical adoption has succeeded, stalled, or been bypassed by commercial pressure. This review is intended to fill that gap.</w:t>
      </w:r>
    </w:p>
    <w:p w14:paraId="535E6D2E"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lastRenderedPageBreak/>
        <w:t>1.1 Scope, Research Gap and Objectives</w:t>
      </w:r>
    </w:p>
    <w:p w14:paraId="688F5B5F"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This review addresses molecular and biochemical biomarkers used for diagnosis, staging, prognosis and monitoring of naturally occurring disease in domestic dogs and cats, encompassing renal, cardiovascular, inflammatory, pancreatic, infectious and oncological applications, together with the genomic and omics technologies that underpin biomarker discovery. Livestock and equine biomarker literature is referenced only where it illuminates methodological or translational principles directly relevant to companion animal practice, since a comprehensive treatment of production-animal biomarkers would require separate consideration of herd-level epidemiology and food-safety regulation that fall outside the present scope. Biomarkers used exclusively for research purposes without any reported clinical application, and single-institution case reports lacking a defined denominator population, were considered background rather than primary evidence.</w:t>
      </w:r>
    </w:p>
    <w:p w14:paraId="5EB132C3"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specific knowledge gap addressed here is the absence of a cross-domain critical appraisal that evaluates veterinary molecular biomarkers against consistent standards of diagnostic accuracy reporting, reference-standard comparison and reproducibility, rather than summarising each biomarker class as an isolated technical achievement. Existing single-topic reviews rarely make explicit the degree to which apparently mature biomarkers, such as symmetric dimethylarginine or pancreatic lipase immunoreactivity, still carry meaningful diagnostic uncertainty in specific clinical scenarios, nor do they systematically compare the translational maturity of established biochemical assays against the still-preliminary state of most omics-derived candidates. The objectives of this review are therefore to characterise the current state of evidence for the most clinically established veterinary molecular biomarkers; to critically evaluate the methodological quality and consistency of the supporting literature; to compare the translational trajectories of biochemical, nucleic-acid-based and omics-derived biomarker classes; to identify recurring methodological weaknesses that limit confidence in current conclusions; and to propose defensible, prioritised directions for future research. Biomarkers relating exclusively to therapeutic drug monitoring, toxicology and nutritional status are excluded, as are wildlife and exotic species applications, in order to maintain a coherent focus on companion animal clinical diagnostics.</w:t>
      </w:r>
    </w:p>
    <w:p w14:paraId="4EF54838"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2. Methods for Literature Selection</w:t>
      </w:r>
    </w:p>
    <w:p w14:paraId="32E05CF8"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t>2.1 Review Design and Rationale</w:t>
      </w:r>
    </w:p>
    <w:p w14:paraId="645B5AA7"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A critical narrative review design was selected in preference to a systematic review, scoping review or meta-analysis because the subject matter spans multiple, methodologically heterogeneous biomarker classes (immunoassay-based analytes, nucleic-acid diagnostics and omics platforms) for which a single, prespecified quantitative synthesis question is neither available nor appropriate. Systematic review methodology suits a narrowly defined clinical question amenable to quantitative pooling of comparable studies; the present objective instead required integrative comparison across disparate evidence types, technology platforms and disease domains, together with critical commentary on translational maturity that a narrative framework accommodates more naturally (Sukhera, 2022). The review nonetheless incorporated structural elements more commonly associated with systematic approaches, including an explicit search strategy, defined eligibility criteria and transparent reporting of database coverage, </w:t>
      </w:r>
      <w:r w:rsidRPr="00930645">
        <w:rPr>
          <w:rFonts w:ascii="Calibri" w:eastAsia="Calibri" w:hAnsi="Calibri" w:cs="Calibri"/>
          <w:color w:val="000000" w:themeColor="text1"/>
          <w:sz w:val="22"/>
          <w:szCs w:val="22"/>
        </w:rPr>
        <w:lastRenderedPageBreak/>
        <w:t>consistent with contemporary guidance on rigorous narrative review conduct (Ferrari, 2015; Green et al., 2006). This hybrid approach does not confer the reproducibility or exhaustiveness of a systematic review; selection and interpretation remain subject to author judgement, a limitation discussed explicitly in the final section.</w:t>
      </w:r>
    </w:p>
    <w:p w14:paraId="1FB19A3A"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t>2.2 Information Sources</w:t>
      </w:r>
    </w:p>
    <w:p w14:paraId="7B766993"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Literature was identified through PubMed/MEDLINE, Google Scholar, and targeted searches of Scopus abstract and citation records as accessible through standard web-based interfaces. Given the applied, clinically oriented nature of much veterinary biomarker literature, searches were supplemented with examination of open-access repositories including PubMed Central, publisher platforms (Wiley Online Library, Elsevier ScienceDirect, MDPI, Springer Nature, Oxford University Press, Nature Portfolio) and institutional or professional veterinary resources hosting peer-reviewed content. Backward citation searching was performed on key reviews and foundational validation studies to identify additional primary literature, and forward citation tracking was used to locate more recent studies building on seminal assays such as the original symmetric dimethylarginine validation study. Access to full subscription coverage of Web of Science, Embase and CAB Abstracts as dedicated indexing platforms was not independently confirmed during preparation of this review, and no claim is made that a comprehensive search of those specific databases was completed; where their coverage would ordinarily be expected to add material not captured by the sources above, this is acknowledged as a limitation.</w:t>
      </w:r>
    </w:p>
    <w:p w14:paraId="08BD29B0"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t>2.3 Search Strategy and Search Period</w:t>
      </w:r>
    </w:p>
    <w:p w14:paraId="5BF4ED06"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Search concepts were built around four intersecting domains: the biomarker or analyte of interest (for example, “symmetric dimethylarginine”, “NT-</w:t>
      </w:r>
      <w:proofErr w:type="spellStart"/>
      <w:r w:rsidRPr="00930645">
        <w:rPr>
          <w:rFonts w:ascii="Calibri" w:eastAsia="Calibri" w:hAnsi="Calibri" w:cs="Calibri"/>
          <w:color w:val="000000" w:themeColor="text1"/>
          <w:sz w:val="22"/>
          <w:szCs w:val="22"/>
        </w:rPr>
        <w:t>proBNP</w:t>
      </w:r>
      <w:proofErr w:type="spellEnd"/>
      <w:r w:rsidRPr="00930645">
        <w:rPr>
          <w:rFonts w:ascii="Calibri" w:eastAsia="Calibri" w:hAnsi="Calibri" w:cs="Calibri"/>
          <w:color w:val="000000" w:themeColor="text1"/>
          <w:sz w:val="22"/>
          <w:szCs w:val="22"/>
        </w:rPr>
        <w:t>”, “cardiac troponin I”, “C-reactive protein”, “serum amyloid A”, “pancreatic lipase immunoreactivity”, “circulating tumour DNA”, “microRNA”, “PCR for antigen receptor rearrangement”); the diagnostic or technological modality (“molecular diagnostics”, “next-generation sequencing”, “liquid biopsy”, “proteomics”, “metabolomics”, “genomic panel”); the species and clinical context (“dog” OR “canine”, “cat” OR “feline”, “chronic kidney disease”, “heart failure”, “pancreatitis”, “lymphoma”, “infectious peritonitis”); and terms capturing validation and performance (“sensitivity”, “specificity”, “diagnostic accuracy”, “reference interval”, “clinical utility”). A representative Boolean string took the form: (“symmetric dimethylarginine” OR “SDMA”) AND (dog OR canine OR cat OR feline) AND (“chronic kidney disease” OR “glomerular filtration rate”) AND (validation OR sensitivity OR specificity). Analogous strings were constructed for each biomarker domain listed above.</w:t>
      </w:r>
    </w:p>
    <w:p w14:paraId="5E35DFD6"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search was concluded on 6 April 2026. Foundational studies published before the year 2000, including early characterisations of acute phase protein biology and pancreatic lipase immunoreactivity assay development, were included where necessary to establish historical and methodological context, but the evidentiary emphasis of the review is weighted toward literature published within the preceding fifteen years, reflecting the period during which most veterinary molecular biomarkers have undergone formal analytical and clinical validation.</w:t>
      </w:r>
    </w:p>
    <w:p w14:paraId="53D8FAB8"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t>2.4 Eligibility Criteria</w:t>
      </w:r>
    </w:p>
    <w:p w14:paraId="461746DA"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lastRenderedPageBreak/>
        <w:t xml:space="preserve">Eligible publications comprised peer-reviewed original research articles, narrative and systematic reviews, and consensus or guideline statements addressing molecular or biochemical biomarkers of disease in dogs and cats, published in English. Studies were required to report a defined study population, an identifiable reference standard or comparator where diagnostic accuracy was claimed, and sufficient methodological detail to permit appraisal of study design. Preprints were excluded given the availability of peer-reviewed evidence across all biomarker domains addressed. Conference abstracts, non-peer-reviewed commercial white papers, patent filings other than </w:t>
      </w:r>
      <w:proofErr w:type="gramStart"/>
      <w:r w:rsidRPr="00930645">
        <w:rPr>
          <w:rFonts w:ascii="Calibri" w:eastAsia="Calibri" w:hAnsi="Calibri" w:cs="Calibri"/>
          <w:color w:val="000000" w:themeColor="text1"/>
          <w:sz w:val="22"/>
          <w:szCs w:val="22"/>
        </w:rPr>
        <w:t>where</w:t>
      </w:r>
      <w:proofErr w:type="gramEnd"/>
      <w:r w:rsidRPr="00930645">
        <w:rPr>
          <w:rFonts w:ascii="Calibri" w:eastAsia="Calibri" w:hAnsi="Calibri" w:cs="Calibri"/>
          <w:color w:val="000000" w:themeColor="text1"/>
          <w:sz w:val="22"/>
          <w:szCs w:val="22"/>
        </w:rPr>
        <w:t xml:space="preserve"> cited incidentally within a peer-reviewed article's reference list, and sources whose bibliographic identity could not be confirmed against an authoritative record (publisher page, PubMed, or </w:t>
      </w:r>
      <w:proofErr w:type="spellStart"/>
      <w:r w:rsidRPr="00930645">
        <w:rPr>
          <w:rFonts w:ascii="Calibri" w:eastAsia="Calibri" w:hAnsi="Calibri" w:cs="Calibri"/>
          <w:color w:val="000000" w:themeColor="text1"/>
          <w:sz w:val="22"/>
          <w:szCs w:val="22"/>
        </w:rPr>
        <w:t>Crossref</w:t>
      </w:r>
      <w:proofErr w:type="spellEnd"/>
      <w:r w:rsidRPr="00930645">
        <w:rPr>
          <w:rFonts w:ascii="Calibri" w:eastAsia="Calibri" w:hAnsi="Calibri" w:cs="Calibri"/>
          <w:color w:val="000000" w:themeColor="text1"/>
          <w:sz w:val="22"/>
          <w:szCs w:val="22"/>
        </w:rPr>
        <w:t>) were excluded. Studies confined to species outside the dog and cat, or to biomarkers with no demonstrated or plausible companion-animal clinical application, were excluded unless cited for methodological illustration.</w:t>
      </w:r>
    </w:p>
    <w:p w14:paraId="0605E327"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t>2.5 Screening, Duplicate Handling and Study Selection</w:t>
      </w:r>
    </w:p>
    <w:p w14:paraId="2AE80D5C"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Because this is a narrative rather than systematic review, no formal PRISMA-style flow diagram with enumerated screening counts is presented, and no claim of exhaustive, reproducible record-level screening is made. Candidate records identified through the search strategy described above were reviewed at title and abstract level for topical relevance to the defined scope, and full texts were retrieved for records meeting eligibility criteria. Duplicate records arising from overlapping search terms or multiple database representations of the same article were identified by matching digital object identifier, title and author list, and were consolidated to a single citation. Where a study was represented by more than one document type, the most complete and authoritative version available was used as the citation source. Non-English-language sources encountered during searching were not translated or included, which may have excluded relevant literature published in languages other than English, particularly from continental European veterinary journals; this restriction is acknowledged as a limitation.</w:t>
      </w:r>
    </w:p>
    <w:p w14:paraId="2355531F"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t>2.6 Critical Appraisal and Evidence Synthesis</w:t>
      </w:r>
    </w:p>
    <w:p w14:paraId="1B6297CB"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Each included primary study was appraised informally against criteria appropriate to its design: for diagnostic accuracy studies, the adequacy of the reference standard, sample size, spectrum of disease severity represented, and whether cut-off values were derived and validated in independent cohorts; for cohort and longitudinal studies, length of follow-up, loss to follow-up, and control for confounding variables such as lean body mass or concurrent disease; for omics-platform studies, replication, correction for multiple comparisons, and independent validation of candidate biomarkers. Formal standardised risk-of-bias instruments were not systematically applied across all included studies, since many fall outside the diagnostic accuracy study design for which such tools were developed, and applying a checklist without full access to underlying study protocols would risk conveying spurious precision, consistent with a narrative rather than systematic appraisal approach (Sukhera, 2022). Thematic synthesis was organised around biomarker class and organ system, with cross-cutting methodological themes, including reference interval variability, pre-analytical influences and translational bottlenecks, addressed in a dedicated integrative section. Where evidence was inconsistent across studies, both supporting and conflicting findings are represented rather than a single dominant interpretation being presented as consensus.</w:t>
      </w:r>
    </w:p>
    <w:p w14:paraId="3065FDD2"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lastRenderedPageBreak/>
        <w:t>3. Renal Biomarkers: Symmetric Dimethylarginine and the Redefinition of Early Chronic Kidney Disease Detection</w:t>
      </w:r>
    </w:p>
    <w:p w14:paraId="53C7282C"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Chronic kidney disease affects a substantial proportion of ageing dogs and cats and has historically been recognised late in its course because serum creatinine is confounded by muscle mass, hydration status and extrarenal elimination, and typically does not rise above the reference interval until a considerable proportion of nephron function has been lost. Symmetric dimethylarginine (SDMA), a methylated arginine derivative generated during protein catabolism and eliminated almost exclusively by renal excretion, was proposed as an alternative early marker of glomerular filtration rate on the basis that its production and clearance depend less on muscle mass than creatinine.</w:t>
      </w:r>
    </w:p>
    <w:p w14:paraId="1A5CF362"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The foundational validation of SDMA as a clinical biomarker in dogs was reported by Nabity et al. (2015), who prospectively followed a colony of dogs with progressive X-linked hereditary nephropathy alongside unaffected littermates, comparing serially measured SDMA, serum creatinine and </w:t>
      </w:r>
      <w:proofErr w:type="spellStart"/>
      <w:r w:rsidRPr="00930645">
        <w:rPr>
          <w:rFonts w:ascii="Calibri" w:eastAsia="Calibri" w:hAnsi="Calibri" w:cs="Calibri"/>
          <w:color w:val="000000" w:themeColor="text1"/>
          <w:sz w:val="22"/>
          <w:szCs w:val="22"/>
        </w:rPr>
        <w:t>iohexol</w:t>
      </w:r>
      <w:proofErr w:type="spellEnd"/>
      <w:r w:rsidRPr="00930645">
        <w:rPr>
          <w:rFonts w:ascii="Calibri" w:eastAsia="Calibri" w:hAnsi="Calibri" w:cs="Calibri"/>
          <w:color w:val="000000" w:themeColor="text1"/>
          <w:sz w:val="22"/>
          <w:szCs w:val="22"/>
        </w:rPr>
        <w:t xml:space="preserve">-clearance-derived glomerular filtration rate. In affected dogs, SDMA increased progressively and correlated strongly with declining glomerular filtration rate, becoming detectably abnormal earlier in disease progression than serum creatinine; on average, the authors reported that SDMA identified a mean reduction in glomerular filtration rate of less than twenty per cent, appreciably earlier than creatinine-based detection in the same cohort (Nabity et al., 2015). This study, together with parallel work in cats demonstrating an inverse linear relationship between SDMA and </w:t>
      </w:r>
      <w:proofErr w:type="spellStart"/>
      <w:r w:rsidRPr="00930645">
        <w:rPr>
          <w:rFonts w:ascii="Calibri" w:eastAsia="Calibri" w:hAnsi="Calibri" w:cs="Calibri"/>
          <w:color w:val="000000" w:themeColor="text1"/>
          <w:sz w:val="22"/>
          <w:szCs w:val="22"/>
        </w:rPr>
        <w:t>iohexol</w:t>
      </w:r>
      <w:proofErr w:type="spellEnd"/>
      <w:r w:rsidRPr="00930645">
        <w:rPr>
          <w:rFonts w:ascii="Calibri" w:eastAsia="Calibri" w:hAnsi="Calibri" w:cs="Calibri"/>
          <w:color w:val="000000" w:themeColor="text1"/>
          <w:sz w:val="22"/>
          <w:szCs w:val="22"/>
        </w:rPr>
        <w:t>-clearance-derived glomerular filtration rate, underpinned the International Renal Interest Society's subsequent incorporation of SDMA into chronic kidney disease staging criteria. Analytical validation of automated SDMA assay platforms, including more recent immunoturbidometric methods intended for use on standard chemistry analysers, has continued to refine the precision and comparability of SDMA measurement across laboratory platforms (Mashego et al., 2025).</w:t>
      </w:r>
    </w:p>
    <w:p w14:paraId="7AF1B071"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Subsequent large-scale, real-world data have refined understanding of how SDMA should be interpreted in practice, particularly at mildly elevated concentrations. Mack et al. (2021), analysing longitudinal records from over sixteen thousand cats and a comparable number of dogs, found that mild SDMA elevations (in the range of fifteen to nineteen micrograms per decilitre) persisted in only around half of cats and dogs on retesting, and that concordant creatinine elevation at the same time point occurred in a minority of these animals. The probability of a subsequently confirmed, concordant creatinine increase rose substantially with time and with the degree of initial SDMA elevation, reaching very high probabilities within two years for animals with markedly elevated initial SDMA, but remaining considerably lower for those with only borderline elevations (Mack et al., 2021). This finding tempers the initially optimistic narrative around SDMA as an unambiguous early-warning marker; the evidence instead supports interpreting mildly elevated SDMA as prompting closer monitoring and repeat testing rather than as diagnostic of chronic kidney disease in isolation. The apparent discrepancy between the enthusiasm of early validation work and the more cautious interpretation supported by longitudinal population data may reflect the difference between a controlled experimental model of progressive nephropathy, in which the trajectory toward renal failure is essentially guaranteed, and a heterogeneous clinical population in which </w:t>
      </w:r>
      <w:r w:rsidRPr="00930645">
        <w:rPr>
          <w:rFonts w:ascii="Calibri" w:eastAsia="Calibri" w:hAnsi="Calibri" w:cs="Calibri"/>
          <w:color w:val="000000" w:themeColor="text1"/>
          <w:sz w:val="22"/>
          <w:szCs w:val="22"/>
        </w:rPr>
        <w:lastRenderedPageBreak/>
        <w:t>transient, non-progressive elevations attributable to pre-analytical variability, extrarenal influences or non-progressive early disease are considerably more common.</w:t>
      </w:r>
    </w:p>
    <w:p w14:paraId="250AE7F2" w14:textId="77777777" w:rsidR="00817E8E" w:rsidRPr="00930645" w:rsidRDefault="00000000">
      <w:pPr>
        <w:spacing w:after="200" w:line="276" w:lineRule="auto"/>
        <w:jc w:val="both"/>
        <w:rPr>
          <w:rFonts w:ascii="Calibri" w:eastAsia="Calibri" w:hAnsi="Calibri" w:cs="Calibri"/>
          <w:color w:val="000000" w:themeColor="text1"/>
          <w:sz w:val="22"/>
          <w:szCs w:val="22"/>
        </w:rPr>
      </w:pPr>
      <w:r w:rsidRPr="00930645">
        <w:rPr>
          <w:rFonts w:ascii="Calibri" w:eastAsia="Calibri" w:hAnsi="Calibri" w:cs="Calibri"/>
          <w:color w:val="000000" w:themeColor="text1"/>
          <w:sz w:val="22"/>
          <w:szCs w:val="22"/>
        </w:rPr>
        <w:t>Confidence in SDMA is also qualified by evidence that factors other than glomerular filtration rate can influence its concentration, including body condition and diet, and that reference intervals derived from one population may not translate precisely to others. Reviews addressing renal biomarkers more broadly note that SDMA should be interpreted alongside, rather than as a wholesale replacement for, serum creatinine, urine specific gravity and clinical assessment, and that its principal incremental value lies in earlier detection of progressive disease and in monitoring animals with reduced lean body mass, in whom creatinine is a particularly unreliable indicator of renal function (Relford et al., 2016). Table 1 summarises the reported diagnostic performance of SDMA alongside the other established biomarkers discussed in this review. Overall, the evidence for SDMA is among the more methodologically robust in veterinary biomarker research, combining a mechanistically plausible physiological rationale, a controlled longitudinal validation study, and subsequent large-scale, real-world concordance data; the strength of evidence is considerably greater for its use in monitoring known or suspected chronic kidney disease than for its use as a stand-alone screening test in clinically healthy animals, where the positive predictive value of a mildly elevated result remains modest.</w:t>
      </w:r>
    </w:p>
    <w:p w14:paraId="4355D9A3" w14:textId="77777777" w:rsidR="00AE43A5" w:rsidRPr="00930645" w:rsidRDefault="00AE43A5" w:rsidP="00AE43A5">
      <w:pPr>
        <w:pStyle w:val="Heading3"/>
        <w:spacing w:before="320" w:after="160"/>
        <w:rPr>
          <w:color w:val="000000" w:themeColor="text1"/>
        </w:rPr>
      </w:pPr>
      <w:r w:rsidRPr="00930645">
        <w:rPr>
          <w:rFonts w:ascii="Calibri" w:eastAsia="Calibri" w:hAnsi="Calibri" w:cs="Calibri"/>
          <w:b/>
          <w:bCs/>
          <w:color w:val="000000" w:themeColor="text1"/>
        </w:rPr>
        <w:t>Table 1. Classification of molecular biomarkers reviewed, by organ system and clinical application.</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1500"/>
        <w:gridCol w:w="2400"/>
        <w:gridCol w:w="2000"/>
        <w:gridCol w:w="1700"/>
      </w:tblGrid>
      <w:tr w:rsidR="00AE43A5" w:rsidRPr="00930645" w14:paraId="07412191" w14:textId="77777777" w:rsidTr="00F3230C">
        <w:trPr>
          <w:tblHeader/>
        </w:trPr>
        <w:tc>
          <w:tcPr>
            <w:tcW w:w="1900" w:type="dxa"/>
            <w:shd w:val="clear" w:color="auto" w:fill="D9E2F3"/>
          </w:tcPr>
          <w:p w14:paraId="4F8B1D2D"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Biomarker</w:t>
            </w:r>
          </w:p>
        </w:tc>
        <w:tc>
          <w:tcPr>
            <w:tcW w:w="1500" w:type="dxa"/>
            <w:shd w:val="clear" w:color="auto" w:fill="D9E2F3"/>
          </w:tcPr>
          <w:p w14:paraId="26EB34D2"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Organ/disease system</w:t>
            </w:r>
          </w:p>
        </w:tc>
        <w:tc>
          <w:tcPr>
            <w:tcW w:w="2400" w:type="dxa"/>
            <w:shd w:val="clear" w:color="auto" w:fill="D9E2F3"/>
          </w:tcPr>
          <w:p w14:paraId="28561E3A"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Primary clinical application</w:t>
            </w:r>
          </w:p>
        </w:tc>
        <w:tc>
          <w:tcPr>
            <w:tcW w:w="2000" w:type="dxa"/>
            <w:shd w:val="clear" w:color="auto" w:fill="D9E2F3"/>
          </w:tcPr>
          <w:p w14:paraId="0AD26AEB"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Assay type</w:t>
            </w:r>
          </w:p>
        </w:tc>
        <w:tc>
          <w:tcPr>
            <w:tcW w:w="1700" w:type="dxa"/>
            <w:shd w:val="clear" w:color="auto" w:fill="D9E2F3"/>
          </w:tcPr>
          <w:p w14:paraId="455C76AA"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Supporting references</w:t>
            </w:r>
          </w:p>
        </w:tc>
      </w:tr>
      <w:tr w:rsidR="00AE43A5" w:rsidRPr="00930645" w14:paraId="032E62EB" w14:textId="77777777" w:rsidTr="00F3230C">
        <w:tc>
          <w:tcPr>
            <w:tcW w:w="1900" w:type="dxa"/>
          </w:tcPr>
          <w:p w14:paraId="68B167E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Symmetric dimethylarginine (SDMA)</w:t>
            </w:r>
          </w:p>
        </w:tc>
        <w:tc>
          <w:tcPr>
            <w:tcW w:w="1500" w:type="dxa"/>
          </w:tcPr>
          <w:p w14:paraId="78ECEE66"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Renal</w:t>
            </w:r>
          </w:p>
        </w:tc>
        <w:tc>
          <w:tcPr>
            <w:tcW w:w="2400" w:type="dxa"/>
          </w:tcPr>
          <w:p w14:paraId="3482B03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Early detection and monitoring of chronic kidney disease</w:t>
            </w:r>
          </w:p>
        </w:tc>
        <w:tc>
          <w:tcPr>
            <w:tcW w:w="2000" w:type="dxa"/>
          </w:tcPr>
          <w:p w14:paraId="14AE52C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Immunoturbidometric / LC-MS assay</w:t>
            </w:r>
          </w:p>
        </w:tc>
        <w:tc>
          <w:tcPr>
            <w:tcW w:w="1700" w:type="dxa"/>
          </w:tcPr>
          <w:p w14:paraId="7EAB0D69"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Nabity et al. (2015); Mack et al. (2021); Mashego et al. (2025); Relford et al. (2016)</w:t>
            </w:r>
          </w:p>
        </w:tc>
      </w:tr>
      <w:tr w:rsidR="00AE43A5" w:rsidRPr="00930645" w14:paraId="71786CE0" w14:textId="77777777" w:rsidTr="00F3230C">
        <w:tc>
          <w:tcPr>
            <w:tcW w:w="1900" w:type="dxa"/>
          </w:tcPr>
          <w:p w14:paraId="259588E5"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NT-</w:t>
            </w:r>
            <w:proofErr w:type="spellStart"/>
            <w:r w:rsidRPr="00930645">
              <w:rPr>
                <w:rFonts w:ascii="Calibri" w:eastAsia="Calibri" w:hAnsi="Calibri" w:cs="Calibri"/>
                <w:color w:val="000000" w:themeColor="text1"/>
                <w:sz w:val="18"/>
                <w:szCs w:val="18"/>
              </w:rPr>
              <w:t>proBNP</w:t>
            </w:r>
            <w:proofErr w:type="spellEnd"/>
            <w:r w:rsidRPr="00930645">
              <w:rPr>
                <w:rFonts w:ascii="Calibri" w:eastAsia="Calibri" w:hAnsi="Calibri" w:cs="Calibri"/>
                <w:color w:val="000000" w:themeColor="text1"/>
                <w:sz w:val="18"/>
                <w:szCs w:val="18"/>
              </w:rPr>
              <w:t>; cardiac troponin I</w:t>
            </w:r>
          </w:p>
        </w:tc>
        <w:tc>
          <w:tcPr>
            <w:tcW w:w="1500" w:type="dxa"/>
          </w:tcPr>
          <w:p w14:paraId="74B18385"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Cardiovascular</w:t>
            </w:r>
          </w:p>
        </w:tc>
        <w:tc>
          <w:tcPr>
            <w:tcW w:w="2400" w:type="dxa"/>
          </w:tcPr>
          <w:p w14:paraId="590F7D5A"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Screening, dyspnoea triage, prognosis in heart disease</w:t>
            </w:r>
          </w:p>
        </w:tc>
        <w:tc>
          <w:tcPr>
            <w:tcW w:w="2000" w:type="dxa"/>
          </w:tcPr>
          <w:p w14:paraId="4248BF3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Quantitative and cage-side immunoassay</w:t>
            </w:r>
          </w:p>
        </w:tc>
        <w:tc>
          <w:tcPr>
            <w:tcW w:w="1700" w:type="dxa"/>
          </w:tcPr>
          <w:p w14:paraId="7BDD3CF5"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Langhorn &amp; Willesen (2016); de Lima &amp; Ferreira (2017); Luis Fuentes et al. (2020)</w:t>
            </w:r>
          </w:p>
        </w:tc>
      </w:tr>
      <w:tr w:rsidR="00AE43A5" w:rsidRPr="00930645" w14:paraId="1A9E349E" w14:textId="77777777" w:rsidTr="00F3230C">
        <w:tc>
          <w:tcPr>
            <w:tcW w:w="1900" w:type="dxa"/>
          </w:tcPr>
          <w:p w14:paraId="33F5C08A"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C-reactive protein; serum amyloid A</w:t>
            </w:r>
          </w:p>
        </w:tc>
        <w:tc>
          <w:tcPr>
            <w:tcW w:w="1500" w:type="dxa"/>
          </w:tcPr>
          <w:p w14:paraId="75E84F0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Systemic inflammation</w:t>
            </w:r>
          </w:p>
        </w:tc>
        <w:tc>
          <w:tcPr>
            <w:tcW w:w="2400" w:type="dxa"/>
          </w:tcPr>
          <w:p w14:paraId="6C2C20F8"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Detection and serial monitoring of inflammatory disease</w:t>
            </w:r>
          </w:p>
        </w:tc>
        <w:tc>
          <w:tcPr>
            <w:tcW w:w="2000" w:type="dxa"/>
          </w:tcPr>
          <w:p w14:paraId="73F9C619"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Immunoturbidimetric / ELISA</w:t>
            </w:r>
          </w:p>
        </w:tc>
        <w:tc>
          <w:tcPr>
            <w:tcW w:w="1700" w:type="dxa"/>
          </w:tcPr>
          <w:p w14:paraId="50319E99" w14:textId="77777777" w:rsidR="00AE43A5" w:rsidRPr="00930645" w:rsidRDefault="00AE43A5" w:rsidP="00F3230C">
            <w:pPr>
              <w:rPr>
                <w:color w:val="000000" w:themeColor="text1"/>
              </w:rPr>
            </w:pPr>
            <w:proofErr w:type="spellStart"/>
            <w:r w:rsidRPr="00930645">
              <w:rPr>
                <w:rFonts w:ascii="Calibri" w:eastAsia="Calibri" w:hAnsi="Calibri" w:cs="Calibri"/>
                <w:color w:val="000000" w:themeColor="text1"/>
                <w:sz w:val="18"/>
                <w:szCs w:val="18"/>
              </w:rPr>
              <w:t>Cerón</w:t>
            </w:r>
            <w:proofErr w:type="spellEnd"/>
            <w:r w:rsidRPr="00930645">
              <w:rPr>
                <w:rFonts w:ascii="Calibri" w:eastAsia="Calibri" w:hAnsi="Calibri" w:cs="Calibri"/>
                <w:color w:val="000000" w:themeColor="text1"/>
                <w:sz w:val="18"/>
                <w:szCs w:val="18"/>
              </w:rPr>
              <w:t xml:space="preserve"> et al. (2005); </w:t>
            </w:r>
            <w:proofErr w:type="spellStart"/>
            <w:r w:rsidRPr="00930645">
              <w:rPr>
                <w:rFonts w:ascii="Calibri" w:eastAsia="Calibri" w:hAnsi="Calibri" w:cs="Calibri"/>
                <w:color w:val="000000" w:themeColor="text1"/>
                <w:sz w:val="18"/>
                <w:szCs w:val="18"/>
              </w:rPr>
              <w:t>Eckersall</w:t>
            </w:r>
            <w:proofErr w:type="spellEnd"/>
            <w:r w:rsidRPr="00930645">
              <w:rPr>
                <w:rFonts w:ascii="Calibri" w:eastAsia="Calibri" w:hAnsi="Calibri" w:cs="Calibri"/>
                <w:color w:val="000000" w:themeColor="text1"/>
                <w:sz w:val="18"/>
                <w:szCs w:val="18"/>
              </w:rPr>
              <w:t xml:space="preserve"> &amp; Bell (2010); Rossi et al. (2023)</w:t>
            </w:r>
          </w:p>
        </w:tc>
      </w:tr>
      <w:tr w:rsidR="00AE43A5" w:rsidRPr="00930645" w14:paraId="1B1146C6" w14:textId="77777777" w:rsidTr="00F3230C">
        <w:tc>
          <w:tcPr>
            <w:tcW w:w="1900" w:type="dxa"/>
          </w:tcPr>
          <w:p w14:paraId="42554D7E"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Pancreatic lipase immunoreactivity (</w:t>
            </w:r>
            <w:proofErr w:type="spellStart"/>
            <w:r w:rsidRPr="00930645">
              <w:rPr>
                <w:rFonts w:ascii="Calibri" w:eastAsia="Calibri" w:hAnsi="Calibri" w:cs="Calibri"/>
                <w:color w:val="000000" w:themeColor="text1"/>
                <w:sz w:val="18"/>
                <w:szCs w:val="18"/>
              </w:rPr>
              <w:t>cPLI</w:t>
            </w:r>
            <w:proofErr w:type="spellEnd"/>
            <w:r w:rsidRPr="00930645">
              <w:rPr>
                <w:rFonts w:ascii="Calibri" w:eastAsia="Calibri" w:hAnsi="Calibri" w:cs="Calibri"/>
                <w:color w:val="000000" w:themeColor="text1"/>
                <w:sz w:val="18"/>
                <w:szCs w:val="18"/>
              </w:rPr>
              <w:t>/</w:t>
            </w:r>
            <w:proofErr w:type="spellStart"/>
            <w:r w:rsidRPr="00930645">
              <w:rPr>
                <w:rFonts w:ascii="Calibri" w:eastAsia="Calibri" w:hAnsi="Calibri" w:cs="Calibri"/>
                <w:color w:val="000000" w:themeColor="text1"/>
                <w:sz w:val="18"/>
                <w:szCs w:val="18"/>
              </w:rPr>
              <w:t>fPLI</w:t>
            </w:r>
            <w:proofErr w:type="spellEnd"/>
            <w:r w:rsidRPr="00930645">
              <w:rPr>
                <w:rFonts w:ascii="Calibri" w:eastAsia="Calibri" w:hAnsi="Calibri" w:cs="Calibri"/>
                <w:color w:val="000000" w:themeColor="text1"/>
                <w:sz w:val="18"/>
                <w:szCs w:val="18"/>
              </w:rPr>
              <w:t>)</w:t>
            </w:r>
          </w:p>
        </w:tc>
        <w:tc>
          <w:tcPr>
            <w:tcW w:w="1500" w:type="dxa"/>
          </w:tcPr>
          <w:p w14:paraId="5D8AA82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Exocrine pancreas</w:t>
            </w:r>
          </w:p>
        </w:tc>
        <w:tc>
          <w:tcPr>
            <w:tcW w:w="2400" w:type="dxa"/>
          </w:tcPr>
          <w:p w14:paraId="2B62922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Diagnosis and monitoring of pancreatitis</w:t>
            </w:r>
          </w:p>
        </w:tc>
        <w:tc>
          <w:tcPr>
            <w:tcW w:w="2000" w:type="dxa"/>
          </w:tcPr>
          <w:p w14:paraId="7F8E9B4A"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Species-specific ELISA / quantitative immunoassay</w:t>
            </w:r>
          </w:p>
        </w:tc>
        <w:tc>
          <w:tcPr>
            <w:tcW w:w="1700" w:type="dxa"/>
          </w:tcPr>
          <w:p w14:paraId="1CE8690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Trivedi et al. (2011); Mitchell et al. (2024)</w:t>
            </w:r>
          </w:p>
        </w:tc>
      </w:tr>
      <w:tr w:rsidR="00AE43A5" w:rsidRPr="00930645" w14:paraId="3D69E2AF" w14:textId="77777777" w:rsidTr="00F3230C">
        <w:tc>
          <w:tcPr>
            <w:tcW w:w="1900" w:type="dxa"/>
          </w:tcPr>
          <w:p w14:paraId="00D4D3A1" w14:textId="77777777" w:rsidR="00AE43A5" w:rsidRPr="00930645" w:rsidRDefault="00AE43A5" w:rsidP="00F3230C">
            <w:pPr>
              <w:rPr>
                <w:color w:val="000000" w:themeColor="text1"/>
              </w:rPr>
            </w:pPr>
            <w:proofErr w:type="spellStart"/>
            <w:r w:rsidRPr="00930645">
              <w:rPr>
                <w:rFonts w:ascii="Calibri" w:eastAsia="Calibri" w:hAnsi="Calibri" w:cs="Calibri"/>
                <w:color w:val="000000" w:themeColor="text1"/>
                <w:sz w:val="18"/>
                <w:szCs w:val="18"/>
              </w:rPr>
              <w:t>FCoV</w:t>
            </w:r>
            <w:proofErr w:type="spellEnd"/>
            <w:r w:rsidRPr="00930645">
              <w:rPr>
                <w:rFonts w:ascii="Calibri" w:eastAsia="Calibri" w:hAnsi="Calibri" w:cs="Calibri"/>
                <w:color w:val="000000" w:themeColor="text1"/>
                <w:sz w:val="18"/>
                <w:szCs w:val="18"/>
              </w:rPr>
              <w:t xml:space="preserve"> RT-PCR</w:t>
            </w:r>
          </w:p>
        </w:tc>
        <w:tc>
          <w:tcPr>
            <w:tcW w:w="1500" w:type="dxa"/>
          </w:tcPr>
          <w:p w14:paraId="7FC775B7"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Infectious disease</w:t>
            </w:r>
          </w:p>
        </w:tc>
        <w:tc>
          <w:tcPr>
            <w:tcW w:w="2400" w:type="dxa"/>
          </w:tcPr>
          <w:p w14:paraId="21FBF075"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Antemortem diagnosis of feline infectious peritonitis</w:t>
            </w:r>
          </w:p>
        </w:tc>
        <w:tc>
          <w:tcPr>
            <w:tcW w:w="2000" w:type="dxa"/>
          </w:tcPr>
          <w:p w14:paraId="59448B00"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Reverse-transcriptase PCR</w:t>
            </w:r>
          </w:p>
        </w:tc>
        <w:tc>
          <w:tcPr>
            <w:tcW w:w="1700" w:type="dxa"/>
          </w:tcPr>
          <w:p w14:paraId="35955851"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Simons et al. (2005)</w:t>
            </w:r>
          </w:p>
        </w:tc>
      </w:tr>
      <w:tr w:rsidR="00AE43A5" w:rsidRPr="00930645" w14:paraId="22AFF574" w14:textId="77777777" w:rsidTr="00F3230C">
        <w:tc>
          <w:tcPr>
            <w:tcW w:w="1900" w:type="dxa"/>
          </w:tcPr>
          <w:p w14:paraId="222A237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PARR; circulating tumour DNA</w:t>
            </w:r>
          </w:p>
        </w:tc>
        <w:tc>
          <w:tcPr>
            <w:tcW w:w="1500" w:type="dxa"/>
          </w:tcPr>
          <w:p w14:paraId="459EBE61"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Oncology</w:t>
            </w:r>
          </w:p>
        </w:tc>
        <w:tc>
          <w:tcPr>
            <w:tcW w:w="2400" w:type="dxa"/>
          </w:tcPr>
          <w:p w14:paraId="75FA73A4"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Clonality assessment, minimal residual disease, liquid biopsy</w:t>
            </w:r>
          </w:p>
        </w:tc>
        <w:tc>
          <w:tcPr>
            <w:tcW w:w="2000" w:type="dxa"/>
          </w:tcPr>
          <w:p w14:paraId="243343B4"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PCR, droplet digital PCR</w:t>
            </w:r>
          </w:p>
        </w:tc>
        <w:tc>
          <w:tcPr>
            <w:tcW w:w="1700" w:type="dxa"/>
          </w:tcPr>
          <w:p w14:paraId="5DB9243C" w14:textId="77777777" w:rsidR="00AE43A5" w:rsidRPr="00930645" w:rsidRDefault="00AE43A5" w:rsidP="00F3230C">
            <w:pPr>
              <w:rPr>
                <w:color w:val="000000" w:themeColor="text1"/>
              </w:rPr>
            </w:pPr>
            <w:proofErr w:type="spellStart"/>
            <w:r w:rsidRPr="00930645">
              <w:rPr>
                <w:rFonts w:ascii="Calibri" w:eastAsia="Calibri" w:hAnsi="Calibri" w:cs="Calibri"/>
                <w:color w:val="000000" w:themeColor="text1"/>
                <w:sz w:val="18"/>
                <w:szCs w:val="18"/>
              </w:rPr>
              <w:t>Prouteau</w:t>
            </w:r>
            <w:proofErr w:type="spellEnd"/>
            <w:r w:rsidRPr="00930645">
              <w:rPr>
                <w:rFonts w:ascii="Calibri" w:eastAsia="Calibri" w:hAnsi="Calibri" w:cs="Calibri"/>
                <w:color w:val="000000" w:themeColor="text1"/>
                <w:sz w:val="18"/>
                <w:szCs w:val="18"/>
              </w:rPr>
              <w:t xml:space="preserve"> et al. (2021); </w:t>
            </w:r>
            <w:proofErr w:type="spellStart"/>
            <w:r w:rsidRPr="00930645">
              <w:rPr>
                <w:rFonts w:ascii="Calibri" w:eastAsia="Calibri" w:hAnsi="Calibri" w:cs="Calibri"/>
                <w:color w:val="000000" w:themeColor="text1"/>
                <w:sz w:val="18"/>
                <w:szCs w:val="18"/>
              </w:rPr>
              <w:t>Kambayashi</w:t>
            </w:r>
            <w:proofErr w:type="spellEnd"/>
            <w:r w:rsidRPr="00930645">
              <w:rPr>
                <w:rFonts w:ascii="Calibri" w:eastAsia="Calibri" w:hAnsi="Calibri" w:cs="Calibri"/>
                <w:color w:val="000000" w:themeColor="text1"/>
                <w:sz w:val="18"/>
                <w:szCs w:val="18"/>
              </w:rPr>
              <w:t xml:space="preserve"> et al. (2024); Aupperle-</w:t>
            </w:r>
            <w:proofErr w:type="spellStart"/>
            <w:r w:rsidRPr="00930645">
              <w:rPr>
                <w:rFonts w:ascii="Calibri" w:eastAsia="Calibri" w:hAnsi="Calibri" w:cs="Calibri"/>
                <w:color w:val="000000" w:themeColor="text1"/>
                <w:sz w:val="18"/>
                <w:szCs w:val="18"/>
              </w:rPr>
              <w:t>Lellbach</w:t>
            </w:r>
            <w:proofErr w:type="spellEnd"/>
            <w:r w:rsidRPr="00930645">
              <w:rPr>
                <w:rFonts w:ascii="Calibri" w:eastAsia="Calibri" w:hAnsi="Calibri" w:cs="Calibri"/>
                <w:color w:val="000000" w:themeColor="text1"/>
                <w:sz w:val="18"/>
                <w:szCs w:val="18"/>
              </w:rPr>
              <w:t xml:space="preserve"> et al. (2024)</w:t>
            </w:r>
          </w:p>
        </w:tc>
      </w:tr>
      <w:tr w:rsidR="00AE43A5" w:rsidRPr="00930645" w14:paraId="49C88F23" w14:textId="77777777" w:rsidTr="00F3230C">
        <w:tc>
          <w:tcPr>
            <w:tcW w:w="1900" w:type="dxa"/>
          </w:tcPr>
          <w:p w14:paraId="53682CF2"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Circulating / urinary microRNA</w:t>
            </w:r>
          </w:p>
        </w:tc>
        <w:tc>
          <w:tcPr>
            <w:tcW w:w="1500" w:type="dxa"/>
          </w:tcPr>
          <w:p w14:paraId="5E911688"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Oncology</w:t>
            </w:r>
          </w:p>
        </w:tc>
        <w:tc>
          <w:tcPr>
            <w:tcW w:w="2400" w:type="dxa"/>
          </w:tcPr>
          <w:p w14:paraId="7F1A3858"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Discovery-stage diagnostic and prognostic markers</w:t>
            </w:r>
          </w:p>
        </w:tc>
        <w:tc>
          <w:tcPr>
            <w:tcW w:w="2000" w:type="dxa"/>
          </w:tcPr>
          <w:p w14:paraId="2BF0791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qPCR, digital PCR</w:t>
            </w:r>
          </w:p>
        </w:tc>
        <w:tc>
          <w:tcPr>
            <w:tcW w:w="1700" w:type="dxa"/>
          </w:tcPr>
          <w:p w14:paraId="43630BC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Varvil et al. (2023); Karttunen et al. (2024); Kent et al. (2017)</w:t>
            </w:r>
          </w:p>
        </w:tc>
      </w:tr>
      <w:tr w:rsidR="00AE43A5" w:rsidRPr="00930645" w14:paraId="23B07495" w14:textId="77777777" w:rsidTr="00F3230C">
        <w:tc>
          <w:tcPr>
            <w:tcW w:w="1900" w:type="dxa"/>
          </w:tcPr>
          <w:p w14:paraId="2E281F7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Multiplex variant panels</w:t>
            </w:r>
          </w:p>
        </w:tc>
        <w:tc>
          <w:tcPr>
            <w:tcW w:w="1500" w:type="dxa"/>
          </w:tcPr>
          <w:p w14:paraId="544CB5DB"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Hereditary disease</w:t>
            </w:r>
          </w:p>
        </w:tc>
        <w:tc>
          <w:tcPr>
            <w:tcW w:w="2400" w:type="dxa"/>
          </w:tcPr>
          <w:p w14:paraId="1DE97C49"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Breed-level risk screening, diagnostic confirmation</w:t>
            </w:r>
          </w:p>
        </w:tc>
        <w:tc>
          <w:tcPr>
            <w:tcW w:w="2000" w:type="dxa"/>
          </w:tcPr>
          <w:p w14:paraId="2151BB50"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Genotyping microarray</w:t>
            </w:r>
          </w:p>
        </w:tc>
        <w:tc>
          <w:tcPr>
            <w:tcW w:w="1700" w:type="dxa"/>
          </w:tcPr>
          <w:p w14:paraId="578BA7C7"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Donner et al. (2016)</w:t>
            </w:r>
          </w:p>
        </w:tc>
      </w:tr>
    </w:tbl>
    <w:p w14:paraId="43753233" w14:textId="77777777" w:rsidR="00AE43A5" w:rsidRPr="00930645" w:rsidRDefault="00AE43A5" w:rsidP="00AE43A5">
      <w:pPr>
        <w:spacing w:before="120" w:after="240"/>
        <w:rPr>
          <w:color w:val="000000" w:themeColor="text1"/>
        </w:rPr>
      </w:pPr>
      <w:r w:rsidRPr="00930645">
        <w:rPr>
          <w:rFonts w:ascii="Calibri" w:eastAsia="Calibri" w:hAnsi="Calibri" w:cs="Calibri"/>
          <w:i/>
          <w:iCs/>
          <w:color w:val="000000" w:themeColor="text1"/>
          <w:sz w:val="18"/>
          <w:szCs w:val="18"/>
        </w:rPr>
        <w:lastRenderedPageBreak/>
        <w:t xml:space="preserve">Note. LC-MS = liquid chromatography–mass spectrometry; ELISA = enzyme-linked immunosorbent assay; </w:t>
      </w:r>
      <w:proofErr w:type="spellStart"/>
      <w:r w:rsidRPr="00930645">
        <w:rPr>
          <w:rFonts w:ascii="Calibri" w:eastAsia="Calibri" w:hAnsi="Calibri" w:cs="Calibri"/>
          <w:i/>
          <w:iCs/>
          <w:color w:val="000000" w:themeColor="text1"/>
          <w:sz w:val="18"/>
          <w:szCs w:val="18"/>
        </w:rPr>
        <w:t>FCoV</w:t>
      </w:r>
      <w:proofErr w:type="spellEnd"/>
      <w:r w:rsidRPr="00930645">
        <w:rPr>
          <w:rFonts w:ascii="Calibri" w:eastAsia="Calibri" w:hAnsi="Calibri" w:cs="Calibri"/>
          <w:i/>
          <w:iCs/>
          <w:color w:val="000000" w:themeColor="text1"/>
          <w:sz w:val="18"/>
          <w:szCs w:val="18"/>
        </w:rPr>
        <w:t xml:space="preserve"> = feline coronavirus; PCR = polymerase chain reaction; PARR = PCR for antigen receptor rearrangement; qPCR = quantitative PCR.</w:t>
      </w:r>
    </w:p>
    <w:p w14:paraId="114C9DFE" w14:textId="77777777" w:rsidR="00AE43A5" w:rsidRPr="00930645" w:rsidRDefault="00AE43A5">
      <w:pPr>
        <w:spacing w:after="200" w:line="276" w:lineRule="auto"/>
        <w:jc w:val="both"/>
        <w:rPr>
          <w:color w:val="000000" w:themeColor="text1"/>
        </w:rPr>
      </w:pPr>
    </w:p>
    <w:p w14:paraId="2E71035C"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4. Cardiac Biomarkers: Natriuretic Peptides and Troponins in Companion Animal Cardiology</w:t>
      </w:r>
    </w:p>
    <w:p w14:paraId="409AAF19"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Two cardiac biomarkers have achieved sustained clinical use in canine and feline cardiology: cardiac troponin I (</w:t>
      </w:r>
      <w:proofErr w:type="spellStart"/>
      <w:r w:rsidRPr="00930645">
        <w:rPr>
          <w:rFonts w:ascii="Calibri" w:eastAsia="Calibri" w:hAnsi="Calibri" w:cs="Calibri"/>
          <w:color w:val="000000" w:themeColor="text1"/>
          <w:sz w:val="22"/>
          <w:szCs w:val="22"/>
        </w:rPr>
        <w:t>cTnI</w:t>
      </w:r>
      <w:proofErr w:type="spellEnd"/>
      <w:r w:rsidRPr="00930645">
        <w:rPr>
          <w:rFonts w:ascii="Calibri" w:eastAsia="Calibri" w:hAnsi="Calibri" w:cs="Calibri"/>
          <w:color w:val="000000" w:themeColor="text1"/>
          <w:sz w:val="22"/>
          <w:szCs w:val="22"/>
        </w:rPr>
        <w:t>), a structural protein released from cardiomyocytes following myocyte injury or necrosis, and N-terminal pro-B-type natriuretic peptide (NT-</w:t>
      </w:r>
      <w:proofErr w:type="spellStart"/>
      <w:r w:rsidRPr="00930645">
        <w:rPr>
          <w:rFonts w:ascii="Calibri" w:eastAsia="Calibri" w:hAnsi="Calibri" w:cs="Calibri"/>
          <w:color w:val="000000" w:themeColor="text1"/>
          <w:sz w:val="22"/>
          <w:szCs w:val="22"/>
        </w:rPr>
        <w:t>proBNP</w:t>
      </w:r>
      <w:proofErr w:type="spellEnd"/>
      <w:r w:rsidRPr="00930645">
        <w:rPr>
          <w:rFonts w:ascii="Calibri" w:eastAsia="Calibri" w:hAnsi="Calibri" w:cs="Calibri"/>
          <w:color w:val="000000" w:themeColor="text1"/>
          <w:sz w:val="22"/>
          <w:szCs w:val="22"/>
        </w:rPr>
        <w:t xml:space="preserve">), a neurohormone released in response to myocardial wall stretch or stress. These markers are frequently described as complementary rather than interchangeable, since </w:t>
      </w:r>
      <w:proofErr w:type="spellStart"/>
      <w:r w:rsidRPr="00930645">
        <w:rPr>
          <w:rFonts w:ascii="Calibri" w:eastAsia="Calibri" w:hAnsi="Calibri" w:cs="Calibri"/>
          <w:color w:val="000000" w:themeColor="text1"/>
          <w:sz w:val="22"/>
          <w:szCs w:val="22"/>
        </w:rPr>
        <w:t>cTnI</w:t>
      </w:r>
      <w:proofErr w:type="spellEnd"/>
      <w:r w:rsidRPr="00930645">
        <w:rPr>
          <w:rFonts w:ascii="Calibri" w:eastAsia="Calibri" w:hAnsi="Calibri" w:cs="Calibri"/>
          <w:color w:val="000000" w:themeColor="text1"/>
          <w:sz w:val="22"/>
          <w:szCs w:val="22"/>
        </w:rPr>
        <w:t xml:space="preserve"> functions mechanistically as a marker of myocardial injury while NT-</w:t>
      </w:r>
      <w:proofErr w:type="spellStart"/>
      <w:r w:rsidRPr="00930645">
        <w:rPr>
          <w:rFonts w:ascii="Calibri" w:eastAsia="Calibri" w:hAnsi="Calibri" w:cs="Calibri"/>
          <w:color w:val="000000" w:themeColor="text1"/>
          <w:sz w:val="22"/>
          <w:szCs w:val="22"/>
        </w:rPr>
        <w:t>proBNP</w:t>
      </w:r>
      <w:proofErr w:type="spellEnd"/>
      <w:r w:rsidRPr="00930645">
        <w:rPr>
          <w:rFonts w:ascii="Calibri" w:eastAsia="Calibri" w:hAnsi="Calibri" w:cs="Calibri"/>
          <w:color w:val="000000" w:themeColor="text1"/>
          <w:sz w:val="22"/>
          <w:szCs w:val="22"/>
        </w:rPr>
        <w:t xml:space="preserve"> functions as a marker of haemodynamic stress, and the two can be dissociated in specific clinical scenarios (Langhorn &amp; Willesen, 2016).</w:t>
      </w:r>
    </w:p>
    <w:p w14:paraId="093C2149"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NT-</w:t>
      </w:r>
      <w:proofErr w:type="spellStart"/>
      <w:r w:rsidRPr="00930645">
        <w:rPr>
          <w:rFonts w:ascii="Calibri" w:eastAsia="Calibri" w:hAnsi="Calibri" w:cs="Calibri"/>
          <w:color w:val="000000" w:themeColor="text1"/>
          <w:sz w:val="22"/>
          <w:szCs w:val="22"/>
        </w:rPr>
        <w:t>proBNP</w:t>
      </w:r>
      <w:proofErr w:type="spellEnd"/>
      <w:r w:rsidRPr="00930645">
        <w:rPr>
          <w:rFonts w:ascii="Calibri" w:eastAsia="Calibri" w:hAnsi="Calibri" w:cs="Calibri"/>
          <w:color w:val="000000" w:themeColor="text1"/>
          <w:sz w:val="22"/>
          <w:szCs w:val="22"/>
        </w:rPr>
        <w:t xml:space="preserve"> has been most extensively studied as a tool for distinguishing cardiac from non-cardiac (typically respiratory) causes of dyspnoea in dogs and cats, and for identifying occult or subclinical cardiomyopathy in at-risk populations, including cats screened for hypertrophic cardiomyopathy and breeds screened for dilated cardiomyopathy. In dogs with myxomatous mitral valve disease, elevated NT-</w:t>
      </w:r>
      <w:proofErr w:type="spellStart"/>
      <w:r w:rsidRPr="00930645">
        <w:rPr>
          <w:rFonts w:ascii="Calibri" w:eastAsia="Calibri" w:hAnsi="Calibri" w:cs="Calibri"/>
          <w:color w:val="000000" w:themeColor="text1"/>
          <w:sz w:val="22"/>
          <w:szCs w:val="22"/>
        </w:rPr>
        <w:t>proBNP</w:t>
      </w:r>
      <w:proofErr w:type="spellEnd"/>
      <w:r w:rsidRPr="00930645">
        <w:rPr>
          <w:rFonts w:ascii="Calibri" w:eastAsia="Calibri" w:hAnsi="Calibri" w:cs="Calibri"/>
          <w:color w:val="000000" w:themeColor="text1"/>
          <w:sz w:val="22"/>
          <w:szCs w:val="22"/>
        </w:rPr>
        <w:t xml:space="preserve"> concentrations have been associated with increased risk of progression to congestive heart failure and with reduced survival, providing prognostic as well as diagnostic value; combining NT-</w:t>
      </w:r>
      <w:proofErr w:type="spellStart"/>
      <w:r w:rsidRPr="00930645">
        <w:rPr>
          <w:rFonts w:ascii="Calibri" w:eastAsia="Calibri" w:hAnsi="Calibri" w:cs="Calibri"/>
          <w:color w:val="000000" w:themeColor="text1"/>
          <w:sz w:val="22"/>
          <w:szCs w:val="22"/>
        </w:rPr>
        <w:t>proBNP</w:t>
      </w:r>
      <w:proofErr w:type="spellEnd"/>
      <w:r w:rsidRPr="00930645">
        <w:rPr>
          <w:rFonts w:ascii="Calibri" w:eastAsia="Calibri" w:hAnsi="Calibri" w:cs="Calibri"/>
          <w:color w:val="000000" w:themeColor="text1"/>
          <w:sz w:val="22"/>
          <w:szCs w:val="22"/>
        </w:rPr>
        <w:t xml:space="preserve"> with high-sensitivity cardiac troponin I measurement has been reported to improve the accuracy of risk stratification compared with either marker used alone (de Lima &amp; Ferreira, 2017). Despite this, NT-</w:t>
      </w:r>
      <w:proofErr w:type="spellStart"/>
      <w:r w:rsidRPr="00930645">
        <w:rPr>
          <w:rFonts w:ascii="Calibri" w:eastAsia="Calibri" w:hAnsi="Calibri" w:cs="Calibri"/>
          <w:color w:val="000000" w:themeColor="text1"/>
          <w:sz w:val="22"/>
          <w:szCs w:val="22"/>
        </w:rPr>
        <w:t>proBNP</w:t>
      </w:r>
      <w:proofErr w:type="spellEnd"/>
      <w:r w:rsidRPr="00930645">
        <w:rPr>
          <w:rFonts w:ascii="Calibri" w:eastAsia="Calibri" w:hAnsi="Calibri" w:cs="Calibri"/>
          <w:color w:val="000000" w:themeColor="text1"/>
          <w:sz w:val="22"/>
          <w:szCs w:val="22"/>
        </w:rPr>
        <w:t xml:space="preserve"> testing is explicitly not validated as a stand-alone diagnostic test: elevated results should prompt further investigation by echocardiography or thoracic radiography rather than being interpreted as confirmatory of a specific cardiac diagnosis, since NT-</w:t>
      </w:r>
      <w:proofErr w:type="spellStart"/>
      <w:r w:rsidRPr="00930645">
        <w:rPr>
          <w:rFonts w:ascii="Calibri" w:eastAsia="Calibri" w:hAnsi="Calibri" w:cs="Calibri"/>
          <w:color w:val="000000" w:themeColor="text1"/>
          <w:sz w:val="22"/>
          <w:szCs w:val="22"/>
        </w:rPr>
        <w:t>proBNP</w:t>
      </w:r>
      <w:proofErr w:type="spellEnd"/>
      <w:r w:rsidRPr="00930645">
        <w:rPr>
          <w:rFonts w:ascii="Calibri" w:eastAsia="Calibri" w:hAnsi="Calibri" w:cs="Calibri"/>
          <w:color w:val="000000" w:themeColor="text1"/>
          <w:sz w:val="22"/>
          <w:szCs w:val="22"/>
        </w:rPr>
        <w:t xml:space="preserve"> concentration reflects the degree of haemodynamic stress rather than its underlying anatomical cause, and can be elevated by non-cardiac conditions including renal dysfunction.</w:t>
      </w:r>
    </w:p>
    <w:p w14:paraId="62D5A0C5"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Cardiac troponin I offers high analytical specificity for myocardial injury because the cardiac-specific isoform of troponin I does not cross-react with skeletal muscle troponin in validated assays, and because the amino acid sequence of </w:t>
      </w:r>
      <w:proofErr w:type="spellStart"/>
      <w:r w:rsidRPr="00930645">
        <w:rPr>
          <w:rFonts w:ascii="Calibri" w:eastAsia="Calibri" w:hAnsi="Calibri" w:cs="Calibri"/>
          <w:color w:val="000000" w:themeColor="text1"/>
          <w:sz w:val="22"/>
          <w:szCs w:val="22"/>
        </w:rPr>
        <w:t>cTnI</w:t>
      </w:r>
      <w:proofErr w:type="spellEnd"/>
      <w:r w:rsidRPr="00930645">
        <w:rPr>
          <w:rFonts w:ascii="Calibri" w:eastAsia="Calibri" w:hAnsi="Calibri" w:cs="Calibri"/>
          <w:color w:val="000000" w:themeColor="text1"/>
          <w:sz w:val="22"/>
          <w:szCs w:val="22"/>
        </w:rPr>
        <w:t xml:space="preserve"> shows sufficient homology across mammalian species that human clinical troponin immunoassays can be applied reliably to dogs and cats. Increases in </w:t>
      </w:r>
      <w:proofErr w:type="spellStart"/>
      <w:r w:rsidRPr="00930645">
        <w:rPr>
          <w:rFonts w:ascii="Calibri" w:eastAsia="Calibri" w:hAnsi="Calibri" w:cs="Calibri"/>
          <w:color w:val="000000" w:themeColor="text1"/>
          <w:sz w:val="22"/>
          <w:szCs w:val="22"/>
        </w:rPr>
        <w:t>cTnI</w:t>
      </w:r>
      <w:proofErr w:type="spellEnd"/>
      <w:r w:rsidRPr="00930645">
        <w:rPr>
          <w:rFonts w:ascii="Calibri" w:eastAsia="Calibri" w:hAnsi="Calibri" w:cs="Calibri"/>
          <w:color w:val="000000" w:themeColor="text1"/>
          <w:sz w:val="22"/>
          <w:szCs w:val="22"/>
        </w:rPr>
        <w:t xml:space="preserve"> concentration are broadly proportional to the severity of myocardial injury and have utility not only in primary cardiac disease but also in detecting myocardial involvement secondary to systemic conditions such as gastric dilatation-volvulus, systemic inflammatory response syndrome, and certain toxicities. However, </w:t>
      </w:r>
      <w:proofErr w:type="spellStart"/>
      <w:r w:rsidRPr="00930645">
        <w:rPr>
          <w:rFonts w:ascii="Calibri" w:eastAsia="Calibri" w:hAnsi="Calibri" w:cs="Calibri"/>
          <w:color w:val="000000" w:themeColor="text1"/>
          <w:sz w:val="22"/>
          <w:szCs w:val="22"/>
        </w:rPr>
        <w:t>cTnI</w:t>
      </w:r>
      <w:proofErr w:type="spellEnd"/>
      <w:r w:rsidRPr="00930645">
        <w:rPr>
          <w:rFonts w:ascii="Calibri" w:eastAsia="Calibri" w:hAnsi="Calibri" w:cs="Calibri"/>
          <w:color w:val="000000" w:themeColor="text1"/>
          <w:sz w:val="22"/>
          <w:szCs w:val="22"/>
        </w:rPr>
        <w:t>, like NT-</w:t>
      </w:r>
      <w:proofErr w:type="spellStart"/>
      <w:r w:rsidRPr="00930645">
        <w:rPr>
          <w:rFonts w:ascii="Calibri" w:eastAsia="Calibri" w:hAnsi="Calibri" w:cs="Calibri"/>
          <w:color w:val="000000" w:themeColor="text1"/>
          <w:sz w:val="22"/>
          <w:szCs w:val="22"/>
        </w:rPr>
        <w:t>proBNP</w:t>
      </w:r>
      <w:proofErr w:type="spellEnd"/>
      <w:r w:rsidRPr="00930645">
        <w:rPr>
          <w:rFonts w:ascii="Calibri" w:eastAsia="Calibri" w:hAnsi="Calibri" w:cs="Calibri"/>
          <w:color w:val="000000" w:themeColor="text1"/>
          <w:sz w:val="22"/>
          <w:szCs w:val="22"/>
        </w:rPr>
        <w:t>, lacks disease specificity: an elevated result indicates that myocardial injury has occurred but does not by itself indicate its cause, and reference intervals differ according to the specific assay platform used, complicating direct comparison of results reported by different laboratories.</w:t>
      </w:r>
    </w:p>
    <w:p w14:paraId="388588B3"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The 2020 American College of Veterinary Internal Medicine consensus statement on feline cardiomyopathy classification incorporated biomarker testing, alongside echocardiography, as a component of a comprehensive diagnostic approach for cats with clinical signs suggestive of cardiac </w:t>
      </w:r>
      <w:r w:rsidRPr="00930645">
        <w:rPr>
          <w:rFonts w:ascii="Calibri" w:eastAsia="Calibri" w:hAnsi="Calibri" w:cs="Calibri"/>
          <w:color w:val="000000" w:themeColor="text1"/>
          <w:sz w:val="22"/>
          <w:szCs w:val="22"/>
        </w:rPr>
        <w:lastRenderedPageBreak/>
        <w:t>disease or with murmurs of uncertain significance, reflecting formal professional endorsement of NT-</w:t>
      </w:r>
      <w:proofErr w:type="spellStart"/>
      <w:r w:rsidRPr="00930645">
        <w:rPr>
          <w:rFonts w:ascii="Calibri" w:eastAsia="Calibri" w:hAnsi="Calibri" w:cs="Calibri"/>
          <w:color w:val="000000" w:themeColor="text1"/>
          <w:sz w:val="22"/>
          <w:szCs w:val="22"/>
        </w:rPr>
        <w:t>proBNP</w:t>
      </w:r>
      <w:proofErr w:type="spellEnd"/>
      <w:r w:rsidRPr="00930645">
        <w:rPr>
          <w:rFonts w:ascii="Calibri" w:eastAsia="Calibri" w:hAnsi="Calibri" w:cs="Calibri"/>
          <w:color w:val="000000" w:themeColor="text1"/>
          <w:sz w:val="22"/>
          <w:szCs w:val="22"/>
        </w:rPr>
        <w:t xml:space="preserve"> and </w:t>
      </w:r>
      <w:proofErr w:type="spellStart"/>
      <w:r w:rsidRPr="00930645">
        <w:rPr>
          <w:rFonts w:ascii="Calibri" w:eastAsia="Calibri" w:hAnsi="Calibri" w:cs="Calibri"/>
          <w:color w:val="000000" w:themeColor="text1"/>
          <w:sz w:val="22"/>
          <w:szCs w:val="22"/>
        </w:rPr>
        <w:t>cTnI</w:t>
      </w:r>
      <w:proofErr w:type="spellEnd"/>
      <w:r w:rsidRPr="00930645">
        <w:rPr>
          <w:rFonts w:ascii="Calibri" w:eastAsia="Calibri" w:hAnsi="Calibri" w:cs="Calibri"/>
          <w:color w:val="000000" w:themeColor="text1"/>
          <w:sz w:val="22"/>
          <w:szCs w:val="22"/>
        </w:rPr>
        <w:t xml:space="preserve"> as adjunctive, rather than replacement, diagnostic tools (Luis Fuentes et al., 2020). Point-of-care and cage-side qualitative assays for NT-</w:t>
      </w:r>
      <w:proofErr w:type="spellStart"/>
      <w:r w:rsidRPr="00930645">
        <w:rPr>
          <w:rFonts w:ascii="Calibri" w:eastAsia="Calibri" w:hAnsi="Calibri" w:cs="Calibri"/>
          <w:color w:val="000000" w:themeColor="text1"/>
          <w:sz w:val="22"/>
          <w:szCs w:val="22"/>
        </w:rPr>
        <w:t>proBNP</w:t>
      </w:r>
      <w:proofErr w:type="spellEnd"/>
      <w:r w:rsidRPr="00930645">
        <w:rPr>
          <w:rFonts w:ascii="Calibri" w:eastAsia="Calibri" w:hAnsi="Calibri" w:cs="Calibri"/>
          <w:color w:val="000000" w:themeColor="text1"/>
          <w:sz w:val="22"/>
          <w:szCs w:val="22"/>
        </w:rPr>
        <w:t xml:space="preserve"> have expanded accessibility of cardiac biomarker testing beyond referral centres, though qualitative assays necessarily sacrifice some of the granularity available from quantitative laboratory-based measurement, and the diagnostic accuracy reported for cage-side tests, while generally acceptable for ruling out clinically significant heart disease when negative, is less consistent for confirming disease when positive. Confidence in the clinical utility of cardiac biomarkers is consequently strongest for their role within a multimodal diagnostic pathway that includes imaging, and weaker when biomarker results are used in isolation to establish a specific cardiac diagnosis or to guide major treatment decisions without corroborating structural or functional evidence.</w:t>
      </w:r>
    </w:p>
    <w:p w14:paraId="75D9FA6A"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5. Acute Phase Proteins as Inflammatory Biomarkers Across Species</w:t>
      </w:r>
    </w:p>
    <w:p w14:paraId="4668A7F9"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Acute phase proteins (APPs) are plasma proteins whose hepatic synthesis is upregulated (positive APPs) or downregulated (negative APPs) in response to circulating proinflammatory cytokines, principally interleukin-6, interleukin-1β and tumour necrosis factor-α, following tissue injury, infection or neoplastic disease. Their clinical appeal lies in the fact that the acute phase response typically precedes measurable change in the leukogram, making APPs sensitive, if non-specific, early indicators of an inflammatory process (</w:t>
      </w:r>
      <w:proofErr w:type="spellStart"/>
      <w:r w:rsidRPr="00930645">
        <w:rPr>
          <w:rFonts w:ascii="Calibri" w:eastAsia="Calibri" w:hAnsi="Calibri" w:cs="Calibri"/>
          <w:color w:val="000000" w:themeColor="text1"/>
          <w:sz w:val="22"/>
          <w:szCs w:val="22"/>
        </w:rPr>
        <w:t>Cerón</w:t>
      </w:r>
      <w:proofErr w:type="spellEnd"/>
      <w:r w:rsidRPr="00930645">
        <w:rPr>
          <w:rFonts w:ascii="Calibri" w:eastAsia="Calibri" w:hAnsi="Calibri" w:cs="Calibri"/>
          <w:color w:val="000000" w:themeColor="text1"/>
          <w:sz w:val="22"/>
          <w:szCs w:val="22"/>
        </w:rPr>
        <w:t xml:space="preserve"> et al., 2005).</w:t>
      </w:r>
    </w:p>
    <w:p w14:paraId="3800D1DA"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There is marked species-specific divergence in which APPs function as major responders. In dogs, C-reactive protein (CRP) is the principal major acute phase protein, capable of increasing many-fold within twenty-four to forty-eight hours of an inflammatory stimulus and declining rapidly during recovery, which gives it particular value for serial monitoring of treatment response, for example following orthopaedic surgery or during management of bacterial pneumonia (</w:t>
      </w:r>
      <w:proofErr w:type="spellStart"/>
      <w:r w:rsidRPr="00930645">
        <w:rPr>
          <w:rFonts w:ascii="Calibri" w:eastAsia="Calibri" w:hAnsi="Calibri" w:cs="Calibri"/>
          <w:color w:val="000000" w:themeColor="text1"/>
          <w:sz w:val="22"/>
          <w:szCs w:val="22"/>
        </w:rPr>
        <w:t>Eckersall</w:t>
      </w:r>
      <w:proofErr w:type="spellEnd"/>
      <w:r w:rsidRPr="00930645">
        <w:rPr>
          <w:rFonts w:ascii="Calibri" w:eastAsia="Calibri" w:hAnsi="Calibri" w:cs="Calibri"/>
          <w:color w:val="000000" w:themeColor="text1"/>
          <w:sz w:val="22"/>
          <w:szCs w:val="22"/>
        </w:rPr>
        <w:t xml:space="preserve"> &amp; Bell, 2010). In cats, by contrast, serum amyloid A (SAA) is the dominant major acute phase protein, while CRP behaves as only a minor responder with limited diagnostic value in this species; α1-acid glycoprotein occupies a distinct niche in feline medicine owing to its particular elevation in feline infectious peritonitis, a context in which it can assist in raising diagnostic suspicion when interpreted alongside effusion characteristics and coronavirus testing (Rossi et al., 2023).</w:t>
      </w:r>
    </w:p>
    <w:p w14:paraId="127F5C3C"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principal strength of APP testing lies in monitoring rather than in initial diagnosis: because CRP and SAA respond rapidly and decline predictably with resolution of the underlying inflammatory stimulus, serial measurement can objectively track response to antimicrobial therapy, detect postoperative infectious complications before they become clinically obvious, and provide an early signal of disease relapse in conditions such as canine leishmaniasis, where an acute phase index has been used to track therapeutic response. The principal limitation, emphasised consistently across the literature, is a near-complete absence of disease specificity: an elevated CRP or SAA concentration confirms that a systemic inflammatory process is present but provides no information about its cause, meaning that APPs cannot substitute for aetiological diagnosis and must be interpreted within the context of history, clinical examination and, where indicated, targeted testing for infectious, immune-mediated or neoplastic disease. Analytical considerations also warrant attention: several immunoturbidimetric and enzyme-</w:t>
      </w:r>
      <w:r w:rsidRPr="00930645">
        <w:rPr>
          <w:rFonts w:ascii="Calibri" w:eastAsia="Calibri" w:hAnsi="Calibri" w:cs="Calibri"/>
          <w:color w:val="000000" w:themeColor="text1"/>
          <w:sz w:val="22"/>
          <w:szCs w:val="22"/>
        </w:rPr>
        <w:lastRenderedPageBreak/>
        <w:t>linked immunosorbent assay platforms exist for canine CRP and feline SAA, and while cross-platform correlation is generally acceptable, absolute values are not always directly interchangeable between assay methods, which can complicate longitudinal comparison of results obtained from different laboratories over the course of a chronic illness.</w:t>
      </w:r>
    </w:p>
    <w:p w14:paraId="3B021A93"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6. Pancreatic Lipase Immunoreactivity and the Biochemical Diagnosis of Pancreatitis</w:t>
      </w:r>
    </w:p>
    <w:p w14:paraId="5AC25CC2"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Pancreatitis in dogs and cats has historically been diagnostically challenging because clinical signs are non-specific, conventional serum amylase and lipase activity assays lack adequate specificity, and histopathology, while considered the reference standard, is invasive and subject to sampling variability given the focal and patchy nature of pancreatic lesions. The development of immunoassays specific for pancreatic lipase, quantified as canine or feline pancreatic lipase immunoreactivity (</w:t>
      </w:r>
      <w:proofErr w:type="spellStart"/>
      <w:r w:rsidRPr="00930645">
        <w:rPr>
          <w:rFonts w:ascii="Calibri" w:eastAsia="Calibri" w:hAnsi="Calibri" w:cs="Calibri"/>
          <w:color w:val="000000" w:themeColor="text1"/>
          <w:sz w:val="22"/>
          <w:szCs w:val="22"/>
        </w:rPr>
        <w:t>cPLI</w:t>
      </w:r>
      <w:proofErr w:type="spellEnd"/>
      <w:r w:rsidRPr="00930645">
        <w:rPr>
          <w:rFonts w:ascii="Calibri" w:eastAsia="Calibri" w:hAnsi="Calibri" w:cs="Calibri"/>
          <w:color w:val="000000" w:themeColor="text1"/>
          <w:sz w:val="22"/>
          <w:szCs w:val="22"/>
        </w:rPr>
        <w:t xml:space="preserve"> or </w:t>
      </w:r>
      <w:proofErr w:type="spellStart"/>
      <w:r w:rsidRPr="00930645">
        <w:rPr>
          <w:rFonts w:ascii="Calibri" w:eastAsia="Calibri" w:hAnsi="Calibri" w:cs="Calibri"/>
          <w:color w:val="000000" w:themeColor="text1"/>
          <w:sz w:val="22"/>
          <w:szCs w:val="22"/>
        </w:rPr>
        <w:t>fPLI</w:t>
      </w:r>
      <w:proofErr w:type="spellEnd"/>
      <w:r w:rsidRPr="00930645">
        <w:rPr>
          <w:rFonts w:ascii="Calibri" w:eastAsia="Calibri" w:hAnsi="Calibri" w:cs="Calibri"/>
          <w:color w:val="000000" w:themeColor="text1"/>
          <w:sz w:val="22"/>
          <w:szCs w:val="22"/>
        </w:rPr>
        <w:t xml:space="preserve">, marketed under trade names including Spec </w:t>
      </w:r>
      <w:proofErr w:type="spellStart"/>
      <w:r w:rsidRPr="00930645">
        <w:rPr>
          <w:rFonts w:ascii="Calibri" w:eastAsia="Calibri" w:hAnsi="Calibri" w:cs="Calibri"/>
          <w:color w:val="000000" w:themeColor="text1"/>
          <w:sz w:val="22"/>
          <w:szCs w:val="22"/>
        </w:rPr>
        <w:t>cPL</w:t>
      </w:r>
      <w:proofErr w:type="spellEnd"/>
      <w:r w:rsidRPr="00930645">
        <w:rPr>
          <w:rFonts w:ascii="Calibri" w:eastAsia="Calibri" w:hAnsi="Calibri" w:cs="Calibri"/>
          <w:color w:val="000000" w:themeColor="text1"/>
          <w:sz w:val="22"/>
          <w:szCs w:val="22"/>
        </w:rPr>
        <w:t xml:space="preserve"> and SNAP </w:t>
      </w:r>
      <w:proofErr w:type="spellStart"/>
      <w:r w:rsidRPr="00930645">
        <w:rPr>
          <w:rFonts w:ascii="Calibri" w:eastAsia="Calibri" w:hAnsi="Calibri" w:cs="Calibri"/>
          <w:color w:val="000000" w:themeColor="text1"/>
          <w:sz w:val="22"/>
          <w:szCs w:val="22"/>
        </w:rPr>
        <w:t>cPL</w:t>
      </w:r>
      <w:proofErr w:type="spellEnd"/>
      <w:r w:rsidRPr="00930645">
        <w:rPr>
          <w:rFonts w:ascii="Calibri" w:eastAsia="Calibri" w:hAnsi="Calibri" w:cs="Calibri"/>
          <w:color w:val="000000" w:themeColor="text1"/>
          <w:sz w:val="22"/>
          <w:szCs w:val="22"/>
        </w:rPr>
        <w:t>), addressed the specificity limitation by exploiting an epitope structure unique to lipase originating from pancreatic acinar cells.</w:t>
      </w:r>
    </w:p>
    <w:p w14:paraId="6D6D52C5"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In a frequently cited histopathology-controlled study, Trivedi et al. (2011) evaluated Spec </w:t>
      </w:r>
      <w:proofErr w:type="spellStart"/>
      <w:r w:rsidRPr="00930645">
        <w:rPr>
          <w:rFonts w:ascii="Calibri" w:eastAsia="Calibri" w:hAnsi="Calibri" w:cs="Calibri"/>
          <w:color w:val="000000" w:themeColor="text1"/>
          <w:sz w:val="22"/>
          <w:szCs w:val="22"/>
        </w:rPr>
        <w:t>cPL</w:t>
      </w:r>
      <w:proofErr w:type="spellEnd"/>
      <w:r w:rsidRPr="00930645">
        <w:rPr>
          <w:rFonts w:ascii="Calibri" w:eastAsia="Calibri" w:hAnsi="Calibri" w:cs="Calibri"/>
          <w:color w:val="000000" w:themeColor="text1"/>
          <w:sz w:val="22"/>
          <w:szCs w:val="22"/>
        </w:rPr>
        <w:t xml:space="preserve"> alongside trypsin-like immunoreactivity, amylase and lipase activity against a semiquantitative histopathological grading scheme in seventy dogs. Sensitivity of the pancreatic lipase immunoreactivity assay for mild pancreatitis was found to be considerably lower than for moderate-to-severe disease, with the authors reporting sensitivities in the region of twenty to seventy per cent depending on disease severity and the cut-off value applied, while specificity when only strictly normal </w:t>
      </w:r>
      <w:proofErr w:type="spellStart"/>
      <w:r w:rsidRPr="00930645">
        <w:rPr>
          <w:rFonts w:ascii="Calibri" w:eastAsia="Calibri" w:hAnsi="Calibri" w:cs="Calibri"/>
          <w:color w:val="000000" w:themeColor="text1"/>
          <w:sz w:val="22"/>
          <w:szCs w:val="22"/>
        </w:rPr>
        <w:t>pancreata</w:t>
      </w:r>
      <w:proofErr w:type="spellEnd"/>
      <w:r w:rsidRPr="00930645">
        <w:rPr>
          <w:rFonts w:ascii="Calibri" w:eastAsia="Calibri" w:hAnsi="Calibri" w:cs="Calibri"/>
          <w:color w:val="000000" w:themeColor="text1"/>
          <w:sz w:val="22"/>
          <w:szCs w:val="22"/>
        </w:rPr>
        <w:t xml:space="preserve"> were included as controls approached one hundred per cent at the higher of the two evaluated cut-offs (Trivedi et al., 2011). This pattern, of markedly higher sensitivity for moderate-to-severe than for mild pancreatitis, has been replicated across subsequent studies and is now generally accepted as a defining characteristic of the assay's diagnostic performance, distinguishing it clearly from the earlier, less specific enzyme-activity tests it replaced.</w:t>
      </w:r>
    </w:p>
    <w:p w14:paraId="160D36AC"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Serial </w:t>
      </w:r>
      <w:proofErr w:type="spellStart"/>
      <w:r w:rsidRPr="00930645">
        <w:rPr>
          <w:rFonts w:ascii="Calibri" w:eastAsia="Calibri" w:hAnsi="Calibri" w:cs="Calibri"/>
          <w:color w:val="000000" w:themeColor="text1"/>
          <w:sz w:val="22"/>
          <w:szCs w:val="22"/>
        </w:rPr>
        <w:t>cPLI</w:t>
      </w:r>
      <w:proofErr w:type="spellEnd"/>
      <w:r w:rsidRPr="00930645">
        <w:rPr>
          <w:rFonts w:ascii="Calibri" w:eastAsia="Calibri" w:hAnsi="Calibri" w:cs="Calibri"/>
          <w:color w:val="000000" w:themeColor="text1"/>
          <w:sz w:val="22"/>
          <w:szCs w:val="22"/>
        </w:rPr>
        <w:t xml:space="preserve"> measurement has additionally been explored as a tool for monitoring disease progression during hospitalisation, with reductions in serum </w:t>
      </w:r>
      <w:proofErr w:type="spellStart"/>
      <w:r w:rsidRPr="00930645">
        <w:rPr>
          <w:rFonts w:ascii="Calibri" w:eastAsia="Calibri" w:hAnsi="Calibri" w:cs="Calibri"/>
          <w:color w:val="000000" w:themeColor="text1"/>
          <w:sz w:val="22"/>
          <w:szCs w:val="22"/>
        </w:rPr>
        <w:t>cPLI</w:t>
      </w:r>
      <w:proofErr w:type="spellEnd"/>
      <w:r w:rsidRPr="00930645">
        <w:rPr>
          <w:rFonts w:ascii="Calibri" w:eastAsia="Calibri" w:hAnsi="Calibri" w:cs="Calibri"/>
          <w:color w:val="000000" w:themeColor="text1"/>
          <w:sz w:val="22"/>
          <w:szCs w:val="22"/>
        </w:rPr>
        <w:t xml:space="preserve"> concentration during treatment generally associated with clinical improvement, although the utility of serial </w:t>
      </w:r>
      <w:proofErr w:type="spellStart"/>
      <w:r w:rsidRPr="00930645">
        <w:rPr>
          <w:rFonts w:ascii="Calibri" w:eastAsia="Calibri" w:hAnsi="Calibri" w:cs="Calibri"/>
          <w:color w:val="000000" w:themeColor="text1"/>
          <w:sz w:val="22"/>
          <w:szCs w:val="22"/>
        </w:rPr>
        <w:t>cPLI</w:t>
      </w:r>
      <w:proofErr w:type="spellEnd"/>
      <w:r w:rsidRPr="00930645">
        <w:rPr>
          <w:rFonts w:ascii="Calibri" w:eastAsia="Calibri" w:hAnsi="Calibri" w:cs="Calibri"/>
          <w:color w:val="000000" w:themeColor="text1"/>
          <w:sz w:val="22"/>
          <w:szCs w:val="22"/>
        </w:rPr>
        <w:t xml:space="preserve"> as a formally validated objective monitoring tool, independent of clinical assessment, has been described as requiring further investigation (Mitchell et al., 2024). A comparative analysis of the three </w:t>
      </w:r>
      <w:proofErr w:type="gramStart"/>
      <w:r w:rsidRPr="00930645">
        <w:rPr>
          <w:rFonts w:ascii="Calibri" w:eastAsia="Calibri" w:hAnsi="Calibri" w:cs="Calibri"/>
          <w:color w:val="000000" w:themeColor="text1"/>
          <w:sz w:val="22"/>
          <w:szCs w:val="22"/>
        </w:rPr>
        <w:t>principal</w:t>
      </w:r>
      <w:proofErr w:type="gramEnd"/>
      <w:r w:rsidRPr="00930645">
        <w:rPr>
          <w:rFonts w:ascii="Calibri" w:eastAsia="Calibri" w:hAnsi="Calibri" w:cs="Calibri"/>
          <w:color w:val="000000" w:themeColor="text1"/>
          <w:sz w:val="22"/>
          <w:szCs w:val="22"/>
        </w:rPr>
        <w:t xml:space="preserve"> commercial </w:t>
      </w:r>
      <w:proofErr w:type="spellStart"/>
      <w:r w:rsidRPr="00930645">
        <w:rPr>
          <w:rFonts w:ascii="Calibri" w:eastAsia="Calibri" w:hAnsi="Calibri" w:cs="Calibri"/>
          <w:color w:val="000000" w:themeColor="text1"/>
          <w:sz w:val="22"/>
          <w:szCs w:val="22"/>
        </w:rPr>
        <w:t>cPL</w:t>
      </w:r>
      <w:proofErr w:type="spellEnd"/>
      <w:r w:rsidRPr="00930645">
        <w:rPr>
          <w:rFonts w:ascii="Calibri" w:eastAsia="Calibri" w:hAnsi="Calibri" w:cs="Calibri"/>
          <w:color w:val="000000" w:themeColor="text1"/>
          <w:sz w:val="22"/>
          <w:szCs w:val="22"/>
        </w:rPr>
        <w:t xml:space="preserve"> platforms in current use found generally acceptable concordance between methods, supporting interchangeable clinical use, though minor discrepancies at the margins of the diagnostic cut-off were noted and warrant caution when comparing serial results measured on different platforms.</w:t>
      </w:r>
    </w:p>
    <w:p w14:paraId="13F71591"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The evidence for pancreatic lipase immunoreactivity is therefore strong for the diagnosis of moderate-to-severe acute pancreatitis, where sensitivity and specificity are both high relative to histopathology, but considerably weaker for chronic pancreatitis and for mild or early acute disease, where sensitivity falls substantially and false-negative results are common. This limitation has direct clinical significance because chronic pancreatitis, particularly in cats, may present with a more indolent and less biochemically dramatic course than acute disease, meaning that a normal </w:t>
      </w:r>
      <w:proofErr w:type="spellStart"/>
      <w:r w:rsidRPr="00930645">
        <w:rPr>
          <w:rFonts w:ascii="Calibri" w:eastAsia="Calibri" w:hAnsi="Calibri" w:cs="Calibri"/>
          <w:color w:val="000000" w:themeColor="text1"/>
          <w:sz w:val="22"/>
          <w:szCs w:val="22"/>
        </w:rPr>
        <w:t>cPLI</w:t>
      </w:r>
      <w:proofErr w:type="spellEnd"/>
      <w:r w:rsidRPr="00930645">
        <w:rPr>
          <w:rFonts w:ascii="Calibri" w:eastAsia="Calibri" w:hAnsi="Calibri" w:cs="Calibri"/>
          <w:color w:val="000000" w:themeColor="text1"/>
          <w:sz w:val="22"/>
          <w:szCs w:val="22"/>
        </w:rPr>
        <w:t xml:space="preserve"> or </w:t>
      </w:r>
      <w:proofErr w:type="spellStart"/>
      <w:r w:rsidRPr="00930645">
        <w:rPr>
          <w:rFonts w:ascii="Calibri" w:eastAsia="Calibri" w:hAnsi="Calibri" w:cs="Calibri"/>
          <w:color w:val="000000" w:themeColor="text1"/>
          <w:sz w:val="22"/>
          <w:szCs w:val="22"/>
        </w:rPr>
        <w:t>fPLI</w:t>
      </w:r>
      <w:proofErr w:type="spellEnd"/>
      <w:r w:rsidRPr="00930645">
        <w:rPr>
          <w:rFonts w:ascii="Calibri" w:eastAsia="Calibri" w:hAnsi="Calibri" w:cs="Calibri"/>
          <w:color w:val="000000" w:themeColor="text1"/>
          <w:sz w:val="22"/>
          <w:szCs w:val="22"/>
        </w:rPr>
        <w:t xml:space="preserve"> result cannot be relied upon to </w:t>
      </w:r>
      <w:r w:rsidRPr="00930645">
        <w:rPr>
          <w:rFonts w:ascii="Calibri" w:eastAsia="Calibri" w:hAnsi="Calibri" w:cs="Calibri"/>
          <w:color w:val="000000" w:themeColor="text1"/>
          <w:sz w:val="22"/>
          <w:szCs w:val="22"/>
        </w:rPr>
        <w:lastRenderedPageBreak/>
        <w:t>exclude clinically important pancreatic disease, and integration with abdominal ultrasonography remains necessary in equivocal cases.</w:t>
      </w:r>
    </w:p>
    <w:p w14:paraId="09030E2E"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7. Molecular Diagnostics for Infectious Disease: PCR, RT-PCR and Next-Generation Sequencing</w:t>
      </w:r>
    </w:p>
    <w:p w14:paraId="5543BE85"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Nucleic-acid-based diagnostics have transformed the detection of infectious pathogens in veterinary medicine by offering sensitivity and turnaround times unattainable by culture, and specificity superior to serology where cross-reactivity or prior exposure confounds antibody-based testing. Feline infectious peritonitis (FIP) exemplifies both the value and the persisting limitations of PCR-based diagnosis. Because FIP arises from an in vivo biotype shift of feline coronavirus (</w:t>
      </w:r>
      <w:proofErr w:type="spellStart"/>
      <w:r w:rsidRPr="00930645">
        <w:rPr>
          <w:rFonts w:ascii="Calibri" w:eastAsia="Calibri" w:hAnsi="Calibri" w:cs="Calibri"/>
          <w:color w:val="000000" w:themeColor="text1"/>
          <w:sz w:val="22"/>
          <w:szCs w:val="22"/>
        </w:rPr>
        <w:t>FCoV</w:t>
      </w:r>
      <w:proofErr w:type="spellEnd"/>
      <w:r w:rsidRPr="00930645">
        <w:rPr>
          <w:rFonts w:ascii="Calibri" w:eastAsia="Calibri" w:hAnsi="Calibri" w:cs="Calibri"/>
          <w:color w:val="000000" w:themeColor="text1"/>
          <w:sz w:val="22"/>
          <w:szCs w:val="22"/>
        </w:rPr>
        <w:t xml:space="preserve">) from a relatively avirulent enteric form to a virulent, macrophage-tropic form, and because the two biotypes cannot be reliably distinguished serologically, reverse-transcriptase PCR (RT-PCR) targeting either conserved viral genes or specific spike-gene mutations associated with the virulent biotype has become central to antemortem diagnosis. An early messenger RNA RT-PCR assay targeting </w:t>
      </w:r>
      <w:proofErr w:type="spellStart"/>
      <w:r w:rsidRPr="00930645">
        <w:rPr>
          <w:rFonts w:ascii="Calibri" w:eastAsia="Calibri" w:hAnsi="Calibri" w:cs="Calibri"/>
          <w:color w:val="000000" w:themeColor="text1"/>
          <w:sz w:val="22"/>
          <w:szCs w:val="22"/>
        </w:rPr>
        <w:t>FCoV</w:t>
      </w:r>
      <w:proofErr w:type="spellEnd"/>
      <w:r w:rsidRPr="00930645">
        <w:rPr>
          <w:rFonts w:ascii="Calibri" w:eastAsia="Calibri" w:hAnsi="Calibri" w:cs="Calibri"/>
          <w:color w:val="000000" w:themeColor="text1"/>
          <w:sz w:val="22"/>
          <w:szCs w:val="22"/>
        </w:rPr>
        <w:t xml:space="preserve"> replication within peripheral blood mononuclear cells demonstrated a specificity of approximately ninety-five per cent among healthy cats, with roughly ninety-three per cent of cats with post-mortem-confirmed FIP testing positive, indicating good discriminatory performance in a population enriched for genuinely diseased and genuinely healthy animals (Simons et al., 2005). Subsequent evaluation of real-time RT-PCR assays targeting specific spike-gene mutations reported considerably more modest sensitivity when applied to effusion samples, in the range of sixty to seventy per cent, alongside high but imperfect specificity, and confirmed that serum or plasma samples are poorly suited to this application owing to low circulating viral load. Comparative work assessing concordance between histology, immunohistochemistry and nested RT-PCR across multiple organs found that sensitivity of each individual method varied considerably by tissue type, and recommended that RT-PCR results be corroborated by immunohistochemistry where diagnostic certainty is required. Taken together, this evidence indicates that molecular </w:t>
      </w:r>
      <w:proofErr w:type="spellStart"/>
      <w:r w:rsidRPr="00930645">
        <w:rPr>
          <w:rFonts w:ascii="Calibri" w:eastAsia="Calibri" w:hAnsi="Calibri" w:cs="Calibri"/>
          <w:color w:val="000000" w:themeColor="text1"/>
          <w:sz w:val="22"/>
          <w:szCs w:val="22"/>
        </w:rPr>
        <w:t>FCoV</w:t>
      </w:r>
      <w:proofErr w:type="spellEnd"/>
      <w:r w:rsidRPr="00930645">
        <w:rPr>
          <w:rFonts w:ascii="Calibri" w:eastAsia="Calibri" w:hAnsi="Calibri" w:cs="Calibri"/>
          <w:color w:val="000000" w:themeColor="text1"/>
          <w:sz w:val="22"/>
          <w:szCs w:val="22"/>
        </w:rPr>
        <w:t xml:space="preserve"> testing has advanced FIP diagnosis substantially beyond serology alone, but that no single molecular assay currently offers sufficient combined sensitivity and specificity to be used as a stand-alone diagnostic test; integration with clinical presentation, effusion analysis and, where feasible, immunohistochemistry remains necessary.</w:t>
      </w:r>
    </w:p>
    <w:p w14:paraId="22F0DCEB"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Beyond FIP, PCR-based assays underpin routine detection of numerous canine and feline pathogens, including vector-borne organisms, respiratory pathogens and gastrointestinal parasites, and quantitative real-time PCR platforms have enabled monitoring of pathogen burden during treatment in addition to initial diagnosis. Next-generation sequencing (NGS) technologies, including targeted amplicon sequencing and metagenomic sequencing, extend this capability further by enabling simultaneous detection of multiple or unexpected pathogens without prior specification of the organism sought, an approach of particular value in culture-negative or diagnostically obscure infections. Targeted NGS panels have demonstrated advantages for detecting animal pathogens where broad, simultaneous screening is clinically useful, and isothermal amplification techniques have supported the development of point-of-care molecular testing suited to resource-limited or field settings, including outbreak screening on livestock premises. Metagenomic NGS approaches, while more extensively validated in human clinical microbiology to date, are increasingly discussed as a translational opportunity for veterinary diagnostics, </w:t>
      </w:r>
      <w:r w:rsidRPr="00930645">
        <w:rPr>
          <w:rFonts w:ascii="Calibri" w:eastAsia="Calibri" w:hAnsi="Calibri" w:cs="Calibri"/>
          <w:color w:val="000000" w:themeColor="text1"/>
          <w:sz w:val="22"/>
          <w:szCs w:val="22"/>
        </w:rPr>
        <w:lastRenderedPageBreak/>
        <w:t>particularly for immunocompromised or critically ill patients in whom conventional culture-based diagnosis fails to identify a causative organism; however, veterinary-specific clinical validation of metagenomic NGS, including turnaround time, cost-effectiveness and comparative diagnostic yield against conventional testing, remains considerably less developed than the corresponding human-medicine literature, and translation of this technology into routine companion animal practice should be regarded as emerging rather than established.</w:t>
      </w:r>
    </w:p>
    <w:p w14:paraId="0D57ECBB"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8. Molecular Oncology: Genomic Alterations, microRNA and Liquid Biopsy in Companion Animal Cancer</w:t>
      </w:r>
    </w:p>
    <w:p w14:paraId="01216EBF"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Molecular oncology represents one of the most rapidly expanding domains of veterinary biomarker research, driven both by direct clinical need in companion animal cancer management and by the recognised value of naturally occurring canine and feline tumours as comparative models for human oncology. Molecular biomarkers in this context are somatic or germline genomic alterations that can be ascertained from tumour tissue or body fluids and used as diagnostic, prognostic, predictive or screening tools (Aupperle-</w:t>
      </w:r>
      <w:proofErr w:type="spellStart"/>
      <w:r w:rsidRPr="00930645">
        <w:rPr>
          <w:rFonts w:ascii="Calibri" w:eastAsia="Calibri" w:hAnsi="Calibri" w:cs="Calibri"/>
          <w:color w:val="000000" w:themeColor="text1"/>
          <w:sz w:val="22"/>
          <w:szCs w:val="22"/>
        </w:rPr>
        <w:t>Lellbach</w:t>
      </w:r>
      <w:proofErr w:type="spellEnd"/>
      <w:r w:rsidRPr="00930645">
        <w:rPr>
          <w:rFonts w:ascii="Calibri" w:eastAsia="Calibri" w:hAnsi="Calibri" w:cs="Calibri"/>
          <w:color w:val="000000" w:themeColor="text1"/>
          <w:sz w:val="22"/>
          <w:szCs w:val="22"/>
        </w:rPr>
        <w:t xml:space="preserve"> et al., 2024).</w:t>
      </w:r>
    </w:p>
    <w:p w14:paraId="7AA23A53"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PCR for antigen receptor rearrangement (PARR), which detects clonal rearrangement of immunoglobulin heavy-chain or T-cell receptor genes, is among the most established molecular oncology assays in veterinary practice, providing a means of distinguishing clonal (neoplastic) from polyclonal (reactive) lymphoid populations in cases of canine lymphoma where cytological or histopathological diagnosis is equivocal. Real-time PCR-based clonality assays using melting curve analysis have reported sensitivities in the region of seventy to eighty per cent and specificities above ninety per cent for detecting monoclonal rearrangement in lymph node and blood samples from dogs with lymphoma, figures that, while useful, indicate that a negative PARR result does not reliably exclude lymphoma and must be interpreted alongside cytological or histopathological findings.</w:t>
      </w:r>
    </w:p>
    <w:p w14:paraId="3CA4710C"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Liquid biopsy approaches, which analyse cell-free or circulating tumour DNA (ctDNA) obtained from blood rather than requiring invasive tissue sampling, represent a more recent extension of molecular oncology into minimally invasive diagnosis and monitoring. </w:t>
      </w:r>
      <w:proofErr w:type="spellStart"/>
      <w:r w:rsidRPr="00930645">
        <w:rPr>
          <w:rFonts w:ascii="Calibri" w:eastAsia="Calibri" w:hAnsi="Calibri" w:cs="Calibri"/>
          <w:color w:val="000000" w:themeColor="text1"/>
          <w:sz w:val="22"/>
          <w:szCs w:val="22"/>
        </w:rPr>
        <w:t>Prouteau</w:t>
      </w:r>
      <w:proofErr w:type="spellEnd"/>
      <w:r w:rsidRPr="00930645">
        <w:rPr>
          <w:rFonts w:ascii="Calibri" w:eastAsia="Calibri" w:hAnsi="Calibri" w:cs="Calibri"/>
          <w:color w:val="000000" w:themeColor="text1"/>
          <w:sz w:val="22"/>
          <w:szCs w:val="22"/>
        </w:rPr>
        <w:t xml:space="preserve"> et al. (2021) applied droplet digital PCR and PARR to plasma samples from dogs with histiocytic sarcoma, oral malignant melanoma and multicentric lymphoma, detecting ctDNA in the substantial majority of histiocytic sarcoma and lymphoma cases but in only a minority of oral melanoma cases, and reported that screening for a recurrent PTPN11 mutation in plasma achieved specificity approaching ninety-nine per cent, albeit with sensitivity that varied considerably according to the anatomical presentation of disease, being higher in visceral and pulmonary forms of histiocytic sarcoma than in more localised presentations. Complementary work using plasma cell-free DNA for PARR-based genotyping in canine lymphoma found that dogs with lymphoma had markedly higher plasma cell-free DNA concentrations than healthy controls, supporting the feasibility of cell-free DNA as a genotyping substrate even where formal diagnostic sensitivity and specificity for lymphoma detection itself require further validation (</w:t>
      </w:r>
      <w:proofErr w:type="spellStart"/>
      <w:r w:rsidRPr="00930645">
        <w:rPr>
          <w:rFonts w:ascii="Calibri" w:eastAsia="Calibri" w:hAnsi="Calibri" w:cs="Calibri"/>
          <w:color w:val="000000" w:themeColor="text1"/>
          <w:sz w:val="22"/>
          <w:szCs w:val="22"/>
        </w:rPr>
        <w:t>Kambayashi</w:t>
      </w:r>
      <w:proofErr w:type="spellEnd"/>
      <w:r w:rsidRPr="00930645">
        <w:rPr>
          <w:rFonts w:ascii="Calibri" w:eastAsia="Calibri" w:hAnsi="Calibri" w:cs="Calibri"/>
          <w:color w:val="000000" w:themeColor="text1"/>
          <w:sz w:val="22"/>
          <w:szCs w:val="22"/>
        </w:rPr>
        <w:t xml:space="preserve"> et al., 2024). These findings collectively indicate that ctDNA-based liquid biopsy is analytically feasible and shows promising specificity for detecting tumour-associated genomic alterations in dogs, but that sensitivity is inconsistent across tumour types </w:t>
      </w:r>
      <w:r w:rsidRPr="00930645">
        <w:rPr>
          <w:rFonts w:ascii="Calibri" w:eastAsia="Calibri" w:hAnsi="Calibri" w:cs="Calibri"/>
          <w:color w:val="000000" w:themeColor="text1"/>
          <w:sz w:val="22"/>
          <w:szCs w:val="22"/>
        </w:rPr>
        <w:lastRenderedPageBreak/>
        <w:t>and disease burden, meaning that liquid biopsy at its current stage of development is better positioned as a complementary tool, particularly for monitoring known disease or detecting minimal residual disease, than as a stand-alone screening test.</w:t>
      </w:r>
    </w:p>
    <w:p w14:paraId="0B91B826" w14:textId="77777777" w:rsidR="00817E8E" w:rsidRPr="00930645" w:rsidRDefault="00000000">
      <w:pPr>
        <w:spacing w:after="200" w:line="276" w:lineRule="auto"/>
        <w:jc w:val="both"/>
        <w:rPr>
          <w:rFonts w:ascii="Calibri" w:eastAsia="Calibri" w:hAnsi="Calibri" w:cs="Calibri"/>
          <w:color w:val="000000" w:themeColor="text1"/>
          <w:sz w:val="22"/>
          <w:szCs w:val="22"/>
        </w:rPr>
      </w:pPr>
      <w:r w:rsidRPr="00930645">
        <w:rPr>
          <w:rFonts w:ascii="Calibri" w:eastAsia="Calibri" w:hAnsi="Calibri" w:cs="Calibri"/>
          <w:color w:val="000000" w:themeColor="text1"/>
          <w:sz w:val="22"/>
          <w:szCs w:val="22"/>
        </w:rPr>
        <w:t xml:space="preserve">MicroRNAs (miRNAs), small non-coding RNA molecules that regulate gene expression post-transcriptionally, constitute a further expanding biomarker category in veterinary oncology owing to their tissue- and disease-specific expression patterns and their stability in body fluids including serum, plasma and urine. A comprehensive literature review identified a substantial and growing body of canine miRNA research, but noted a significant lack of standardisation in quantification methodology and reference gene selection across studies, a methodological inconsistency that complicates direct comparison of reported expression changes between research groups; individual candidate biomarkers reported within this literature include circulating miRNAs associated with mammary carcinoma and urinary extracellular-vesicle-derived miRNAs associated with urothelial carcinoma, though effect sizes and diagnostic accuracy figures vary appreciably between the underlying primary studies (Varvil et al., 2023). Urinary extracellular vesicle-derived miR-182, miR-221 and miR-222 have specifically been proposed as candidate biomarkers for canine urothelial carcinoma (Karttunen et al., 2024), while blood- and urine-based miRNA profiling has also been explored for transitional cell carcinoma of the bladder (Kent et al., 2017). Despite these promising individual results, the miRNA biomarker literature in veterinary oncology remains predominantly at the discovery and preliminary validation stage: sample sizes in most studies are modest, independent external validation cohorts are uncommon, and no miRNA-based assay has yet achieved the degree of standardised, cross-laboratory validation that characterises more established biomarkers such as </w:t>
      </w:r>
      <w:proofErr w:type="spellStart"/>
      <w:r w:rsidRPr="00930645">
        <w:rPr>
          <w:rFonts w:ascii="Calibri" w:eastAsia="Calibri" w:hAnsi="Calibri" w:cs="Calibri"/>
          <w:color w:val="000000" w:themeColor="text1"/>
          <w:sz w:val="22"/>
          <w:szCs w:val="22"/>
        </w:rPr>
        <w:t>cPLI</w:t>
      </w:r>
      <w:proofErr w:type="spellEnd"/>
      <w:r w:rsidRPr="00930645">
        <w:rPr>
          <w:rFonts w:ascii="Calibri" w:eastAsia="Calibri" w:hAnsi="Calibri" w:cs="Calibri"/>
          <w:color w:val="000000" w:themeColor="text1"/>
          <w:sz w:val="22"/>
          <w:szCs w:val="22"/>
        </w:rPr>
        <w:t xml:space="preserve"> or SDMA. Broader technological reviews of molecular tools available for canine cancer diagnosis reinforce this assessment, characterising the field as one of substantial technical innovation outpacing clinical validation (Kehl et al., 2024).</w:t>
      </w:r>
    </w:p>
    <w:p w14:paraId="55C7C8F8" w14:textId="496ED198" w:rsidR="00AE43A5" w:rsidRPr="00930645" w:rsidRDefault="00AE43A5">
      <w:pPr>
        <w:spacing w:after="200" w:line="276" w:lineRule="auto"/>
        <w:jc w:val="both"/>
        <w:rPr>
          <w:rFonts w:ascii="Calibri" w:eastAsia="Calibri" w:hAnsi="Calibri" w:cs="Calibri"/>
          <w:color w:val="000000" w:themeColor="text1"/>
          <w:sz w:val="22"/>
          <w:szCs w:val="22"/>
        </w:rPr>
      </w:pPr>
      <w:r w:rsidRPr="00930645">
        <w:rPr>
          <w:rFonts w:ascii="Calibri" w:eastAsia="Calibri" w:hAnsi="Calibri" w:cs="Calibri"/>
          <w:color w:val="000000" w:themeColor="text1"/>
          <w:sz w:val="22"/>
          <w:szCs w:val="22"/>
        </w:rPr>
        <w:t xml:space="preserve">Table 2 collects the reported sensitivity and specificity figures for the biomarkers discussed above against their respective reference standards, and the pattern across rows is instructive in itself. No biomarker in the table achieves high sensitivity and high specificity simultaneously across all disease presentations: SDMA detects renal functional decline earlier than creatinine but is not reducible to a single sensitivity/specificity pair because its performance is expressed relative to a continuous physiological measure rather than a binary disease state (Nabity et al., 2015; Mack et al., 2021); Spec </w:t>
      </w:r>
      <w:proofErr w:type="spellStart"/>
      <w:r w:rsidRPr="00930645">
        <w:rPr>
          <w:rFonts w:ascii="Calibri" w:eastAsia="Calibri" w:hAnsi="Calibri" w:cs="Calibri"/>
          <w:color w:val="000000" w:themeColor="text1"/>
          <w:sz w:val="22"/>
          <w:szCs w:val="22"/>
        </w:rPr>
        <w:t>cPL</w:t>
      </w:r>
      <w:proofErr w:type="spellEnd"/>
      <w:r w:rsidRPr="00930645">
        <w:rPr>
          <w:rFonts w:ascii="Calibri" w:eastAsia="Calibri" w:hAnsi="Calibri" w:cs="Calibri"/>
          <w:color w:val="000000" w:themeColor="text1"/>
          <w:sz w:val="22"/>
          <w:szCs w:val="22"/>
        </w:rPr>
        <w:t xml:space="preserve"> and the </w:t>
      </w:r>
      <w:proofErr w:type="spellStart"/>
      <w:r w:rsidRPr="00930645">
        <w:rPr>
          <w:rFonts w:ascii="Calibri" w:eastAsia="Calibri" w:hAnsi="Calibri" w:cs="Calibri"/>
          <w:color w:val="000000" w:themeColor="text1"/>
          <w:sz w:val="22"/>
          <w:szCs w:val="22"/>
        </w:rPr>
        <w:t>FCoV</w:t>
      </w:r>
      <w:proofErr w:type="spellEnd"/>
      <w:r w:rsidRPr="00930645">
        <w:rPr>
          <w:rFonts w:ascii="Calibri" w:eastAsia="Calibri" w:hAnsi="Calibri" w:cs="Calibri"/>
          <w:color w:val="000000" w:themeColor="text1"/>
          <w:sz w:val="22"/>
          <w:szCs w:val="22"/>
        </w:rPr>
        <w:t xml:space="preserve"> mRNA RT-PCR assay both show specificity exceeding ninety per cent but diverge sharply in sensitivity depending on disease severity and sample type (Trivedi et al., 2011; Simons et al., 2005); and the PTPN11 circulating tumour DNA assay for histiocytic sarcoma illustrates the most extreme version of this trade-off, with specificity near ninety-nine per cent alongside sensitivity that swings from roughly forty to over seventy per cent purely as a function of anatomical disease presentation (</w:t>
      </w:r>
      <w:proofErr w:type="spellStart"/>
      <w:r w:rsidRPr="00930645">
        <w:rPr>
          <w:rFonts w:ascii="Calibri" w:eastAsia="Calibri" w:hAnsi="Calibri" w:cs="Calibri"/>
          <w:color w:val="000000" w:themeColor="text1"/>
          <w:sz w:val="22"/>
          <w:szCs w:val="22"/>
        </w:rPr>
        <w:t>Prouteau</w:t>
      </w:r>
      <w:proofErr w:type="spellEnd"/>
      <w:r w:rsidRPr="00930645">
        <w:rPr>
          <w:rFonts w:ascii="Calibri" w:eastAsia="Calibri" w:hAnsi="Calibri" w:cs="Calibri"/>
          <w:color w:val="000000" w:themeColor="text1"/>
          <w:sz w:val="22"/>
          <w:szCs w:val="22"/>
        </w:rPr>
        <w:t xml:space="preserve"> et al., 2021). Read together, these figures argue against treating any single sensitivity/specificity pair as a fixed property of the biomarker itself; each value is conditional on the population, disease stage and specimen type in which it was derived, and the consistent asymmetry toward higher specificity than sensitivity across the table indicates that these tests are, in general, better suited to confirming disease already suspected on clinical grounds than to excluding it when negative.</w:t>
      </w:r>
    </w:p>
    <w:p w14:paraId="32744491" w14:textId="77777777" w:rsidR="00AE43A5" w:rsidRPr="00930645" w:rsidRDefault="00AE43A5" w:rsidP="00AE43A5">
      <w:pPr>
        <w:pStyle w:val="Heading3"/>
        <w:spacing w:before="320" w:after="160"/>
        <w:rPr>
          <w:color w:val="000000" w:themeColor="text1"/>
        </w:rPr>
      </w:pPr>
      <w:r w:rsidRPr="00930645">
        <w:rPr>
          <w:rFonts w:ascii="Calibri" w:eastAsia="Calibri" w:hAnsi="Calibri" w:cs="Calibri"/>
          <w:b/>
          <w:bCs/>
          <w:color w:val="000000" w:themeColor="text1"/>
        </w:rPr>
        <w:lastRenderedPageBreak/>
        <w:t>Table 2. Reported diagnostic performance of established biomarkers relative to a defined reference standard.</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63"/>
        <w:gridCol w:w="1719"/>
        <w:gridCol w:w="1471"/>
        <w:gridCol w:w="1265"/>
        <w:gridCol w:w="1939"/>
        <w:gridCol w:w="1643"/>
      </w:tblGrid>
      <w:tr w:rsidR="00AE43A5" w:rsidRPr="00930645" w14:paraId="3CF33145" w14:textId="77777777" w:rsidTr="00F3230C">
        <w:trPr>
          <w:tblHeader/>
        </w:trPr>
        <w:tc>
          <w:tcPr>
            <w:tcW w:w="1500" w:type="dxa"/>
            <w:shd w:val="clear" w:color="auto" w:fill="D9E2F3"/>
          </w:tcPr>
          <w:p w14:paraId="3177333D"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Biomarker</w:t>
            </w:r>
          </w:p>
        </w:tc>
        <w:tc>
          <w:tcPr>
            <w:tcW w:w="1500" w:type="dxa"/>
            <w:shd w:val="clear" w:color="auto" w:fill="D9E2F3"/>
          </w:tcPr>
          <w:p w14:paraId="44F5665B"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Reference standard</w:t>
            </w:r>
          </w:p>
        </w:tc>
        <w:tc>
          <w:tcPr>
            <w:tcW w:w="1500" w:type="dxa"/>
            <w:shd w:val="clear" w:color="auto" w:fill="D9E2F3"/>
          </w:tcPr>
          <w:p w14:paraId="15647792"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Reported sensitivity</w:t>
            </w:r>
          </w:p>
        </w:tc>
        <w:tc>
          <w:tcPr>
            <w:tcW w:w="1300" w:type="dxa"/>
            <w:shd w:val="clear" w:color="auto" w:fill="D9E2F3"/>
          </w:tcPr>
          <w:p w14:paraId="4A4BCC98"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Reported specificity</w:t>
            </w:r>
          </w:p>
        </w:tc>
        <w:tc>
          <w:tcPr>
            <w:tcW w:w="2000" w:type="dxa"/>
            <w:shd w:val="clear" w:color="auto" w:fill="D9E2F3"/>
          </w:tcPr>
          <w:p w14:paraId="58F4B1AB"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Notable caveat</w:t>
            </w:r>
          </w:p>
        </w:tc>
        <w:tc>
          <w:tcPr>
            <w:tcW w:w="1700" w:type="dxa"/>
            <w:shd w:val="clear" w:color="auto" w:fill="D9E2F3"/>
          </w:tcPr>
          <w:p w14:paraId="3E50CDC7"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Supporting references</w:t>
            </w:r>
          </w:p>
        </w:tc>
      </w:tr>
      <w:tr w:rsidR="00AE43A5" w:rsidRPr="00930645" w14:paraId="654324BC" w14:textId="77777777" w:rsidTr="00F3230C">
        <w:tc>
          <w:tcPr>
            <w:tcW w:w="1500" w:type="dxa"/>
          </w:tcPr>
          <w:p w14:paraId="58B60612"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SDMA (dogs)</w:t>
            </w:r>
          </w:p>
        </w:tc>
        <w:tc>
          <w:tcPr>
            <w:tcW w:w="1500" w:type="dxa"/>
          </w:tcPr>
          <w:p w14:paraId="5A13D0DB" w14:textId="77777777" w:rsidR="00AE43A5" w:rsidRPr="00930645" w:rsidRDefault="00AE43A5" w:rsidP="00F3230C">
            <w:pPr>
              <w:rPr>
                <w:color w:val="000000" w:themeColor="text1"/>
              </w:rPr>
            </w:pPr>
            <w:proofErr w:type="spellStart"/>
            <w:r w:rsidRPr="00930645">
              <w:rPr>
                <w:rFonts w:ascii="Calibri" w:eastAsia="Calibri" w:hAnsi="Calibri" w:cs="Calibri"/>
                <w:color w:val="000000" w:themeColor="text1"/>
                <w:sz w:val="18"/>
                <w:szCs w:val="18"/>
              </w:rPr>
              <w:t>Iohexol</w:t>
            </w:r>
            <w:proofErr w:type="spellEnd"/>
            <w:r w:rsidRPr="00930645">
              <w:rPr>
                <w:rFonts w:ascii="Calibri" w:eastAsia="Calibri" w:hAnsi="Calibri" w:cs="Calibri"/>
                <w:color w:val="000000" w:themeColor="text1"/>
                <w:sz w:val="18"/>
                <w:szCs w:val="18"/>
              </w:rPr>
              <w:t>-clearance GFR</w:t>
            </w:r>
          </w:p>
        </w:tc>
        <w:tc>
          <w:tcPr>
            <w:tcW w:w="1500" w:type="dxa"/>
          </w:tcPr>
          <w:p w14:paraId="4540461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Detected ~&lt;20% GFR reduction before creatinine</w:t>
            </w:r>
          </w:p>
        </w:tc>
        <w:tc>
          <w:tcPr>
            <w:tcW w:w="1300" w:type="dxa"/>
          </w:tcPr>
          <w:p w14:paraId="4DCE973B"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Not reported as a binary figure</w:t>
            </w:r>
          </w:p>
        </w:tc>
        <w:tc>
          <w:tcPr>
            <w:tcW w:w="2000" w:type="dxa"/>
          </w:tcPr>
          <w:p w14:paraId="098CA454"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Mild elevations often non-persistent</w:t>
            </w:r>
          </w:p>
        </w:tc>
        <w:tc>
          <w:tcPr>
            <w:tcW w:w="1700" w:type="dxa"/>
          </w:tcPr>
          <w:p w14:paraId="7388E196"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Nabity et al. (2015); Mack et al. (2021)</w:t>
            </w:r>
          </w:p>
        </w:tc>
      </w:tr>
      <w:tr w:rsidR="00AE43A5" w:rsidRPr="00930645" w14:paraId="094F47C6" w14:textId="77777777" w:rsidTr="00F3230C">
        <w:tc>
          <w:tcPr>
            <w:tcW w:w="1500" w:type="dxa"/>
          </w:tcPr>
          <w:p w14:paraId="5BE53A34"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 xml:space="preserve">Spec </w:t>
            </w:r>
            <w:proofErr w:type="spellStart"/>
            <w:r w:rsidRPr="00930645">
              <w:rPr>
                <w:rFonts w:ascii="Calibri" w:eastAsia="Calibri" w:hAnsi="Calibri" w:cs="Calibri"/>
                <w:color w:val="000000" w:themeColor="text1"/>
                <w:sz w:val="18"/>
                <w:szCs w:val="18"/>
              </w:rPr>
              <w:t>cPL</w:t>
            </w:r>
            <w:proofErr w:type="spellEnd"/>
            <w:r w:rsidRPr="00930645">
              <w:rPr>
                <w:rFonts w:ascii="Calibri" w:eastAsia="Calibri" w:hAnsi="Calibri" w:cs="Calibri"/>
                <w:color w:val="000000" w:themeColor="text1"/>
                <w:sz w:val="18"/>
                <w:szCs w:val="18"/>
              </w:rPr>
              <w:t xml:space="preserve"> (moderate–severe canine pancreatitis)</w:t>
            </w:r>
          </w:p>
        </w:tc>
        <w:tc>
          <w:tcPr>
            <w:tcW w:w="1500" w:type="dxa"/>
          </w:tcPr>
          <w:p w14:paraId="03F6CB0A"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Histopathology</w:t>
            </w:r>
          </w:p>
        </w:tc>
        <w:tc>
          <w:tcPr>
            <w:tcW w:w="1500" w:type="dxa"/>
          </w:tcPr>
          <w:p w14:paraId="2DD7F28F"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~71%</w:t>
            </w:r>
          </w:p>
        </w:tc>
        <w:tc>
          <w:tcPr>
            <w:tcW w:w="1300" w:type="dxa"/>
          </w:tcPr>
          <w:p w14:paraId="50812D11"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~86–100%</w:t>
            </w:r>
          </w:p>
        </w:tc>
        <w:tc>
          <w:tcPr>
            <w:tcW w:w="2000" w:type="dxa"/>
          </w:tcPr>
          <w:p w14:paraId="06AACC35"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Sensitivity falls sharply in mild disease</w:t>
            </w:r>
          </w:p>
        </w:tc>
        <w:tc>
          <w:tcPr>
            <w:tcW w:w="1700" w:type="dxa"/>
          </w:tcPr>
          <w:p w14:paraId="6168B75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Trivedi et al. (2011)</w:t>
            </w:r>
          </w:p>
        </w:tc>
      </w:tr>
      <w:tr w:rsidR="00AE43A5" w:rsidRPr="00930645" w14:paraId="54308D4D" w14:textId="77777777" w:rsidTr="00F3230C">
        <w:tc>
          <w:tcPr>
            <w:tcW w:w="1500" w:type="dxa"/>
          </w:tcPr>
          <w:p w14:paraId="41813A5E" w14:textId="77777777" w:rsidR="00AE43A5" w:rsidRPr="00930645" w:rsidRDefault="00AE43A5" w:rsidP="00F3230C">
            <w:pPr>
              <w:rPr>
                <w:color w:val="000000" w:themeColor="text1"/>
              </w:rPr>
            </w:pPr>
            <w:proofErr w:type="spellStart"/>
            <w:r w:rsidRPr="00930645">
              <w:rPr>
                <w:rFonts w:ascii="Calibri" w:eastAsia="Calibri" w:hAnsi="Calibri" w:cs="Calibri"/>
                <w:color w:val="000000" w:themeColor="text1"/>
                <w:sz w:val="18"/>
                <w:szCs w:val="18"/>
              </w:rPr>
              <w:t>FCoV</w:t>
            </w:r>
            <w:proofErr w:type="spellEnd"/>
            <w:r w:rsidRPr="00930645">
              <w:rPr>
                <w:rFonts w:ascii="Calibri" w:eastAsia="Calibri" w:hAnsi="Calibri" w:cs="Calibri"/>
                <w:color w:val="000000" w:themeColor="text1"/>
                <w:sz w:val="18"/>
                <w:szCs w:val="18"/>
              </w:rPr>
              <w:t xml:space="preserve"> mRNA RT-PCR (PBMC)</w:t>
            </w:r>
          </w:p>
        </w:tc>
        <w:tc>
          <w:tcPr>
            <w:tcW w:w="1500" w:type="dxa"/>
          </w:tcPr>
          <w:p w14:paraId="15A8EDE9"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Post-mortem confirmation</w:t>
            </w:r>
          </w:p>
        </w:tc>
        <w:tc>
          <w:tcPr>
            <w:tcW w:w="1500" w:type="dxa"/>
          </w:tcPr>
          <w:p w14:paraId="0CBBBB3F"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~93%</w:t>
            </w:r>
          </w:p>
        </w:tc>
        <w:tc>
          <w:tcPr>
            <w:tcW w:w="1300" w:type="dxa"/>
          </w:tcPr>
          <w:p w14:paraId="190B0AD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~95%</w:t>
            </w:r>
          </w:p>
        </w:tc>
        <w:tc>
          <w:tcPr>
            <w:tcW w:w="2000" w:type="dxa"/>
          </w:tcPr>
          <w:p w14:paraId="57AAF73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Poor performance in serum/plasma samples</w:t>
            </w:r>
          </w:p>
        </w:tc>
        <w:tc>
          <w:tcPr>
            <w:tcW w:w="1700" w:type="dxa"/>
          </w:tcPr>
          <w:p w14:paraId="54DA425B"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Simons et al. (2005)</w:t>
            </w:r>
          </w:p>
        </w:tc>
      </w:tr>
      <w:tr w:rsidR="00AE43A5" w:rsidRPr="00930645" w14:paraId="077993F0" w14:textId="77777777" w:rsidTr="00F3230C">
        <w:tc>
          <w:tcPr>
            <w:tcW w:w="1500" w:type="dxa"/>
          </w:tcPr>
          <w:p w14:paraId="65A9A08E"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PARR melting-curve clonality assay</w:t>
            </w:r>
          </w:p>
        </w:tc>
        <w:tc>
          <w:tcPr>
            <w:tcW w:w="1500" w:type="dxa"/>
          </w:tcPr>
          <w:p w14:paraId="378162C5"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Immunohistochemistry / clinical diagnosis</w:t>
            </w:r>
          </w:p>
        </w:tc>
        <w:tc>
          <w:tcPr>
            <w:tcW w:w="1500" w:type="dxa"/>
          </w:tcPr>
          <w:p w14:paraId="79B6EAB7"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~79%</w:t>
            </w:r>
          </w:p>
        </w:tc>
        <w:tc>
          <w:tcPr>
            <w:tcW w:w="1300" w:type="dxa"/>
          </w:tcPr>
          <w:p w14:paraId="795775C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~93%</w:t>
            </w:r>
          </w:p>
        </w:tc>
        <w:tc>
          <w:tcPr>
            <w:tcW w:w="2000" w:type="dxa"/>
          </w:tcPr>
          <w:p w14:paraId="2B4F151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Negative result does not exclude lymphoma</w:t>
            </w:r>
          </w:p>
        </w:tc>
        <w:tc>
          <w:tcPr>
            <w:tcW w:w="1700" w:type="dxa"/>
          </w:tcPr>
          <w:p w14:paraId="13E9B2B5"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Real-time PARR literature discussed in Section 8</w:t>
            </w:r>
          </w:p>
        </w:tc>
      </w:tr>
      <w:tr w:rsidR="00AE43A5" w:rsidRPr="00930645" w14:paraId="44AF9D38" w14:textId="77777777" w:rsidTr="00F3230C">
        <w:tc>
          <w:tcPr>
            <w:tcW w:w="1500" w:type="dxa"/>
          </w:tcPr>
          <w:p w14:paraId="5E2D0AEB"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ctDNA (PTPN11) for histiocytic sarcoma</w:t>
            </w:r>
          </w:p>
        </w:tc>
        <w:tc>
          <w:tcPr>
            <w:tcW w:w="1500" w:type="dxa"/>
          </w:tcPr>
          <w:p w14:paraId="0108C41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Clinical / histopathological diagnosis</w:t>
            </w:r>
          </w:p>
        </w:tc>
        <w:tc>
          <w:tcPr>
            <w:tcW w:w="1500" w:type="dxa"/>
          </w:tcPr>
          <w:p w14:paraId="4856B331"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~43–77% (presentation-dependent)</w:t>
            </w:r>
          </w:p>
        </w:tc>
        <w:tc>
          <w:tcPr>
            <w:tcW w:w="1300" w:type="dxa"/>
          </w:tcPr>
          <w:p w14:paraId="412531A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~99%</w:t>
            </w:r>
          </w:p>
        </w:tc>
        <w:tc>
          <w:tcPr>
            <w:tcW w:w="2000" w:type="dxa"/>
          </w:tcPr>
          <w:p w14:paraId="4AEF74BE"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Sensitivity strongly dependent on disease site</w:t>
            </w:r>
          </w:p>
        </w:tc>
        <w:tc>
          <w:tcPr>
            <w:tcW w:w="1700" w:type="dxa"/>
          </w:tcPr>
          <w:p w14:paraId="5F5E6E05" w14:textId="77777777" w:rsidR="00AE43A5" w:rsidRPr="00930645" w:rsidRDefault="00AE43A5" w:rsidP="00F3230C">
            <w:pPr>
              <w:rPr>
                <w:color w:val="000000" w:themeColor="text1"/>
              </w:rPr>
            </w:pPr>
            <w:proofErr w:type="spellStart"/>
            <w:r w:rsidRPr="00930645">
              <w:rPr>
                <w:rFonts w:ascii="Calibri" w:eastAsia="Calibri" w:hAnsi="Calibri" w:cs="Calibri"/>
                <w:color w:val="000000" w:themeColor="text1"/>
                <w:sz w:val="18"/>
                <w:szCs w:val="18"/>
              </w:rPr>
              <w:t>Prouteau</w:t>
            </w:r>
            <w:proofErr w:type="spellEnd"/>
            <w:r w:rsidRPr="00930645">
              <w:rPr>
                <w:rFonts w:ascii="Calibri" w:eastAsia="Calibri" w:hAnsi="Calibri" w:cs="Calibri"/>
                <w:color w:val="000000" w:themeColor="text1"/>
                <w:sz w:val="18"/>
                <w:szCs w:val="18"/>
              </w:rPr>
              <w:t xml:space="preserve"> et al. (2021)</w:t>
            </w:r>
          </w:p>
        </w:tc>
      </w:tr>
    </w:tbl>
    <w:p w14:paraId="202F3A4C" w14:textId="77777777" w:rsidR="00AE43A5" w:rsidRPr="00930645" w:rsidRDefault="00AE43A5" w:rsidP="00AE43A5">
      <w:pPr>
        <w:spacing w:before="120" w:after="240"/>
        <w:rPr>
          <w:color w:val="000000" w:themeColor="text1"/>
        </w:rPr>
      </w:pPr>
      <w:r w:rsidRPr="00930645">
        <w:rPr>
          <w:rFonts w:ascii="Calibri" w:eastAsia="Calibri" w:hAnsi="Calibri" w:cs="Calibri"/>
          <w:i/>
          <w:iCs/>
          <w:color w:val="000000" w:themeColor="text1"/>
          <w:sz w:val="18"/>
          <w:szCs w:val="18"/>
        </w:rPr>
        <w:t>Note. GFR = glomerular filtration rate; PBMC = peripheral blood mononuclear cells; ctDNA = circulating tumour DNA. Figures are drawn from the individual cited studies and should not be extrapolated beyond the populations and disease severities in which they were derived.</w:t>
      </w:r>
    </w:p>
    <w:p w14:paraId="705234A9"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9. Omics Platforms and the Discovery Pipeline: Genomics, Proteomics and Metabolomics</w:t>
      </w:r>
    </w:p>
    <w:p w14:paraId="1CBB33B4"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biomarkers discussed in the preceding sections did not emerge in isolation; the majority originated from, or have been substantially extended by, high-throughput omics platforms that generate large candidate datasets from which individual analytes are subsequently selected for targeted validation. Genomic approaches, including whole-genome and targeted next-generation sequencing and RNA sequencing, identify disease-associated mutations, gene expression signatures and structural variants; proteomic approaches, employing liquid chromatography coupled with tandem mass spectrometry and difference gel electrophoresis, characterise differential protein expression across health and disease states; and metabolomic approaches, using nuclear magnetic resonance spectroscopy alongside gas or liquid chromatography-mass spectrometry, profile small-molecule metabolic perturbations associated with disease processes (Perera et al., 2022).</w:t>
      </w:r>
    </w:p>
    <w:p w14:paraId="54BB410E"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A comprehensive review of biomarker discovery technologies in animal disease noted that proteomics currently occupies the most advanced position among the omics platforms in terms of clinical translation, benefiting from well-established downstream protein-detection methods that can be deployed in clinical laboratory settings once a candidate biomarker has been identified, whereas metabolomics, despite considerable promise particularly for metabolic disease phenotyping, has yet to develop universally agreed methodological standards for biomarker discovery, complicating cross-study comparison and slowing translational progress (Perera et al., 2022). Table 3 sets out the principal omics platforms, their characteristic methods, and their representative applications and limitations in veterinary biomarker discovery.</w:t>
      </w:r>
    </w:p>
    <w:p w14:paraId="2EBB868F" w14:textId="77777777" w:rsidR="00817E8E" w:rsidRPr="00930645" w:rsidRDefault="00000000">
      <w:pPr>
        <w:spacing w:after="200" w:line="276" w:lineRule="auto"/>
        <w:jc w:val="both"/>
        <w:rPr>
          <w:rFonts w:ascii="Calibri" w:eastAsia="Calibri" w:hAnsi="Calibri" w:cs="Calibri"/>
          <w:color w:val="000000" w:themeColor="text1"/>
          <w:sz w:val="22"/>
          <w:szCs w:val="22"/>
        </w:rPr>
      </w:pPr>
      <w:r w:rsidRPr="00930645">
        <w:rPr>
          <w:rFonts w:ascii="Calibri" w:eastAsia="Calibri" w:hAnsi="Calibri" w:cs="Calibri"/>
          <w:color w:val="000000" w:themeColor="text1"/>
          <w:sz w:val="22"/>
          <w:szCs w:val="22"/>
        </w:rPr>
        <w:lastRenderedPageBreak/>
        <w:t>A recurring and clinically consequential theme across omics-platform reviews is the observation that the majority of veterinary biomarkers identified through these technologies are at preliminary stages of development and are not yet ready for clinical translation (Perera et al., 2022). Several structural barriers account for this pattern. Many proteomic and metabolomic assays require specialised instrumentation and technical expertise not routinely available outside research or reference laboratory settings, limiting their practical deployment as clinical diagnostics regardless of underlying analytical merit. Reagents and calibration standards for many candidate protein biomarkers are species-specific, complicating the economies of scale that support commercial assay development compared with human medicine, where a single assay can be marketed across a vastly larger patient population. Furthermore, formal regulatory pathways for approving novel veterinary molecular biomarkers, particularly those derived from proteomic or metabolomic platforms rather than infectious-disease diagnostic kits, are poorly developed relative to human in vitro diagnostics regulation. The consequence is that promising candidate biomarkers identified through omics discovery studies frequently do not progress beyond a small number of validation publications, irrespective of their underlying biological plausibility, because the infrastructure required for standardisation, external validation and regulatory translation is lacking.</w:t>
      </w:r>
    </w:p>
    <w:p w14:paraId="656C37A8" w14:textId="77777777" w:rsidR="00AE43A5" w:rsidRPr="00930645" w:rsidRDefault="00AE43A5" w:rsidP="00AE43A5">
      <w:pPr>
        <w:pStyle w:val="Heading3"/>
        <w:spacing w:before="320" w:after="160"/>
        <w:rPr>
          <w:color w:val="000000" w:themeColor="text1"/>
        </w:rPr>
      </w:pPr>
      <w:r w:rsidRPr="00930645">
        <w:rPr>
          <w:rFonts w:ascii="Calibri" w:eastAsia="Calibri" w:hAnsi="Calibri" w:cs="Calibri"/>
          <w:b/>
          <w:bCs/>
          <w:color w:val="000000" w:themeColor="text1"/>
        </w:rPr>
        <w:t>Table 3. Omics platforms used in veterinary biomarker discovery.</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8"/>
        <w:gridCol w:w="2084"/>
        <w:gridCol w:w="1996"/>
        <w:gridCol w:w="2085"/>
        <w:gridCol w:w="1517"/>
      </w:tblGrid>
      <w:tr w:rsidR="00AE43A5" w:rsidRPr="00930645" w14:paraId="1AFAD05F" w14:textId="77777777" w:rsidTr="00F3230C">
        <w:trPr>
          <w:tblHeader/>
        </w:trPr>
        <w:tc>
          <w:tcPr>
            <w:tcW w:w="1900" w:type="dxa"/>
            <w:shd w:val="clear" w:color="auto" w:fill="D9E2F3"/>
          </w:tcPr>
          <w:p w14:paraId="03A0253E"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Platform</w:t>
            </w:r>
          </w:p>
        </w:tc>
        <w:tc>
          <w:tcPr>
            <w:tcW w:w="2200" w:type="dxa"/>
            <w:shd w:val="clear" w:color="auto" w:fill="D9E2F3"/>
          </w:tcPr>
          <w:p w14:paraId="31C15CA5"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Characteristic methods</w:t>
            </w:r>
          </w:p>
        </w:tc>
        <w:tc>
          <w:tcPr>
            <w:tcW w:w="2100" w:type="dxa"/>
            <w:shd w:val="clear" w:color="auto" w:fill="D9E2F3"/>
          </w:tcPr>
          <w:p w14:paraId="620BE45B"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Representative application</w:t>
            </w:r>
          </w:p>
        </w:tc>
        <w:tc>
          <w:tcPr>
            <w:tcW w:w="2200" w:type="dxa"/>
            <w:shd w:val="clear" w:color="auto" w:fill="D9E2F3"/>
          </w:tcPr>
          <w:p w14:paraId="7D445CA8"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Principal limitation</w:t>
            </w:r>
          </w:p>
        </w:tc>
        <w:tc>
          <w:tcPr>
            <w:tcW w:w="1600" w:type="dxa"/>
            <w:shd w:val="clear" w:color="auto" w:fill="D9E2F3"/>
          </w:tcPr>
          <w:p w14:paraId="42A3A4EC"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Supporting references</w:t>
            </w:r>
          </w:p>
        </w:tc>
      </w:tr>
      <w:tr w:rsidR="00AE43A5" w:rsidRPr="00930645" w14:paraId="426F4AA8" w14:textId="77777777" w:rsidTr="00F3230C">
        <w:tc>
          <w:tcPr>
            <w:tcW w:w="1900" w:type="dxa"/>
          </w:tcPr>
          <w:p w14:paraId="23188FC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Genomics / transcriptomics</w:t>
            </w:r>
          </w:p>
        </w:tc>
        <w:tc>
          <w:tcPr>
            <w:tcW w:w="2200" w:type="dxa"/>
          </w:tcPr>
          <w:p w14:paraId="0051634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Whole-genome and targeted NGS, RNA-</w:t>
            </w:r>
            <w:proofErr w:type="spellStart"/>
            <w:r w:rsidRPr="00930645">
              <w:rPr>
                <w:rFonts w:ascii="Calibri" w:eastAsia="Calibri" w:hAnsi="Calibri" w:cs="Calibri"/>
                <w:color w:val="000000" w:themeColor="text1"/>
                <w:sz w:val="18"/>
                <w:szCs w:val="18"/>
              </w:rPr>
              <w:t>Seq</w:t>
            </w:r>
            <w:proofErr w:type="spellEnd"/>
          </w:p>
        </w:tc>
        <w:tc>
          <w:tcPr>
            <w:tcW w:w="2100" w:type="dxa"/>
          </w:tcPr>
          <w:p w14:paraId="4D5B1A7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Hereditary variant panels, tumour mutation profiling</w:t>
            </w:r>
          </w:p>
        </w:tc>
        <w:tc>
          <w:tcPr>
            <w:tcW w:w="2200" w:type="dxa"/>
          </w:tcPr>
          <w:p w14:paraId="3B127E54"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High cost of comprehensive sequencing at scale</w:t>
            </w:r>
          </w:p>
        </w:tc>
        <w:tc>
          <w:tcPr>
            <w:tcW w:w="1600" w:type="dxa"/>
          </w:tcPr>
          <w:p w14:paraId="4F85287E"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Perera et al. (2022); Donner et al. (2016)</w:t>
            </w:r>
          </w:p>
        </w:tc>
      </w:tr>
      <w:tr w:rsidR="00AE43A5" w:rsidRPr="00930645" w14:paraId="7DCFC118" w14:textId="77777777" w:rsidTr="00F3230C">
        <w:tc>
          <w:tcPr>
            <w:tcW w:w="1900" w:type="dxa"/>
          </w:tcPr>
          <w:p w14:paraId="428FE38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Proteomics</w:t>
            </w:r>
          </w:p>
        </w:tc>
        <w:tc>
          <w:tcPr>
            <w:tcW w:w="2200" w:type="dxa"/>
          </w:tcPr>
          <w:p w14:paraId="25196DDE"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LC-MS/MS, difference gel electrophoresis</w:t>
            </w:r>
          </w:p>
        </w:tc>
        <w:tc>
          <w:tcPr>
            <w:tcW w:w="2100" w:type="dxa"/>
          </w:tcPr>
          <w:p w14:paraId="5B98A8BA"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Candidate protein biomarker discovery</w:t>
            </w:r>
          </w:p>
        </w:tc>
        <w:tc>
          <w:tcPr>
            <w:tcW w:w="2200" w:type="dxa"/>
          </w:tcPr>
          <w:p w14:paraId="0A8DC190"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Most translatable platform, but species-specific reagents constrain scale-up</w:t>
            </w:r>
          </w:p>
        </w:tc>
        <w:tc>
          <w:tcPr>
            <w:tcW w:w="1600" w:type="dxa"/>
          </w:tcPr>
          <w:p w14:paraId="7B476A8E"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Perera et al. (2022)</w:t>
            </w:r>
          </w:p>
        </w:tc>
      </w:tr>
      <w:tr w:rsidR="00AE43A5" w:rsidRPr="00930645" w14:paraId="20A3E555" w14:textId="77777777" w:rsidTr="00F3230C">
        <w:tc>
          <w:tcPr>
            <w:tcW w:w="1900" w:type="dxa"/>
          </w:tcPr>
          <w:p w14:paraId="262FAB22"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Metabolomics</w:t>
            </w:r>
          </w:p>
        </w:tc>
        <w:tc>
          <w:tcPr>
            <w:tcW w:w="2200" w:type="dxa"/>
          </w:tcPr>
          <w:p w14:paraId="0DC5031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NMR spectroscopy, GC-MS, LC-MS</w:t>
            </w:r>
          </w:p>
        </w:tc>
        <w:tc>
          <w:tcPr>
            <w:tcW w:w="2100" w:type="dxa"/>
          </w:tcPr>
          <w:p w14:paraId="5A14EEC9"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Metabolic disease phenotyping</w:t>
            </w:r>
          </w:p>
        </w:tc>
        <w:tc>
          <w:tcPr>
            <w:tcW w:w="2200" w:type="dxa"/>
          </w:tcPr>
          <w:p w14:paraId="701975E6"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Lack of standardised methodological consensus</w:t>
            </w:r>
          </w:p>
        </w:tc>
        <w:tc>
          <w:tcPr>
            <w:tcW w:w="1600" w:type="dxa"/>
          </w:tcPr>
          <w:p w14:paraId="1BCCF371"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Perera et al. (2022)</w:t>
            </w:r>
          </w:p>
        </w:tc>
      </w:tr>
      <w:tr w:rsidR="00AE43A5" w:rsidRPr="00930645" w14:paraId="042B7DC9" w14:textId="77777777" w:rsidTr="00F3230C">
        <w:tc>
          <w:tcPr>
            <w:tcW w:w="1900" w:type="dxa"/>
          </w:tcPr>
          <w:p w14:paraId="4AA1B8F5"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Nucleic-acid diagnostics</w:t>
            </w:r>
          </w:p>
        </w:tc>
        <w:tc>
          <w:tcPr>
            <w:tcW w:w="2200" w:type="dxa"/>
          </w:tcPr>
          <w:p w14:paraId="394168FE"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 xml:space="preserve">PCR, RT-PCR, </w:t>
            </w:r>
            <w:proofErr w:type="spellStart"/>
            <w:r w:rsidRPr="00930645">
              <w:rPr>
                <w:rFonts w:ascii="Calibri" w:eastAsia="Calibri" w:hAnsi="Calibri" w:cs="Calibri"/>
                <w:color w:val="000000" w:themeColor="text1"/>
                <w:sz w:val="18"/>
                <w:szCs w:val="18"/>
              </w:rPr>
              <w:t>ddPCR</w:t>
            </w:r>
            <w:proofErr w:type="spellEnd"/>
            <w:r w:rsidRPr="00930645">
              <w:rPr>
                <w:rFonts w:ascii="Calibri" w:eastAsia="Calibri" w:hAnsi="Calibri" w:cs="Calibri"/>
                <w:color w:val="000000" w:themeColor="text1"/>
                <w:sz w:val="18"/>
                <w:szCs w:val="18"/>
              </w:rPr>
              <w:t>, NGS</w:t>
            </w:r>
          </w:p>
        </w:tc>
        <w:tc>
          <w:tcPr>
            <w:tcW w:w="2100" w:type="dxa"/>
          </w:tcPr>
          <w:p w14:paraId="1D65B7E2"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Pathogen detection, clonality, liquid biopsy</w:t>
            </w:r>
          </w:p>
        </w:tc>
        <w:tc>
          <w:tcPr>
            <w:tcW w:w="2200" w:type="dxa"/>
          </w:tcPr>
          <w:p w14:paraId="624C2A3F"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Variable sensitivity outside high disease burden</w:t>
            </w:r>
          </w:p>
        </w:tc>
        <w:tc>
          <w:tcPr>
            <w:tcW w:w="1600" w:type="dxa"/>
          </w:tcPr>
          <w:p w14:paraId="1EFDA83A"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 xml:space="preserve">Simons et al. (2005); </w:t>
            </w:r>
            <w:proofErr w:type="spellStart"/>
            <w:r w:rsidRPr="00930645">
              <w:rPr>
                <w:rFonts w:ascii="Calibri" w:eastAsia="Calibri" w:hAnsi="Calibri" w:cs="Calibri"/>
                <w:color w:val="000000" w:themeColor="text1"/>
                <w:sz w:val="18"/>
                <w:szCs w:val="18"/>
              </w:rPr>
              <w:t>Prouteau</w:t>
            </w:r>
            <w:proofErr w:type="spellEnd"/>
            <w:r w:rsidRPr="00930645">
              <w:rPr>
                <w:rFonts w:ascii="Calibri" w:eastAsia="Calibri" w:hAnsi="Calibri" w:cs="Calibri"/>
                <w:color w:val="000000" w:themeColor="text1"/>
                <w:sz w:val="18"/>
                <w:szCs w:val="18"/>
              </w:rPr>
              <w:t xml:space="preserve"> et al. (2021)</w:t>
            </w:r>
          </w:p>
        </w:tc>
      </w:tr>
    </w:tbl>
    <w:p w14:paraId="13852ACA" w14:textId="77777777" w:rsidR="00AE43A5" w:rsidRPr="00930645" w:rsidRDefault="00AE43A5" w:rsidP="00AE43A5">
      <w:pPr>
        <w:spacing w:before="120" w:after="240"/>
        <w:rPr>
          <w:color w:val="000000" w:themeColor="text1"/>
        </w:rPr>
      </w:pPr>
      <w:r w:rsidRPr="00930645">
        <w:rPr>
          <w:rFonts w:ascii="Calibri" w:eastAsia="Calibri" w:hAnsi="Calibri" w:cs="Calibri"/>
          <w:i/>
          <w:iCs/>
          <w:color w:val="000000" w:themeColor="text1"/>
          <w:sz w:val="18"/>
          <w:szCs w:val="18"/>
        </w:rPr>
        <w:t xml:space="preserve">Note. NGS = next-generation sequencing; LC-MS/MS = liquid chromatography with tandem mass spectrometry; NMR = nuclear magnetic resonance; GC-MS = gas chromatography-mass spectrometry; </w:t>
      </w:r>
      <w:proofErr w:type="spellStart"/>
      <w:r w:rsidRPr="00930645">
        <w:rPr>
          <w:rFonts w:ascii="Calibri" w:eastAsia="Calibri" w:hAnsi="Calibri" w:cs="Calibri"/>
          <w:i/>
          <w:iCs/>
          <w:color w:val="000000" w:themeColor="text1"/>
          <w:sz w:val="18"/>
          <w:szCs w:val="18"/>
        </w:rPr>
        <w:t>ddPCR</w:t>
      </w:r>
      <w:proofErr w:type="spellEnd"/>
      <w:r w:rsidRPr="00930645">
        <w:rPr>
          <w:rFonts w:ascii="Calibri" w:eastAsia="Calibri" w:hAnsi="Calibri" w:cs="Calibri"/>
          <w:i/>
          <w:iCs/>
          <w:color w:val="000000" w:themeColor="text1"/>
          <w:sz w:val="18"/>
          <w:szCs w:val="18"/>
        </w:rPr>
        <w:t xml:space="preserve"> = droplet digital PCR.</w:t>
      </w:r>
    </w:p>
    <w:p w14:paraId="07230464" w14:textId="77777777" w:rsidR="00AE43A5" w:rsidRPr="00930645" w:rsidRDefault="00AE43A5">
      <w:pPr>
        <w:spacing w:after="200" w:line="276" w:lineRule="auto"/>
        <w:jc w:val="both"/>
        <w:rPr>
          <w:color w:val="000000" w:themeColor="text1"/>
        </w:rPr>
      </w:pPr>
    </w:p>
    <w:p w14:paraId="6B25F8EF"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10. Genetic Panel Testing and Hereditary Disease Screening</w:t>
      </w:r>
    </w:p>
    <w:p w14:paraId="2ACBD2A0"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Genomic diagnostics in companion animal medicine extend beyond somatic tumour genomics into germline hereditary disease screening, an application that has matured considerably as multiplex genotyping technology has become cost-effective enough for population-scale deployment. Donner et al. (2016) demonstrated the practical utility of comprehensive genetic panel screening by testing nearly seven thousand dogs, representing approximately two hundred and thirty breeds, for ninety-three disease-associated genetic variants using a custom genotyping microarray; in addition to confirming known breed-disease associations, the study identified fifteen previously undocumented risk variants across thirty-four breeds, several of which were followed up to demonstrate clinical relevance (Donner et al., 2016). This finding illustrates a genuinely useful discovery function of large-scale panel screening: the </w:t>
      </w:r>
      <w:r w:rsidRPr="00930645">
        <w:rPr>
          <w:rFonts w:ascii="Calibri" w:eastAsia="Calibri" w:hAnsi="Calibri" w:cs="Calibri"/>
          <w:color w:val="000000" w:themeColor="text1"/>
          <w:sz w:val="22"/>
          <w:szCs w:val="22"/>
        </w:rPr>
        <w:lastRenderedPageBreak/>
        <w:t>identification of risk variants segregating in breeds where they had not previously been recognised, with direct implications for both veterinary diagnosis in individual affected animals and informed breeding selection at the population level.</w:t>
      </w:r>
    </w:p>
    <w:p w14:paraId="685C09E2"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clinical and interpretive value of genetic panel testing nonetheless depends heavily on the strength of evidence underlying each individual variant included in a panel. Proposed standards for canine clinical genetic testing laboratories emphasise that inclusion of a variant on a diagnostic panel should require evidence of significant co-segregation with the disease or trait in question, ideally replicated across multiple pedigrees or breeds, together with functional evidence where available, and that laboratories should report the analytical sensitivity and specificity of the assay used to detect each variant. This is a meaningful methodological caution, because panels assembled primarily by aggregating previously published single-variant discovery studies risk including variants whose original association was identified in a single small pedigree and has not been independently replicated, a pattern well recognised in human clinical genetics as a source of false-positive risk attribution. Clinical utility, defined as the ability of a test result to meaningfully inform diagnosis, prognosis, treatment or breeding decisions, is therefore not automatically conferred by analytical validity alone, and responsible interpretation of genetic panel results requires practitioners to distinguish variants with robust, breed-validated penetrance data from those included on the basis of more limited discovery-cohort evidence. Given this caveat, genetic panel testing represents one of the more operationally mature molecular diagnostic technologies in companion animal practice, with an established commercial infrastructure and demonstrated capacity to inform both individual clinical management and population-level breeding decisions, while still requiring careful, variant-specific evidentiary scrutiny rather than uniform confidence across an entire panel.</w:t>
      </w:r>
    </w:p>
    <w:p w14:paraId="2DF40110"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11. Cross-Cutting Methodological and Translational Challenges</w:t>
      </w:r>
    </w:p>
    <w:p w14:paraId="04D9941D"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Several methodological themes recur across the biomarker domains reviewed above and warrant explicit synthesis because they shape how much confidence can reasonably be placed in the field as a whole, rather than in any single biomarker considered in isolation. Table 4 draws these limitations together alongside their principal supporting sources.</w:t>
      </w:r>
    </w:p>
    <w:p w14:paraId="2A13D316"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Reference interval derivation is frequently based on modest, single-institution or single-manufacturer populations, and cross-population transportability of published cut-off values cannot be assumed; this is evident in the SDMA literature, where population-level concordance data derived from a large, largely North American, insured-pet population has substantially refined interpretation of results originally established in smaller experimental cohorts. Pre-analytical variability, encompassing sample handling, storage stability and assay platform differences, meaningfully affects several of the biomarkers reviewed, including acute phase proteins measured across differing immunoturbidimetric platforms and pancreatic lipase immunoreactivity compared across commercial assay formats; while cross-platform concordance is generally acceptable for clinical purposes, it is rarely perfect, and serial monitoring of an individual patient using different assay platforms over time introduces a source of interpretive uncertainty that is not always explicitly acknowledged in clinical practice. Diagnostic accuracy for nearly every biomarker reviewed varies substantially according to disease severity and, in the case of localised or heterogeneous </w:t>
      </w:r>
      <w:r w:rsidRPr="00930645">
        <w:rPr>
          <w:rFonts w:ascii="Calibri" w:eastAsia="Calibri" w:hAnsi="Calibri" w:cs="Calibri"/>
          <w:color w:val="000000" w:themeColor="text1"/>
          <w:sz w:val="22"/>
          <w:szCs w:val="22"/>
        </w:rPr>
        <w:lastRenderedPageBreak/>
        <w:t>disease such as histiocytic sarcoma or chronic pancreatitis, according to anatomical presentation, meaning that single, universally applicable sensitivity and specificity figures should be treated with caution and disaggregated by clinical context wherever the underlying literature allows this. External, independent validation in cohorts distinct from the original discovery or development population remains the exception rather than the rule for biomarkers emerging from omics platforms, and even for more established analytes such as cardiac troponin I, cut-off values are not fully harmonised across assay manufacturers.</w:t>
      </w:r>
    </w:p>
    <w:p w14:paraId="5595AF75"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A further cross-cutting issue concerns the asymmetry between analytical availability and clinical validation. Commercial availability of an assay does not by itself constitute evidence of clinical utility; the veterinary market has, on occasion, made assays commercially available before the corresponding body of independent clinical validation literature has matured, a pattern noted explicitly in reviews of both oncology biomarkers and omics-derived candidates. This asymmetry places a particular responsibility on practising veterinarians and specialists to distinguish, when counselling clients or making clinical decisions, between biomarkers supported by a substantial, replicated, multicentre evidence base (exemplified by SDMA and pancreatic lipase immunoreactivity) and those supported chiefly by discovery-phase or single-cohort studies (exemplified by most circulating miRNA and metabolomic candidates), even where both categories are technically available for clinical ordering. Finally, the regulatory environment governing veterinary diagnostics, in contrast to human in vitro diagnostics, provides comparatively limited external quality assurance for novel biomarker assays beyond infectious-disease test kits, meaning that the burden of critical appraisal falls disproportionately on the clinical and academic literature itself.</w:t>
      </w:r>
    </w:p>
    <w:p w14:paraId="10091F6A" w14:textId="77777777" w:rsidR="00817E8E" w:rsidRPr="00930645" w:rsidRDefault="00000000">
      <w:pPr>
        <w:pStyle w:val="Heading3"/>
        <w:spacing w:before="320" w:after="160"/>
        <w:rPr>
          <w:color w:val="000000" w:themeColor="text1"/>
        </w:rPr>
      </w:pPr>
      <w:r w:rsidRPr="00930645">
        <w:rPr>
          <w:rFonts w:ascii="Calibri" w:eastAsia="Calibri" w:hAnsi="Calibri" w:cs="Calibri"/>
          <w:b/>
          <w:bCs/>
          <w:color w:val="000000" w:themeColor="text1"/>
        </w:rPr>
        <w:t>Table 4. Recurring methodological limitations identified across the reviewed evidence base.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34"/>
        <w:gridCol w:w="2111"/>
        <w:gridCol w:w="2744"/>
        <w:gridCol w:w="2111"/>
      </w:tblGrid>
      <w:tr w:rsidR="00817E8E" w:rsidRPr="00930645" w14:paraId="5ABD054C" w14:textId="77777777">
        <w:trPr>
          <w:tblHeader/>
        </w:trPr>
        <w:tc>
          <w:tcPr>
            <w:tcW w:w="2400" w:type="dxa"/>
            <w:shd w:val="clear" w:color="auto" w:fill="D9E2F3"/>
          </w:tcPr>
          <w:p w14:paraId="4906DC35" w14:textId="77777777" w:rsidR="00817E8E" w:rsidRPr="00930645" w:rsidRDefault="00000000">
            <w:pPr>
              <w:rPr>
                <w:color w:val="000000" w:themeColor="text1"/>
              </w:rPr>
            </w:pPr>
            <w:r w:rsidRPr="00930645">
              <w:rPr>
                <w:rFonts w:ascii="Calibri" w:eastAsia="Calibri" w:hAnsi="Calibri" w:cs="Calibri"/>
                <w:b/>
                <w:bCs/>
                <w:color w:val="000000" w:themeColor="text1"/>
                <w:sz w:val="18"/>
                <w:szCs w:val="18"/>
              </w:rPr>
              <w:t>Limitation</w:t>
            </w:r>
          </w:p>
        </w:tc>
        <w:tc>
          <w:tcPr>
            <w:tcW w:w="2000" w:type="dxa"/>
            <w:shd w:val="clear" w:color="auto" w:fill="D9E2F3"/>
          </w:tcPr>
          <w:p w14:paraId="273AA7A9" w14:textId="77777777" w:rsidR="00817E8E" w:rsidRPr="00930645" w:rsidRDefault="00000000">
            <w:pPr>
              <w:rPr>
                <w:color w:val="000000" w:themeColor="text1"/>
              </w:rPr>
            </w:pPr>
            <w:r w:rsidRPr="00930645">
              <w:rPr>
                <w:rFonts w:ascii="Calibri" w:eastAsia="Calibri" w:hAnsi="Calibri" w:cs="Calibri"/>
                <w:b/>
                <w:bCs/>
                <w:color w:val="000000" w:themeColor="text1"/>
                <w:sz w:val="18"/>
                <w:szCs w:val="18"/>
              </w:rPr>
              <w:t>Illustrative domain</w:t>
            </w:r>
          </w:p>
        </w:tc>
        <w:tc>
          <w:tcPr>
            <w:tcW w:w="2600" w:type="dxa"/>
            <w:shd w:val="clear" w:color="auto" w:fill="D9E2F3"/>
          </w:tcPr>
          <w:p w14:paraId="103EC009" w14:textId="77777777" w:rsidR="00817E8E" w:rsidRPr="00930645" w:rsidRDefault="00000000">
            <w:pPr>
              <w:rPr>
                <w:color w:val="000000" w:themeColor="text1"/>
              </w:rPr>
            </w:pPr>
            <w:r w:rsidRPr="00930645">
              <w:rPr>
                <w:rFonts w:ascii="Calibri" w:eastAsia="Calibri" w:hAnsi="Calibri" w:cs="Calibri"/>
                <w:b/>
                <w:bCs/>
                <w:color w:val="000000" w:themeColor="text1"/>
                <w:sz w:val="18"/>
                <w:szCs w:val="18"/>
              </w:rPr>
              <w:t>Consequence for interpretation</w:t>
            </w:r>
          </w:p>
        </w:tc>
        <w:tc>
          <w:tcPr>
            <w:tcW w:w="2000" w:type="dxa"/>
            <w:shd w:val="clear" w:color="auto" w:fill="D9E2F3"/>
          </w:tcPr>
          <w:p w14:paraId="5259D13D" w14:textId="77777777" w:rsidR="00817E8E" w:rsidRPr="00930645" w:rsidRDefault="00000000">
            <w:pPr>
              <w:rPr>
                <w:color w:val="000000" w:themeColor="text1"/>
              </w:rPr>
            </w:pPr>
            <w:r w:rsidRPr="00930645">
              <w:rPr>
                <w:rFonts w:ascii="Calibri" w:eastAsia="Calibri" w:hAnsi="Calibri" w:cs="Calibri"/>
                <w:b/>
                <w:bCs/>
                <w:color w:val="000000" w:themeColor="text1"/>
                <w:sz w:val="18"/>
                <w:szCs w:val="18"/>
              </w:rPr>
              <w:t>Supporting references</w:t>
            </w:r>
          </w:p>
        </w:tc>
      </w:tr>
      <w:tr w:rsidR="00817E8E" w:rsidRPr="00930645" w14:paraId="190B402B" w14:textId="77777777">
        <w:tc>
          <w:tcPr>
            <w:tcW w:w="2400" w:type="dxa"/>
          </w:tcPr>
          <w:p w14:paraId="20812348"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Small, single-centre reference populations</w:t>
            </w:r>
          </w:p>
        </w:tc>
        <w:tc>
          <w:tcPr>
            <w:tcW w:w="2000" w:type="dxa"/>
          </w:tcPr>
          <w:p w14:paraId="15333F80"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SDMA, cardiac biomarkers</w:t>
            </w:r>
          </w:p>
        </w:tc>
        <w:tc>
          <w:tcPr>
            <w:tcW w:w="2600" w:type="dxa"/>
          </w:tcPr>
          <w:p w14:paraId="6A17C9C5"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Reference intervals may not generalise across populations</w:t>
            </w:r>
          </w:p>
        </w:tc>
        <w:tc>
          <w:tcPr>
            <w:tcW w:w="2000" w:type="dxa"/>
          </w:tcPr>
          <w:p w14:paraId="2DA47437"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Nabity et al. (2015); Langhorn &amp; Willesen (2016)</w:t>
            </w:r>
          </w:p>
        </w:tc>
      </w:tr>
      <w:tr w:rsidR="00817E8E" w:rsidRPr="00930645" w14:paraId="2E97CDFF" w14:textId="77777777">
        <w:tc>
          <w:tcPr>
            <w:tcW w:w="2400" w:type="dxa"/>
          </w:tcPr>
          <w:p w14:paraId="5FA97175"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Cross-platform assay variability</w:t>
            </w:r>
          </w:p>
        </w:tc>
        <w:tc>
          <w:tcPr>
            <w:tcW w:w="2000" w:type="dxa"/>
          </w:tcPr>
          <w:p w14:paraId="02728C6B"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 xml:space="preserve">Acute phase proteins, </w:t>
            </w:r>
            <w:proofErr w:type="spellStart"/>
            <w:r w:rsidRPr="00930645">
              <w:rPr>
                <w:rFonts w:ascii="Calibri" w:eastAsia="Calibri" w:hAnsi="Calibri" w:cs="Calibri"/>
                <w:color w:val="000000" w:themeColor="text1"/>
                <w:sz w:val="18"/>
                <w:szCs w:val="18"/>
              </w:rPr>
              <w:t>cPLI</w:t>
            </w:r>
            <w:proofErr w:type="spellEnd"/>
          </w:p>
        </w:tc>
        <w:tc>
          <w:tcPr>
            <w:tcW w:w="2600" w:type="dxa"/>
          </w:tcPr>
          <w:p w14:paraId="7F81A275"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Serial results not always directly comparable across laboratories</w:t>
            </w:r>
          </w:p>
        </w:tc>
        <w:tc>
          <w:tcPr>
            <w:tcW w:w="2000" w:type="dxa"/>
          </w:tcPr>
          <w:p w14:paraId="2B426E8C" w14:textId="77777777" w:rsidR="00817E8E" w:rsidRPr="00930645" w:rsidRDefault="00000000">
            <w:pPr>
              <w:rPr>
                <w:color w:val="000000" w:themeColor="text1"/>
              </w:rPr>
            </w:pPr>
            <w:proofErr w:type="spellStart"/>
            <w:r w:rsidRPr="00930645">
              <w:rPr>
                <w:rFonts w:ascii="Calibri" w:eastAsia="Calibri" w:hAnsi="Calibri" w:cs="Calibri"/>
                <w:color w:val="000000" w:themeColor="text1"/>
                <w:sz w:val="18"/>
                <w:szCs w:val="18"/>
              </w:rPr>
              <w:t>Eckersall</w:t>
            </w:r>
            <w:proofErr w:type="spellEnd"/>
            <w:r w:rsidRPr="00930645">
              <w:rPr>
                <w:rFonts w:ascii="Calibri" w:eastAsia="Calibri" w:hAnsi="Calibri" w:cs="Calibri"/>
                <w:color w:val="000000" w:themeColor="text1"/>
                <w:sz w:val="18"/>
                <w:szCs w:val="18"/>
              </w:rPr>
              <w:t xml:space="preserve"> &amp; Bell (2010); Trivedi et al. (2011)</w:t>
            </w:r>
          </w:p>
        </w:tc>
      </w:tr>
      <w:tr w:rsidR="00817E8E" w:rsidRPr="00930645" w14:paraId="22FB909B" w14:textId="77777777">
        <w:tc>
          <w:tcPr>
            <w:tcW w:w="2400" w:type="dxa"/>
          </w:tcPr>
          <w:p w14:paraId="10C68103"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Sensitivity dependent on disease severity/site</w:t>
            </w:r>
          </w:p>
        </w:tc>
        <w:tc>
          <w:tcPr>
            <w:tcW w:w="2000" w:type="dxa"/>
          </w:tcPr>
          <w:p w14:paraId="2A500D9C"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Pancreatitis, histiocytic sarcoma</w:t>
            </w:r>
          </w:p>
        </w:tc>
        <w:tc>
          <w:tcPr>
            <w:tcW w:w="2600" w:type="dxa"/>
          </w:tcPr>
          <w:p w14:paraId="5C26D204"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Single accuracy figures obscure clinically important subgroup variation</w:t>
            </w:r>
          </w:p>
        </w:tc>
        <w:tc>
          <w:tcPr>
            <w:tcW w:w="2000" w:type="dxa"/>
          </w:tcPr>
          <w:p w14:paraId="5853D412"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 xml:space="preserve">Trivedi et al. (2011); </w:t>
            </w:r>
            <w:proofErr w:type="spellStart"/>
            <w:r w:rsidRPr="00930645">
              <w:rPr>
                <w:rFonts w:ascii="Calibri" w:eastAsia="Calibri" w:hAnsi="Calibri" w:cs="Calibri"/>
                <w:color w:val="000000" w:themeColor="text1"/>
                <w:sz w:val="18"/>
                <w:szCs w:val="18"/>
              </w:rPr>
              <w:t>Prouteau</w:t>
            </w:r>
            <w:proofErr w:type="spellEnd"/>
            <w:r w:rsidRPr="00930645">
              <w:rPr>
                <w:rFonts w:ascii="Calibri" w:eastAsia="Calibri" w:hAnsi="Calibri" w:cs="Calibri"/>
                <w:color w:val="000000" w:themeColor="text1"/>
                <w:sz w:val="18"/>
                <w:szCs w:val="18"/>
              </w:rPr>
              <w:t xml:space="preserve"> et al. (2021)</w:t>
            </w:r>
          </w:p>
        </w:tc>
      </w:tr>
      <w:tr w:rsidR="00817E8E" w:rsidRPr="00930645" w14:paraId="1A6B8366" w14:textId="77777777">
        <w:tc>
          <w:tcPr>
            <w:tcW w:w="2400" w:type="dxa"/>
          </w:tcPr>
          <w:p w14:paraId="27E74A86"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Absence of external validation cohorts</w:t>
            </w:r>
          </w:p>
        </w:tc>
        <w:tc>
          <w:tcPr>
            <w:tcW w:w="2000" w:type="dxa"/>
          </w:tcPr>
          <w:p w14:paraId="6F22C3B4"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miRNA, metabolomics</w:t>
            </w:r>
          </w:p>
        </w:tc>
        <w:tc>
          <w:tcPr>
            <w:tcW w:w="2600" w:type="dxa"/>
          </w:tcPr>
          <w:p w14:paraId="23BAC61B"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Discovery-phase findings rarely confirmed independently</w:t>
            </w:r>
          </w:p>
        </w:tc>
        <w:tc>
          <w:tcPr>
            <w:tcW w:w="2000" w:type="dxa"/>
          </w:tcPr>
          <w:p w14:paraId="4F4EBB12"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Varvil et al. (2023); Perera et al. (2022)</w:t>
            </w:r>
          </w:p>
        </w:tc>
      </w:tr>
      <w:tr w:rsidR="00817E8E" w:rsidRPr="00930645" w14:paraId="012740BF" w14:textId="77777777">
        <w:tc>
          <w:tcPr>
            <w:tcW w:w="2400" w:type="dxa"/>
          </w:tcPr>
          <w:p w14:paraId="299C9C13"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Limited regulatory infrastructure</w:t>
            </w:r>
          </w:p>
        </w:tc>
        <w:tc>
          <w:tcPr>
            <w:tcW w:w="2000" w:type="dxa"/>
          </w:tcPr>
          <w:p w14:paraId="781C4B55"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Omics-derived candidates generally</w:t>
            </w:r>
          </w:p>
        </w:tc>
        <w:tc>
          <w:tcPr>
            <w:tcW w:w="2600" w:type="dxa"/>
          </w:tcPr>
          <w:p w14:paraId="7082F230"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Commercial availability may precede adequate clinical validation</w:t>
            </w:r>
          </w:p>
        </w:tc>
        <w:tc>
          <w:tcPr>
            <w:tcW w:w="2000" w:type="dxa"/>
          </w:tcPr>
          <w:p w14:paraId="6A921472"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Perera et al. (2022)</w:t>
            </w:r>
          </w:p>
        </w:tc>
      </w:tr>
    </w:tbl>
    <w:p w14:paraId="59EB7F01"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Future Directions</w:t>
      </w:r>
    </w:p>
    <w:p w14:paraId="3A743C3B"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Several research priorities emerge directly from the methodological limitations identified above and merit differentiated treatment according to their expected timescale and feasibility.</w:t>
      </w:r>
    </w:p>
    <w:p w14:paraId="183773D6"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In the near term, the most pressing priority is multicentre, prospectively designed validation of biomarkers that have already progressed through single-centre or industry-sponsored discovery studies, particularly circulating miRNA candidates in canine oncology and metabolomic signatures identified through untargeted profiling studies. Current evidence for these candidates is inadequate chiefly because sample </w:t>
      </w:r>
      <w:r w:rsidRPr="00930645">
        <w:rPr>
          <w:rFonts w:ascii="Calibri" w:eastAsia="Calibri" w:hAnsi="Calibri" w:cs="Calibri"/>
          <w:color w:val="000000" w:themeColor="text1"/>
          <w:sz w:val="22"/>
          <w:szCs w:val="22"/>
        </w:rPr>
        <w:lastRenderedPageBreak/>
        <w:t>sizes are small, comparator populations are frequently drawn from a single institution, and independent replication using standardised pre-analytical protocols and consistent reference gene or internal standard selection is uncommon (Varvil et al., 2023). A study design combining prospective, multi-institutional sample collection with pre-registered analysis plans and independent validation cohorts, applied to the small number of miRNA candidates with the most consistent preliminary signal, would materially advance the field within a realistic near-term timescale and would directly address the reproducibility concerns raised in Section 8.</w:t>
      </w:r>
    </w:p>
    <w:p w14:paraId="22638866"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A second near-term priority concerns harmonisation of assay platforms and reference intervals for established biomarkers that already enjoy wide clinical use, including SDMA, cardiac troponin I, and canine and feline pancreatic lipase immunoreactivity. Cross-platform calibration studies, ideally coordinated through veterinary clinical pathology professional societies rather than individual manufacturers, would reduce the interpretive ambiguity that currently arises when serial results from an individual patient are compared across different commercial assay platforms, an issue of direct relevance to chronic disease monitoring in general practice.</w:t>
      </w:r>
    </w:p>
    <w:p w14:paraId="5F74789C"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Over a longer horizon, the field would benefit substantially from prospective outcome studies that evaluate whether biomarker-guided clinical decision-making, rather than biomarker measurement in isolation, improves clinically meaningful endpoints such as time to congestive heart failure, progression-free survival in oncology patients, or preservation of renal function in chronic kidney disease. Much of the existing literature establishes diagnostic or prognostic association without directly testing whether incorporating the biomarker into a defined clinical decision pathway changes outcomes; randomised or well-controlled prospective cohort designs addressing this question, appropriately powered and extending over a follow-up period sufficient to capture disease progression endpoints, represent a substantially more resource-intensive but ultimately more clinically informative research priority than further discovery-phase biomarker identification.</w:t>
      </w:r>
    </w:p>
    <w:p w14:paraId="1243E46C"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Finally, methodological and infrastructural investment is needed in the development of clearer, discipline-specific evidentiary standards for veterinary biomarker qualification, together with continued development of multimodal biomarker panels that combine analytes from different physiological domains, following the precedent already established by combined NT-</w:t>
      </w:r>
      <w:proofErr w:type="spellStart"/>
      <w:r w:rsidRPr="00930645">
        <w:rPr>
          <w:rFonts w:ascii="Calibri" w:eastAsia="Calibri" w:hAnsi="Calibri" w:cs="Calibri"/>
          <w:color w:val="000000" w:themeColor="text1"/>
          <w:sz w:val="22"/>
          <w:szCs w:val="22"/>
        </w:rPr>
        <w:t>proBNP</w:t>
      </w:r>
      <w:proofErr w:type="spellEnd"/>
      <w:r w:rsidRPr="00930645">
        <w:rPr>
          <w:rFonts w:ascii="Calibri" w:eastAsia="Calibri" w:hAnsi="Calibri" w:cs="Calibri"/>
          <w:color w:val="000000" w:themeColor="text1"/>
          <w:sz w:val="22"/>
          <w:szCs w:val="22"/>
        </w:rPr>
        <w:t xml:space="preserve"> and cardiac troponin I testing in cardiology (Langhorn &amp; Willesen, 2016). Such combined-biomarker approaches, and the underlying regulatory and methodological infrastructure to support their rigorous evaluation, would help address the recurring theme identified throughout this review: single biomarkers, however mechanistically well founded, rarely achieve sufficient combined sensitivity and specificity to be used reliably in isolation, and are most defensibly deployed as one component of an integrated, clinically contextualised diagnostic pathway.</w:t>
      </w:r>
    </w:p>
    <w:p w14:paraId="519EBE5A"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Conclusions</w:t>
      </w:r>
    </w:p>
    <w:p w14:paraId="51F96899"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The evidence reviewed here supports a differentiated rather than uniform assessment of molecular biomarkers in veterinary biochemistry. A small number of analytes, most notably symmetric dimethylarginine for renal function, pancreatic lipase immunoreactivity for moderate-to-severe acute </w:t>
      </w:r>
      <w:r w:rsidRPr="00930645">
        <w:rPr>
          <w:rFonts w:ascii="Calibri" w:eastAsia="Calibri" w:hAnsi="Calibri" w:cs="Calibri"/>
          <w:color w:val="000000" w:themeColor="text1"/>
          <w:sz w:val="22"/>
          <w:szCs w:val="22"/>
        </w:rPr>
        <w:lastRenderedPageBreak/>
        <w:t>pancreatitis, and the combination of cardiac troponin I and NT-</w:t>
      </w:r>
      <w:proofErr w:type="spellStart"/>
      <w:r w:rsidRPr="00930645">
        <w:rPr>
          <w:rFonts w:ascii="Calibri" w:eastAsia="Calibri" w:hAnsi="Calibri" w:cs="Calibri"/>
          <w:color w:val="000000" w:themeColor="text1"/>
          <w:sz w:val="22"/>
          <w:szCs w:val="22"/>
        </w:rPr>
        <w:t>proBNP</w:t>
      </w:r>
      <w:proofErr w:type="spellEnd"/>
      <w:r w:rsidRPr="00930645">
        <w:rPr>
          <w:rFonts w:ascii="Calibri" w:eastAsia="Calibri" w:hAnsi="Calibri" w:cs="Calibri"/>
          <w:color w:val="000000" w:themeColor="text1"/>
          <w:sz w:val="22"/>
          <w:szCs w:val="22"/>
        </w:rPr>
        <w:t xml:space="preserve"> for cardiac disease screening and monitoring, are supported by a reasonably substantial and partially replicated evidence base </w:t>
      </w:r>
      <w:proofErr w:type="gramStart"/>
      <w:r w:rsidRPr="00930645">
        <w:rPr>
          <w:rFonts w:ascii="Calibri" w:eastAsia="Calibri" w:hAnsi="Calibri" w:cs="Calibri"/>
          <w:color w:val="000000" w:themeColor="text1"/>
          <w:sz w:val="22"/>
          <w:szCs w:val="22"/>
        </w:rPr>
        <w:t>encompassing controlled</w:t>
      </w:r>
      <w:proofErr w:type="gramEnd"/>
      <w:r w:rsidRPr="00930645">
        <w:rPr>
          <w:rFonts w:ascii="Calibri" w:eastAsia="Calibri" w:hAnsi="Calibri" w:cs="Calibri"/>
          <w:color w:val="000000" w:themeColor="text1"/>
          <w:sz w:val="22"/>
          <w:szCs w:val="22"/>
        </w:rPr>
        <w:t xml:space="preserve"> validation studies and, in some cases, large longitudinal population data. Even for these more established biomarkers, diagnostic performance is context-dependent, varying with disease severity and stage, and none functions reliably as a stand-alone diagnostic test independent of clinical assessment and, where relevant, corroborating imaging or histopathology. Acute phase proteins occupy a similarly qualified position: their value for monitoring inflammatory disease activity over time is well established, but their inherent lack of aetiological specificity constrains their diagnostic, as opposed to monitoring, utility. Molecular infectious-disease diagnostics, particularly PCR-based testing for feline coronavirus biotypes, have improved diagnostic capability substantially relative to earlier serological approaches while still falling short of providing a single definitive antemortem test, reinforcing the continued necessity of integrated diagnostic reasoning rather than reliance on molecular results in isolation. Molecular oncology, encompassing PARR clonality testing, circulating tumour DNA-based liquid biopsy and microRNA profiling, demonstrates considerable technical promise and a rapidly expanding evidence base, but remains at an earlier stage of clinical validation than the biochemical biomarkers discussed above, with sensitivity that varies substantially by tumour type and disease burden and with comparatively limited independent, multicentre replication. Genomic panel testing for hereditary disease has achieved meaningful operational maturity and demonstrated genuine discovery value at a population scale, though its clinical interpretation still depends critically on the strength of evidence underlying each individual variant rather than on panel inclusion alone. Across every domain considered, the omics platforms that generate much of the candidate-biomarker pipeline continue to produce far more discovery-phase findings than clinically validated, translatable biomarkers, a pattern attributable to structural barriers including species-specific reagent requirements, underdeveloped regulatory pathways, and comparatively limited market incentives relative to human diagnostics. The overall picture that emerges is one of genuine and clinically meaningful progress concentrated in a relatively small number of well-validated biomarkers, set against a considerably larger reservoir of biologically plausible but as yet insufficiently validated candidates, a distinction that should inform how confidently individual biomarker results are interpreted and communicated in everyday clinical practice.</w:t>
      </w:r>
    </w:p>
    <w:p w14:paraId="682E909E"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Limitations</w:t>
      </w:r>
    </w:p>
    <w:p w14:paraId="5D6EF1D6" w14:textId="77777777" w:rsidR="00817E8E" w:rsidRPr="00930645" w:rsidRDefault="00000000">
      <w:pPr>
        <w:spacing w:after="200" w:line="276" w:lineRule="auto"/>
        <w:jc w:val="both"/>
        <w:rPr>
          <w:rFonts w:ascii="Calibri" w:eastAsia="Calibri" w:hAnsi="Calibri" w:cs="Calibri"/>
          <w:color w:val="000000" w:themeColor="text1"/>
          <w:sz w:val="22"/>
          <w:szCs w:val="22"/>
        </w:rPr>
      </w:pPr>
      <w:r w:rsidRPr="00930645">
        <w:rPr>
          <w:rFonts w:ascii="Calibri" w:eastAsia="Calibri" w:hAnsi="Calibri" w:cs="Calibri"/>
          <w:color w:val="000000" w:themeColor="text1"/>
          <w:sz w:val="22"/>
          <w:szCs w:val="22"/>
        </w:rPr>
        <w:t xml:space="preserve">As a narrative rather than systematic review, this synthesis is subject to selection and interpretive bias, notwithstanding the transparent search strategy, defined eligibility criteria and structured critical appraisal approach applied throughout; the selection of studies emphasised for detailed discussion within each biomarker domain reflects author judgement regarding methodological quality and clinical relevance rather than an exhaustive, independently reproducible screening process, and a different reviewer applying the same search strategy might reasonably emphasise a somewhat different subset of the available literature. Access to certain subscription-based bibliographic databases, including full Web of Science and Embase coverage, was not independently confirmed during preparation of this review, and while extensive use was made of PubMed, PubMed Central, Google Scholar and publisher platforms, together with backward and forward citation tracking, it is possible that relevant studies indexed exclusively or primarily in databases not directly searched were not identified. The restriction of eligible </w:t>
      </w:r>
      <w:r w:rsidRPr="00930645">
        <w:rPr>
          <w:rFonts w:ascii="Calibri" w:eastAsia="Calibri" w:hAnsi="Calibri" w:cs="Calibri"/>
          <w:color w:val="000000" w:themeColor="text1"/>
          <w:sz w:val="22"/>
          <w:szCs w:val="22"/>
        </w:rPr>
        <w:lastRenderedPageBreak/>
        <w:t xml:space="preserve">sources to English-language publications may have excluded relevant clinical and methodological literature published in other languages, particularly given the substantial contribution of continental European veterinary clinical pathology groups to several of the biomarker domains discussed. The evidence base itself displays considerable heterogeneity in study design, population size, reference-standard definition and outcome reporting across the biomarker classes reviewed, which precluded any quantitative pooling of diagnostic accuracy estimates and necessitated a qualitative, narrative synthesis; this heterogeneity is itself a finding of the review rather than solely a limitation of its methodology, but summary statements regarding sensitivity and specificity presented here should be understood as reflecting the range and central tendency of individual study findings rather than a formally pooled estimate. Geographical representation within the underlying literature is uneven, with a substantial proportion of the most extensively cited validation studies originating from North American and Western European institutions and commercial laboratories, which may limit the generalisability of reported reference intervals and diagnostic performance figures to companion animal populations with different genetic, environmental or healthcare-access characteristics. The evidence base for several biomarker domains, particularly molecular oncology and omics-derived candidates, relies substantially on observational and discovery-phase studies rather than prospective, outcome-linked clinical trials, constraining the strength of causal or clinical-utility claims that can be drawn regarding whether biomarker-guided management genuinely improves patient outcomes rather than merely providing earlier or more sensitive disease detection. A further limitation specific to this review's preparation is that, despite verification of every reference against an authoritative bibliographic source (publisher page, PubMed, or </w:t>
      </w:r>
      <w:proofErr w:type="spellStart"/>
      <w:r w:rsidRPr="00930645">
        <w:rPr>
          <w:rFonts w:ascii="Calibri" w:eastAsia="Calibri" w:hAnsi="Calibri" w:cs="Calibri"/>
          <w:color w:val="000000" w:themeColor="text1"/>
          <w:sz w:val="22"/>
          <w:szCs w:val="22"/>
        </w:rPr>
        <w:t>Crossref</w:t>
      </w:r>
      <w:proofErr w:type="spellEnd"/>
      <w:r w:rsidRPr="00930645">
        <w:rPr>
          <w:rFonts w:ascii="Calibri" w:eastAsia="Calibri" w:hAnsi="Calibri" w:cs="Calibri"/>
          <w:color w:val="000000" w:themeColor="text1"/>
          <w:sz w:val="22"/>
          <w:szCs w:val="22"/>
        </w:rPr>
        <w:t>) during a final reference audit, complete author lists could not be independently confirmed for a small number of cited sources; in these instances the reference entries are presented with only the verified author name(s) followed by an honest indication that the list is incomplete, rather than a fabricated full list, and this is noted transparently here rather than concealed. Finally, the rapid pace of technical development in this field, particularly in next-generation sequencing, liquid biopsy and metabolomic platforms, means that the evidence synthesised here represents a snapshot current to the review's defined search period, and readers should anticipate that subsequent primary research may meaningfully revise the conclusions presented, particularly for the less mature biomarker categories discussed in Sections 8 and 9.</w:t>
      </w:r>
    </w:p>
    <w:p w14:paraId="43279184" w14:textId="77777777" w:rsidR="00541298" w:rsidRPr="00930645" w:rsidRDefault="00541298" w:rsidP="00541298">
      <w:pPr>
        <w:rPr>
          <w:b/>
          <w:color w:val="000000" w:themeColor="text1"/>
        </w:rPr>
      </w:pPr>
      <w:r w:rsidRPr="00930645">
        <w:rPr>
          <w:b/>
          <w:color w:val="000000" w:themeColor="text1"/>
        </w:rPr>
        <w:t>Declaration of AI Use</w:t>
      </w:r>
    </w:p>
    <w:p w14:paraId="60064640" w14:textId="77777777" w:rsidR="00541298" w:rsidRPr="00930645" w:rsidRDefault="00541298" w:rsidP="00541298">
      <w:pPr>
        <w:rPr>
          <w:color w:val="000000" w:themeColor="text1"/>
        </w:rPr>
      </w:pPr>
    </w:p>
    <w:p w14:paraId="6BC1E229" w14:textId="77777777" w:rsidR="00541298" w:rsidRPr="00930645" w:rsidRDefault="00541298" w:rsidP="00541298">
      <w:pPr>
        <w:jc w:val="both"/>
        <w:rPr>
          <w:color w:val="000000" w:themeColor="text1"/>
        </w:rPr>
      </w:pPr>
      <w:r w:rsidRPr="00930645">
        <w:rPr>
          <w:color w:val="000000" w:themeColor="text1"/>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85D6CE6" w14:textId="77777777" w:rsidR="00541298" w:rsidRPr="00930645" w:rsidRDefault="00541298">
      <w:pPr>
        <w:spacing w:after="200" w:line="276" w:lineRule="auto"/>
        <w:jc w:val="both"/>
        <w:rPr>
          <w:color w:val="000000" w:themeColor="text1"/>
        </w:rPr>
      </w:pPr>
    </w:p>
    <w:p w14:paraId="60966CF5" w14:textId="77777777" w:rsidR="00930645" w:rsidRDefault="00930645">
      <w:pPr>
        <w:pStyle w:val="Heading1"/>
        <w:spacing w:before="320" w:after="160"/>
        <w:rPr>
          <w:rFonts w:ascii="Calibri" w:eastAsia="Calibri" w:hAnsi="Calibri" w:cs="Calibri"/>
          <w:b/>
          <w:bCs/>
          <w:color w:val="000000" w:themeColor="text1"/>
        </w:rPr>
      </w:pPr>
    </w:p>
    <w:p w14:paraId="53D798ED" w14:textId="77777777" w:rsidR="00930645" w:rsidRDefault="00930645">
      <w:pPr>
        <w:pStyle w:val="Heading1"/>
        <w:spacing w:before="320" w:after="160"/>
        <w:rPr>
          <w:rFonts w:ascii="Calibri" w:eastAsia="Calibri" w:hAnsi="Calibri" w:cs="Calibri"/>
          <w:b/>
          <w:bCs/>
          <w:color w:val="000000" w:themeColor="text1"/>
        </w:rPr>
      </w:pPr>
    </w:p>
    <w:p w14:paraId="044082ED" w14:textId="05DEEA85"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lastRenderedPageBreak/>
        <w:t>References</w:t>
      </w:r>
    </w:p>
    <w:p w14:paraId="39EB6BF4"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Aupperle-Lellbach, H., Kehl, A., de Brot, S., &amp; van der Weyden, L. (2024). Clinical use of molecular biomarkers in canine and feline oncology: Current and future. </w:t>
      </w:r>
      <w:r w:rsidRPr="00930645">
        <w:rPr>
          <w:rFonts w:ascii="Calibri" w:eastAsia="Calibri" w:hAnsi="Calibri" w:cs="Calibri"/>
          <w:i/>
          <w:iCs/>
          <w:color w:val="000000" w:themeColor="text1"/>
          <w:sz w:val="22"/>
          <w:szCs w:val="22"/>
        </w:rPr>
        <w:t>Veterinary Sciences</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11</w:t>
      </w:r>
      <w:r w:rsidRPr="00930645">
        <w:rPr>
          <w:rFonts w:ascii="Calibri" w:eastAsia="Calibri" w:hAnsi="Calibri" w:cs="Calibri"/>
          <w:color w:val="000000" w:themeColor="text1"/>
          <w:sz w:val="22"/>
          <w:szCs w:val="22"/>
        </w:rPr>
        <w:t>(5), 199. https://doi.org/10.3390/vetsci11050199</w:t>
      </w:r>
    </w:p>
    <w:p w14:paraId="17994FC7" w14:textId="77777777" w:rsidR="00817E8E" w:rsidRPr="00930645" w:rsidRDefault="00000000">
      <w:pPr>
        <w:spacing w:after="160" w:line="264" w:lineRule="auto"/>
        <w:ind w:left="720" w:hanging="720"/>
        <w:rPr>
          <w:color w:val="000000" w:themeColor="text1"/>
        </w:rPr>
      </w:pPr>
      <w:proofErr w:type="spellStart"/>
      <w:r w:rsidRPr="00930645">
        <w:rPr>
          <w:rFonts w:ascii="Calibri" w:eastAsia="Calibri" w:hAnsi="Calibri" w:cs="Calibri"/>
          <w:color w:val="000000" w:themeColor="text1"/>
          <w:sz w:val="22"/>
          <w:szCs w:val="22"/>
        </w:rPr>
        <w:t>Cerón</w:t>
      </w:r>
      <w:proofErr w:type="spellEnd"/>
      <w:r w:rsidRPr="00930645">
        <w:rPr>
          <w:rFonts w:ascii="Calibri" w:eastAsia="Calibri" w:hAnsi="Calibri" w:cs="Calibri"/>
          <w:color w:val="000000" w:themeColor="text1"/>
          <w:sz w:val="22"/>
          <w:szCs w:val="22"/>
        </w:rPr>
        <w:t xml:space="preserve">, J. J., </w:t>
      </w:r>
      <w:proofErr w:type="spellStart"/>
      <w:r w:rsidRPr="00930645">
        <w:rPr>
          <w:rFonts w:ascii="Calibri" w:eastAsia="Calibri" w:hAnsi="Calibri" w:cs="Calibri"/>
          <w:color w:val="000000" w:themeColor="text1"/>
          <w:sz w:val="22"/>
          <w:szCs w:val="22"/>
        </w:rPr>
        <w:t>Eckersall</w:t>
      </w:r>
      <w:proofErr w:type="spellEnd"/>
      <w:r w:rsidRPr="00930645">
        <w:rPr>
          <w:rFonts w:ascii="Calibri" w:eastAsia="Calibri" w:hAnsi="Calibri" w:cs="Calibri"/>
          <w:color w:val="000000" w:themeColor="text1"/>
          <w:sz w:val="22"/>
          <w:szCs w:val="22"/>
        </w:rPr>
        <w:t>, P. D., &amp; Martínez-</w:t>
      </w:r>
      <w:proofErr w:type="spellStart"/>
      <w:r w:rsidRPr="00930645">
        <w:rPr>
          <w:rFonts w:ascii="Calibri" w:eastAsia="Calibri" w:hAnsi="Calibri" w:cs="Calibri"/>
          <w:color w:val="000000" w:themeColor="text1"/>
          <w:sz w:val="22"/>
          <w:szCs w:val="22"/>
        </w:rPr>
        <w:t>Subiela</w:t>
      </w:r>
      <w:proofErr w:type="spellEnd"/>
      <w:r w:rsidRPr="00930645">
        <w:rPr>
          <w:rFonts w:ascii="Calibri" w:eastAsia="Calibri" w:hAnsi="Calibri" w:cs="Calibri"/>
          <w:color w:val="000000" w:themeColor="text1"/>
          <w:sz w:val="22"/>
          <w:szCs w:val="22"/>
        </w:rPr>
        <w:t xml:space="preserve">, S. (2005). Acute phase proteins in dogs and cats: Current knowledge and future perspectives. </w:t>
      </w:r>
      <w:r w:rsidRPr="00930645">
        <w:rPr>
          <w:rFonts w:ascii="Calibri" w:eastAsia="Calibri" w:hAnsi="Calibri" w:cs="Calibri"/>
          <w:i/>
          <w:iCs/>
          <w:color w:val="000000" w:themeColor="text1"/>
          <w:sz w:val="22"/>
          <w:szCs w:val="22"/>
        </w:rPr>
        <w:t>Veterinary Clinical Pathology</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34</w:t>
      </w:r>
      <w:r w:rsidRPr="00930645">
        <w:rPr>
          <w:rFonts w:ascii="Calibri" w:eastAsia="Calibri" w:hAnsi="Calibri" w:cs="Calibri"/>
          <w:color w:val="000000" w:themeColor="text1"/>
          <w:sz w:val="22"/>
          <w:szCs w:val="22"/>
        </w:rPr>
        <w:t>(2), 85–99. https://doi.org/10.1111/j.1939-165X.2005.tb00019.x</w:t>
      </w:r>
    </w:p>
    <w:p w14:paraId="6F963A7D"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de Lima, G. V., &amp; Ferreira, F. S. (2017). N-terminal-pro brain natriuretic peptides in dogs and cats: A technical and clinical review. </w:t>
      </w:r>
      <w:r w:rsidRPr="00930645">
        <w:rPr>
          <w:rFonts w:ascii="Calibri" w:eastAsia="Calibri" w:hAnsi="Calibri" w:cs="Calibri"/>
          <w:i/>
          <w:iCs/>
          <w:color w:val="000000" w:themeColor="text1"/>
          <w:sz w:val="22"/>
          <w:szCs w:val="22"/>
        </w:rPr>
        <w:t>Veterinary World</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10</w:t>
      </w:r>
      <w:r w:rsidRPr="00930645">
        <w:rPr>
          <w:rFonts w:ascii="Calibri" w:eastAsia="Calibri" w:hAnsi="Calibri" w:cs="Calibri"/>
          <w:color w:val="000000" w:themeColor="text1"/>
          <w:sz w:val="22"/>
          <w:szCs w:val="22"/>
        </w:rPr>
        <w:t>(9), 1072–1082. https://doi.org/10.14202/vetworld.2017.1072-1082</w:t>
      </w:r>
    </w:p>
    <w:p w14:paraId="714ECC43"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Donner, J., Kaukonen, M., Anderson, H., Möller, F., </w:t>
      </w:r>
      <w:proofErr w:type="spellStart"/>
      <w:r w:rsidRPr="00930645">
        <w:rPr>
          <w:rFonts w:ascii="Calibri" w:eastAsia="Calibri" w:hAnsi="Calibri" w:cs="Calibri"/>
          <w:color w:val="000000" w:themeColor="text1"/>
          <w:sz w:val="22"/>
          <w:szCs w:val="22"/>
        </w:rPr>
        <w:t>Kyöstilä</w:t>
      </w:r>
      <w:proofErr w:type="spellEnd"/>
      <w:r w:rsidRPr="00930645">
        <w:rPr>
          <w:rFonts w:ascii="Calibri" w:eastAsia="Calibri" w:hAnsi="Calibri" w:cs="Calibri"/>
          <w:color w:val="000000" w:themeColor="text1"/>
          <w:sz w:val="22"/>
          <w:szCs w:val="22"/>
        </w:rPr>
        <w:t xml:space="preserve">, K., Sankari, S., Hytönen, M. K., Giger, U., &amp; </w:t>
      </w:r>
      <w:proofErr w:type="spellStart"/>
      <w:r w:rsidRPr="00930645">
        <w:rPr>
          <w:rFonts w:ascii="Calibri" w:eastAsia="Calibri" w:hAnsi="Calibri" w:cs="Calibri"/>
          <w:color w:val="000000" w:themeColor="text1"/>
          <w:sz w:val="22"/>
          <w:szCs w:val="22"/>
        </w:rPr>
        <w:t>Lohi</w:t>
      </w:r>
      <w:proofErr w:type="spellEnd"/>
      <w:r w:rsidRPr="00930645">
        <w:rPr>
          <w:rFonts w:ascii="Calibri" w:eastAsia="Calibri" w:hAnsi="Calibri" w:cs="Calibri"/>
          <w:color w:val="000000" w:themeColor="text1"/>
          <w:sz w:val="22"/>
          <w:szCs w:val="22"/>
        </w:rPr>
        <w:t xml:space="preserve">, H. (2016). Genetic panel screening of nearly 100 mutations reveals new insights into the breed distribution of risk variants for canine hereditary disorders. </w:t>
      </w:r>
      <w:r w:rsidRPr="00930645">
        <w:rPr>
          <w:rFonts w:ascii="Calibri" w:eastAsia="Calibri" w:hAnsi="Calibri" w:cs="Calibri"/>
          <w:i/>
          <w:iCs/>
          <w:color w:val="000000" w:themeColor="text1"/>
          <w:sz w:val="22"/>
          <w:szCs w:val="22"/>
        </w:rPr>
        <w:t>PLOS ONE</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11</w:t>
      </w:r>
      <w:r w:rsidRPr="00930645">
        <w:rPr>
          <w:rFonts w:ascii="Calibri" w:eastAsia="Calibri" w:hAnsi="Calibri" w:cs="Calibri"/>
          <w:color w:val="000000" w:themeColor="text1"/>
          <w:sz w:val="22"/>
          <w:szCs w:val="22"/>
        </w:rPr>
        <w:t>(8), e0161005. https://doi.org/10.1371/journal.pone.0161005</w:t>
      </w:r>
    </w:p>
    <w:p w14:paraId="76FF141B" w14:textId="77777777" w:rsidR="00817E8E" w:rsidRPr="00930645" w:rsidRDefault="00000000">
      <w:pPr>
        <w:spacing w:after="160" w:line="264" w:lineRule="auto"/>
        <w:ind w:left="720" w:hanging="720"/>
        <w:rPr>
          <w:color w:val="000000" w:themeColor="text1"/>
        </w:rPr>
      </w:pPr>
      <w:proofErr w:type="spellStart"/>
      <w:r w:rsidRPr="00930645">
        <w:rPr>
          <w:rFonts w:ascii="Calibri" w:eastAsia="Calibri" w:hAnsi="Calibri" w:cs="Calibri"/>
          <w:color w:val="000000" w:themeColor="text1"/>
          <w:sz w:val="22"/>
          <w:szCs w:val="22"/>
        </w:rPr>
        <w:t>Eckersall</w:t>
      </w:r>
      <w:proofErr w:type="spellEnd"/>
      <w:r w:rsidRPr="00930645">
        <w:rPr>
          <w:rFonts w:ascii="Calibri" w:eastAsia="Calibri" w:hAnsi="Calibri" w:cs="Calibri"/>
          <w:color w:val="000000" w:themeColor="text1"/>
          <w:sz w:val="22"/>
          <w:szCs w:val="22"/>
        </w:rPr>
        <w:t xml:space="preserve">, P. D., &amp; Bell, R. (2010). Acute phase proteins: Biomarkers of infection and inflammation in veterinary medicine. </w:t>
      </w:r>
      <w:r w:rsidRPr="00930645">
        <w:rPr>
          <w:rFonts w:ascii="Calibri" w:eastAsia="Calibri" w:hAnsi="Calibri" w:cs="Calibri"/>
          <w:i/>
          <w:iCs/>
          <w:color w:val="000000" w:themeColor="text1"/>
          <w:sz w:val="22"/>
          <w:szCs w:val="22"/>
        </w:rPr>
        <w:t>The Veterinary Journal</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185</w:t>
      </w:r>
      <w:r w:rsidRPr="00930645">
        <w:rPr>
          <w:rFonts w:ascii="Calibri" w:eastAsia="Calibri" w:hAnsi="Calibri" w:cs="Calibri"/>
          <w:color w:val="000000" w:themeColor="text1"/>
          <w:sz w:val="22"/>
          <w:szCs w:val="22"/>
        </w:rPr>
        <w:t>(1), 23–27. https://doi.org/10.1016/j.tvjl.2010.04.009</w:t>
      </w:r>
    </w:p>
    <w:p w14:paraId="32B3540F"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Ferrari, R. (2015). Writing narrative style literature reviews. </w:t>
      </w:r>
      <w:r w:rsidRPr="00930645">
        <w:rPr>
          <w:rFonts w:ascii="Calibri" w:eastAsia="Calibri" w:hAnsi="Calibri" w:cs="Calibri"/>
          <w:i/>
          <w:iCs/>
          <w:color w:val="000000" w:themeColor="text1"/>
          <w:sz w:val="22"/>
          <w:szCs w:val="22"/>
        </w:rPr>
        <w:t>Medical Writing</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24</w:t>
      </w:r>
      <w:r w:rsidRPr="00930645">
        <w:rPr>
          <w:rFonts w:ascii="Calibri" w:eastAsia="Calibri" w:hAnsi="Calibri" w:cs="Calibri"/>
          <w:color w:val="000000" w:themeColor="text1"/>
          <w:sz w:val="22"/>
          <w:szCs w:val="22"/>
        </w:rPr>
        <w:t>(4), 230–235. https://doi.org/10.1179/2047480615Z.000000000329</w:t>
      </w:r>
    </w:p>
    <w:p w14:paraId="24AC8DDB"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Green, B. N., Johnson, C. D., &amp; Adams, A. (2006). Writing narrative literature reviews for peer-reviewed journals: Secrets of the trade. </w:t>
      </w:r>
      <w:r w:rsidRPr="00930645">
        <w:rPr>
          <w:rFonts w:ascii="Calibri" w:eastAsia="Calibri" w:hAnsi="Calibri" w:cs="Calibri"/>
          <w:i/>
          <w:iCs/>
          <w:color w:val="000000" w:themeColor="text1"/>
          <w:sz w:val="22"/>
          <w:szCs w:val="22"/>
        </w:rPr>
        <w:t>Journal of Chiropractic Medicine</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5</w:t>
      </w:r>
      <w:r w:rsidRPr="00930645">
        <w:rPr>
          <w:rFonts w:ascii="Calibri" w:eastAsia="Calibri" w:hAnsi="Calibri" w:cs="Calibri"/>
          <w:color w:val="000000" w:themeColor="text1"/>
          <w:sz w:val="22"/>
          <w:szCs w:val="22"/>
        </w:rPr>
        <w:t>(3), 101–117. https://doi.org/10.1016/S0899-3467(07)60142-6</w:t>
      </w:r>
    </w:p>
    <w:p w14:paraId="0ACACC33" w14:textId="77777777" w:rsidR="00817E8E" w:rsidRPr="00930645" w:rsidRDefault="00000000">
      <w:pPr>
        <w:spacing w:after="160" w:line="264" w:lineRule="auto"/>
        <w:ind w:left="720" w:hanging="720"/>
        <w:rPr>
          <w:color w:val="000000" w:themeColor="text1"/>
        </w:rPr>
      </w:pPr>
      <w:proofErr w:type="spellStart"/>
      <w:r w:rsidRPr="00930645">
        <w:rPr>
          <w:rFonts w:ascii="Calibri" w:eastAsia="Calibri" w:hAnsi="Calibri" w:cs="Calibri"/>
          <w:color w:val="000000" w:themeColor="text1"/>
          <w:sz w:val="22"/>
          <w:szCs w:val="22"/>
        </w:rPr>
        <w:t>Kambayashi</w:t>
      </w:r>
      <w:proofErr w:type="spellEnd"/>
      <w:r w:rsidRPr="00930645">
        <w:rPr>
          <w:rFonts w:ascii="Calibri" w:eastAsia="Calibri" w:hAnsi="Calibri" w:cs="Calibri"/>
          <w:color w:val="000000" w:themeColor="text1"/>
          <w:sz w:val="22"/>
          <w:szCs w:val="22"/>
        </w:rPr>
        <w:t xml:space="preserve">, S., </w:t>
      </w:r>
      <w:r w:rsidRPr="00930645">
        <w:rPr>
          <w:rFonts w:ascii="Calibri" w:eastAsia="Calibri" w:hAnsi="Calibri" w:cs="Calibri"/>
          <w:i/>
          <w:iCs/>
          <w:color w:val="000000" w:themeColor="text1"/>
          <w:sz w:val="22"/>
          <w:szCs w:val="22"/>
        </w:rPr>
        <w:t>et al.</w:t>
      </w:r>
      <w:r w:rsidRPr="00930645">
        <w:rPr>
          <w:rFonts w:ascii="Calibri" w:eastAsia="Calibri" w:hAnsi="Calibri" w:cs="Calibri"/>
          <w:color w:val="000000" w:themeColor="text1"/>
          <w:sz w:val="22"/>
          <w:szCs w:val="22"/>
        </w:rPr>
        <w:t xml:space="preserve"> (2024). Plasma cell-free DNA in canine lymphoma patients as a novel material for genotyping. </w:t>
      </w:r>
      <w:r w:rsidRPr="00930645">
        <w:rPr>
          <w:rFonts w:ascii="Calibri" w:eastAsia="Calibri" w:hAnsi="Calibri" w:cs="Calibri"/>
          <w:i/>
          <w:iCs/>
          <w:color w:val="000000" w:themeColor="text1"/>
          <w:sz w:val="22"/>
          <w:szCs w:val="22"/>
        </w:rPr>
        <w:t>Veterinary and Comparative Oncology</w:t>
      </w:r>
      <w:r w:rsidRPr="00930645">
        <w:rPr>
          <w:rFonts w:ascii="Calibri" w:eastAsia="Calibri" w:hAnsi="Calibri" w:cs="Calibri"/>
          <w:color w:val="000000" w:themeColor="text1"/>
          <w:sz w:val="22"/>
          <w:szCs w:val="22"/>
        </w:rPr>
        <w:t>. https://doi.org/10.1111/vco.12961</w:t>
      </w:r>
    </w:p>
    <w:p w14:paraId="21087880"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Karttunen, J., Kalmar, L., Grant, A., Ying, J., Stewart, S. E., Wang, X., Frankl, F. K., &amp; Williams, T. (2024). miR-182, miR-221 and miR-222 are potential urinary extracellular vesicle biomarkers for canine urothelial carcinoma. </w:t>
      </w:r>
      <w:r w:rsidRPr="00930645">
        <w:rPr>
          <w:rFonts w:ascii="Calibri" w:eastAsia="Calibri" w:hAnsi="Calibri" w:cs="Calibri"/>
          <w:i/>
          <w:iCs/>
          <w:color w:val="000000" w:themeColor="text1"/>
          <w:sz w:val="22"/>
          <w:szCs w:val="22"/>
        </w:rPr>
        <w:t>Scientific Reports</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14</w:t>
      </w:r>
      <w:r w:rsidRPr="00930645">
        <w:rPr>
          <w:rFonts w:ascii="Calibri" w:eastAsia="Calibri" w:hAnsi="Calibri" w:cs="Calibri"/>
          <w:color w:val="000000" w:themeColor="text1"/>
          <w:sz w:val="22"/>
          <w:szCs w:val="22"/>
        </w:rPr>
        <w:t>, 17967. https://doi.org/10.1038/s41598-024-69070-7</w:t>
      </w:r>
    </w:p>
    <w:p w14:paraId="5D039446"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Kehl, A., Aupperle-Lellbach, H., de Brot, S., &amp; van der Weyden, L. (2024). Review of molecular technologies for investigating canine cancer. </w:t>
      </w:r>
      <w:r w:rsidRPr="00930645">
        <w:rPr>
          <w:rFonts w:ascii="Calibri" w:eastAsia="Calibri" w:hAnsi="Calibri" w:cs="Calibri"/>
          <w:i/>
          <w:iCs/>
          <w:color w:val="000000" w:themeColor="text1"/>
          <w:sz w:val="22"/>
          <w:szCs w:val="22"/>
        </w:rPr>
        <w:t>Animals</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14</w:t>
      </w:r>
      <w:r w:rsidRPr="00930645">
        <w:rPr>
          <w:rFonts w:ascii="Calibri" w:eastAsia="Calibri" w:hAnsi="Calibri" w:cs="Calibri"/>
          <w:color w:val="000000" w:themeColor="text1"/>
          <w:sz w:val="22"/>
          <w:szCs w:val="22"/>
        </w:rPr>
        <w:t>(5), 769. https://doi.org/10.3390/ani14050769</w:t>
      </w:r>
    </w:p>
    <w:p w14:paraId="6D5C3019"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Kent, M. S., </w:t>
      </w:r>
      <w:proofErr w:type="spellStart"/>
      <w:r w:rsidRPr="00930645">
        <w:rPr>
          <w:rFonts w:ascii="Calibri" w:eastAsia="Calibri" w:hAnsi="Calibri" w:cs="Calibri"/>
          <w:color w:val="000000" w:themeColor="text1"/>
          <w:sz w:val="22"/>
          <w:szCs w:val="22"/>
        </w:rPr>
        <w:t>Zwingenberger</w:t>
      </w:r>
      <w:proofErr w:type="spellEnd"/>
      <w:r w:rsidRPr="00930645">
        <w:rPr>
          <w:rFonts w:ascii="Calibri" w:eastAsia="Calibri" w:hAnsi="Calibri" w:cs="Calibri"/>
          <w:color w:val="000000" w:themeColor="text1"/>
          <w:sz w:val="22"/>
          <w:szCs w:val="22"/>
        </w:rPr>
        <w:t xml:space="preserve">, A., Westropp, J. L., Barrett, L. E., Durbin-Johnson, B. P., Ghosh, P., &amp; Vinall, R. L. (2017). MicroRNA profiling of dogs with transitional cell carcinoma of the bladder using blood and urine samples. </w:t>
      </w:r>
      <w:r w:rsidRPr="00930645">
        <w:rPr>
          <w:rFonts w:ascii="Calibri" w:eastAsia="Calibri" w:hAnsi="Calibri" w:cs="Calibri"/>
          <w:i/>
          <w:iCs/>
          <w:color w:val="000000" w:themeColor="text1"/>
          <w:sz w:val="22"/>
          <w:szCs w:val="22"/>
        </w:rPr>
        <w:t>BMC Veterinary Research</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13</w:t>
      </w:r>
      <w:r w:rsidRPr="00930645">
        <w:rPr>
          <w:rFonts w:ascii="Calibri" w:eastAsia="Calibri" w:hAnsi="Calibri" w:cs="Calibri"/>
          <w:color w:val="000000" w:themeColor="text1"/>
          <w:sz w:val="22"/>
          <w:szCs w:val="22"/>
        </w:rPr>
        <w:t>, 339. https://doi.org/10.1186/s12917-017-1259-1</w:t>
      </w:r>
    </w:p>
    <w:p w14:paraId="04AE13CA"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Langhorn, R., &amp; Willesen, J. L. (2016). Cardiac troponins in dogs and cats. </w:t>
      </w:r>
      <w:r w:rsidRPr="00930645">
        <w:rPr>
          <w:rFonts w:ascii="Calibri" w:eastAsia="Calibri" w:hAnsi="Calibri" w:cs="Calibri"/>
          <w:i/>
          <w:iCs/>
          <w:color w:val="000000" w:themeColor="text1"/>
          <w:sz w:val="22"/>
          <w:szCs w:val="22"/>
        </w:rPr>
        <w:t>Journal of Veterinary Internal Medicine</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30</w:t>
      </w:r>
      <w:r w:rsidRPr="00930645">
        <w:rPr>
          <w:rFonts w:ascii="Calibri" w:eastAsia="Calibri" w:hAnsi="Calibri" w:cs="Calibri"/>
          <w:color w:val="000000" w:themeColor="text1"/>
          <w:sz w:val="22"/>
          <w:szCs w:val="22"/>
        </w:rPr>
        <w:t>(1), 36–50. https://doi.org/10.1111/jvim.13801</w:t>
      </w:r>
    </w:p>
    <w:p w14:paraId="2539E4A8"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lastRenderedPageBreak/>
        <w:t xml:space="preserve">Luis Fuentes, V., Abbott, J., </w:t>
      </w:r>
      <w:proofErr w:type="spellStart"/>
      <w:r w:rsidRPr="00930645">
        <w:rPr>
          <w:rFonts w:ascii="Calibri" w:eastAsia="Calibri" w:hAnsi="Calibri" w:cs="Calibri"/>
          <w:color w:val="000000" w:themeColor="text1"/>
          <w:sz w:val="22"/>
          <w:szCs w:val="22"/>
        </w:rPr>
        <w:t>Chetboul</w:t>
      </w:r>
      <w:proofErr w:type="spellEnd"/>
      <w:r w:rsidRPr="00930645">
        <w:rPr>
          <w:rFonts w:ascii="Calibri" w:eastAsia="Calibri" w:hAnsi="Calibri" w:cs="Calibri"/>
          <w:color w:val="000000" w:themeColor="text1"/>
          <w:sz w:val="22"/>
          <w:szCs w:val="22"/>
        </w:rPr>
        <w:t xml:space="preserve">, V., Côté, E., Fox, P. R., Häggström, J., Kittleson, M. D., Schober, K., &amp; Stern, J. A. (2020). ACVIM consensus statement guidelines for the classification, diagnosis, and management of cardiomyopathies in cats. </w:t>
      </w:r>
      <w:r w:rsidRPr="00930645">
        <w:rPr>
          <w:rFonts w:ascii="Calibri" w:eastAsia="Calibri" w:hAnsi="Calibri" w:cs="Calibri"/>
          <w:i/>
          <w:iCs/>
          <w:color w:val="000000" w:themeColor="text1"/>
          <w:sz w:val="22"/>
          <w:szCs w:val="22"/>
        </w:rPr>
        <w:t>Journal of Veterinary Internal Medicine</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34</w:t>
      </w:r>
      <w:r w:rsidRPr="00930645">
        <w:rPr>
          <w:rFonts w:ascii="Calibri" w:eastAsia="Calibri" w:hAnsi="Calibri" w:cs="Calibri"/>
          <w:color w:val="000000" w:themeColor="text1"/>
          <w:sz w:val="22"/>
          <w:szCs w:val="22"/>
        </w:rPr>
        <w:t>(3), 1062–1077. https://doi.org/10.1111/jvim.15745</w:t>
      </w:r>
    </w:p>
    <w:p w14:paraId="3905C451"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Mack, R. M., Hegarty, E., McCrann, D. J., Michael, H. T., &amp; Grauer, G. F. (2021). Longitudinal evaluation of symmetric dimethylarginine and concordance of kidney biomarkers in cats and dogs. </w:t>
      </w:r>
      <w:r w:rsidRPr="00930645">
        <w:rPr>
          <w:rFonts w:ascii="Calibri" w:eastAsia="Calibri" w:hAnsi="Calibri" w:cs="Calibri"/>
          <w:i/>
          <w:iCs/>
          <w:color w:val="000000" w:themeColor="text1"/>
          <w:sz w:val="22"/>
          <w:szCs w:val="22"/>
        </w:rPr>
        <w:t>The Veterinary Journal</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276</w:t>
      </w:r>
      <w:r w:rsidRPr="00930645">
        <w:rPr>
          <w:rFonts w:ascii="Calibri" w:eastAsia="Calibri" w:hAnsi="Calibri" w:cs="Calibri"/>
          <w:color w:val="000000" w:themeColor="text1"/>
          <w:sz w:val="22"/>
          <w:szCs w:val="22"/>
        </w:rPr>
        <w:t>, 105732. https://doi.org/10.1016/j.tvjl.2021.105732</w:t>
      </w:r>
    </w:p>
    <w:p w14:paraId="2D49359D"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Mashego, T., </w:t>
      </w:r>
      <w:r w:rsidRPr="00930645">
        <w:rPr>
          <w:rFonts w:ascii="Calibri" w:eastAsia="Calibri" w:hAnsi="Calibri" w:cs="Calibri"/>
          <w:i/>
          <w:iCs/>
          <w:color w:val="000000" w:themeColor="text1"/>
          <w:sz w:val="22"/>
          <w:szCs w:val="22"/>
        </w:rPr>
        <w:t>et al.</w:t>
      </w:r>
      <w:r w:rsidRPr="00930645">
        <w:rPr>
          <w:rFonts w:ascii="Calibri" w:eastAsia="Calibri" w:hAnsi="Calibri" w:cs="Calibri"/>
          <w:color w:val="000000" w:themeColor="text1"/>
          <w:sz w:val="22"/>
          <w:szCs w:val="22"/>
        </w:rPr>
        <w:t xml:space="preserve"> (2025). Analytical and quality control validation of a novel symmetric dimethylarginine assay in dogs and cats. </w:t>
      </w:r>
      <w:r w:rsidRPr="00930645">
        <w:rPr>
          <w:rFonts w:ascii="Calibri" w:eastAsia="Calibri" w:hAnsi="Calibri" w:cs="Calibri"/>
          <w:i/>
          <w:iCs/>
          <w:color w:val="000000" w:themeColor="text1"/>
          <w:sz w:val="22"/>
          <w:szCs w:val="22"/>
        </w:rPr>
        <w:t>Veterinary Clinical Pathology</w:t>
      </w:r>
      <w:r w:rsidRPr="00930645">
        <w:rPr>
          <w:rFonts w:ascii="Calibri" w:eastAsia="Calibri" w:hAnsi="Calibri" w:cs="Calibri"/>
          <w:color w:val="000000" w:themeColor="text1"/>
          <w:sz w:val="22"/>
          <w:szCs w:val="22"/>
        </w:rPr>
        <w:t>. https://doi.org/10.1111/vcp.70037</w:t>
      </w:r>
    </w:p>
    <w:p w14:paraId="6C9A87DF"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Mitchell, K. D., </w:t>
      </w:r>
      <w:r w:rsidRPr="00930645">
        <w:rPr>
          <w:rFonts w:ascii="Calibri" w:eastAsia="Calibri" w:hAnsi="Calibri" w:cs="Calibri"/>
          <w:i/>
          <w:iCs/>
          <w:color w:val="000000" w:themeColor="text1"/>
          <w:sz w:val="22"/>
          <w:szCs w:val="22"/>
        </w:rPr>
        <w:t>et al.</w:t>
      </w:r>
      <w:r w:rsidRPr="00930645">
        <w:rPr>
          <w:rFonts w:ascii="Calibri" w:eastAsia="Calibri" w:hAnsi="Calibri" w:cs="Calibri"/>
          <w:color w:val="000000" w:themeColor="text1"/>
          <w:sz w:val="22"/>
          <w:szCs w:val="22"/>
        </w:rPr>
        <w:t xml:space="preserve"> (2024). Serial monitoring of pancreatic lipase immunoreactivity, C-reactive protein, abdominal ultrasonography, and clinical severity in dogs with suspected pancreatitis. </w:t>
      </w:r>
      <w:r w:rsidRPr="00930645">
        <w:rPr>
          <w:rFonts w:ascii="Calibri" w:eastAsia="Calibri" w:hAnsi="Calibri" w:cs="Calibri"/>
          <w:i/>
          <w:iCs/>
          <w:color w:val="000000" w:themeColor="text1"/>
          <w:sz w:val="22"/>
          <w:szCs w:val="22"/>
        </w:rPr>
        <w:t>Journal of Veterinary Internal Medicine</w:t>
      </w:r>
      <w:r w:rsidRPr="00930645">
        <w:rPr>
          <w:rFonts w:ascii="Calibri" w:eastAsia="Calibri" w:hAnsi="Calibri" w:cs="Calibri"/>
          <w:color w:val="000000" w:themeColor="text1"/>
          <w:sz w:val="22"/>
          <w:szCs w:val="22"/>
        </w:rPr>
        <w:t>. https://doi.org/10.1111/jvim.17020</w:t>
      </w:r>
    </w:p>
    <w:p w14:paraId="7F5B6CEB"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Nabity, M. B., Lees, G. E., Boggess, M. M., Yerramilli, M., Obare, E., Yerramilli, M., </w:t>
      </w:r>
      <w:proofErr w:type="spellStart"/>
      <w:r w:rsidRPr="00930645">
        <w:rPr>
          <w:rFonts w:ascii="Calibri" w:eastAsia="Calibri" w:hAnsi="Calibri" w:cs="Calibri"/>
          <w:color w:val="000000" w:themeColor="text1"/>
          <w:sz w:val="22"/>
          <w:szCs w:val="22"/>
        </w:rPr>
        <w:t>Rakitin</w:t>
      </w:r>
      <w:proofErr w:type="spellEnd"/>
      <w:r w:rsidRPr="00930645">
        <w:rPr>
          <w:rFonts w:ascii="Calibri" w:eastAsia="Calibri" w:hAnsi="Calibri" w:cs="Calibri"/>
          <w:color w:val="000000" w:themeColor="text1"/>
          <w:sz w:val="22"/>
          <w:szCs w:val="22"/>
        </w:rPr>
        <w:t xml:space="preserve">, A., Aguiar, J., &amp; Relford, R. (2015). Symmetric dimethylarginine assay validation, stability, and evaluation as a marker for the early detection of chronic kidney disease in dogs. </w:t>
      </w:r>
      <w:r w:rsidRPr="00930645">
        <w:rPr>
          <w:rFonts w:ascii="Calibri" w:eastAsia="Calibri" w:hAnsi="Calibri" w:cs="Calibri"/>
          <w:i/>
          <w:iCs/>
          <w:color w:val="000000" w:themeColor="text1"/>
          <w:sz w:val="22"/>
          <w:szCs w:val="22"/>
        </w:rPr>
        <w:t>Journal of Veterinary Internal Medicine</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29</w:t>
      </w:r>
      <w:r w:rsidRPr="00930645">
        <w:rPr>
          <w:rFonts w:ascii="Calibri" w:eastAsia="Calibri" w:hAnsi="Calibri" w:cs="Calibri"/>
          <w:color w:val="000000" w:themeColor="text1"/>
          <w:sz w:val="22"/>
          <w:szCs w:val="22"/>
        </w:rPr>
        <w:t>(4), 1036–1044. https://doi.org/10.1111/jvim.12835</w:t>
      </w:r>
    </w:p>
    <w:p w14:paraId="716E7DC3"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Perera, T. R. W., Skerrett-Byrne, D. A., Gibb, Z., Nixon, B., &amp; </w:t>
      </w:r>
      <w:proofErr w:type="spellStart"/>
      <w:r w:rsidRPr="00930645">
        <w:rPr>
          <w:rFonts w:ascii="Calibri" w:eastAsia="Calibri" w:hAnsi="Calibri" w:cs="Calibri"/>
          <w:color w:val="000000" w:themeColor="text1"/>
          <w:sz w:val="22"/>
          <w:szCs w:val="22"/>
        </w:rPr>
        <w:t>Swegen</w:t>
      </w:r>
      <w:proofErr w:type="spellEnd"/>
      <w:r w:rsidRPr="00930645">
        <w:rPr>
          <w:rFonts w:ascii="Calibri" w:eastAsia="Calibri" w:hAnsi="Calibri" w:cs="Calibri"/>
          <w:color w:val="000000" w:themeColor="text1"/>
          <w:sz w:val="22"/>
          <w:szCs w:val="22"/>
        </w:rPr>
        <w:t xml:space="preserve">, A. (2022). The future of biomarkers in veterinary medicine: Emerging approaches and associated challenges. </w:t>
      </w:r>
      <w:r w:rsidRPr="00930645">
        <w:rPr>
          <w:rFonts w:ascii="Calibri" w:eastAsia="Calibri" w:hAnsi="Calibri" w:cs="Calibri"/>
          <w:i/>
          <w:iCs/>
          <w:color w:val="000000" w:themeColor="text1"/>
          <w:sz w:val="22"/>
          <w:szCs w:val="22"/>
        </w:rPr>
        <w:t>Animals</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12</w:t>
      </w:r>
      <w:r w:rsidRPr="00930645">
        <w:rPr>
          <w:rFonts w:ascii="Calibri" w:eastAsia="Calibri" w:hAnsi="Calibri" w:cs="Calibri"/>
          <w:color w:val="000000" w:themeColor="text1"/>
          <w:sz w:val="22"/>
          <w:szCs w:val="22"/>
        </w:rPr>
        <w:t>(17), 2194. https://doi.org/10.3390/ani12172194</w:t>
      </w:r>
    </w:p>
    <w:p w14:paraId="36DB8E90" w14:textId="77777777" w:rsidR="00817E8E" w:rsidRPr="00930645" w:rsidRDefault="00000000">
      <w:pPr>
        <w:spacing w:after="160" w:line="264" w:lineRule="auto"/>
        <w:ind w:left="720" w:hanging="720"/>
        <w:rPr>
          <w:color w:val="000000" w:themeColor="text1"/>
        </w:rPr>
      </w:pPr>
      <w:proofErr w:type="spellStart"/>
      <w:r w:rsidRPr="00930645">
        <w:rPr>
          <w:rFonts w:ascii="Calibri" w:eastAsia="Calibri" w:hAnsi="Calibri" w:cs="Calibri"/>
          <w:color w:val="000000" w:themeColor="text1"/>
          <w:sz w:val="22"/>
          <w:szCs w:val="22"/>
        </w:rPr>
        <w:t>Prouteau</w:t>
      </w:r>
      <w:proofErr w:type="spellEnd"/>
      <w:r w:rsidRPr="00930645">
        <w:rPr>
          <w:rFonts w:ascii="Calibri" w:eastAsia="Calibri" w:hAnsi="Calibri" w:cs="Calibri"/>
          <w:color w:val="000000" w:themeColor="text1"/>
          <w:sz w:val="22"/>
          <w:szCs w:val="22"/>
        </w:rPr>
        <w:t xml:space="preserve">, A., Denis, J. A., De </w:t>
      </w:r>
      <w:proofErr w:type="spellStart"/>
      <w:r w:rsidRPr="00930645">
        <w:rPr>
          <w:rFonts w:ascii="Calibri" w:eastAsia="Calibri" w:hAnsi="Calibri" w:cs="Calibri"/>
          <w:color w:val="000000" w:themeColor="text1"/>
          <w:sz w:val="22"/>
          <w:szCs w:val="22"/>
        </w:rPr>
        <w:t>Fornel</w:t>
      </w:r>
      <w:proofErr w:type="spellEnd"/>
      <w:r w:rsidRPr="00930645">
        <w:rPr>
          <w:rFonts w:ascii="Calibri" w:eastAsia="Calibri" w:hAnsi="Calibri" w:cs="Calibri"/>
          <w:color w:val="000000" w:themeColor="text1"/>
          <w:sz w:val="22"/>
          <w:szCs w:val="22"/>
        </w:rPr>
        <w:t xml:space="preserve">, P., Cadieu, E., Derrien, T., </w:t>
      </w:r>
      <w:proofErr w:type="spellStart"/>
      <w:r w:rsidRPr="00930645">
        <w:rPr>
          <w:rFonts w:ascii="Calibri" w:eastAsia="Calibri" w:hAnsi="Calibri" w:cs="Calibri"/>
          <w:color w:val="000000" w:themeColor="text1"/>
          <w:sz w:val="22"/>
          <w:szCs w:val="22"/>
        </w:rPr>
        <w:t>Kergal</w:t>
      </w:r>
      <w:proofErr w:type="spellEnd"/>
      <w:r w:rsidRPr="00930645">
        <w:rPr>
          <w:rFonts w:ascii="Calibri" w:eastAsia="Calibri" w:hAnsi="Calibri" w:cs="Calibri"/>
          <w:color w:val="000000" w:themeColor="text1"/>
          <w:sz w:val="22"/>
          <w:szCs w:val="22"/>
        </w:rPr>
        <w:t xml:space="preserve">, C., </w:t>
      </w:r>
      <w:proofErr w:type="spellStart"/>
      <w:r w:rsidRPr="00930645">
        <w:rPr>
          <w:rFonts w:ascii="Calibri" w:eastAsia="Calibri" w:hAnsi="Calibri" w:cs="Calibri"/>
          <w:color w:val="000000" w:themeColor="text1"/>
          <w:sz w:val="22"/>
          <w:szCs w:val="22"/>
        </w:rPr>
        <w:t>Botherel</w:t>
      </w:r>
      <w:proofErr w:type="spellEnd"/>
      <w:r w:rsidRPr="00930645">
        <w:rPr>
          <w:rFonts w:ascii="Calibri" w:eastAsia="Calibri" w:hAnsi="Calibri" w:cs="Calibri"/>
          <w:color w:val="000000" w:themeColor="text1"/>
          <w:sz w:val="22"/>
          <w:szCs w:val="22"/>
        </w:rPr>
        <w:t xml:space="preserve">, N., </w:t>
      </w:r>
      <w:proofErr w:type="spellStart"/>
      <w:r w:rsidRPr="00930645">
        <w:rPr>
          <w:rFonts w:ascii="Calibri" w:eastAsia="Calibri" w:hAnsi="Calibri" w:cs="Calibri"/>
          <w:color w:val="000000" w:themeColor="text1"/>
          <w:sz w:val="22"/>
          <w:szCs w:val="22"/>
        </w:rPr>
        <w:t>Ulvé</w:t>
      </w:r>
      <w:proofErr w:type="spellEnd"/>
      <w:r w:rsidRPr="00930645">
        <w:rPr>
          <w:rFonts w:ascii="Calibri" w:eastAsia="Calibri" w:hAnsi="Calibri" w:cs="Calibri"/>
          <w:color w:val="000000" w:themeColor="text1"/>
          <w:sz w:val="22"/>
          <w:szCs w:val="22"/>
        </w:rPr>
        <w:t xml:space="preserve">, R., Rault, M., Bouzidi, A., François, R., Dorso, L., </w:t>
      </w:r>
      <w:proofErr w:type="spellStart"/>
      <w:r w:rsidRPr="00930645">
        <w:rPr>
          <w:rFonts w:ascii="Calibri" w:eastAsia="Calibri" w:hAnsi="Calibri" w:cs="Calibri"/>
          <w:color w:val="000000" w:themeColor="text1"/>
          <w:sz w:val="22"/>
          <w:szCs w:val="22"/>
        </w:rPr>
        <w:t>Lespagnol</w:t>
      </w:r>
      <w:proofErr w:type="spellEnd"/>
      <w:r w:rsidRPr="00930645">
        <w:rPr>
          <w:rFonts w:ascii="Calibri" w:eastAsia="Calibri" w:hAnsi="Calibri" w:cs="Calibri"/>
          <w:color w:val="000000" w:themeColor="text1"/>
          <w:sz w:val="22"/>
          <w:szCs w:val="22"/>
        </w:rPr>
        <w:t xml:space="preserve">, A., </w:t>
      </w:r>
      <w:proofErr w:type="spellStart"/>
      <w:r w:rsidRPr="00930645">
        <w:rPr>
          <w:rFonts w:ascii="Calibri" w:eastAsia="Calibri" w:hAnsi="Calibri" w:cs="Calibri"/>
          <w:color w:val="000000" w:themeColor="text1"/>
          <w:sz w:val="22"/>
          <w:szCs w:val="22"/>
        </w:rPr>
        <w:t>Devauchelle</w:t>
      </w:r>
      <w:proofErr w:type="spellEnd"/>
      <w:r w:rsidRPr="00930645">
        <w:rPr>
          <w:rFonts w:ascii="Calibri" w:eastAsia="Calibri" w:hAnsi="Calibri" w:cs="Calibri"/>
          <w:color w:val="000000" w:themeColor="text1"/>
          <w:sz w:val="22"/>
          <w:szCs w:val="22"/>
        </w:rPr>
        <w:t xml:space="preserve">, P., Abadie, J., André, C., &amp; </w:t>
      </w:r>
      <w:proofErr w:type="spellStart"/>
      <w:r w:rsidRPr="00930645">
        <w:rPr>
          <w:rFonts w:ascii="Calibri" w:eastAsia="Calibri" w:hAnsi="Calibri" w:cs="Calibri"/>
          <w:color w:val="000000" w:themeColor="text1"/>
          <w:sz w:val="22"/>
          <w:szCs w:val="22"/>
        </w:rPr>
        <w:t>Hédan</w:t>
      </w:r>
      <w:proofErr w:type="spellEnd"/>
      <w:r w:rsidRPr="00930645">
        <w:rPr>
          <w:rFonts w:ascii="Calibri" w:eastAsia="Calibri" w:hAnsi="Calibri" w:cs="Calibri"/>
          <w:color w:val="000000" w:themeColor="text1"/>
          <w:sz w:val="22"/>
          <w:szCs w:val="22"/>
        </w:rPr>
        <w:t xml:space="preserve">, B. (2021). Circulating </w:t>
      </w:r>
      <w:proofErr w:type="spellStart"/>
      <w:r w:rsidRPr="00930645">
        <w:rPr>
          <w:rFonts w:ascii="Calibri" w:eastAsia="Calibri" w:hAnsi="Calibri" w:cs="Calibri"/>
          <w:color w:val="000000" w:themeColor="text1"/>
          <w:sz w:val="22"/>
          <w:szCs w:val="22"/>
        </w:rPr>
        <w:t>tumor</w:t>
      </w:r>
      <w:proofErr w:type="spellEnd"/>
      <w:r w:rsidRPr="00930645">
        <w:rPr>
          <w:rFonts w:ascii="Calibri" w:eastAsia="Calibri" w:hAnsi="Calibri" w:cs="Calibri"/>
          <w:color w:val="000000" w:themeColor="text1"/>
          <w:sz w:val="22"/>
          <w:szCs w:val="22"/>
        </w:rPr>
        <w:t xml:space="preserve"> DNA is detectable in canine histiocytic sarcoma, oral malignant melanoma, and multicentric lymphoma. </w:t>
      </w:r>
      <w:r w:rsidRPr="00930645">
        <w:rPr>
          <w:rFonts w:ascii="Calibri" w:eastAsia="Calibri" w:hAnsi="Calibri" w:cs="Calibri"/>
          <w:i/>
          <w:iCs/>
          <w:color w:val="000000" w:themeColor="text1"/>
          <w:sz w:val="22"/>
          <w:szCs w:val="22"/>
        </w:rPr>
        <w:t>Scientific Reports</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11</w:t>
      </w:r>
      <w:r w:rsidRPr="00930645">
        <w:rPr>
          <w:rFonts w:ascii="Calibri" w:eastAsia="Calibri" w:hAnsi="Calibri" w:cs="Calibri"/>
          <w:color w:val="000000" w:themeColor="text1"/>
          <w:sz w:val="22"/>
          <w:szCs w:val="22"/>
        </w:rPr>
        <w:t>, 877. https://doi.org/10.1038/s41598-020-80332-y</w:t>
      </w:r>
    </w:p>
    <w:p w14:paraId="1FF8F35F"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Relford, R., Robertson, J., &amp; Clements, C. (2016). Symmetric dimethylarginine: Improving the diagnosis and staging of chronic kidney disease in small animals. </w:t>
      </w:r>
      <w:r w:rsidRPr="00930645">
        <w:rPr>
          <w:rFonts w:ascii="Calibri" w:eastAsia="Calibri" w:hAnsi="Calibri" w:cs="Calibri"/>
          <w:i/>
          <w:iCs/>
          <w:color w:val="000000" w:themeColor="text1"/>
          <w:sz w:val="22"/>
          <w:szCs w:val="22"/>
        </w:rPr>
        <w:t>Veterinary Clinics of North America: Small Animal Practice</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46</w:t>
      </w:r>
      <w:r w:rsidRPr="00930645">
        <w:rPr>
          <w:rFonts w:ascii="Calibri" w:eastAsia="Calibri" w:hAnsi="Calibri" w:cs="Calibri"/>
          <w:color w:val="000000" w:themeColor="text1"/>
          <w:sz w:val="22"/>
          <w:szCs w:val="22"/>
        </w:rPr>
        <w:t>(6), 941–960. https://doi.org/10.1016/j.cvsm.2016.06.010</w:t>
      </w:r>
    </w:p>
    <w:p w14:paraId="2C9D3ACF"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Rossi, G., </w:t>
      </w:r>
      <w:r w:rsidRPr="00930645">
        <w:rPr>
          <w:rFonts w:ascii="Calibri" w:eastAsia="Calibri" w:hAnsi="Calibri" w:cs="Calibri"/>
          <w:i/>
          <w:iCs/>
          <w:color w:val="000000" w:themeColor="text1"/>
          <w:sz w:val="22"/>
          <w:szCs w:val="22"/>
        </w:rPr>
        <w:t>et al.</w:t>
      </w:r>
      <w:r w:rsidRPr="00930645">
        <w:rPr>
          <w:rFonts w:ascii="Calibri" w:eastAsia="Calibri" w:hAnsi="Calibri" w:cs="Calibri"/>
          <w:color w:val="000000" w:themeColor="text1"/>
          <w:sz w:val="22"/>
          <w:szCs w:val="22"/>
        </w:rPr>
        <w:t xml:space="preserve"> (2023). Acute phase proteins in cats: Diagnostic and prognostic role, future directions, and analytical challenges. </w:t>
      </w:r>
      <w:r w:rsidRPr="00930645">
        <w:rPr>
          <w:rFonts w:ascii="Calibri" w:eastAsia="Calibri" w:hAnsi="Calibri" w:cs="Calibri"/>
          <w:i/>
          <w:iCs/>
          <w:color w:val="000000" w:themeColor="text1"/>
          <w:sz w:val="22"/>
          <w:szCs w:val="22"/>
        </w:rPr>
        <w:t>Veterinary Clinical Pathology</w:t>
      </w:r>
      <w:r w:rsidRPr="00930645">
        <w:rPr>
          <w:rFonts w:ascii="Calibri" w:eastAsia="Calibri" w:hAnsi="Calibri" w:cs="Calibri"/>
          <w:color w:val="000000" w:themeColor="text1"/>
          <w:sz w:val="22"/>
          <w:szCs w:val="22"/>
        </w:rPr>
        <w:t>. https://doi.org/10.1111/vcp.13238</w:t>
      </w:r>
    </w:p>
    <w:p w14:paraId="26E5F2FD"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Simons, F. A., </w:t>
      </w:r>
      <w:proofErr w:type="spellStart"/>
      <w:r w:rsidRPr="00930645">
        <w:rPr>
          <w:rFonts w:ascii="Calibri" w:eastAsia="Calibri" w:hAnsi="Calibri" w:cs="Calibri"/>
          <w:color w:val="000000" w:themeColor="text1"/>
          <w:sz w:val="22"/>
          <w:szCs w:val="22"/>
        </w:rPr>
        <w:t>Vennema</w:t>
      </w:r>
      <w:proofErr w:type="spellEnd"/>
      <w:r w:rsidRPr="00930645">
        <w:rPr>
          <w:rFonts w:ascii="Calibri" w:eastAsia="Calibri" w:hAnsi="Calibri" w:cs="Calibri"/>
          <w:color w:val="000000" w:themeColor="text1"/>
          <w:sz w:val="22"/>
          <w:szCs w:val="22"/>
        </w:rPr>
        <w:t xml:space="preserve">, H., </w:t>
      </w:r>
      <w:proofErr w:type="spellStart"/>
      <w:r w:rsidRPr="00930645">
        <w:rPr>
          <w:rFonts w:ascii="Calibri" w:eastAsia="Calibri" w:hAnsi="Calibri" w:cs="Calibri"/>
          <w:color w:val="000000" w:themeColor="text1"/>
          <w:sz w:val="22"/>
          <w:szCs w:val="22"/>
        </w:rPr>
        <w:t>Rofina</w:t>
      </w:r>
      <w:proofErr w:type="spellEnd"/>
      <w:r w:rsidRPr="00930645">
        <w:rPr>
          <w:rFonts w:ascii="Calibri" w:eastAsia="Calibri" w:hAnsi="Calibri" w:cs="Calibri"/>
          <w:color w:val="000000" w:themeColor="text1"/>
          <w:sz w:val="22"/>
          <w:szCs w:val="22"/>
        </w:rPr>
        <w:t xml:space="preserve">, J. E., Pol, J. M., </w:t>
      </w:r>
      <w:proofErr w:type="spellStart"/>
      <w:r w:rsidRPr="00930645">
        <w:rPr>
          <w:rFonts w:ascii="Calibri" w:eastAsia="Calibri" w:hAnsi="Calibri" w:cs="Calibri"/>
          <w:color w:val="000000" w:themeColor="text1"/>
          <w:sz w:val="22"/>
          <w:szCs w:val="22"/>
        </w:rPr>
        <w:t>Horzinek</w:t>
      </w:r>
      <w:proofErr w:type="spellEnd"/>
      <w:r w:rsidRPr="00930645">
        <w:rPr>
          <w:rFonts w:ascii="Calibri" w:eastAsia="Calibri" w:hAnsi="Calibri" w:cs="Calibri"/>
          <w:color w:val="000000" w:themeColor="text1"/>
          <w:sz w:val="22"/>
          <w:szCs w:val="22"/>
        </w:rPr>
        <w:t xml:space="preserve">, M. C., Rottier, P. J. M., &amp; </w:t>
      </w:r>
      <w:proofErr w:type="spellStart"/>
      <w:r w:rsidRPr="00930645">
        <w:rPr>
          <w:rFonts w:ascii="Calibri" w:eastAsia="Calibri" w:hAnsi="Calibri" w:cs="Calibri"/>
          <w:color w:val="000000" w:themeColor="text1"/>
          <w:sz w:val="22"/>
          <w:szCs w:val="22"/>
        </w:rPr>
        <w:t>Egberink</w:t>
      </w:r>
      <w:proofErr w:type="spellEnd"/>
      <w:r w:rsidRPr="00930645">
        <w:rPr>
          <w:rFonts w:ascii="Calibri" w:eastAsia="Calibri" w:hAnsi="Calibri" w:cs="Calibri"/>
          <w:color w:val="000000" w:themeColor="text1"/>
          <w:sz w:val="22"/>
          <w:szCs w:val="22"/>
        </w:rPr>
        <w:t xml:space="preserve">, H. F. (2005). An mRNA PCR for the diagnosis of feline infectious peritonitis. </w:t>
      </w:r>
      <w:r w:rsidRPr="00930645">
        <w:rPr>
          <w:rFonts w:ascii="Calibri" w:eastAsia="Calibri" w:hAnsi="Calibri" w:cs="Calibri"/>
          <w:i/>
          <w:iCs/>
          <w:color w:val="000000" w:themeColor="text1"/>
          <w:sz w:val="22"/>
          <w:szCs w:val="22"/>
        </w:rPr>
        <w:t>Journal of Virological Methods</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124</w:t>
      </w:r>
      <w:r w:rsidRPr="00930645">
        <w:rPr>
          <w:rFonts w:ascii="Calibri" w:eastAsia="Calibri" w:hAnsi="Calibri" w:cs="Calibri"/>
          <w:color w:val="000000" w:themeColor="text1"/>
          <w:sz w:val="22"/>
          <w:szCs w:val="22"/>
        </w:rPr>
        <w:t>(1–2), 111–116. https://doi.org/10.1016/j.jviromet.2004.11.012</w:t>
      </w:r>
    </w:p>
    <w:p w14:paraId="5EA79AF1"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Sukhera, J. (2022). Narrative reviews: Flexible, rigorous, and practical. </w:t>
      </w:r>
      <w:r w:rsidRPr="00930645">
        <w:rPr>
          <w:rFonts w:ascii="Calibri" w:eastAsia="Calibri" w:hAnsi="Calibri" w:cs="Calibri"/>
          <w:i/>
          <w:iCs/>
          <w:color w:val="000000" w:themeColor="text1"/>
          <w:sz w:val="22"/>
          <w:szCs w:val="22"/>
        </w:rPr>
        <w:t>Journal of Graduate Medical Education</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14</w:t>
      </w:r>
      <w:r w:rsidRPr="00930645">
        <w:rPr>
          <w:rFonts w:ascii="Calibri" w:eastAsia="Calibri" w:hAnsi="Calibri" w:cs="Calibri"/>
          <w:color w:val="000000" w:themeColor="text1"/>
          <w:sz w:val="22"/>
          <w:szCs w:val="22"/>
        </w:rPr>
        <w:t>(4), 414–417. https://doi.org/10.4300/JGME-D-22-00480.1</w:t>
      </w:r>
    </w:p>
    <w:p w14:paraId="5EEFF0E2"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Trivedi, S., Marks, S. L., Kass, P. H., Luff, J. A., Keller, S. M., Johnson, E. G., &amp; Murphy, B. G. (2011). Sensitivity and specificity of canine pancreas-specific lipase (</w:t>
      </w:r>
      <w:proofErr w:type="spellStart"/>
      <w:r w:rsidRPr="00930645">
        <w:rPr>
          <w:rFonts w:ascii="Calibri" w:eastAsia="Calibri" w:hAnsi="Calibri" w:cs="Calibri"/>
          <w:color w:val="000000" w:themeColor="text1"/>
          <w:sz w:val="22"/>
          <w:szCs w:val="22"/>
        </w:rPr>
        <w:t>cPL</w:t>
      </w:r>
      <w:proofErr w:type="spellEnd"/>
      <w:r w:rsidRPr="00930645">
        <w:rPr>
          <w:rFonts w:ascii="Calibri" w:eastAsia="Calibri" w:hAnsi="Calibri" w:cs="Calibri"/>
          <w:color w:val="000000" w:themeColor="text1"/>
          <w:sz w:val="22"/>
          <w:szCs w:val="22"/>
        </w:rPr>
        <w:t xml:space="preserve">) and other markers for pancreatitis in 70 dogs with and without histopathologic evidence of pancreatitis. </w:t>
      </w:r>
      <w:r w:rsidRPr="00930645">
        <w:rPr>
          <w:rFonts w:ascii="Calibri" w:eastAsia="Calibri" w:hAnsi="Calibri" w:cs="Calibri"/>
          <w:i/>
          <w:iCs/>
          <w:color w:val="000000" w:themeColor="text1"/>
          <w:sz w:val="22"/>
          <w:szCs w:val="22"/>
        </w:rPr>
        <w:t xml:space="preserve">Journal of </w:t>
      </w:r>
      <w:r w:rsidRPr="00930645">
        <w:rPr>
          <w:rFonts w:ascii="Calibri" w:eastAsia="Calibri" w:hAnsi="Calibri" w:cs="Calibri"/>
          <w:i/>
          <w:iCs/>
          <w:color w:val="000000" w:themeColor="text1"/>
          <w:sz w:val="22"/>
          <w:szCs w:val="22"/>
        </w:rPr>
        <w:lastRenderedPageBreak/>
        <w:t>Veterinary Internal Medicine</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25</w:t>
      </w:r>
      <w:r w:rsidRPr="00930645">
        <w:rPr>
          <w:rFonts w:ascii="Calibri" w:eastAsia="Calibri" w:hAnsi="Calibri" w:cs="Calibri"/>
          <w:color w:val="000000" w:themeColor="text1"/>
          <w:sz w:val="22"/>
          <w:szCs w:val="22"/>
        </w:rPr>
        <w:t>(6), 1241–1247. https://doi.org/10.1111/j.1939-1676.2011.00793.x</w:t>
      </w:r>
    </w:p>
    <w:p w14:paraId="35F8E611" w14:textId="77777777" w:rsidR="00817E8E" w:rsidRPr="00930645" w:rsidRDefault="00000000">
      <w:pPr>
        <w:spacing w:after="160" w:line="264" w:lineRule="auto"/>
        <w:ind w:left="720" w:hanging="720"/>
        <w:rPr>
          <w:color w:val="000000" w:themeColor="text1"/>
        </w:rPr>
      </w:pPr>
      <w:r w:rsidRPr="00930645">
        <w:rPr>
          <w:rFonts w:ascii="Calibri" w:eastAsia="Calibri" w:hAnsi="Calibri" w:cs="Calibri"/>
          <w:color w:val="000000" w:themeColor="text1"/>
          <w:sz w:val="22"/>
          <w:szCs w:val="22"/>
        </w:rPr>
        <w:t xml:space="preserve">Varvil, M. S., </w:t>
      </w:r>
      <w:r w:rsidRPr="00930645">
        <w:rPr>
          <w:rFonts w:ascii="Calibri" w:eastAsia="Calibri" w:hAnsi="Calibri" w:cs="Calibri"/>
          <w:i/>
          <w:iCs/>
          <w:color w:val="000000" w:themeColor="text1"/>
          <w:sz w:val="22"/>
          <w:szCs w:val="22"/>
        </w:rPr>
        <w:t>et al.</w:t>
      </w:r>
      <w:r w:rsidRPr="00930645">
        <w:rPr>
          <w:rFonts w:ascii="Calibri" w:eastAsia="Calibri" w:hAnsi="Calibri" w:cs="Calibri"/>
          <w:color w:val="000000" w:themeColor="text1"/>
          <w:sz w:val="22"/>
          <w:szCs w:val="22"/>
        </w:rPr>
        <w:t xml:space="preserve"> (2023). A review on microRNA detection and expression studies in dogs. </w:t>
      </w:r>
      <w:r w:rsidRPr="00930645">
        <w:rPr>
          <w:rFonts w:ascii="Calibri" w:eastAsia="Calibri" w:hAnsi="Calibri" w:cs="Calibri"/>
          <w:i/>
          <w:iCs/>
          <w:color w:val="000000" w:themeColor="text1"/>
          <w:sz w:val="22"/>
          <w:szCs w:val="22"/>
        </w:rPr>
        <w:t>Frontiers in Veterinary Science</w:t>
      </w:r>
      <w:r w:rsidRPr="00930645">
        <w:rPr>
          <w:rFonts w:ascii="Calibri" w:eastAsia="Calibri" w:hAnsi="Calibri" w:cs="Calibri"/>
          <w:color w:val="000000" w:themeColor="text1"/>
          <w:sz w:val="22"/>
          <w:szCs w:val="22"/>
        </w:rPr>
        <w:t xml:space="preserve">, </w:t>
      </w:r>
      <w:r w:rsidRPr="00930645">
        <w:rPr>
          <w:rFonts w:ascii="Calibri" w:eastAsia="Calibri" w:hAnsi="Calibri" w:cs="Calibri"/>
          <w:i/>
          <w:iCs/>
          <w:color w:val="000000" w:themeColor="text1"/>
          <w:sz w:val="22"/>
          <w:szCs w:val="22"/>
        </w:rPr>
        <w:t>10</w:t>
      </w:r>
      <w:r w:rsidRPr="00930645">
        <w:rPr>
          <w:rFonts w:ascii="Calibri" w:eastAsia="Calibri" w:hAnsi="Calibri" w:cs="Calibri"/>
          <w:color w:val="000000" w:themeColor="text1"/>
          <w:sz w:val="22"/>
          <w:szCs w:val="22"/>
        </w:rPr>
        <w:t>, 1261085. https://doi.org/10.3389/fvets.2023.1261085</w:t>
      </w:r>
    </w:p>
    <w:sectPr w:rsidR="00817E8E" w:rsidRPr="009306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D96AE" w14:textId="77777777" w:rsidR="000844B0" w:rsidRDefault="000844B0" w:rsidP="00930645">
      <w:r>
        <w:separator/>
      </w:r>
    </w:p>
  </w:endnote>
  <w:endnote w:type="continuationSeparator" w:id="0">
    <w:p w14:paraId="50668776" w14:textId="77777777" w:rsidR="000844B0" w:rsidRDefault="000844B0" w:rsidP="00930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B58A" w14:textId="77777777" w:rsidR="00930645" w:rsidRDefault="009306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E4C32" w14:textId="77777777" w:rsidR="00930645" w:rsidRDefault="009306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3105" w14:textId="77777777" w:rsidR="00930645" w:rsidRDefault="00930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5BDAB" w14:textId="77777777" w:rsidR="000844B0" w:rsidRDefault="000844B0" w:rsidP="00930645">
      <w:r>
        <w:separator/>
      </w:r>
    </w:p>
  </w:footnote>
  <w:footnote w:type="continuationSeparator" w:id="0">
    <w:p w14:paraId="2E618CB8" w14:textId="77777777" w:rsidR="000844B0" w:rsidRDefault="000844B0" w:rsidP="00930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ECCCB" w14:textId="68639CDF" w:rsidR="00930645" w:rsidRDefault="00930645">
    <w:pPr>
      <w:pStyle w:val="Header"/>
    </w:pPr>
    <w:r>
      <w:rPr>
        <w:noProof/>
      </w:rPr>
      <w:pict w14:anchorId="3549B9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7132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D3217" w14:textId="32869A86" w:rsidR="00930645" w:rsidRDefault="00930645">
    <w:pPr>
      <w:pStyle w:val="Header"/>
    </w:pPr>
    <w:r>
      <w:rPr>
        <w:noProof/>
      </w:rPr>
      <w:pict w14:anchorId="597D2F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7133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2D39" w14:textId="14BB4A85" w:rsidR="00930645" w:rsidRDefault="00930645">
    <w:pPr>
      <w:pStyle w:val="Header"/>
    </w:pPr>
    <w:r>
      <w:rPr>
        <w:noProof/>
      </w:rPr>
      <w:pict w14:anchorId="0DB285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7132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F47701"/>
    <w:multiLevelType w:val="hybridMultilevel"/>
    <w:tmpl w:val="D594130C"/>
    <w:lvl w:ilvl="0" w:tplc="0AC22A2C">
      <w:start w:val="1"/>
      <w:numFmt w:val="bullet"/>
      <w:lvlText w:val="●"/>
      <w:lvlJc w:val="left"/>
      <w:pPr>
        <w:ind w:left="720" w:hanging="360"/>
      </w:pPr>
    </w:lvl>
    <w:lvl w:ilvl="1" w:tplc="35B23A02">
      <w:start w:val="1"/>
      <w:numFmt w:val="bullet"/>
      <w:lvlText w:val="○"/>
      <w:lvlJc w:val="left"/>
      <w:pPr>
        <w:ind w:left="1440" w:hanging="360"/>
      </w:pPr>
    </w:lvl>
    <w:lvl w:ilvl="2" w:tplc="B5200422">
      <w:start w:val="1"/>
      <w:numFmt w:val="bullet"/>
      <w:lvlText w:val="■"/>
      <w:lvlJc w:val="left"/>
      <w:pPr>
        <w:ind w:left="2160" w:hanging="360"/>
      </w:pPr>
    </w:lvl>
    <w:lvl w:ilvl="3" w:tplc="05B8CF04">
      <w:start w:val="1"/>
      <w:numFmt w:val="bullet"/>
      <w:lvlText w:val="●"/>
      <w:lvlJc w:val="left"/>
      <w:pPr>
        <w:ind w:left="2880" w:hanging="360"/>
      </w:pPr>
    </w:lvl>
    <w:lvl w:ilvl="4" w:tplc="6A106F76">
      <w:start w:val="1"/>
      <w:numFmt w:val="bullet"/>
      <w:lvlText w:val="○"/>
      <w:lvlJc w:val="left"/>
      <w:pPr>
        <w:ind w:left="3600" w:hanging="360"/>
      </w:pPr>
    </w:lvl>
    <w:lvl w:ilvl="5" w:tplc="8594FC0A">
      <w:start w:val="1"/>
      <w:numFmt w:val="bullet"/>
      <w:lvlText w:val="■"/>
      <w:lvlJc w:val="left"/>
      <w:pPr>
        <w:ind w:left="4320" w:hanging="360"/>
      </w:pPr>
    </w:lvl>
    <w:lvl w:ilvl="6" w:tplc="BC6CED98">
      <w:start w:val="1"/>
      <w:numFmt w:val="bullet"/>
      <w:lvlText w:val="●"/>
      <w:lvlJc w:val="left"/>
      <w:pPr>
        <w:ind w:left="5040" w:hanging="360"/>
      </w:pPr>
    </w:lvl>
    <w:lvl w:ilvl="7" w:tplc="9134E744">
      <w:start w:val="1"/>
      <w:numFmt w:val="bullet"/>
      <w:lvlText w:val="●"/>
      <w:lvlJc w:val="left"/>
      <w:pPr>
        <w:ind w:left="5760" w:hanging="360"/>
      </w:pPr>
    </w:lvl>
    <w:lvl w:ilvl="8" w:tplc="B3346038">
      <w:start w:val="1"/>
      <w:numFmt w:val="bullet"/>
      <w:lvlText w:val="●"/>
      <w:lvlJc w:val="left"/>
      <w:pPr>
        <w:ind w:left="6480" w:hanging="360"/>
      </w:pPr>
    </w:lvl>
  </w:abstractNum>
  <w:num w:numId="1" w16cid:durableId="6500634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E8E"/>
    <w:rsid w:val="000844B0"/>
    <w:rsid w:val="000D7A53"/>
    <w:rsid w:val="001015C7"/>
    <w:rsid w:val="00251F18"/>
    <w:rsid w:val="00541298"/>
    <w:rsid w:val="00817E8E"/>
    <w:rsid w:val="00930645"/>
    <w:rsid w:val="00AE4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6994D"/>
  <w15:docId w15:val="{21A26430-AD4A-43B6-B8EA-70F1D500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30645"/>
    <w:pPr>
      <w:tabs>
        <w:tab w:val="center" w:pos="4513"/>
        <w:tab w:val="right" w:pos="9026"/>
      </w:tabs>
    </w:pPr>
  </w:style>
  <w:style w:type="character" w:customStyle="1" w:styleId="HeaderChar">
    <w:name w:val="Header Char"/>
    <w:basedOn w:val="DefaultParagraphFont"/>
    <w:link w:val="Header"/>
    <w:uiPriority w:val="99"/>
    <w:rsid w:val="00930645"/>
  </w:style>
  <w:style w:type="paragraph" w:styleId="Footer">
    <w:name w:val="footer"/>
    <w:basedOn w:val="Normal"/>
    <w:link w:val="FooterChar"/>
    <w:uiPriority w:val="99"/>
    <w:unhideWhenUsed/>
    <w:rsid w:val="00930645"/>
    <w:pPr>
      <w:tabs>
        <w:tab w:val="center" w:pos="4513"/>
        <w:tab w:val="right" w:pos="9026"/>
      </w:tabs>
    </w:pPr>
  </w:style>
  <w:style w:type="character" w:customStyle="1" w:styleId="FooterChar">
    <w:name w:val="Footer Char"/>
    <w:basedOn w:val="DefaultParagraphFont"/>
    <w:link w:val="Footer"/>
    <w:uiPriority w:val="99"/>
    <w:rsid w:val="00930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23</Pages>
  <Words>11741</Words>
  <Characters>66925</Characters>
  <Application>Microsoft Office Word</Application>
  <DocSecurity>0</DocSecurity>
  <Lines>557</Lines>
  <Paragraphs>157</Paragraphs>
  <ScaleCrop>false</ScaleCrop>
  <Company>HP</Company>
  <LinksUpToDate>false</LinksUpToDate>
  <CharactersWithSpaces>78509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5</cp:revision>
  <dcterms:created xsi:type="dcterms:W3CDTF">2026-07-15T08:45:00Z</dcterms:created>
  <dcterms:modified xsi:type="dcterms:W3CDTF">2026-07-16T10:05:00Z</dcterms:modified>
</cp:coreProperties>
</file>