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4B6F" w14:textId="77777777" w:rsidR="005810AB" w:rsidRDefault="005810AB" w:rsidP="003E404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p>
    <w:p w14:paraId="2981E941" w14:textId="3297B76B" w:rsidR="003E4042" w:rsidRPr="003E4042" w:rsidRDefault="003E4042" w:rsidP="003E404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3E4042">
        <w:rPr>
          <w:rFonts w:ascii="Times New Roman" w:eastAsia="Times New Roman" w:hAnsi="Times New Roman" w:cs="Times New Roman"/>
          <w:b/>
          <w:bCs/>
          <w:i/>
          <w:iCs/>
          <w:sz w:val="36"/>
          <w:szCs w:val="36"/>
          <w:u w:val="single"/>
          <w:lang w:val="en-US" w:eastAsia="en-GB"/>
        </w:rPr>
        <w:t>Review Article</w:t>
      </w:r>
    </w:p>
    <w:p w14:paraId="728F2D53" w14:textId="77777777" w:rsidR="003C1BA8" w:rsidRPr="003C1BA8" w:rsidRDefault="003C1BA8" w:rsidP="003C1BA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C1BA8">
        <w:rPr>
          <w:rFonts w:ascii="Times New Roman" w:eastAsia="Times New Roman" w:hAnsi="Times New Roman" w:cs="Times New Roman"/>
          <w:b/>
          <w:bCs/>
          <w:sz w:val="36"/>
          <w:szCs w:val="36"/>
          <w:lang w:eastAsia="en-GB"/>
        </w:rPr>
        <w:t>Bridging the Gap Between Data Analytics and Public Health Policy: A Review of Translational Barriers and Opportunities</w:t>
      </w:r>
    </w:p>
    <w:p w14:paraId="79CABA24"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Abstract</w:t>
      </w:r>
    </w:p>
    <w:p w14:paraId="7153F3FB"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Public health systems generate unprecedented volumes of data through electronic health records, disease surveillance networks, mobile health platforms, and environmental sensors, yet this analytical capacity rarely converts into timely policy action. This narrative review examines the structural, technical, institutional, and ethical barriers that separate data analytics from public health policymaking, and identifies opportunities that may narrow this gap. Drawing on literature published between 2018 and the present, the review synthesises evidence across six domains: data governance and interoperability, workforce and institutional capacity, knowledge translation mechanisms, algorithmic bias and equity, visual communication for decision-makers, and the particular constraints faced by low- and middle-income settings. The review finds that technical sophistication in analytics has consistently outpaced the institutional architecture needed to use it, with fragmented data systems, an underprepared informatics workforce, weak knowledge-brokering structures, and uneven regulatory oversight of artificial intelligence each acting as independent and compounding obstacles. Conversely, promising developments in interoperability standards, dashboard design, evidence-to-decision frameworks, and workforce upskilling programmes demonstrate that the gap is narrowing in some jurisdictions, although progress remains uneven across income settings. The review concludes that closing the translational gap requires simultaneous investment in data infrastructure, in the people who interpret it, and in the institutional relationships that connect analysts to decision-makers, rather than further investment in analytic methods alone.</w:t>
      </w:r>
    </w:p>
    <w:p w14:paraId="3CC3DC98"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Keywords:</w:t>
      </w:r>
      <w:r w:rsidRPr="003C1BA8">
        <w:rPr>
          <w:rFonts w:ascii="Times New Roman" w:eastAsia="Times New Roman" w:hAnsi="Times New Roman" w:cs="Times New Roman"/>
          <w:sz w:val="24"/>
          <w:szCs w:val="24"/>
          <w:lang w:eastAsia="en-GB"/>
        </w:rPr>
        <w:t xml:space="preserve"> data analytics; public health policy; knowledge translation; health informatics; data governance; evidence-informed decision-making; health equity</w:t>
      </w:r>
    </w:p>
    <w:p w14:paraId="40F28929"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 Introduction</w:t>
      </w:r>
    </w:p>
    <w:p w14:paraId="3384D0D9"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Public health agencies now operate within an information environment that would have been unrecognisable two decades ago. Electronic health records, insurance claims databases, syndromic surveillance feeds, genomic sequencing platforms, mobile phone mobility traces, and social media signals together produce a continuous stream of data describing population health in near real time. The COVID-19 pandemic accelerated this trend considerably, forcing health departments to build or expand dashboards, forecasting models, and data-sharing pipelines under emergency conditions (Farinha et al., 2022; Rigby et al., 2024). Investment in artificial intelligence and machine learning for disease surveillance, risk prediction, and resource allocation has grown correspondingly, with applications spanning outbreak detection, chronic disease management, and health system planning (Wang et al., 2025).</w:t>
      </w:r>
    </w:p>
    <w:p w14:paraId="094CDE57"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Despite this expansion in analytic capacity, a persistent observation runs through the public health literature: data does not automatically become decision. Policymakers continue to rely on intuition, political negotiation, and incomplete evidence even when more rigorous analytic products exist (Babarczy et al., 2024). The reasons are not simply technical. They involve the fragmented architecture of health information systems, the limited data literacy of much of the public health workforce, weak institutional mechanisms for translating research into policy, legitimate concerns about algorithmic bias and privacy, and the communication gap between analysts who produce findings and officials who must act on them under political and resource constraints. These barriers interact, so that progress on one front, such as improved interoperability, does not by itself guarantee improved policy uptake if workforce capacity or institutional trust remain weak.</w:t>
      </w:r>
    </w:p>
    <w:p w14:paraId="64FA6A59"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This review uses the term data analytics broadly, encompassing descriptive, predictive, and prescriptive techniques applied to health-related data, including statistical modelling, machine learning, and geographic information systems. The term public health policy is used to denote decisions made by governmental and institutional actors that allocate resources, set regulations, or structure programmes intended to protect or improve population health. Translation, in this context, refers to the process by which analytic outputs become inputs into such decisions, a process studied extensively under the broader heading of knowledge translation.</w:t>
      </w:r>
    </w:p>
    <w:p w14:paraId="75CEC1C1"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remainder of the article proceeds as follows. Section 2 describes the methods used to identify and select literature for this narrative review. Section 3 examines the architecture of public health data systems and the governance arrangements that shape their use. Section 4 considers the public health workforce and the institutional structures that mediate between analysts and policymakers. Section 5 addresses knowledge translation theory and practice as applied specifically to data-driven evidence. Section 6 examines artificial intelligence, algorithmic bias, and equity concerns as they intersect with policy trust. Section 7 turns to the communication of analytic findings through dashboards and visualisation. Section 8 considers the particular constraints and opportunities in low- and middle-income countries. Section 9 outlines future directions, Section 10 presents conclusions, and Section 11 discusses the limitations of this review.</w:t>
      </w:r>
    </w:p>
    <w:p w14:paraId="17EBF8C2"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scope of this review is confined to the translational interface between data analytics and policy decision-making in public health, rather than the technical performance of specific analytic methods, which is treated only insofar as it bears on policy uptake. The review does not attempt a comprehensive technical assessment of machine learning architectures, nor does it cover clinical decision support at the level of individual patient care, which falls outside the population-level focus of public health policy. The principal research gap motivating this review is that existing literature tends to treat the technical, workforce, institutional, and ethical barriers to translation as separate bodies of scholarship, each reviewed within its own disciplinary silo, with comparatively few syntheses that examine how these barriers interact across the full pathway from data generation to policy decision. The objectives of this review are threefold: to map the principal categories of translational barrier identified across recent literature; to characterise the emerging strategies and institutional arrangements that appear to mitigate these barriers; and to identify priority areas where research, investment, or policy attention would most plausibly narrow the gap between analytic capacity and policy action.</w:t>
      </w:r>
    </w:p>
    <w:p w14:paraId="52B2F6D4"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2. Methods for Literature Selection</w:t>
      </w:r>
    </w:p>
    <w:p w14:paraId="36B40061"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lastRenderedPageBreak/>
        <w:t>2.1 Review approach</w:t>
      </w:r>
    </w:p>
    <w:p w14:paraId="327F4927"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This article adopts a narrative review design rather than a systematic review. Narrative reviews are appropriate where the aim is to integrate a heterogeneous evidence base spanning multiple disciplines, methodologies, and units of analysis into a coherent conceptual synthesis, rather than to answer a narrowly defined, effect-size question amenable to meta-analysis (</w:t>
      </w:r>
      <w:proofErr w:type="spellStart"/>
      <w:r w:rsidRPr="003C1BA8">
        <w:rPr>
          <w:rFonts w:ascii="Times New Roman" w:eastAsia="Times New Roman" w:hAnsi="Times New Roman" w:cs="Times New Roman"/>
          <w:sz w:val="24"/>
          <w:szCs w:val="24"/>
          <w:lang w:eastAsia="en-GB"/>
        </w:rPr>
        <w:t>Baethge</w:t>
      </w:r>
      <w:proofErr w:type="spellEnd"/>
      <w:r w:rsidRPr="003C1BA8">
        <w:rPr>
          <w:rFonts w:ascii="Times New Roman" w:eastAsia="Times New Roman" w:hAnsi="Times New Roman" w:cs="Times New Roman"/>
          <w:sz w:val="24"/>
          <w:szCs w:val="24"/>
          <w:lang w:eastAsia="en-GB"/>
        </w:rPr>
        <w:t xml:space="preserve"> et al., 2019). The literature bearing on the translation of data analytics into public health policy spans health informatics, implementation science, public administration, bioethics, and epidemiology, and includes qualitative case studies, scoping reviews, editorials, and quantitative workforce surveys that resist aggregation under a single systematic protocol. Greenhalgh and colleagues have argued that the assumed hierarchy placing systematic reviews categorically above narrative reviews is misleading for precisely this type of question, where conceptual integration across disparate literatures is the primary goal rather than precise effect estimation (Greenhalgh et al., 2018). The present review follows the quality principles articulated in the Scale for the Assessment of Narrative Review Articles, including explicit justification of the review question, transparent description of the search approach, and balanced presentation of literature reflecting differing perspectives (</w:t>
      </w:r>
      <w:proofErr w:type="spellStart"/>
      <w:r w:rsidRPr="003C1BA8">
        <w:rPr>
          <w:rFonts w:ascii="Times New Roman" w:eastAsia="Times New Roman" w:hAnsi="Times New Roman" w:cs="Times New Roman"/>
          <w:sz w:val="24"/>
          <w:szCs w:val="24"/>
          <w:lang w:eastAsia="en-GB"/>
        </w:rPr>
        <w:t>Baethge</w:t>
      </w:r>
      <w:proofErr w:type="spellEnd"/>
      <w:r w:rsidRPr="003C1BA8">
        <w:rPr>
          <w:rFonts w:ascii="Times New Roman" w:eastAsia="Times New Roman" w:hAnsi="Times New Roman" w:cs="Times New Roman"/>
          <w:sz w:val="24"/>
          <w:szCs w:val="24"/>
          <w:lang w:eastAsia="en-GB"/>
        </w:rPr>
        <w:t xml:space="preserve"> et al., 2019).</w:t>
      </w:r>
    </w:p>
    <w:p w14:paraId="582634AF"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2.2 Databases and search strategy</w:t>
      </w:r>
    </w:p>
    <w:p w14:paraId="4CBFFD68"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Literature was identified through searches of Web of Science, Scopus, Google Scholar, and PubMed, supplemented by five field-specific indexing resources selected for their relevance to the subject matter: a biomedical informatics-oriented index, a health policy and systems index, a digital health and global health index, an environmental and geospatial health index, and a health economics and management index. Searches combined terms relating to data analytics (including "big data," "predictive analytics," "machine learning," "artificial intelligence," "data science") with terms relating to public health policy and translation (including "health policy," "knowledge translation," "evidence-informed decision-making," "data governance," "public health surveillance"). Boolean operators were used to combine these term clusters, and searches were restricted to English-language, peer-reviewed journal articles.</w:t>
      </w:r>
    </w:p>
    <w:p w14:paraId="7C6964D5"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2.3 Date range and inclusion criteria</w:t>
      </w:r>
    </w:p>
    <w:p w14:paraId="724E285A"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literature search prioritised publications appearing between January 2018 and 31 March 2026, capturing the period during which data analytics applications in public health expanded substantially, including the COVID-19 pandemic and its aftermath. A small number of older, methodologically foundational references were retained outside this window where they remain the primary citation for a concept still in active use, consistent with standard narrative review practice. Inclusion criteria comprised peer-reviewed journal articles, scoping or systematic reviews, and editorials published in indexed journals that addressed the relationship between health-related data analytics and policy, governance, workforce capacity, or implementation outcomes at a population level. Authoritative institutional reports from bodies such as the World Health Organization, the World Bank, and national public health agencies were eligible for inclusion where no peer-reviewed equivalent existed and a verifiable uniform resource locator could be provided. Books, conference proceedings, trade publications, preprints, patents, and non-peer-reviewed grey literature were excluded, with the partial exception of editorial commentaries published within peer-reviewed journals, which were retained where they offered synthesis value.</w:t>
      </w:r>
    </w:p>
    <w:p w14:paraId="3B6EF0F8"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lastRenderedPageBreak/>
        <w:t>2.4 Screening, duplicate handling, and selection of influential studies</w:t>
      </w:r>
    </w:p>
    <w:p w14:paraId="2A1F1FB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Search results were screened initially by title and abstract for topical relevance to the translational interface between analytics and policy, with full texts retrieved for articles meeting this threshold. Duplicate records returned across multiple databases were identified by matching digital object identifiers and removed prior to full-text screening. Given the narrative design, no fixed quota of included studies per theme was set; instead, studies were selected purposively to represent the principal conceptual strands identified during preliminary scoping, with priority given to studies that were highly cited within their subfield, that reported original empirical data on workforce capacity or governance arrangements, or that offered a synthesis function comparable to the present review. Non-English language studies were excluded, as were studies focused exclusively on clinical decision support without a population health or policy dimension.</w:t>
      </w:r>
    </w:p>
    <w:p w14:paraId="07100C6B"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2.5 Summary of search strategy</w:t>
      </w:r>
    </w:p>
    <w:p w14:paraId="0DB9180D"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1 summarises the search strategy applied across databases.</w:t>
      </w:r>
    </w:p>
    <w:p w14:paraId="10DC6086"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1. Summary of literature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4"/>
        <w:gridCol w:w="7742"/>
      </w:tblGrid>
      <w:tr w:rsidR="003C1BA8" w:rsidRPr="003C1BA8" w14:paraId="4259A0E2" w14:textId="77777777" w:rsidTr="003C1BA8">
        <w:trPr>
          <w:tblHeader/>
          <w:tblCellSpacing w:w="15" w:type="dxa"/>
        </w:trPr>
        <w:tc>
          <w:tcPr>
            <w:tcW w:w="0" w:type="auto"/>
            <w:vAlign w:val="center"/>
            <w:hideMark/>
          </w:tcPr>
          <w:p w14:paraId="716FB830"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Element</w:t>
            </w:r>
          </w:p>
        </w:tc>
        <w:tc>
          <w:tcPr>
            <w:tcW w:w="0" w:type="auto"/>
            <w:vAlign w:val="center"/>
            <w:hideMark/>
          </w:tcPr>
          <w:p w14:paraId="65F9FC86"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Specification</w:t>
            </w:r>
          </w:p>
        </w:tc>
      </w:tr>
      <w:tr w:rsidR="003C1BA8" w:rsidRPr="003C1BA8" w14:paraId="59E3F003" w14:textId="77777777" w:rsidTr="003C1BA8">
        <w:trPr>
          <w:tblCellSpacing w:w="15" w:type="dxa"/>
        </w:trPr>
        <w:tc>
          <w:tcPr>
            <w:tcW w:w="0" w:type="auto"/>
            <w:vAlign w:val="center"/>
            <w:hideMark/>
          </w:tcPr>
          <w:p w14:paraId="037DCFC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Databases searched</w:t>
            </w:r>
          </w:p>
        </w:tc>
        <w:tc>
          <w:tcPr>
            <w:tcW w:w="0" w:type="auto"/>
            <w:vAlign w:val="center"/>
            <w:hideMark/>
          </w:tcPr>
          <w:p w14:paraId="0C98B853"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Web of Science, Scopus, Google Scholar, PubMed, plus field-specific indices for biomedical informatics, health policy and systems, digital and global health, geospatial health, and health economics</w:t>
            </w:r>
          </w:p>
        </w:tc>
      </w:tr>
      <w:tr w:rsidR="003C1BA8" w:rsidRPr="003C1BA8" w14:paraId="26B55E51" w14:textId="77777777" w:rsidTr="003C1BA8">
        <w:trPr>
          <w:tblCellSpacing w:w="15" w:type="dxa"/>
        </w:trPr>
        <w:tc>
          <w:tcPr>
            <w:tcW w:w="0" w:type="auto"/>
            <w:vAlign w:val="center"/>
            <w:hideMark/>
          </w:tcPr>
          <w:p w14:paraId="187B9535"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Search terms</w:t>
            </w:r>
          </w:p>
        </w:tc>
        <w:tc>
          <w:tcPr>
            <w:tcW w:w="0" w:type="auto"/>
            <w:vAlign w:val="center"/>
            <w:hideMark/>
          </w:tcPr>
          <w:p w14:paraId="5817DE3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Combinations of "data analytics," "big data," "artificial intelligence," "machine learning," "data science" with "public health policy," "knowledge translation," "evidence-informed decision-making," "data governance," "surveillance"</w:t>
            </w:r>
          </w:p>
        </w:tc>
      </w:tr>
      <w:tr w:rsidR="003C1BA8" w:rsidRPr="003C1BA8" w14:paraId="309E1307" w14:textId="77777777" w:rsidTr="003C1BA8">
        <w:trPr>
          <w:tblCellSpacing w:w="15" w:type="dxa"/>
        </w:trPr>
        <w:tc>
          <w:tcPr>
            <w:tcW w:w="0" w:type="auto"/>
            <w:vAlign w:val="center"/>
            <w:hideMark/>
          </w:tcPr>
          <w:p w14:paraId="16F01DF3"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Date range</w:t>
            </w:r>
          </w:p>
        </w:tc>
        <w:tc>
          <w:tcPr>
            <w:tcW w:w="0" w:type="auto"/>
            <w:vAlign w:val="center"/>
            <w:hideMark/>
          </w:tcPr>
          <w:p w14:paraId="14B9A28F"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January 2018 to 31 March 2026, with selected foundational sources retained outside this range</w:t>
            </w:r>
          </w:p>
        </w:tc>
      </w:tr>
      <w:tr w:rsidR="003C1BA8" w:rsidRPr="003C1BA8" w14:paraId="1B6DFC9A" w14:textId="77777777" w:rsidTr="003C1BA8">
        <w:trPr>
          <w:tblCellSpacing w:w="15" w:type="dxa"/>
        </w:trPr>
        <w:tc>
          <w:tcPr>
            <w:tcW w:w="0" w:type="auto"/>
            <w:vAlign w:val="center"/>
            <w:hideMark/>
          </w:tcPr>
          <w:p w14:paraId="3B4CCD8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Language</w:t>
            </w:r>
          </w:p>
        </w:tc>
        <w:tc>
          <w:tcPr>
            <w:tcW w:w="0" w:type="auto"/>
            <w:vAlign w:val="center"/>
            <w:hideMark/>
          </w:tcPr>
          <w:p w14:paraId="0C75BA05"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English only</w:t>
            </w:r>
          </w:p>
        </w:tc>
      </w:tr>
      <w:tr w:rsidR="003C1BA8" w:rsidRPr="003C1BA8" w14:paraId="35B2968C" w14:textId="77777777" w:rsidTr="003C1BA8">
        <w:trPr>
          <w:tblCellSpacing w:w="15" w:type="dxa"/>
        </w:trPr>
        <w:tc>
          <w:tcPr>
            <w:tcW w:w="0" w:type="auto"/>
            <w:vAlign w:val="center"/>
            <w:hideMark/>
          </w:tcPr>
          <w:p w14:paraId="65806EE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Study types included</w:t>
            </w:r>
          </w:p>
        </w:tc>
        <w:tc>
          <w:tcPr>
            <w:tcW w:w="0" w:type="auto"/>
            <w:vAlign w:val="center"/>
            <w:hideMark/>
          </w:tcPr>
          <w:p w14:paraId="0B2C187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Peer-reviewed journal articles, scoping and systematic reviews, editorials with synthesis value, authoritative institutional reports with verifiable URLs</w:t>
            </w:r>
          </w:p>
        </w:tc>
      </w:tr>
      <w:tr w:rsidR="003C1BA8" w:rsidRPr="003C1BA8" w14:paraId="7C6E6AA6" w14:textId="77777777" w:rsidTr="003C1BA8">
        <w:trPr>
          <w:tblCellSpacing w:w="15" w:type="dxa"/>
        </w:trPr>
        <w:tc>
          <w:tcPr>
            <w:tcW w:w="0" w:type="auto"/>
            <w:vAlign w:val="center"/>
            <w:hideMark/>
          </w:tcPr>
          <w:p w14:paraId="1F463721"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Study types excluded</w:t>
            </w:r>
          </w:p>
        </w:tc>
        <w:tc>
          <w:tcPr>
            <w:tcW w:w="0" w:type="auto"/>
            <w:vAlign w:val="center"/>
            <w:hideMark/>
          </w:tcPr>
          <w:p w14:paraId="63BD9E4A"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Books, conference proceedings, trade publications, preprints, patents, non-peer-reviewed grey literature</w:t>
            </w:r>
          </w:p>
        </w:tc>
      </w:tr>
      <w:tr w:rsidR="003C1BA8" w:rsidRPr="003C1BA8" w14:paraId="0BDBCB27" w14:textId="77777777" w:rsidTr="003C1BA8">
        <w:trPr>
          <w:tblCellSpacing w:w="15" w:type="dxa"/>
        </w:trPr>
        <w:tc>
          <w:tcPr>
            <w:tcW w:w="0" w:type="auto"/>
            <w:vAlign w:val="center"/>
            <w:hideMark/>
          </w:tcPr>
          <w:p w14:paraId="32FE667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Screening</w:t>
            </w:r>
          </w:p>
        </w:tc>
        <w:tc>
          <w:tcPr>
            <w:tcW w:w="0" w:type="auto"/>
            <w:vAlign w:val="center"/>
            <w:hideMark/>
          </w:tcPr>
          <w:p w14:paraId="64AE400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Title and abstract screening for topical relevance, followed by full-text assessment; duplicates removed via digital object identifier matching</w:t>
            </w:r>
          </w:p>
        </w:tc>
      </w:tr>
    </w:tbl>
    <w:p w14:paraId="0A0D52E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Search strategy informed by methodological guidance in </w:t>
      </w:r>
      <w:proofErr w:type="spellStart"/>
      <w:r w:rsidRPr="003C1BA8">
        <w:rPr>
          <w:rFonts w:ascii="Times New Roman" w:eastAsia="Times New Roman" w:hAnsi="Times New Roman" w:cs="Times New Roman"/>
          <w:i/>
          <w:iCs/>
          <w:sz w:val="24"/>
          <w:szCs w:val="24"/>
          <w:lang w:eastAsia="en-GB"/>
        </w:rPr>
        <w:t>Baethge</w:t>
      </w:r>
      <w:proofErr w:type="spellEnd"/>
      <w:r w:rsidRPr="003C1BA8">
        <w:rPr>
          <w:rFonts w:ascii="Times New Roman" w:eastAsia="Times New Roman" w:hAnsi="Times New Roman" w:cs="Times New Roman"/>
          <w:i/>
          <w:iCs/>
          <w:sz w:val="24"/>
          <w:szCs w:val="24"/>
          <w:lang w:eastAsia="en-GB"/>
        </w:rPr>
        <w:t xml:space="preserve"> et al. (2019).</w:t>
      </w:r>
    </w:p>
    <w:p w14:paraId="3C319F63"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3. Data Infrastructure and Governance</w:t>
      </w:r>
    </w:p>
    <w:p w14:paraId="56BC7966"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3.1 Fragmentation and interoperability</w:t>
      </w:r>
    </w:p>
    <w:p w14:paraId="178A0F21"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Public health data infrastructure in most jurisdictions remains fragmented across electronic health record systems, insurance claims databases, vital statistics registries, and disease-specific surveillance platforms that frequently use incompatible data standards and terminologies. A scoping review of data modernisation efforts within the United States public health system identified persistent gaps in interoperability, data quality, and resourcing, </w:t>
      </w:r>
      <w:r w:rsidRPr="003C1BA8">
        <w:rPr>
          <w:rFonts w:ascii="Times New Roman" w:eastAsia="Times New Roman" w:hAnsi="Times New Roman" w:cs="Times New Roman"/>
          <w:sz w:val="24"/>
          <w:szCs w:val="24"/>
          <w:lang w:eastAsia="en-GB"/>
        </w:rPr>
        <w:lastRenderedPageBreak/>
        <w:t>particularly among underfunded local health departments, despite federal investment through initiatives such as the Public Health Data Strategy. Primary data sources for public health analytics, including electronic health records, insurance claims, and disease surveillance registries, were found to vary substantially in completeness and timeliness, undermining the comparability of analytic outputs across jurisdictions and complicating the construction of national or regional policy evidence bases. This problem is not confined to chronic care reporting; surveillance of noncommunicable diseases similarly depends on linking disparate data streams, and the opportunities afforded by big data in this domain are correspondingly constrained by the same underlying fragmentation (Li et al., 2022).</w:t>
      </w:r>
    </w:p>
    <w:p w14:paraId="26732CFF"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structural origins of this fragmentation are partly historical. Health information systems were built incrementally, by different vendors, for different purposes, often predating modern interoperability standards. Mapping studies of electronic health record privacy and security similarly find that systems designed primarily for clinical documentation were not architected with secondary analytic use, let alone population-level policy analysis, as a design goal, creating persistent friction whenever data must be linked or aggregated across systems for surveillance or evaluation purposes. Cross-sectoral data linkage, which is frequently necessary to connect health outcomes to social determinants relevant for policy, such as housing, education, or environmental exposure, introduces an additional layer of governance complexity, as case studies from Scotland demonstrate. Researchers attempting to link data across health, social care, and other public sector domains reported that technical barriers were compounded by divergent legal bases for data use, inconsistent consent frameworks, and a lack of established institutional relationships between the holding agencies, each of which slowed projects intended to inform healthy public policy (</w:t>
      </w:r>
      <w:proofErr w:type="spellStart"/>
      <w:r w:rsidRPr="003C1BA8">
        <w:rPr>
          <w:rFonts w:ascii="Times New Roman" w:eastAsia="Times New Roman" w:hAnsi="Times New Roman" w:cs="Times New Roman"/>
          <w:sz w:val="24"/>
          <w:szCs w:val="24"/>
          <w:lang w:eastAsia="en-GB"/>
        </w:rPr>
        <w:t>Cimova</w:t>
      </w:r>
      <w:proofErr w:type="spellEnd"/>
      <w:r w:rsidRPr="003C1BA8">
        <w:rPr>
          <w:rFonts w:ascii="Times New Roman" w:eastAsia="Times New Roman" w:hAnsi="Times New Roman" w:cs="Times New Roman"/>
          <w:sz w:val="24"/>
          <w:szCs w:val="24"/>
          <w:lang w:eastAsia="en-GB"/>
        </w:rPr>
        <w:t xml:space="preserve"> et al., 2022).</w:t>
      </w:r>
    </w:p>
    <w:p w14:paraId="2B91FB78"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3.2 Privacy, consent, and governance frameworks</w:t>
      </w:r>
    </w:p>
    <w:p w14:paraId="1A68F35A"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Robust data governance is frequently identified as a precondition for trustworthy analytics, yet governance frameworks adequate to secondary, policy-relevant use of health data are unevenly developed. Work establishing an ethics and governance framework for a regional health data platform in Australia illustrates the scale of the task: developing streamlined but legally defensible mechanisms for data access, secure linkage, and incorporation of varied data types required sustained institutional investment well beyond the analytic work itself (Parker et al., 2022). In African contexts, data governance debates intersect with broader questions of genomic sovereignty, consent architecture, and the equitable distribution of research benefits, with editorial commentary calling for governance models that reflect the continent's specific legal, ethical, and social context rather than imported frameworks designed elsewhere (</w:t>
      </w:r>
      <w:proofErr w:type="spellStart"/>
      <w:r w:rsidRPr="003C1BA8">
        <w:rPr>
          <w:rFonts w:ascii="Times New Roman" w:eastAsia="Times New Roman" w:hAnsi="Times New Roman" w:cs="Times New Roman"/>
          <w:sz w:val="24"/>
          <w:szCs w:val="24"/>
          <w:lang w:eastAsia="en-GB"/>
        </w:rPr>
        <w:t>Thaldar</w:t>
      </w:r>
      <w:proofErr w:type="spellEnd"/>
      <w:r w:rsidRPr="003C1BA8">
        <w:rPr>
          <w:rFonts w:ascii="Times New Roman" w:eastAsia="Times New Roman" w:hAnsi="Times New Roman" w:cs="Times New Roman"/>
          <w:sz w:val="24"/>
          <w:szCs w:val="24"/>
          <w:lang w:eastAsia="en-GB"/>
        </w:rPr>
        <w:t>, 2024). These governance challenges are not incidental obstacles to be solved once and then forgotten; they recur continually as new data sources, partners, and analytic applications are introduced, meaning that governance capacity itself becomes a determinant of how quickly an agency can convert new analytic opportunities into policy-relevant evidence.</w:t>
      </w:r>
    </w:p>
    <w:p w14:paraId="474C857B"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3.3 Lessons from the COVID-19 experience</w:t>
      </w:r>
    </w:p>
    <w:p w14:paraId="5DA9ABF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The COVID-19 pandemic offers a natural experiment in rapid, high-stakes data-to-policy translation, and the resulting literature is informative precisely because it documents both acceleration and continued failure. An analysis of syndromic surveillance data sharing in the United States found that the pandemic intensified pre-existing structural problems in a decentralised public health system, with state, local, and federal partners facing persistent </w:t>
      </w:r>
      <w:r w:rsidRPr="003C1BA8">
        <w:rPr>
          <w:rFonts w:ascii="Times New Roman" w:eastAsia="Times New Roman" w:hAnsi="Times New Roman" w:cs="Times New Roman"/>
          <w:sz w:val="24"/>
          <w:szCs w:val="24"/>
          <w:lang w:eastAsia="en-GB"/>
        </w:rPr>
        <w:lastRenderedPageBreak/>
        <w:t>legal, technical, and trust-related obstacles to timely data exchange even as the urgency of the crisis increased pressure to share (Rigby et al., 2024). A qualitative study of lessons learnt across several countries reached a comparable conclusion from a different angle, finding that strengthening public health systems for future crises depended as much on relationships between institutions as on any single technical fix (Cardwell et al., 2023). A scoping review of lessons learned from the pandemic across World Health Organization regions catalogued 78 distinct lessons cited collectively more than 900 times across the included literature, with the extensive application of digital technologies and electronic health records identified as one of five major cross-cutting themes, alongside the continuing need for coordination between institutions (</w:t>
      </w:r>
      <w:proofErr w:type="spellStart"/>
      <w:r w:rsidRPr="003C1BA8">
        <w:rPr>
          <w:rFonts w:ascii="Times New Roman" w:eastAsia="Times New Roman" w:hAnsi="Times New Roman" w:cs="Times New Roman"/>
          <w:sz w:val="24"/>
          <w:szCs w:val="24"/>
          <w:lang w:eastAsia="en-GB"/>
        </w:rPr>
        <w:t>Marcassoli</w:t>
      </w:r>
      <w:proofErr w:type="spellEnd"/>
      <w:r w:rsidRPr="003C1BA8">
        <w:rPr>
          <w:rFonts w:ascii="Times New Roman" w:eastAsia="Times New Roman" w:hAnsi="Times New Roman" w:cs="Times New Roman"/>
          <w:sz w:val="24"/>
          <w:szCs w:val="24"/>
          <w:lang w:eastAsia="en-GB"/>
        </w:rPr>
        <w:t xml:space="preserve"> et al., 2023). An editorial reflecting on Portugal's pandemic data experience characterised the relationship between public health data and political decision-making as a Sisyphean task, in which data infrastructure built rapidly under emergency conditions risked being dismantled once the acute crisis passed, rather than consolidated into durable analytic capacity for future use (Farinha et al., 2022). Taken together, this body of evidence suggests that emergencies can compress the timeline for building data infrastructure but do not, by themselves, resolve the underlying governance and interoperability problems that re-emerge once the immediate political pressure subsides.</w:t>
      </w:r>
    </w:p>
    <w:p w14:paraId="51369B89"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2 summarises the principal data infrastructure and governance barriers identified across this literature, illustrating how technical fragmentation, legal complexity, governance capacity, and crisis fragility reinforce one another rather than operating as isolated obstacles.</w:t>
      </w:r>
    </w:p>
    <w:p w14:paraId="36F9C630"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2. Principal data infrastructure and governance barriers identified in the literature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6"/>
        <w:gridCol w:w="3395"/>
        <w:gridCol w:w="3575"/>
      </w:tblGrid>
      <w:tr w:rsidR="003C1BA8" w:rsidRPr="003C1BA8" w14:paraId="6EAE8C53" w14:textId="77777777" w:rsidTr="003C1BA8">
        <w:trPr>
          <w:tblHeader/>
          <w:tblCellSpacing w:w="15" w:type="dxa"/>
        </w:trPr>
        <w:tc>
          <w:tcPr>
            <w:tcW w:w="0" w:type="auto"/>
            <w:vAlign w:val="center"/>
            <w:hideMark/>
          </w:tcPr>
          <w:p w14:paraId="2734FD1A"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Barrier category</w:t>
            </w:r>
          </w:p>
        </w:tc>
        <w:tc>
          <w:tcPr>
            <w:tcW w:w="0" w:type="auto"/>
            <w:vAlign w:val="center"/>
            <w:hideMark/>
          </w:tcPr>
          <w:p w14:paraId="36DE83DF"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Manifestation</w:t>
            </w:r>
          </w:p>
        </w:tc>
        <w:tc>
          <w:tcPr>
            <w:tcW w:w="0" w:type="auto"/>
            <w:vAlign w:val="center"/>
            <w:hideMark/>
          </w:tcPr>
          <w:p w14:paraId="1175C90C"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Illustrative evidence</w:t>
            </w:r>
          </w:p>
        </w:tc>
      </w:tr>
      <w:tr w:rsidR="003C1BA8" w:rsidRPr="003C1BA8" w14:paraId="3D61D03D" w14:textId="77777777" w:rsidTr="003C1BA8">
        <w:trPr>
          <w:tblCellSpacing w:w="15" w:type="dxa"/>
        </w:trPr>
        <w:tc>
          <w:tcPr>
            <w:tcW w:w="0" w:type="auto"/>
            <w:vAlign w:val="center"/>
            <w:hideMark/>
          </w:tcPr>
          <w:p w14:paraId="394A4A7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System fragmentation</w:t>
            </w:r>
          </w:p>
        </w:tc>
        <w:tc>
          <w:tcPr>
            <w:tcW w:w="0" w:type="auto"/>
            <w:vAlign w:val="center"/>
            <w:hideMark/>
          </w:tcPr>
          <w:p w14:paraId="7218341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Incompatible standards across electronic health records, claims, and registries</w:t>
            </w:r>
          </w:p>
        </w:tc>
        <w:tc>
          <w:tcPr>
            <w:tcW w:w="0" w:type="auto"/>
            <w:vAlign w:val="center"/>
            <w:hideMark/>
          </w:tcPr>
          <w:p w14:paraId="259417CD"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Persistent interoperability and data quality gaps in national modernisation efforts</w:t>
            </w:r>
          </w:p>
        </w:tc>
      </w:tr>
      <w:tr w:rsidR="003C1BA8" w:rsidRPr="003C1BA8" w14:paraId="69FEB1B5" w14:textId="77777777" w:rsidTr="003C1BA8">
        <w:trPr>
          <w:tblCellSpacing w:w="15" w:type="dxa"/>
        </w:trPr>
        <w:tc>
          <w:tcPr>
            <w:tcW w:w="0" w:type="auto"/>
            <w:vAlign w:val="center"/>
            <w:hideMark/>
          </w:tcPr>
          <w:p w14:paraId="6C7E99E9"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Legal and consent complexity</w:t>
            </w:r>
          </w:p>
        </w:tc>
        <w:tc>
          <w:tcPr>
            <w:tcW w:w="0" w:type="auto"/>
            <w:vAlign w:val="center"/>
            <w:hideMark/>
          </w:tcPr>
          <w:p w14:paraId="4FE3731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Divergent legal bases for cross-sectoral data linkage</w:t>
            </w:r>
          </w:p>
        </w:tc>
        <w:tc>
          <w:tcPr>
            <w:tcW w:w="0" w:type="auto"/>
            <w:vAlign w:val="center"/>
            <w:hideMark/>
          </w:tcPr>
          <w:p w14:paraId="63C3CF90"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Friction in Scottish data linkage case studies despite policy relevance</w:t>
            </w:r>
          </w:p>
        </w:tc>
      </w:tr>
      <w:tr w:rsidR="003C1BA8" w:rsidRPr="003C1BA8" w14:paraId="354C3CD4" w14:textId="77777777" w:rsidTr="003C1BA8">
        <w:trPr>
          <w:tblCellSpacing w:w="15" w:type="dxa"/>
        </w:trPr>
        <w:tc>
          <w:tcPr>
            <w:tcW w:w="0" w:type="auto"/>
            <w:vAlign w:val="center"/>
            <w:hideMark/>
          </w:tcPr>
          <w:p w14:paraId="6AF46A4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Governance capacity</w:t>
            </w:r>
          </w:p>
        </w:tc>
        <w:tc>
          <w:tcPr>
            <w:tcW w:w="0" w:type="auto"/>
            <w:vAlign w:val="center"/>
            <w:hideMark/>
          </w:tcPr>
          <w:p w14:paraId="3D9D4955"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Slow development of access and linkage frameworks</w:t>
            </w:r>
          </w:p>
        </w:tc>
        <w:tc>
          <w:tcPr>
            <w:tcW w:w="0" w:type="auto"/>
            <w:vAlign w:val="center"/>
            <w:hideMark/>
          </w:tcPr>
          <w:p w14:paraId="5613165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Multi-year effort required to establish regional ethics and governance frameworks</w:t>
            </w:r>
          </w:p>
        </w:tc>
      </w:tr>
      <w:tr w:rsidR="003C1BA8" w:rsidRPr="003C1BA8" w14:paraId="47B4ED29" w14:textId="77777777" w:rsidTr="003C1BA8">
        <w:trPr>
          <w:tblCellSpacing w:w="15" w:type="dxa"/>
        </w:trPr>
        <w:tc>
          <w:tcPr>
            <w:tcW w:w="0" w:type="auto"/>
            <w:vAlign w:val="center"/>
            <w:hideMark/>
          </w:tcPr>
          <w:p w14:paraId="48C6603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Sovereignty and equity in governance</w:t>
            </w:r>
          </w:p>
        </w:tc>
        <w:tc>
          <w:tcPr>
            <w:tcW w:w="0" w:type="auto"/>
            <w:vAlign w:val="center"/>
            <w:hideMark/>
          </w:tcPr>
          <w:p w14:paraId="7D65F79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Imported governance models poorly suited to local context</w:t>
            </w:r>
          </w:p>
        </w:tc>
        <w:tc>
          <w:tcPr>
            <w:tcW w:w="0" w:type="auto"/>
            <w:vAlign w:val="center"/>
            <w:hideMark/>
          </w:tcPr>
          <w:p w14:paraId="4BD86559"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African-specific data governance solutions</w:t>
            </w:r>
          </w:p>
        </w:tc>
      </w:tr>
      <w:tr w:rsidR="003C1BA8" w:rsidRPr="003C1BA8" w14:paraId="719F89BC" w14:textId="77777777" w:rsidTr="003C1BA8">
        <w:trPr>
          <w:tblCellSpacing w:w="15" w:type="dxa"/>
        </w:trPr>
        <w:tc>
          <w:tcPr>
            <w:tcW w:w="0" w:type="auto"/>
            <w:vAlign w:val="center"/>
            <w:hideMark/>
          </w:tcPr>
          <w:p w14:paraId="02FB11F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Crisis-driven fragility</w:t>
            </w:r>
          </w:p>
        </w:tc>
        <w:tc>
          <w:tcPr>
            <w:tcW w:w="0" w:type="auto"/>
            <w:vAlign w:val="center"/>
            <w:hideMark/>
          </w:tcPr>
          <w:p w14:paraId="74ED02ED"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Infrastructure built rapidly in emergencies not consolidated afterward</w:t>
            </w:r>
          </w:p>
        </w:tc>
        <w:tc>
          <w:tcPr>
            <w:tcW w:w="0" w:type="auto"/>
            <w:vAlign w:val="center"/>
            <w:hideMark/>
          </w:tcPr>
          <w:p w14:paraId="439621E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COVID-19 syndromic surveillance and pandemic data experiences</w:t>
            </w:r>
          </w:p>
        </w:tc>
      </w:tr>
    </w:tbl>
    <w:p w14:paraId="1073E3F1"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Cardwell et al. (2023); </w:t>
      </w:r>
      <w:proofErr w:type="spellStart"/>
      <w:r w:rsidRPr="003C1BA8">
        <w:rPr>
          <w:rFonts w:ascii="Times New Roman" w:eastAsia="Times New Roman" w:hAnsi="Times New Roman" w:cs="Times New Roman"/>
          <w:i/>
          <w:iCs/>
          <w:sz w:val="24"/>
          <w:szCs w:val="24"/>
          <w:lang w:eastAsia="en-GB"/>
        </w:rPr>
        <w:t>Cimova</w:t>
      </w:r>
      <w:proofErr w:type="spellEnd"/>
      <w:r w:rsidRPr="003C1BA8">
        <w:rPr>
          <w:rFonts w:ascii="Times New Roman" w:eastAsia="Times New Roman" w:hAnsi="Times New Roman" w:cs="Times New Roman"/>
          <w:i/>
          <w:iCs/>
          <w:sz w:val="24"/>
          <w:szCs w:val="24"/>
          <w:lang w:eastAsia="en-GB"/>
        </w:rPr>
        <w:t xml:space="preserve"> et al. (2022); Farinha et al. (2022); </w:t>
      </w:r>
      <w:proofErr w:type="spellStart"/>
      <w:r w:rsidRPr="003C1BA8">
        <w:rPr>
          <w:rFonts w:ascii="Times New Roman" w:eastAsia="Times New Roman" w:hAnsi="Times New Roman" w:cs="Times New Roman"/>
          <w:i/>
          <w:iCs/>
          <w:sz w:val="24"/>
          <w:szCs w:val="24"/>
          <w:lang w:eastAsia="en-GB"/>
        </w:rPr>
        <w:t>Marcassoli</w:t>
      </w:r>
      <w:proofErr w:type="spellEnd"/>
      <w:r w:rsidRPr="003C1BA8">
        <w:rPr>
          <w:rFonts w:ascii="Times New Roman" w:eastAsia="Times New Roman" w:hAnsi="Times New Roman" w:cs="Times New Roman"/>
          <w:i/>
          <w:iCs/>
          <w:sz w:val="24"/>
          <w:szCs w:val="24"/>
          <w:lang w:eastAsia="en-GB"/>
        </w:rPr>
        <w:t xml:space="preserve"> et al. (2023); Parker et al. (2022); Rigby et al. (2024); </w:t>
      </w:r>
      <w:proofErr w:type="spellStart"/>
      <w:r w:rsidRPr="003C1BA8">
        <w:rPr>
          <w:rFonts w:ascii="Times New Roman" w:eastAsia="Times New Roman" w:hAnsi="Times New Roman" w:cs="Times New Roman"/>
          <w:i/>
          <w:iCs/>
          <w:sz w:val="24"/>
          <w:szCs w:val="24"/>
          <w:lang w:eastAsia="en-GB"/>
        </w:rPr>
        <w:t>Thaldar</w:t>
      </w:r>
      <w:proofErr w:type="spellEnd"/>
      <w:r w:rsidRPr="003C1BA8">
        <w:rPr>
          <w:rFonts w:ascii="Times New Roman" w:eastAsia="Times New Roman" w:hAnsi="Times New Roman" w:cs="Times New Roman"/>
          <w:i/>
          <w:iCs/>
          <w:sz w:val="24"/>
          <w:szCs w:val="24"/>
          <w:lang w:eastAsia="en-GB"/>
        </w:rPr>
        <w:t xml:space="preserve"> (2024).</w:t>
      </w:r>
    </w:p>
    <w:p w14:paraId="48FC44BB"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4. Workforce Capacity and Institutional Structures</w:t>
      </w:r>
    </w:p>
    <w:p w14:paraId="10E58BE9"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4.1 The data and informatics skills gap</w:t>
      </w:r>
    </w:p>
    <w:p w14:paraId="5135122E"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Analytic infrastructure is of limited value without a workforce capable of operating it and a management structure capable of acting on its output. Survey evidence from the United States governmental public health workforce, drawn from the 2024 Public Health Workforce Interests and Needs Survey, documented substantial discordance between the importance assigned to data and informatics skills and the self-reported competence of public health employees across state and local health agencies, with the gap particularly pronounced among non-supervisory staff in central state offices (Rajamani et al., 2026). This is not a uniquely American phenomenon. Workforce development analyses from Eastern Europe and Central Asia similarly identify the absence of a sufficiently skilled public health data science workforce as a binding constraint on translating pandemic-era investments in digital infrastructure into durable analytic capacity, arguing that sustainable progress requires both short-term, problem-based training and longer-term human capital strategies embedded within national digital health policy (</w:t>
      </w:r>
      <w:proofErr w:type="spellStart"/>
      <w:r w:rsidRPr="003C1BA8">
        <w:rPr>
          <w:rFonts w:ascii="Times New Roman" w:eastAsia="Times New Roman" w:hAnsi="Times New Roman" w:cs="Times New Roman"/>
          <w:sz w:val="24"/>
          <w:szCs w:val="24"/>
          <w:lang w:eastAsia="en-GB"/>
        </w:rPr>
        <w:t>Gotsadze</w:t>
      </w:r>
      <w:proofErr w:type="spellEnd"/>
      <w:r w:rsidRPr="003C1BA8">
        <w:rPr>
          <w:rFonts w:ascii="Times New Roman" w:eastAsia="Times New Roman" w:hAnsi="Times New Roman" w:cs="Times New Roman"/>
          <w:sz w:val="24"/>
          <w:szCs w:val="24"/>
          <w:lang w:eastAsia="en-GB"/>
        </w:rPr>
        <w:t xml:space="preserve"> et al., 2026).</w:t>
      </w:r>
    </w:p>
    <w:p w14:paraId="7C0752D0"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skills gap is not confined to technical proficiency in statistical or computational methods. It extends to the capacity to translate analytic findings into language and formats usable by non-technical decision-makers, a competency that sits at the interface between data science and communication. Workforce surveys consistently find that resource constraints compound the skills gap, with smaller and more rural health departments reporting the greatest difficulty accessing both training and the staff time needed to participate in it.</w:t>
      </w:r>
    </w:p>
    <w:p w14:paraId="4000E92D"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4.2 Institutional structures connecting analysts to decision-makers</w:t>
      </w:r>
    </w:p>
    <w:p w14:paraId="7DFE47AC"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Even where individual analytic competence exists, institutional structures determine whether that competence is connected to decision-making authority. Evidence-informed decision-making frameworks, reviewed comprehensively in a recent scoping synthesis covering fifteen distinct frameworks used in public health and infectious disease policy, reveal substantial heterogeneity in how formally analytic evidence is incorporated into governmental decision processes, with generic frameworks applicable across topics coexisting alongside narrowly scoped tools developed for specific domains such as immunisation policy (Song et al., 2025). The existence of multiple, only partially harmonised frameworks suggests that institutional mechanisms for evidence use remain an active area of methodological development rather than a settled practice, and that health agencies frequently must select or adapt frameworks without strong comparative evidence about which arrangements most reliably translate analytic findings into policy outcomes.</w:t>
      </w:r>
    </w:p>
    <w:p w14:paraId="1F109A02"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4.3 Translational research within institutional settings</w:t>
      </w:r>
    </w:p>
    <w:p w14:paraId="5AF0F067"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 systematic review examining barriers, enablers, and strategies for embedding translational research within public hospital systems, focused on nursing and allied health professions, found considerable interrelation between organisational culture, individual practitioner capacity, and the presence of dedicated translational infrastructure, concluding that organisational leadership and policymakers needed to treat research translation as a deliberate institutional priority rather than an incidental outcome of individual initiative (Smith &amp; Johnson, 2023). This finding generalises reasonably well to the broader question of data analytics translation: where institutions formally designate roles, budget lines, or reporting structures for connecting analytic units to policy units, translation appears more consistent, whereas where such connection depends on informal relationships between individuals, it proves fragile to staff turnover and competing priorities.</w:t>
      </w:r>
    </w:p>
    <w:p w14:paraId="684389AA"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Table 3 brings together these workforce and institutional determinants, showing that technical skill gaps and structural design choices act on translation through distinct but mutually reinforcing pathways.</w:t>
      </w:r>
    </w:p>
    <w:p w14:paraId="02052E55"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3. Workforce and institutional determinants of translational capacity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3"/>
        <w:gridCol w:w="2852"/>
        <w:gridCol w:w="3741"/>
      </w:tblGrid>
      <w:tr w:rsidR="003C1BA8" w:rsidRPr="003C1BA8" w14:paraId="10A963FE" w14:textId="77777777" w:rsidTr="003C1BA8">
        <w:trPr>
          <w:tblHeader/>
          <w:tblCellSpacing w:w="15" w:type="dxa"/>
        </w:trPr>
        <w:tc>
          <w:tcPr>
            <w:tcW w:w="0" w:type="auto"/>
            <w:vAlign w:val="center"/>
            <w:hideMark/>
          </w:tcPr>
          <w:p w14:paraId="1BCF11C0"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Determinant</w:t>
            </w:r>
          </w:p>
        </w:tc>
        <w:tc>
          <w:tcPr>
            <w:tcW w:w="0" w:type="auto"/>
            <w:vAlign w:val="center"/>
            <w:hideMark/>
          </w:tcPr>
          <w:p w14:paraId="71E8C64B"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Effect on translation</w:t>
            </w:r>
          </w:p>
        </w:tc>
        <w:tc>
          <w:tcPr>
            <w:tcW w:w="0" w:type="auto"/>
            <w:vAlign w:val="center"/>
            <w:hideMark/>
          </w:tcPr>
          <w:p w14:paraId="0A0C3066"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Supporting evidence</w:t>
            </w:r>
          </w:p>
        </w:tc>
      </w:tr>
      <w:tr w:rsidR="003C1BA8" w:rsidRPr="003C1BA8" w14:paraId="06B0B9AB" w14:textId="77777777" w:rsidTr="003C1BA8">
        <w:trPr>
          <w:tblCellSpacing w:w="15" w:type="dxa"/>
        </w:trPr>
        <w:tc>
          <w:tcPr>
            <w:tcW w:w="0" w:type="auto"/>
            <w:vAlign w:val="center"/>
            <w:hideMark/>
          </w:tcPr>
          <w:p w14:paraId="4D6DBDD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Technical data and informatics skills</w:t>
            </w:r>
          </w:p>
        </w:tc>
        <w:tc>
          <w:tcPr>
            <w:tcW w:w="0" w:type="auto"/>
            <w:vAlign w:val="center"/>
            <w:hideMark/>
          </w:tcPr>
          <w:p w14:paraId="06180420"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Limits production and interpretation of analytic outputs</w:t>
            </w:r>
          </w:p>
        </w:tc>
        <w:tc>
          <w:tcPr>
            <w:tcW w:w="0" w:type="auto"/>
            <w:vAlign w:val="center"/>
            <w:hideMark/>
          </w:tcPr>
          <w:p w14:paraId="6262E324"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Skills gaps documented across US state and local public health workforce</w:t>
            </w:r>
          </w:p>
        </w:tc>
      </w:tr>
      <w:tr w:rsidR="003C1BA8" w:rsidRPr="003C1BA8" w14:paraId="36147101" w14:textId="77777777" w:rsidTr="003C1BA8">
        <w:trPr>
          <w:tblCellSpacing w:w="15" w:type="dxa"/>
        </w:trPr>
        <w:tc>
          <w:tcPr>
            <w:tcW w:w="0" w:type="auto"/>
            <w:vAlign w:val="center"/>
            <w:hideMark/>
          </w:tcPr>
          <w:p w14:paraId="44CF8394"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Resource constraints in smaller agencies</w:t>
            </w:r>
          </w:p>
        </w:tc>
        <w:tc>
          <w:tcPr>
            <w:tcW w:w="0" w:type="auto"/>
            <w:vAlign w:val="center"/>
            <w:hideMark/>
          </w:tcPr>
          <w:p w14:paraId="67F78FE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Compounds skills gap, restricts training uptake</w:t>
            </w:r>
          </w:p>
        </w:tc>
        <w:tc>
          <w:tcPr>
            <w:tcW w:w="0" w:type="auto"/>
            <w:vAlign w:val="center"/>
            <w:hideMark/>
          </w:tcPr>
          <w:p w14:paraId="1F590B55"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Disproportionate burden reported among under-resourced local health departments</w:t>
            </w:r>
          </w:p>
        </w:tc>
      </w:tr>
      <w:tr w:rsidR="003C1BA8" w:rsidRPr="003C1BA8" w14:paraId="3283571C" w14:textId="77777777" w:rsidTr="003C1BA8">
        <w:trPr>
          <w:tblCellSpacing w:w="15" w:type="dxa"/>
        </w:trPr>
        <w:tc>
          <w:tcPr>
            <w:tcW w:w="0" w:type="auto"/>
            <w:vAlign w:val="center"/>
            <w:hideMark/>
          </w:tcPr>
          <w:p w14:paraId="494004E3"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Formalised evidence-to-decision frameworks</w:t>
            </w:r>
          </w:p>
        </w:tc>
        <w:tc>
          <w:tcPr>
            <w:tcW w:w="0" w:type="auto"/>
            <w:vAlign w:val="center"/>
            <w:hideMark/>
          </w:tcPr>
          <w:p w14:paraId="380843E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Provides structured pathway from analysis to policy choice</w:t>
            </w:r>
          </w:p>
        </w:tc>
        <w:tc>
          <w:tcPr>
            <w:tcW w:w="0" w:type="auto"/>
            <w:vAlign w:val="center"/>
            <w:hideMark/>
          </w:tcPr>
          <w:p w14:paraId="302264D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Heterogeneous but expanding adoption of evidence-informed decision frameworks</w:t>
            </w:r>
          </w:p>
        </w:tc>
      </w:tr>
      <w:tr w:rsidR="003C1BA8" w:rsidRPr="003C1BA8" w14:paraId="027B3415" w14:textId="77777777" w:rsidTr="003C1BA8">
        <w:trPr>
          <w:tblCellSpacing w:w="15" w:type="dxa"/>
        </w:trPr>
        <w:tc>
          <w:tcPr>
            <w:tcW w:w="0" w:type="auto"/>
            <w:vAlign w:val="center"/>
            <w:hideMark/>
          </w:tcPr>
          <w:p w14:paraId="73B1A031"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Institutionalised translational roles</w:t>
            </w:r>
          </w:p>
        </w:tc>
        <w:tc>
          <w:tcPr>
            <w:tcW w:w="0" w:type="auto"/>
            <w:vAlign w:val="center"/>
            <w:hideMark/>
          </w:tcPr>
          <w:p w14:paraId="005B5B89"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Sustains translation independent of individual relationships</w:t>
            </w:r>
          </w:p>
        </w:tc>
        <w:tc>
          <w:tcPr>
            <w:tcW w:w="0" w:type="auto"/>
            <w:vAlign w:val="center"/>
            <w:hideMark/>
          </w:tcPr>
          <w:p w14:paraId="4BD34141"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Stronger translational outcomes where organisational structures are formalised</w:t>
            </w:r>
          </w:p>
        </w:tc>
      </w:tr>
      <w:tr w:rsidR="003C1BA8" w:rsidRPr="003C1BA8" w14:paraId="3D0F37EF" w14:textId="77777777" w:rsidTr="003C1BA8">
        <w:trPr>
          <w:tblCellSpacing w:w="15" w:type="dxa"/>
        </w:trPr>
        <w:tc>
          <w:tcPr>
            <w:tcW w:w="0" w:type="auto"/>
            <w:vAlign w:val="center"/>
            <w:hideMark/>
          </w:tcPr>
          <w:p w14:paraId="4B89C6D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Long-term human capital strategy</w:t>
            </w:r>
          </w:p>
        </w:tc>
        <w:tc>
          <w:tcPr>
            <w:tcW w:w="0" w:type="auto"/>
            <w:vAlign w:val="center"/>
            <w:hideMark/>
          </w:tcPr>
          <w:p w14:paraId="7F9E35AB"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Builds durable capacity beyond emergency-driven investment</w:t>
            </w:r>
          </w:p>
        </w:tc>
        <w:tc>
          <w:tcPr>
            <w:tcW w:w="0" w:type="auto"/>
            <w:vAlign w:val="center"/>
            <w:hideMark/>
          </w:tcPr>
          <w:p w14:paraId="737DD2D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sustained data science capacity building in transitional health systems</w:t>
            </w:r>
          </w:p>
        </w:tc>
      </w:tr>
    </w:tbl>
    <w:p w14:paraId="0BE1A8F7"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w:t>
      </w:r>
      <w:proofErr w:type="spellStart"/>
      <w:r w:rsidRPr="003C1BA8">
        <w:rPr>
          <w:rFonts w:ascii="Times New Roman" w:eastAsia="Times New Roman" w:hAnsi="Times New Roman" w:cs="Times New Roman"/>
          <w:i/>
          <w:iCs/>
          <w:sz w:val="24"/>
          <w:szCs w:val="24"/>
          <w:lang w:eastAsia="en-GB"/>
        </w:rPr>
        <w:t>Gotsadze</w:t>
      </w:r>
      <w:proofErr w:type="spellEnd"/>
      <w:r w:rsidRPr="003C1BA8">
        <w:rPr>
          <w:rFonts w:ascii="Times New Roman" w:eastAsia="Times New Roman" w:hAnsi="Times New Roman" w:cs="Times New Roman"/>
          <w:i/>
          <w:iCs/>
          <w:sz w:val="24"/>
          <w:szCs w:val="24"/>
          <w:lang w:eastAsia="en-GB"/>
        </w:rPr>
        <w:t xml:space="preserve"> et al. (2026); Rajamani et al. (2026); Smith &amp; Johnson (2023); Song et al. (2025).</w:t>
      </w:r>
    </w:p>
    <w:p w14:paraId="6B1BB6BD"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5. Knowledge Translation and the Evidence-to-Policy Interface</w:t>
      </w:r>
    </w:p>
    <w:p w14:paraId="213E548B"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5.1 Conceptual foundations</w:t>
      </w:r>
    </w:p>
    <w:p w14:paraId="6F3E10EA"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Knowledge translation describes the deliberate processes by which research evidence, including evidence derived from data analytics, is synthesised, disseminated, exchanged, and applied to improve outcomes through policy and practice. National strategies for knowledge translation vary considerably in their formality and institutional embedding; a scoping review of grey literature on national knowledge translation strategies found that while the underlying objective of bridging the evidence-policy gap is widely shared, the specific mechanisms employed, including evidence briefs, policy dialogues, and knowledge-broker positions, differ substantially across jurisdictions and are rarely evaluated rigorously for their comparative effectiveness (Babarczy et al., 2024). This heterogeneity matters for data analytics specifically because analytic products, unlike traditional research findings, often require continuous updating, real-time interpretation, and translation into operationally actionable thresholds, placing additional demands on knowledge translation infrastructure that was originally designed around discrete, finished research studies rather than live data streams.</w:t>
      </w:r>
    </w:p>
    <w:p w14:paraId="3B1BD898"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5.2 The analyst-policymaker relationship</w:t>
      </w:r>
    </w:p>
    <w:p w14:paraId="3651152A"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A recurring theme across the literature is that data analysts and policymakers frequently operate with different time horizons, risk tolerances, and standards of evidentiary sufficiency. Policymakers must act under political and resource constraints that rarely permit waiting for analytically ideal evidence, while analysts are trained to qualify findings with appropriate statistical caveats that can be misread by non-technical audiences as a lack of confidence rather than appropriate scientific rigour. This mismatch is compounded where analytic units sit organisationally distant from policy units, with limited routine interaction outside of crisis periods. The evidence-informed decision-making frameworks reviewed by Song and colleagues attempt to formalise this interface, but their proliferation without strong comparative evaluation suggests the field has not yet converged on an optimal institutional design (Song et al., 2025).</w:t>
      </w:r>
    </w:p>
    <w:p w14:paraId="5FA5ACD8"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5.3 Building trust through engagement</w:t>
      </w:r>
    </w:p>
    <w:p w14:paraId="71E4CA55"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Trust between data producers and policy users appears repeatedly as a precondition for translation, distinct from the technical quality of the analysis itself. Workforce capacity-building programmes that embed analysts within applied policy projects, rather than training them in isolation, appear to generate stronger downstream translation, consistent with broader implementation science findings that co-production of knowledge between researchers and decision-makers improves uptake relative to one-directional dissemination models. This suggests that closing the translational gap is not solely a matter of improving the technical sophistication of analytic outputs, but of restructuring the relationships and routines through which those outputs reach decision-makers.</w:t>
      </w:r>
    </w:p>
    <w:p w14:paraId="71332659"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6. Artificial Intelligence, Algorithmic Bias, and Equity</w:t>
      </w:r>
    </w:p>
    <w:p w14:paraId="52530DC1"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6.1 The promise and the risk</w:t>
      </w:r>
    </w:p>
    <w:p w14:paraId="574394D5"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Artificial intelligence and machine learning have been positioned as transformative tools for public health, with applications spanning outbreak forecasting, resource allocation, and risk stratification, and with some commentators arguing that these tools carry genuine potential to democratise diagnostic and predictive capability across health systems of varying resource levels (Deo, 2024; Wang et al., 2025). Random forest and related ensemble methods, for instance, have demonstrated strong predictive performance in community-based health management contexts, outperforming single decision-tree approaches in handling large, heterogeneous health datasets (Wang et al., 2025). Yet the same characteristics that make these tools powerful, their capacity to learn complex patterns from historical data, also make them vulnerable to reproducing and amplifying the structural inequities embedded within that historical data, and realising the equity-enhancing potential described above is by no means guaranteed without deliberate design choices (Deo, 2024).</w:t>
      </w:r>
    </w:p>
    <w:p w14:paraId="56B1828C"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6.2 Sources and consequences of algorithmic bias</w:t>
      </w:r>
    </w:p>
    <w:p w14:paraId="72EA2686"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Algorithmic bias in public health artificial intelligence has been characterised as a silent threat to equity, particularly in low-resource settings where training data may underrepresent the populations subsequently served by deployed models (Joseph, 2025). Representation bias, arising when historically marginalised groups are underrepresented in training datasets, interacts with pre-existing structural inequities, such as discriminatory access to care, to produce models that perform less reliably for the populations most in need of accurate public health intervention (Joseph, 2025). This is not a hypothetical concern; documented cases of </w:t>
      </w:r>
      <w:r w:rsidRPr="003C1BA8">
        <w:rPr>
          <w:rFonts w:ascii="Times New Roman" w:eastAsia="Times New Roman" w:hAnsi="Times New Roman" w:cs="Times New Roman"/>
          <w:sz w:val="24"/>
          <w:szCs w:val="24"/>
          <w:lang w:eastAsia="en-GB"/>
        </w:rPr>
        <w:lastRenderedPageBreak/>
        <w:t>underdiagnosis bias in algorithms applied to medical imaging among underserved populations illustrate the mechanism by which biased training data translates into biased clinical and, by extension, policy-relevant outputs.</w:t>
      </w:r>
    </w:p>
    <w:p w14:paraId="1BD4D193"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Health equity and ethical considerations therefore cannot be treated as a downstream add-on to artificial intelligence deployment in public health but must be integrated across the development lifecycle, from data collection through deployment and monitoring (Dankwa-Mullan, 2024). Frameworks proposing the integration of health equity and racial justice considerations directly into the artificial intelligence development lifecycle reflect a growing consensus that technical performance metrics alone are insufficient evaluation criteria for tools intended to inform population-level policy decisions (Dankwa-Mullan, 2024). Artificial intelligence is simultaneously framed as a tool with the potential to accelerate health disparities research itself, by enabling analysis of patterns across race, ethnicity, gender, and socioeconomic status at a scale not previously feasible, provided that bias mitigation is built into the analytic pipeline from the outset (Green et al., 2024).</w:t>
      </w:r>
    </w:p>
    <w:p w14:paraId="4E78C7A6"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6.3 Regulatory and ethical governance</w:t>
      </w:r>
    </w:p>
    <w:p w14:paraId="0A8FFD9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regulatory environment for artificial intelligence in healthcare and public health remains in active development across jurisdictions. Ethical and regulatory analysis of artificial intelligence technologies in healthcare identifies persistent legal voids, particularly regarding accountability for algorithmic decisions that influence resource allocation or risk classification at a population level, alongside calls for international cooperation to harmonise oversight standards (Mennella et al., 2024). The absence of settled regulatory frameworks creates uncertainty for public health agencies considering whether and how to incorporate machine learning outputs into formal policy processes, since the legal and political consequences of relying on an algorithmically derived recommendation that later proves biased or erroneous remain only partially defined. This uncertainty itself functions as a translational barrier, as risk-averse policymakers may decline to act on analytically sound but procedurally untested artificial intelligence outputs in the absence of clear governance cover.</w:t>
      </w:r>
    </w:p>
    <w:p w14:paraId="50FFDB2D"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4 sets out the principal equity and governance considerations raised in this literature, together with the mitigating approaches that have been proposed in response.</w:t>
      </w:r>
    </w:p>
    <w:p w14:paraId="028820F9"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4. Equity and governance considerations in artificial intelligence-enabled public health analytics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3464"/>
        <w:gridCol w:w="3410"/>
      </w:tblGrid>
      <w:tr w:rsidR="003C1BA8" w:rsidRPr="003C1BA8" w14:paraId="548D418E" w14:textId="77777777" w:rsidTr="003C1BA8">
        <w:trPr>
          <w:tblHeader/>
          <w:tblCellSpacing w:w="15" w:type="dxa"/>
        </w:trPr>
        <w:tc>
          <w:tcPr>
            <w:tcW w:w="0" w:type="auto"/>
            <w:vAlign w:val="center"/>
            <w:hideMark/>
          </w:tcPr>
          <w:p w14:paraId="3B6598D8"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Consideration</w:t>
            </w:r>
          </w:p>
        </w:tc>
        <w:tc>
          <w:tcPr>
            <w:tcW w:w="0" w:type="auto"/>
            <w:vAlign w:val="center"/>
            <w:hideMark/>
          </w:tcPr>
          <w:p w14:paraId="43A56CA4"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Risk if unaddressed</w:t>
            </w:r>
          </w:p>
        </w:tc>
        <w:tc>
          <w:tcPr>
            <w:tcW w:w="0" w:type="auto"/>
            <w:vAlign w:val="center"/>
            <w:hideMark/>
          </w:tcPr>
          <w:p w14:paraId="3C4595B6"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Mitigating approach identified in literature</w:t>
            </w:r>
          </w:p>
        </w:tc>
      </w:tr>
      <w:tr w:rsidR="003C1BA8" w:rsidRPr="003C1BA8" w14:paraId="42EFA4AB" w14:textId="77777777" w:rsidTr="003C1BA8">
        <w:trPr>
          <w:tblCellSpacing w:w="15" w:type="dxa"/>
        </w:trPr>
        <w:tc>
          <w:tcPr>
            <w:tcW w:w="0" w:type="auto"/>
            <w:vAlign w:val="center"/>
            <w:hideMark/>
          </w:tcPr>
          <w:p w14:paraId="4A18C7A4"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Representation bias in training data</w:t>
            </w:r>
          </w:p>
        </w:tc>
        <w:tc>
          <w:tcPr>
            <w:tcW w:w="0" w:type="auto"/>
            <w:vAlign w:val="center"/>
            <w:hideMark/>
          </w:tcPr>
          <w:p w14:paraId="33AFBD5D"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Reduced model accuracy for underrepresented populations</w:t>
            </w:r>
          </w:p>
        </w:tc>
        <w:tc>
          <w:tcPr>
            <w:tcW w:w="0" w:type="auto"/>
            <w:vAlign w:val="center"/>
            <w:hideMark/>
          </w:tcPr>
          <w:p w14:paraId="78006A01"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Inclusive data practices, community engagement in model design</w:t>
            </w:r>
          </w:p>
        </w:tc>
      </w:tr>
      <w:tr w:rsidR="003C1BA8" w:rsidRPr="003C1BA8" w14:paraId="501594D5" w14:textId="77777777" w:rsidTr="003C1BA8">
        <w:trPr>
          <w:tblCellSpacing w:w="15" w:type="dxa"/>
        </w:trPr>
        <w:tc>
          <w:tcPr>
            <w:tcW w:w="0" w:type="auto"/>
            <w:vAlign w:val="center"/>
            <w:hideMark/>
          </w:tcPr>
          <w:p w14:paraId="7E8D1B25"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Lifecycle integration of equity</w:t>
            </w:r>
          </w:p>
        </w:tc>
        <w:tc>
          <w:tcPr>
            <w:tcW w:w="0" w:type="auto"/>
            <w:vAlign w:val="center"/>
            <w:hideMark/>
          </w:tcPr>
          <w:p w14:paraId="0657514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Equity treated as afterthought rather than design principle</w:t>
            </w:r>
          </w:p>
        </w:tc>
        <w:tc>
          <w:tcPr>
            <w:tcW w:w="0" w:type="auto"/>
            <w:vAlign w:val="center"/>
            <w:hideMark/>
          </w:tcPr>
          <w:p w14:paraId="5ED5EDED"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Frameworks embedding equity assessment across development lifecycle</w:t>
            </w:r>
          </w:p>
        </w:tc>
      </w:tr>
      <w:tr w:rsidR="003C1BA8" w:rsidRPr="003C1BA8" w14:paraId="4F64A4DD" w14:textId="77777777" w:rsidTr="003C1BA8">
        <w:trPr>
          <w:tblCellSpacing w:w="15" w:type="dxa"/>
        </w:trPr>
        <w:tc>
          <w:tcPr>
            <w:tcW w:w="0" w:type="auto"/>
            <w:vAlign w:val="center"/>
            <w:hideMark/>
          </w:tcPr>
          <w:p w14:paraId="66FB934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Accountability gaps</w:t>
            </w:r>
          </w:p>
        </w:tc>
        <w:tc>
          <w:tcPr>
            <w:tcW w:w="0" w:type="auto"/>
            <w:vAlign w:val="center"/>
            <w:hideMark/>
          </w:tcPr>
          <w:p w14:paraId="5C4D29AF"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Unclear responsibility for biased or erroneous algorithmic outputs</w:t>
            </w:r>
          </w:p>
        </w:tc>
        <w:tc>
          <w:tcPr>
            <w:tcW w:w="0" w:type="auto"/>
            <w:vAlign w:val="center"/>
            <w:hideMark/>
          </w:tcPr>
          <w:p w14:paraId="17450F32"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harmonised international regulatory standards</w:t>
            </w:r>
          </w:p>
        </w:tc>
      </w:tr>
      <w:tr w:rsidR="003C1BA8" w:rsidRPr="003C1BA8" w14:paraId="4A1F3AB2" w14:textId="77777777" w:rsidTr="003C1BA8">
        <w:trPr>
          <w:tblCellSpacing w:w="15" w:type="dxa"/>
        </w:trPr>
        <w:tc>
          <w:tcPr>
            <w:tcW w:w="0" w:type="auto"/>
            <w:vAlign w:val="center"/>
            <w:hideMark/>
          </w:tcPr>
          <w:p w14:paraId="631598D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Policymaker risk aversion</w:t>
            </w:r>
          </w:p>
        </w:tc>
        <w:tc>
          <w:tcPr>
            <w:tcW w:w="0" w:type="auto"/>
            <w:vAlign w:val="center"/>
            <w:hideMark/>
          </w:tcPr>
          <w:p w14:paraId="4E962350"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Reluctance to act on untested AI-derived recommendations</w:t>
            </w:r>
          </w:p>
        </w:tc>
        <w:tc>
          <w:tcPr>
            <w:tcW w:w="0" w:type="auto"/>
            <w:vAlign w:val="center"/>
            <w:hideMark/>
          </w:tcPr>
          <w:p w14:paraId="70D58369"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Transparent algorithm design and documented validation</w:t>
            </w:r>
          </w:p>
        </w:tc>
      </w:tr>
    </w:tbl>
    <w:p w14:paraId="2B1B99B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lastRenderedPageBreak/>
        <w:t>Sources: Dankwa-Mullan (2024); Deo (2024); Green et al. (2024); Joseph (2025); Mennella et al. (2024).</w:t>
      </w:r>
    </w:p>
    <w:p w14:paraId="5CE45C77"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7. Communicating Analytics to Policymakers: Dashboards and Visualisation</w:t>
      </w:r>
    </w:p>
    <w:p w14:paraId="3FBC2569"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7.1 The role of visual communication</w:t>
      </w:r>
    </w:p>
    <w:p w14:paraId="2FF4015E"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Even technically sound and equitably designed analytic outputs fail to inform policy if they are not communicated in a form decision-makers can interpret rapidly under time pressure. Dashboards have become a primary mechanism for this communication, particularly since the COVID-19 pandemic demonstrated both their value and their limitations as tools for public risk and crisis communication (Schulze et al., 2023). A systematic review of digital dashboards visualising public health data, encompassing sixty-five included studies, found considerable variation in the data sources, functions, and visualisation choices employed across dashboards, alongside comparatively limited rigorous user-centred evaluation of whether these design choices actually improved comprehension or decision quality among their intended audiences (Schulze et al., 2023).</w:t>
      </w:r>
    </w:p>
    <w:p w14:paraId="3EE52CEB"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7.2 Matching visualisation to communication goal</w:t>
      </w:r>
    </w:p>
    <w:p w14:paraId="78F90EEE"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 central methodological insight from the dashboard literature is that the optimal visualisation depends on the specific communication objective, whether that objective is promoting recall of key facts, shaping perceptions of risk, or directly influencing behaviour, and that a single dashboard design rarely serves all three objectives equally well. This has direct implications for policy translation, since policymakers, public health practitioners, and the general public represent distinct audiences with different baseline numeracy, time constraints, and decision authority, yet are frequently served by the same dashboard interface designed without explicit differentiation between these audiences.</w:t>
      </w:r>
    </w:p>
    <w:p w14:paraId="05BEBF52"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7.3 Persistent visual communication challenges</w:t>
      </w:r>
    </w:p>
    <w:p w14:paraId="01BE4DD6"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Despite substantial public investment in health data accessibility, visual communication challenges including inadequate visual design, variable health and data literacy among intended audiences, and the compounding effects of misinformation continue to create gaps between the existence of analytic findings and their effective uptake, with these challenges most acute during public health emergencies when both the stakes and the volume of information are highest. The historical lineage of this challenge extends back to early epidemiological cartography, but contemporary dashboards introduce additional complexity through interactivity, real-time data refresh, and the layering of multiple data sources, each of which can either clarify or obscure the underlying signal depending on design quality.</w:t>
      </w:r>
    </w:p>
    <w:p w14:paraId="7CBCC230"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5 summarises the principal communication factors found to shape whether analytic findings actually reach and influence decision-makers once produced.</w:t>
      </w:r>
    </w:p>
    <w:p w14:paraId="70729529"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5. Communication factors influencing policy uptake of analytic findings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8"/>
        <w:gridCol w:w="3385"/>
        <w:gridCol w:w="3523"/>
      </w:tblGrid>
      <w:tr w:rsidR="003C1BA8" w:rsidRPr="003C1BA8" w14:paraId="55D280E6" w14:textId="77777777" w:rsidTr="003C1BA8">
        <w:trPr>
          <w:tblHeader/>
          <w:tblCellSpacing w:w="15" w:type="dxa"/>
        </w:trPr>
        <w:tc>
          <w:tcPr>
            <w:tcW w:w="0" w:type="auto"/>
            <w:vAlign w:val="center"/>
            <w:hideMark/>
          </w:tcPr>
          <w:p w14:paraId="76D1420C"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Factor</w:t>
            </w:r>
          </w:p>
        </w:tc>
        <w:tc>
          <w:tcPr>
            <w:tcW w:w="0" w:type="auto"/>
            <w:vAlign w:val="center"/>
            <w:hideMark/>
          </w:tcPr>
          <w:p w14:paraId="54DFC5D0"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Effect on translation</w:t>
            </w:r>
          </w:p>
        </w:tc>
        <w:tc>
          <w:tcPr>
            <w:tcW w:w="0" w:type="auto"/>
            <w:vAlign w:val="center"/>
            <w:hideMark/>
          </w:tcPr>
          <w:p w14:paraId="27B4955B"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Evidence base</w:t>
            </w:r>
          </w:p>
        </w:tc>
      </w:tr>
      <w:tr w:rsidR="003C1BA8" w:rsidRPr="003C1BA8" w14:paraId="29692DAC" w14:textId="77777777" w:rsidTr="003C1BA8">
        <w:trPr>
          <w:tblCellSpacing w:w="15" w:type="dxa"/>
        </w:trPr>
        <w:tc>
          <w:tcPr>
            <w:tcW w:w="0" w:type="auto"/>
            <w:vAlign w:val="center"/>
            <w:hideMark/>
          </w:tcPr>
          <w:p w14:paraId="07A7E44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Audience differentiation</w:t>
            </w:r>
          </w:p>
        </w:tc>
        <w:tc>
          <w:tcPr>
            <w:tcW w:w="0" w:type="auto"/>
            <w:vAlign w:val="center"/>
            <w:hideMark/>
          </w:tcPr>
          <w:p w14:paraId="4EED40C6"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Single-design dashboards may serve no audience optimally</w:t>
            </w:r>
          </w:p>
        </w:tc>
        <w:tc>
          <w:tcPr>
            <w:tcW w:w="0" w:type="auto"/>
            <w:vAlign w:val="center"/>
            <w:hideMark/>
          </w:tcPr>
          <w:p w14:paraId="7EDAC29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Communication-goal-specific visualisation guidance</w:t>
            </w:r>
          </w:p>
        </w:tc>
      </w:tr>
      <w:tr w:rsidR="003C1BA8" w:rsidRPr="003C1BA8" w14:paraId="0740BE64" w14:textId="77777777" w:rsidTr="003C1BA8">
        <w:trPr>
          <w:tblCellSpacing w:w="15" w:type="dxa"/>
        </w:trPr>
        <w:tc>
          <w:tcPr>
            <w:tcW w:w="0" w:type="auto"/>
            <w:vAlign w:val="center"/>
            <w:hideMark/>
          </w:tcPr>
          <w:p w14:paraId="4309E624"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Visual and data literacy variation</w:t>
            </w:r>
          </w:p>
        </w:tc>
        <w:tc>
          <w:tcPr>
            <w:tcW w:w="0" w:type="auto"/>
            <w:vAlign w:val="center"/>
            <w:hideMark/>
          </w:tcPr>
          <w:p w14:paraId="6DCED7E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Limits comprehension among non-technical decision-makers</w:t>
            </w:r>
          </w:p>
        </w:tc>
        <w:tc>
          <w:tcPr>
            <w:tcW w:w="0" w:type="auto"/>
            <w:vAlign w:val="center"/>
            <w:hideMark/>
          </w:tcPr>
          <w:p w14:paraId="333EB208"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Persistent gaps despite substantial infrastructure investment</w:t>
            </w:r>
          </w:p>
        </w:tc>
      </w:tr>
      <w:tr w:rsidR="003C1BA8" w:rsidRPr="003C1BA8" w14:paraId="59262945" w14:textId="77777777" w:rsidTr="003C1BA8">
        <w:trPr>
          <w:tblCellSpacing w:w="15" w:type="dxa"/>
        </w:trPr>
        <w:tc>
          <w:tcPr>
            <w:tcW w:w="0" w:type="auto"/>
            <w:vAlign w:val="center"/>
            <w:hideMark/>
          </w:tcPr>
          <w:p w14:paraId="59D4C1D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Real-time and interactive design</w:t>
            </w:r>
          </w:p>
        </w:tc>
        <w:tc>
          <w:tcPr>
            <w:tcW w:w="0" w:type="auto"/>
            <w:vAlign w:val="center"/>
            <w:hideMark/>
          </w:tcPr>
          <w:p w14:paraId="521E3CAF"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Can clarify or obscure signal depending on execution</w:t>
            </w:r>
          </w:p>
        </w:tc>
        <w:tc>
          <w:tcPr>
            <w:tcW w:w="0" w:type="auto"/>
            <w:vAlign w:val="center"/>
            <w:hideMark/>
          </w:tcPr>
          <w:p w14:paraId="6D0AFA03"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Variable design quality across reviewed dashboards</w:t>
            </w:r>
          </w:p>
        </w:tc>
      </w:tr>
      <w:tr w:rsidR="003C1BA8" w:rsidRPr="003C1BA8" w14:paraId="79A5BA20" w14:textId="77777777" w:rsidTr="003C1BA8">
        <w:trPr>
          <w:tblCellSpacing w:w="15" w:type="dxa"/>
        </w:trPr>
        <w:tc>
          <w:tcPr>
            <w:tcW w:w="0" w:type="auto"/>
            <w:vAlign w:val="center"/>
            <w:hideMark/>
          </w:tcPr>
          <w:p w14:paraId="280A105D"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Emergency-period demand surge</w:t>
            </w:r>
          </w:p>
        </w:tc>
        <w:tc>
          <w:tcPr>
            <w:tcW w:w="0" w:type="auto"/>
            <w:vAlign w:val="center"/>
            <w:hideMark/>
          </w:tcPr>
          <w:p w14:paraId="25228086"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Compounds existing visual communication weaknesses</w:t>
            </w:r>
          </w:p>
        </w:tc>
        <w:tc>
          <w:tcPr>
            <w:tcW w:w="0" w:type="auto"/>
            <w:vAlign w:val="center"/>
            <w:hideMark/>
          </w:tcPr>
          <w:p w14:paraId="37A96C1F"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Dashboard use and limitations documented during COVID-19</w:t>
            </w:r>
          </w:p>
        </w:tc>
      </w:tr>
    </w:tbl>
    <w:p w14:paraId="65E247CC"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Source: Schulze et al. (2023).</w:t>
      </w:r>
    </w:p>
    <w:p w14:paraId="34E945C9"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8. Translational Constraints and Opportunities in Low- and Middle-Income Settings</w:t>
      </w:r>
    </w:p>
    <w:p w14:paraId="74270057"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8.1 The digital divide as a translational barrier</w:t>
      </w:r>
    </w:p>
    <w:p w14:paraId="1744FF05"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barriers described in preceding sections are present, to varying degrees, in all settings, but they interact distinctively in low- and middle-income countries, where infrastructural, workforce, and financing constraints are typically more severe. A rapid systematic review spanning twenty-five years of digital health interventions aimed at universal health coverage in these settings identified persistent gaps in equitable access and inclusion, recommending targeted strategies such as subsidised device distribution and locally led training to narrow the digital divide and strengthen the foundation for analytic translation into policy (Sylla et al., 2025). A literature review focused specifically on the opportunities and challenges of big data analytics in developing-country healthcare settings reached a similar conclusion, noting that much routinely collected health data in these contexts remains unstructured and underutilised precisely because the surrounding infrastructure and analytic capacity have not kept pace with data generation (</w:t>
      </w:r>
      <w:proofErr w:type="spellStart"/>
      <w:r w:rsidRPr="003C1BA8">
        <w:rPr>
          <w:rFonts w:ascii="Times New Roman" w:eastAsia="Times New Roman" w:hAnsi="Times New Roman" w:cs="Times New Roman"/>
          <w:sz w:val="24"/>
          <w:szCs w:val="24"/>
          <w:lang w:eastAsia="en-GB"/>
        </w:rPr>
        <w:t>Muhunzi</w:t>
      </w:r>
      <w:proofErr w:type="spellEnd"/>
      <w:r w:rsidRPr="003C1BA8">
        <w:rPr>
          <w:rFonts w:ascii="Times New Roman" w:eastAsia="Times New Roman" w:hAnsi="Times New Roman" w:cs="Times New Roman"/>
          <w:sz w:val="24"/>
          <w:szCs w:val="24"/>
          <w:lang w:eastAsia="en-GB"/>
        </w:rPr>
        <w:t xml:space="preserve"> et al., 2024). Perspectives drawn from digital health innovation across South and Southeast Asia similarly emphasise that durable progress depends on locally grounded partnerships and an evidence-based approach to scaling national digital health infrastructure, rather than the wholesale transplantation of digital health models developed in higher-income contexts (Yi et al., 2024).</w:t>
      </w:r>
    </w:p>
    <w:p w14:paraId="4CF82E92"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8.2 Workforce constraints in resource-limited settings</w:t>
      </w:r>
    </w:p>
    <w:p w14:paraId="681F630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Health workforce adoption of digital health technology in low- and middle-income countries has been the subject of systematic review and meta-analysis, with findings indicating that adoption rates and the factors influencing them vary considerably depending on infrastructure readiness, training availability, and organisational support, with implications for how reliably analytic tools introduced into these settings can be expected to inform routine policy and programme decisions (Wang et al., 2024). Complementary scoping review evidence on the digitalisation of human resources for health information systems similarly underscores that workforce-related bottlenecks, including insufficient numbers of trained informatics personnel and limited career pathways for health data professionals, constrain the translation of digital health investment into improved information system performance (Nagai et al., 2025).</w:t>
      </w:r>
    </w:p>
    <w:p w14:paraId="17267157" w14:textId="77777777" w:rsidR="003C1BA8" w:rsidRPr="003C1BA8" w:rsidRDefault="003C1BA8" w:rsidP="003C1BA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8.3 Building sustainable capacity</w:t>
      </w:r>
    </w:p>
    <w:p w14:paraId="38D6C4C3"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Editorial commentary addressing the implementation of digital health in public health settings within low- and middle-income countries identifies a recurring tension between externally funded, often time-limited digital health projects and the longer-term institutional capacity needed to sustain and govern them after donor support concludes. Evidence from Eastern Europe and Central Asia reinforces the view that sustainable data science and informatics capacity requires deliberate, long-horizon investment in human capital embedded within national digital health strategy, rather than reliance on short-term project-based training alone (</w:t>
      </w:r>
      <w:proofErr w:type="spellStart"/>
      <w:r w:rsidRPr="003C1BA8">
        <w:rPr>
          <w:rFonts w:ascii="Times New Roman" w:eastAsia="Times New Roman" w:hAnsi="Times New Roman" w:cs="Times New Roman"/>
          <w:sz w:val="24"/>
          <w:szCs w:val="24"/>
          <w:lang w:eastAsia="en-GB"/>
        </w:rPr>
        <w:t>Gotsadze</w:t>
      </w:r>
      <w:proofErr w:type="spellEnd"/>
      <w:r w:rsidRPr="003C1BA8">
        <w:rPr>
          <w:rFonts w:ascii="Times New Roman" w:eastAsia="Times New Roman" w:hAnsi="Times New Roman" w:cs="Times New Roman"/>
          <w:sz w:val="24"/>
          <w:szCs w:val="24"/>
          <w:lang w:eastAsia="en-GB"/>
        </w:rPr>
        <w:t xml:space="preserve"> et al., 2026). Geospatial analytic tools, including geographic information systems applied to resource allocation and outbreak response, illustrate both the opportunity and the constraint clearly: such tools can substantially improve the precision of public health targeting in resource-constrained settings, but their value depends entirely on the availability of accurate underlying spatial and health data and on personnel trained to interpret spatial statistical output for policy audiences (Beard et al., 2018; Osei &amp; Sasidharan, 2023; Song et al., 2024; Xu et al., 2024).</w:t>
      </w:r>
    </w:p>
    <w:p w14:paraId="2247427C"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6 sets out the principal constraints and emerging opportunities identified across this literature for low- and middle-income settings specifically.</w:t>
      </w:r>
    </w:p>
    <w:p w14:paraId="22CE5A21"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6. Translational constraints and emerging opportunities in low- and middle-income settings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1"/>
        <w:gridCol w:w="2852"/>
        <w:gridCol w:w="4113"/>
      </w:tblGrid>
      <w:tr w:rsidR="003C1BA8" w:rsidRPr="003C1BA8" w14:paraId="53258954" w14:textId="77777777" w:rsidTr="003C1BA8">
        <w:trPr>
          <w:tblHeader/>
          <w:tblCellSpacing w:w="15" w:type="dxa"/>
        </w:trPr>
        <w:tc>
          <w:tcPr>
            <w:tcW w:w="0" w:type="auto"/>
            <w:vAlign w:val="center"/>
            <w:hideMark/>
          </w:tcPr>
          <w:p w14:paraId="6164579D"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Domain</w:t>
            </w:r>
          </w:p>
        </w:tc>
        <w:tc>
          <w:tcPr>
            <w:tcW w:w="0" w:type="auto"/>
            <w:vAlign w:val="center"/>
            <w:hideMark/>
          </w:tcPr>
          <w:p w14:paraId="618201A4"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Principal constraint</w:t>
            </w:r>
          </w:p>
        </w:tc>
        <w:tc>
          <w:tcPr>
            <w:tcW w:w="0" w:type="auto"/>
            <w:vAlign w:val="center"/>
            <w:hideMark/>
          </w:tcPr>
          <w:p w14:paraId="5385E816" w14:textId="77777777" w:rsidR="003C1BA8" w:rsidRPr="003C1BA8" w:rsidRDefault="003C1BA8" w:rsidP="003C1BA8">
            <w:pPr>
              <w:spacing w:after="0" w:line="240" w:lineRule="auto"/>
              <w:jc w:val="center"/>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Emerging opportunity</w:t>
            </w:r>
          </w:p>
        </w:tc>
      </w:tr>
      <w:tr w:rsidR="003C1BA8" w:rsidRPr="003C1BA8" w14:paraId="2EC86D17" w14:textId="77777777" w:rsidTr="003C1BA8">
        <w:trPr>
          <w:tblCellSpacing w:w="15" w:type="dxa"/>
        </w:trPr>
        <w:tc>
          <w:tcPr>
            <w:tcW w:w="0" w:type="auto"/>
            <w:vAlign w:val="center"/>
            <w:hideMark/>
          </w:tcPr>
          <w:p w14:paraId="62124696"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Connectivity and device access</w:t>
            </w:r>
          </w:p>
        </w:tc>
        <w:tc>
          <w:tcPr>
            <w:tcW w:w="0" w:type="auto"/>
            <w:vAlign w:val="center"/>
            <w:hideMark/>
          </w:tcPr>
          <w:p w14:paraId="722AD7F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Substantial proportion of population remains offline</w:t>
            </w:r>
          </w:p>
        </w:tc>
        <w:tc>
          <w:tcPr>
            <w:tcW w:w="0" w:type="auto"/>
            <w:vAlign w:val="center"/>
            <w:hideMark/>
          </w:tcPr>
          <w:p w14:paraId="70ACC32C"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Subsidised access programmes, locally tailored interventions</w:t>
            </w:r>
          </w:p>
        </w:tc>
      </w:tr>
      <w:tr w:rsidR="003C1BA8" w:rsidRPr="003C1BA8" w14:paraId="3E6826C2" w14:textId="77777777" w:rsidTr="003C1BA8">
        <w:trPr>
          <w:tblCellSpacing w:w="15" w:type="dxa"/>
        </w:trPr>
        <w:tc>
          <w:tcPr>
            <w:tcW w:w="0" w:type="auto"/>
            <w:vAlign w:val="center"/>
            <w:hideMark/>
          </w:tcPr>
          <w:p w14:paraId="5A0DD9C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Workforce</w:t>
            </w:r>
          </w:p>
        </w:tc>
        <w:tc>
          <w:tcPr>
            <w:tcW w:w="0" w:type="auto"/>
            <w:vAlign w:val="center"/>
            <w:hideMark/>
          </w:tcPr>
          <w:p w14:paraId="6069947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Shortage of trained data and informatics personnel</w:t>
            </w:r>
          </w:p>
        </w:tc>
        <w:tc>
          <w:tcPr>
            <w:tcW w:w="0" w:type="auto"/>
            <w:vAlign w:val="center"/>
            <w:hideMark/>
          </w:tcPr>
          <w:p w14:paraId="4D728BC0"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Scoping of digitalised human resource information systems to guide investment</w:t>
            </w:r>
          </w:p>
        </w:tc>
      </w:tr>
      <w:tr w:rsidR="003C1BA8" w:rsidRPr="003C1BA8" w14:paraId="107FBC46" w14:textId="77777777" w:rsidTr="003C1BA8">
        <w:trPr>
          <w:tblCellSpacing w:w="15" w:type="dxa"/>
        </w:trPr>
        <w:tc>
          <w:tcPr>
            <w:tcW w:w="0" w:type="auto"/>
            <w:vAlign w:val="center"/>
            <w:hideMark/>
          </w:tcPr>
          <w:p w14:paraId="3CA3AA6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Institutional sustainability</w:t>
            </w:r>
          </w:p>
        </w:tc>
        <w:tc>
          <w:tcPr>
            <w:tcW w:w="0" w:type="auto"/>
            <w:vAlign w:val="center"/>
            <w:hideMark/>
          </w:tcPr>
          <w:p w14:paraId="6DCE2283"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Donor-dependent, time-limited project funding</w:t>
            </w:r>
          </w:p>
        </w:tc>
        <w:tc>
          <w:tcPr>
            <w:tcW w:w="0" w:type="auto"/>
            <w:vAlign w:val="center"/>
            <w:hideMark/>
          </w:tcPr>
          <w:p w14:paraId="180EF2A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Long-horizon national digital health human capital strategies</w:t>
            </w:r>
          </w:p>
        </w:tc>
      </w:tr>
      <w:tr w:rsidR="003C1BA8" w:rsidRPr="003C1BA8" w14:paraId="590318DF" w14:textId="77777777" w:rsidTr="003C1BA8">
        <w:trPr>
          <w:tblCellSpacing w:w="15" w:type="dxa"/>
        </w:trPr>
        <w:tc>
          <w:tcPr>
            <w:tcW w:w="0" w:type="auto"/>
            <w:vAlign w:val="center"/>
            <w:hideMark/>
          </w:tcPr>
          <w:p w14:paraId="0F668779"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Spatial and geographic analytics</w:t>
            </w:r>
          </w:p>
        </w:tc>
        <w:tc>
          <w:tcPr>
            <w:tcW w:w="0" w:type="auto"/>
            <w:vAlign w:val="center"/>
            <w:hideMark/>
          </w:tcPr>
          <w:p w14:paraId="6B67EFB7"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Limited underlying spatial and health data quality</w:t>
            </w:r>
          </w:p>
        </w:tc>
        <w:tc>
          <w:tcPr>
            <w:tcW w:w="0" w:type="auto"/>
            <w:vAlign w:val="center"/>
            <w:hideMark/>
          </w:tcPr>
          <w:p w14:paraId="0D64399E" w14:textId="77777777" w:rsidR="003C1BA8" w:rsidRPr="003C1BA8" w:rsidRDefault="003C1BA8" w:rsidP="003C1BA8">
            <w:pPr>
              <w:spacing w:after="0"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Expanding geographic information system applications for resource allocation</w:t>
            </w:r>
          </w:p>
        </w:tc>
      </w:tr>
    </w:tbl>
    <w:p w14:paraId="66DDFEDF"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Beard et al. (2018); </w:t>
      </w:r>
      <w:proofErr w:type="spellStart"/>
      <w:r w:rsidRPr="003C1BA8">
        <w:rPr>
          <w:rFonts w:ascii="Times New Roman" w:eastAsia="Times New Roman" w:hAnsi="Times New Roman" w:cs="Times New Roman"/>
          <w:i/>
          <w:iCs/>
          <w:sz w:val="24"/>
          <w:szCs w:val="24"/>
          <w:lang w:eastAsia="en-GB"/>
        </w:rPr>
        <w:t>Gotsadze</w:t>
      </w:r>
      <w:proofErr w:type="spellEnd"/>
      <w:r w:rsidRPr="003C1BA8">
        <w:rPr>
          <w:rFonts w:ascii="Times New Roman" w:eastAsia="Times New Roman" w:hAnsi="Times New Roman" w:cs="Times New Roman"/>
          <w:i/>
          <w:iCs/>
          <w:sz w:val="24"/>
          <w:szCs w:val="24"/>
          <w:lang w:eastAsia="en-GB"/>
        </w:rPr>
        <w:t xml:space="preserve"> et al. (2026); </w:t>
      </w:r>
      <w:proofErr w:type="spellStart"/>
      <w:r w:rsidRPr="003C1BA8">
        <w:rPr>
          <w:rFonts w:ascii="Times New Roman" w:eastAsia="Times New Roman" w:hAnsi="Times New Roman" w:cs="Times New Roman"/>
          <w:i/>
          <w:iCs/>
          <w:sz w:val="24"/>
          <w:szCs w:val="24"/>
          <w:lang w:eastAsia="en-GB"/>
        </w:rPr>
        <w:t>Muhunzi</w:t>
      </w:r>
      <w:proofErr w:type="spellEnd"/>
      <w:r w:rsidRPr="003C1BA8">
        <w:rPr>
          <w:rFonts w:ascii="Times New Roman" w:eastAsia="Times New Roman" w:hAnsi="Times New Roman" w:cs="Times New Roman"/>
          <w:i/>
          <w:iCs/>
          <w:sz w:val="24"/>
          <w:szCs w:val="24"/>
          <w:lang w:eastAsia="en-GB"/>
        </w:rPr>
        <w:t xml:space="preserve"> et al. (2024); Nagai et al. (2025); Osei &amp; Sasidharan (2023); Song et al. (2024); Sylla et al. (2025); Wang et al. (2024); Xu et al. (2024); Yi et al. (2024).</w:t>
      </w:r>
    </w:p>
    <w:p w14:paraId="6D87A55F"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9. Future Directions</w:t>
      </w:r>
    </w:p>
    <w:p w14:paraId="07E03117"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Several priority areas emerge from this synthesis. Interoperability investment should be paired explicitly with governance capacity-building, since technical data linkage achieved without corresponding legal and institutional frameworks tends to stall before reaching policy application. Public health workforce development should treat data communication and policy literacy as core competencies alongside technical analytic skill, recognising that the translational bottleneck is frequently located at the interface between disciplines rather than within either discipline alone. Evidence-informed decision-making frameworks would benefit from comparative evaluation studies that move beyond cataloguing existing frameworks toward establishing which institutional designs most reliably convert analytic evidence into policy action under varying resource and political conditions. Artificial intelligence governance in public health should continue moving toward lifecycle-integrated equity </w:t>
      </w:r>
      <w:r w:rsidRPr="003C1BA8">
        <w:rPr>
          <w:rFonts w:ascii="Times New Roman" w:eastAsia="Times New Roman" w:hAnsi="Times New Roman" w:cs="Times New Roman"/>
          <w:sz w:val="24"/>
          <w:szCs w:val="24"/>
          <w:lang w:eastAsia="en-GB"/>
        </w:rPr>
        <w:lastRenderedPageBreak/>
        <w:t>assessment, with particular attention to validation in the specific populations where tools will be deployed rather than reliance on aggregate performance metrics derived from unrepresentative training data. Dashboard and visualisation design should be explicitly tailored to distinct audiences, with policymaker-facing products evaluated for their actual influence on decision quality rather than assessed primarily on technical sophistication or visual polish. Sustained, long-horizon investment in data science and informatics capacity in low- and middle-income countries should be prioritised over short-term, donor-driven projects, with attention to embedding this capacity within national digital health strategy rather than isolated programmatic initiatives. Finally, future research would benefit from longitudinal case studies tracing specific analytic products from generation through to documented policy outcome, since much of the existing literature characterises barriers and frameworks in the abstract without empirically tracing whether and how particular analytic findings ultimately influenced a specific, identifiable policy decision.</w:t>
      </w:r>
    </w:p>
    <w:p w14:paraId="3EC7F155"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10. Conclusions</w:t>
      </w:r>
    </w:p>
    <w:p w14:paraId="178229A4" w14:textId="77777777" w:rsidR="003C1BA8" w:rsidRP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gap between data analytics and public health policy is not primarily a technical deficiency in analytic method but a structural and institutional one. Fragmented data infrastructure, uneven governance capacity, persistent workforce skills gaps, underdeveloped knowledge translation mechanisms, legitimate concerns about algorithmic bias, and communication practices not consistently designed for policy audiences each contribute independently to the gap and compound one another when present together. The COVID-19 pandemic demonstrated that this gap can narrow rapidly under sufficient political pressure and resourcing, but also that progress achieved under emergency conditions does not automatically translate into durable capacity once acute pressure subsides. Low- and middle-income settings face the same categories of barrier in more acute form, compounded by infrastructural and financing constraints, though emerging evidence on locally grounded digital health partnerships and sustained workforce investment offers a credible path forward. Closing the translational gap will require simultaneous, coordinated investment across data infrastructure, workforce capacity, institutional knowledge translation structures, equitable artificial intelligence governance, and policymaker-oriented communication design, rather than continued emphasis on analytic sophistication in isolation from the people, institutions, and relationships through which analytic findings must travel to become policy.</w:t>
      </w:r>
    </w:p>
    <w:p w14:paraId="7784314C"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11. Limitations</w:t>
      </w:r>
    </w:p>
    <w:p w14:paraId="25641DB5" w14:textId="77777777" w:rsidR="003C1BA8" w:rsidRDefault="003C1BA8" w:rsidP="003C1BA8">
      <w:pPr>
        <w:spacing w:before="100" w:beforeAutospacing="1" w:after="100" w:afterAutospacing="1" w:line="240" w:lineRule="auto"/>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This review has several limitations. As a narrative rather than systematic review, the selection of literature, while guided by a defined search strategy, retained an element of purposive judgement regarding which studies best illustrated each conceptual theme, introducing the possibility of selection bias not fully mitigated by the search protocol described in Section 2. The review draws predominantly on literature published in English, which likely underrepresents experiences and innovations documented in other languages, particularly relevant given the review's attention to low- and middle-income settings where English-language publication may not reflect the full scope of local practice. The rapidly evolving nature of artificial intelligence regulation and digital health policy means that some specific regulatory and institutional details discussed in this review may have changed by the time of publication, even though the underlying structural barriers identified are likely to remain relevant over a longer horizon. Finally, the review synthesises evidence describing barriers and frameworks largely in qualitative or descriptive terms, reflecting the state of the underlying literature, and was unable to draw on a substantial body of quantitative, </w:t>
      </w:r>
      <w:r w:rsidRPr="003C1BA8">
        <w:rPr>
          <w:rFonts w:ascii="Times New Roman" w:eastAsia="Times New Roman" w:hAnsi="Times New Roman" w:cs="Times New Roman"/>
          <w:sz w:val="24"/>
          <w:szCs w:val="24"/>
          <w:lang w:eastAsia="en-GB"/>
        </w:rPr>
        <w:lastRenderedPageBreak/>
        <w:t>comparative evaluation evidence establishing which specific institutional interventions most effectively narrow the translational gap, since such evidence remains sparse across the literature reviewed.</w:t>
      </w:r>
    </w:p>
    <w:p w14:paraId="0A6556F4" w14:textId="77777777" w:rsidR="00BB529E" w:rsidRPr="000839CE" w:rsidRDefault="00BB529E" w:rsidP="00BB529E">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CC58C4E" w14:textId="77777777" w:rsidR="00BB529E" w:rsidRPr="000839CE" w:rsidRDefault="00BB529E" w:rsidP="00BB529E">
      <w:pPr>
        <w:spacing w:after="0" w:line="240" w:lineRule="auto"/>
        <w:rPr>
          <w:rFonts w:ascii="Times New Roman" w:hAnsi="Times New Roman" w:cs="Times New Roman"/>
        </w:rPr>
      </w:pPr>
    </w:p>
    <w:p w14:paraId="71A478FB" w14:textId="77777777" w:rsidR="00BB529E" w:rsidRPr="000839CE" w:rsidRDefault="00BB529E" w:rsidP="00BB529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6C168A8" w14:textId="77777777" w:rsidR="00BB529E" w:rsidRPr="003C1BA8" w:rsidRDefault="00BB529E" w:rsidP="003C1BA8">
      <w:pPr>
        <w:spacing w:before="100" w:beforeAutospacing="1" w:after="100" w:afterAutospacing="1" w:line="240" w:lineRule="auto"/>
        <w:rPr>
          <w:rFonts w:ascii="Times New Roman" w:eastAsia="Times New Roman" w:hAnsi="Times New Roman" w:cs="Times New Roman"/>
          <w:sz w:val="24"/>
          <w:szCs w:val="24"/>
          <w:lang w:eastAsia="en-GB"/>
        </w:rPr>
      </w:pPr>
    </w:p>
    <w:p w14:paraId="0CD46E37" w14:textId="77777777" w:rsidR="003C1BA8" w:rsidRPr="003C1BA8" w:rsidRDefault="003C1BA8" w:rsidP="003C1BA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References</w:t>
      </w:r>
    </w:p>
    <w:p w14:paraId="4C94F611" w14:textId="77777777" w:rsidR="003C1BA8" w:rsidRDefault="003C1BA8" w:rsidP="003C1BA8">
      <w:pPr>
        <w:pStyle w:val="pdq2pgselectionanchorcontainer"/>
      </w:pPr>
      <w:r>
        <w:t xml:space="preserve">Babarczy, B., Scarlett, J., Sharma, T., Gaál, P., Szécsényi-Nagy, B., &amp; </w:t>
      </w:r>
      <w:proofErr w:type="spellStart"/>
      <w:r>
        <w:t>Kuchenmüller</w:t>
      </w:r>
      <w:proofErr w:type="spellEnd"/>
      <w:r>
        <w:t xml:space="preserve">, T. (2024). National strategies for knowledge translation in health policy-making: A scoping review of grey literature. </w:t>
      </w:r>
      <w:r>
        <w:rPr>
          <w:rStyle w:val="Emphasis"/>
        </w:rPr>
        <w:t>Health Research Policy and Systems, 22</w:t>
      </w:r>
      <w:r>
        <w:t xml:space="preserve">, Article 50. </w:t>
      </w:r>
      <w:hyperlink r:id="rId7" w:tgtFrame="_new" w:history="1">
        <w:r>
          <w:rPr>
            <w:rStyle w:val="Hyperlink"/>
          </w:rPr>
          <w:t>https://doi.org/10.1186/s12961-023-01089-0</w:t>
        </w:r>
      </w:hyperlink>
    </w:p>
    <w:p w14:paraId="09B0CBF6" w14:textId="77777777" w:rsidR="003C1BA8" w:rsidRDefault="003C1BA8" w:rsidP="003C1BA8">
      <w:pPr>
        <w:pStyle w:val="NormalWeb"/>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8" w:tgtFrame="_new" w:history="1">
        <w:r>
          <w:rPr>
            <w:rStyle w:val="Hyperlink"/>
          </w:rPr>
          <w:t>https://doi.org/10.1186/s41073-019-0064-8</w:t>
        </w:r>
      </w:hyperlink>
    </w:p>
    <w:p w14:paraId="5E8D516A" w14:textId="77777777" w:rsidR="003C1BA8" w:rsidRDefault="003C1BA8" w:rsidP="003C1BA8">
      <w:pPr>
        <w:pStyle w:val="NormalWeb"/>
      </w:pPr>
      <w:r>
        <w:t xml:space="preserve">Beard, R., Wentz, E., &amp; Scotch, M. (2018). A systematic review of spatial decision support systems in public health informatics supporting the identification of </w:t>
      </w:r>
      <w:proofErr w:type="gramStart"/>
      <w:r>
        <w:t>high risk</w:t>
      </w:r>
      <w:proofErr w:type="gramEnd"/>
      <w:r>
        <w:t xml:space="preserve"> areas for zoonotic disease outbreaks. </w:t>
      </w:r>
      <w:r>
        <w:rPr>
          <w:rStyle w:val="Emphasis"/>
        </w:rPr>
        <w:t>International Journal of Health Geographics, 17</w:t>
      </w:r>
      <w:r>
        <w:t xml:space="preserve">, Article 38. </w:t>
      </w:r>
      <w:hyperlink r:id="rId9" w:tgtFrame="_new" w:history="1">
        <w:r>
          <w:rPr>
            <w:rStyle w:val="Hyperlink"/>
          </w:rPr>
          <w:t>https://doi.org/10.1186/s12942-018-0157-5</w:t>
        </w:r>
      </w:hyperlink>
    </w:p>
    <w:p w14:paraId="6E79406C" w14:textId="77777777" w:rsidR="003C1BA8" w:rsidRDefault="003C1BA8" w:rsidP="003C1BA8">
      <w:pPr>
        <w:pStyle w:val="NormalWeb"/>
      </w:pPr>
      <w:r>
        <w:t xml:space="preserve">Cardwell, K., Clyne, B., Broderick, N., Tyner, B., Masukume, G., Larkin, L., McManus, L., Carrigan, M., Sharp, M., Smith, S. M., Harrington, P., Connolly, M., Ryan, M., &amp; O’Neill, M. (2023). Lessons learnt from the COVID-19 pandemic in selected countries to inform strengthening of public health systems: A qualitative study. </w:t>
      </w:r>
      <w:r>
        <w:rPr>
          <w:rStyle w:val="Emphasis"/>
        </w:rPr>
        <w:t>Public Health, 225</w:t>
      </w:r>
      <w:r>
        <w:t xml:space="preserve">, 343–352. </w:t>
      </w:r>
      <w:hyperlink r:id="rId10" w:tgtFrame="_new" w:history="1">
        <w:r>
          <w:rPr>
            <w:rStyle w:val="Hyperlink"/>
          </w:rPr>
          <w:t>https://doi.org/10.1016/j.puhe.2023.10.024</w:t>
        </w:r>
      </w:hyperlink>
    </w:p>
    <w:p w14:paraId="3CA9652C" w14:textId="77777777" w:rsidR="003C1BA8" w:rsidRDefault="003C1BA8" w:rsidP="003C1BA8">
      <w:pPr>
        <w:pStyle w:val="NormalWeb"/>
      </w:pPr>
      <w:proofErr w:type="spellStart"/>
      <w:r>
        <w:t>Cimova</w:t>
      </w:r>
      <w:proofErr w:type="spellEnd"/>
      <w:r>
        <w:t xml:space="preserve">, K., Henderson, D., Allik, M., Brown, D., Meier, P., Mayor, C., Watson, N., Craig, P., &amp; Tweed, E. (2022). Barriers and facilitators of cross-sectoral data linkage to inform healthy public policy and practice: Lessons from three case study projects in Scotland. </w:t>
      </w:r>
      <w:r>
        <w:rPr>
          <w:rStyle w:val="Emphasis"/>
        </w:rPr>
        <w:t>International Journal of Population Data Science, 7</w:t>
      </w:r>
      <w:r>
        <w:t xml:space="preserve">(3), Article 2062. </w:t>
      </w:r>
      <w:hyperlink r:id="rId11" w:tgtFrame="_new" w:history="1">
        <w:r>
          <w:rPr>
            <w:rStyle w:val="Hyperlink"/>
          </w:rPr>
          <w:t>https://doi.org/10.23889/ijpds.v7i3.2062</w:t>
        </w:r>
      </w:hyperlink>
    </w:p>
    <w:p w14:paraId="499B1F3A" w14:textId="77777777" w:rsidR="003C1BA8" w:rsidRDefault="003C1BA8" w:rsidP="003C1BA8">
      <w:pPr>
        <w:pStyle w:val="NormalWeb"/>
      </w:pPr>
      <w:r>
        <w:t xml:space="preserve">Dankwa-Mullan, I. (2024). Health equity and ethical considerations in using artificial intelligence in public health and medicine. </w:t>
      </w:r>
      <w:r>
        <w:rPr>
          <w:rStyle w:val="Emphasis"/>
        </w:rPr>
        <w:t>Preventing Chronic Disease, 21</w:t>
      </w:r>
      <w:r>
        <w:t xml:space="preserve">, Article 240245. </w:t>
      </w:r>
      <w:hyperlink r:id="rId12" w:tgtFrame="_new" w:history="1">
        <w:r>
          <w:rPr>
            <w:rStyle w:val="Hyperlink"/>
          </w:rPr>
          <w:t>https://doi.org/10.5888/pcd21.240245</w:t>
        </w:r>
      </w:hyperlink>
    </w:p>
    <w:p w14:paraId="5F09D088" w14:textId="77777777" w:rsidR="003C1BA8" w:rsidRDefault="003C1BA8" w:rsidP="003C1BA8">
      <w:pPr>
        <w:pStyle w:val="NormalWeb"/>
      </w:pPr>
      <w:r>
        <w:t xml:space="preserve">Deo, R. C. (2024). Artificial intelligence and health equity: Opportunities and obstacles. </w:t>
      </w:r>
      <w:r>
        <w:rPr>
          <w:rStyle w:val="Emphasis"/>
        </w:rPr>
        <w:t>JACC: Advances, 3</w:t>
      </w:r>
      <w:r>
        <w:t xml:space="preserve">(9 Part 2), Article 101045. </w:t>
      </w:r>
      <w:hyperlink r:id="rId13" w:tgtFrame="_new" w:history="1">
        <w:r>
          <w:rPr>
            <w:rStyle w:val="Hyperlink"/>
          </w:rPr>
          <w:t>https://doi.org/10.1016/j.jacadv.2024.101045</w:t>
        </w:r>
      </w:hyperlink>
    </w:p>
    <w:p w14:paraId="1691D0CB" w14:textId="77777777" w:rsidR="003C1BA8" w:rsidRDefault="003C1BA8" w:rsidP="003C1BA8">
      <w:pPr>
        <w:pStyle w:val="NormalWeb"/>
      </w:pPr>
      <w:r>
        <w:lastRenderedPageBreak/>
        <w:t xml:space="preserve">Duggal, M., El Ayadi, A., Duggal, B., Reynolds, N., &amp; </w:t>
      </w:r>
      <w:proofErr w:type="spellStart"/>
      <w:r>
        <w:t>Bascaran</w:t>
      </w:r>
      <w:proofErr w:type="spellEnd"/>
      <w:r>
        <w:t xml:space="preserve">, C. (2023). Editorial: Challenges in implementing digital health in public health settings in low and middle income countries. </w:t>
      </w:r>
      <w:r>
        <w:rPr>
          <w:rStyle w:val="Emphasis"/>
        </w:rPr>
        <w:t>Frontiers in Public Health, 10</w:t>
      </w:r>
      <w:r>
        <w:t xml:space="preserve">, Article 1090303. </w:t>
      </w:r>
      <w:hyperlink r:id="rId14" w:tgtFrame="_new" w:history="1">
        <w:r>
          <w:rPr>
            <w:rStyle w:val="Hyperlink"/>
          </w:rPr>
          <w:t>https://doi.org/10.3389/fpubh.2022.1090303</w:t>
        </w:r>
      </w:hyperlink>
    </w:p>
    <w:p w14:paraId="7303B7FC" w14:textId="77777777" w:rsidR="003C1BA8" w:rsidRDefault="003C1BA8" w:rsidP="003C1BA8">
      <w:pPr>
        <w:pStyle w:val="NormalWeb"/>
      </w:pPr>
      <w:r>
        <w:t xml:space="preserve">Farinha, C. S., Nogueira, P. J., Feteira-Santos, R., &amp; Costa, A. S. (2022). Editorial: Public health data challenges of the COVID-19 pandemic: A Sisyphean task! </w:t>
      </w:r>
      <w:r>
        <w:rPr>
          <w:rStyle w:val="Emphasis"/>
        </w:rPr>
        <w:t>Frontiers in Public Health, 10</w:t>
      </w:r>
      <w:r>
        <w:t xml:space="preserve">, Article 1010055. </w:t>
      </w:r>
      <w:hyperlink r:id="rId15" w:tgtFrame="_new" w:history="1">
        <w:r>
          <w:rPr>
            <w:rStyle w:val="Hyperlink"/>
          </w:rPr>
          <w:t>https://doi.org/10.3389/fpubh.2022.1010055</w:t>
        </w:r>
      </w:hyperlink>
    </w:p>
    <w:p w14:paraId="70B6403F" w14:textId="77777777" w:rsidR="003C1BA8" w:rsidRDefault="003C1BA8" w:rsidP="003C1BA8">
      <w:pPr>
        <w:pStyle w:val="NormalWeb"/>
      </w:pPr>
      <w:r>
        <w:t xml:space="preserve">Gotsadze, G., Gelashvili, M., </w:t>
      </w:r>
      <w:proofErr w:type="spellStart"/>
      <w:r>
        <w:t>Zhuravliova</w:t>
      </w:r>
      <w:proofErr w:type="spellEnd"/>
      <w:r>
        <w:t xml:space="preserve">, E., Barbakadze, T., Gilvydis, J., Levine, R., &amp; Becknell, S. (2026). Building sustainable public health data science and informatics capacity: Possibilities for Eastern Europe and Central Asia. </w:t>
      </w:r>
      <w:r>
        <w:rPr>
          <w:rStyle w:val="Emphasis"/>
        </w:rPr>
        <w:t>Health Policy and Planning, 41</w:t>
      </w:r>
      <w:r>
        <w:t xml:space="preserve">(5), 821–830. </w:t>
      </w:r>
      <w:hyperlink r:id="rId16" w:tgtFrame="_new" w:history="1">
        <w:r>
          <w:rPr>
            <w:rStyle w:val="Hyperlink"/>
          </w:rPr>
          <w:t>https://doi.org/10.1093/heapol/czag046</w:t>
        </w:r>
      </w:hyperlink>
    </w:p>
    <w:p w14:paraId="1ACB9AEA" w14:textId="77777777" w:rsidR="003C1BA8" w:rsidRDefault="003C1BA8" w:rsidP="003C1BA8">
      <w:pPr>
        <w:pStyle w:val="NormalWeb"/>
      </w:pPr>
      <w:r>
        <w:t xml:space="preserve">Green, B. L., Murphy, A., &amp; Robinson, E. (2024). Accelerating health disparities research with artificial intelligence. </w:t>
      </w:r>
      <w:r>
        <w:rPr>
          <w:rStyle w:val="Emphasis"/>
        </w:rPr>
        <w:t>Frontiers in Digital Health, 6</w:t>
      </w:r>
      <w:r>
        <w:t xml:space="preserve">, Article 1330160. </w:t>
      </w:r>
      <w:hyperlink r:id="rId17" w:tgtFrame="_new" w:history="1">
        <w:r>
          <w:rPr>
            <w:rStyle w:val="Hyperlink"/>
          </w:rPr>
          <w:t>https://doi.org/10.3389/fdgth.2024.1330160</w:t>
        </w:r>
      </w:hyperlink>
    </w:p>
    <w:p w14:paraId="1002B763" w14:textId="77777777" w:rsidR="003C1BA8" w:rsidRDefault="003C1BA8" w:rsidP="003C1BA8">
      <w:pPr>
        <w:pStyle w:val="NormalWeb"/>
      </w:pPr>
      <w:r>
        <w:t xml:space="preserve">Greenhalgh, T., Thorne, S., &amp; </w:t>
      </w:r>
      <w:proofErr w:type="spellStart"/>
      <w:r>
        <w:t>Malterud</w:t>
      </w:r>
      <w:proofErr w:type="spellEnd"/>
      <w:r>
        <w:t xml:space="preserve">, K. (2018). Time to challenge the spurious hierarchy of systematic over narrative reviews? </w:t>
      </w:r>
      <w:r>
        <w:rPr>
          <w:rStyle w:val="Emphasis"/>
        </w:rPr>
        <w:t>European Journal of Clinical Investigation, 48</w:t>
      </w:r>
      <w:r>
        <w:t xml:space="preserve">(6), Article e12931. </w:t>
      </w:r>
      <w:hyperlink r:id="rId18" w:tgtFrame="_new" w:history="1">
        <w:r>
          <w:rPr>
            <w:rStyle w:val="Hyperlink"/>
          </w:rPr>
          <w:t>https://doi.org/10.1111/eci.12931</w:t>
        </w:r>
      </w:hyperlink>
    </w:p>
    <w:p w14:paraId="5342032A" w14:textId="77777777" w:rsidR="003C1BA8" w:rsidRDefault="003C1BA8" w:rsidP="003C1BA8">
      <w:pPr>
        <w:pStyle w:val="NormalWeb"/>
      </w:pPr>
      <w:r>
        <w:t xml:space="preserve">Joseph, J. (2025). Algorithmic bias in public health AI: A silent threat to equity in low-resource settings. </w:t>
      </w:r>
      <w:r>
        <w:rPr>
          <w:rStyle w:val="Emphasis"/>
        </w:rPr>
        <w:t>Frontiers in Public Health, 13</w:t>
      </w:r>
      <w:r>
        <w:t xml:space="preserve">, Article 1643180. </w:t>
      </w:r>
      <w:hyperlink r:id="rId19" w:tgtFrame="_new" w:history="1">
        <w:r>
          <w:rPr>
            <w:rStyle w:val="Hyperlink"/>
          </w:rPr>
          <w:t>https://doi.org/10.3389/fpubh.2025.1643180</w:t>
        </w:r>
      </w:hyperlink>
    </w:p>
    <w:p w14:paraId="268056EC" w14:textId="77777777" w:rsidR="003C1BA8" w:rsidRDefault="003C1BA8" w:rsidP="003C1BA8">
      <w:pPr>
        <w:pStyle w:val="NormalWeb"/>
      </w:pPr>
      <w:r>
        <w:t xml:space="preserve">Li, P., Ma, L., Liu, J., &amp; Zhang, L. (2022). Surveillance of noncommunicable diseases: Opportunities in the era of big data. </w:t>
      </w:r>
      <w:r>
        <w:rPr>
          <w:rStyle w:val="Emphasis"/>
        </w:rPr>
        <w:t>Health Data Science, 2022</w:t>
      </w:r>
      <w:r>
        <w:t xml:space="preserve">, Article 9893703. </w:t>
      </w:r>
      <w:hyperlink r:id="rId20" w:tgtFrame="_new" w:history="1">
        <w:r>
          <w:rPr>
            <w:rStyle w:val="Hyperlink"/>
          </w:rPr>
          <w:t>https://doi.org/10.34133/2022/9893703</w:t>
        </w:r>
      </w:hyperlink>
    </w:p>
    <w:p w14:paraId="24936E75" w14:textId="77777777" w:rsidR="003C1BA8" w:rsidRDefault="003C1BA8" w:rsidP="003C1BA8">
      <w:pPr>
        <w:pStyle w:val="NormalWeb"/>
      </w:pPr>
      <w:proofErr w:type="spellStart"/>
      <w:r>
        <w:t>Marcassoli</w:t>
      </w:r>
      <w:proofErr w:type="spellEnd"/>
      <w:r>
        <w:t xml:space="preserve">, A., Leonardi, M., </w:t>
      </w:r>
      <w:proofErr w:type="spellStart"/>
      <w:r>
        <w:t>Passavanti</w:t>
      </w:r>
      <w:proofErr w:type="spellEnd"/>
      <w:r>
        <w:t xml:space="preserve">, M., De Angelis, V., Bentivegna, E., </w:t>
      </w:r>
      <w:proofErr w:type="spellStart"/>
      <w:r>
        <w:t>Martelletti</w:t>
      </w:r>
      <w:proofErr w:type="spellEnd"/>
      <w:r>
        <w:t xml:space="preserve">, P., &amp; Raggi, A. (2023). Lessons learned from the lessons learned in public health during the first years of COVID-19 pandemic. </w:t>
      </w:r>
      <w:r>
        <w:rPr>
          <w:rStyle w:val="Emphasis"/>
        </w:rPr>
        <w:t>International Journal of Environmental Research and Public Health, 20</w:t>
      </w:r>
      <w:r>
        <w:t xml:space="preserve">(3), Article 1785. </w:t>
      </w:r>
      <w:hyperlink r:id="rId21" w:tgtFrame="_new" w:history="1">
        <w:r>
          <w:rPr>
            <w:rStyle w:val="Hyperlink"/>
          </w:rPr>
          <w:t>https://doi.org/10.3390/ijerph20031785</w:t>
        </w:r>
      </w:hyperlink>
    </w:p>
    <w:p w14:paraId="4701465C" w14:textId="77777777" w:rsidR="003C1BA8" w:rsidRDefault="003C1BA8" w:rsidP="003C1BA8">
      <w:pPr>
        <w:pStyle w:val="NormalWeb"/>
      </w:pPr>
      <w:r>
        <w:t xml:space="preserve">Mennella, C., Maniscalco, U., De Pietro, G., &amp; Esposito, M. (2024). Ethical and regulatory challenges of AI technologies in healthcare: A narrative review. </w:t>
      </w:r>
      <w:proofErr w:type="spellStart"/>
      <w:r>
        <w:rPr>
          <w:rStyle w:val="Emphasis"/>
        </w:rPr>
        <w:t>Heliyon</w:t>
      </w:r>
      <w:proofErr w:type="spellEnd"/>
      <w:r>
        <w:rPr>
          <w:rStyle w:val="Emphasis"/>
        </w:rPr>
        <w:t>, 10</w:t>
      </w:r>
      <w:r>
        <w:t xml:space="preserve">(4), Article e26297. </w:t>
      </w:r>
      <w:hyperlink r:id="rId22" w:tgtFrame="_new" w:history="1">
        <w:r>
          <w:rPr>
            <w:rStyle w:val="Hyperlink"/>
          </w:rPr>
          <w:t>https://doi.org/10.1016/j.heliyon.2024.e26297</w:t>
        </w:r>
      </w:hyperlink>
    </w:p>
    <w:p w14:paraId="16F518AE" w14:textId="77777777" w:rsidR="003C1BA8" w:rsidRDefault="003C1BA8" w:rsidP="003C1BA8">
      <w:pPr>
        <w:pStyle w:val="NormalWeb"/>
      </w:pPr>
      <w:r>
        <w:t xml:space="preserve">Muhunzi, D., Kitambala, L., &amp; </w:t>
      </w:r>
      <w:proofErr w:type="spellStart"/>
      <w:r>
        <w:t>Mashauri</w:t>
      </w:r>
      <w:proofErr w:type="spellEnd"/>
      <w:r>
        <w:t xml:space="preserve">, H. L. (2024). Big data analytics in the healthcare sector: Opportunities and challenges in developing countries. A literature review. </w:t>
      </w:r>
      <w:r>
        <w:rPr>
          <w:rStyle w:val="Emphasis"/>
        </w:rPr>
        <w:t>Health Informatics Journal, 30</w:t>
      </w:r>
      <w:r>
        <w:t xml:space="preserve">(4). </w:t>
      </w:r>
      <w:hyperlink r:id="rId23" w:tgtFrame="_new" w:history="1">
        <w:r>
          <w:rPr>
            <w:rStyle w:val="Hyperlink"/>
          </w:rPr>
          <w:t>https://doi.org/10.1177/14604582241294217</w:t>
        </w:r>
      </w:hyperlink>
    </w:p>
    <w:p w14:paraId="53C09C35" w14:textId="77777777" w:rsidR="003C1BA8" w:rsidRDefault="003C1BA8" w:rsidP="003C1BA8">
      <w:pPr>
        <w:pStyle w:val="NormalWeb"/>
      </w:pPr>
      <w:r>
        <w:t>Nagai, M., Mufwaya-</w:t>
      </w:r>
      <w:proofErr w:type="spellStart"/>
      <w:r>
        <w:t>Nsene</w:t>
      </w:r>
      <w:proofErr w:type="spellEnd"/>
      <w:r>
        <w:t xml:space="preserve">, R., Thandar, M. M., Matsuoka, S., Okawa, S., &amp; Fujita, N. (2025). Digitalized human resources for health information systems in low- and middle-income countries: A scoping review. </w:t>
      </w:r>
      <w:r>
        <w:rPr>
          <w:rStyle w:val="Emphasis"/>
        </w:rPr>
        <w:t>Human Resources for Health, 24</w:t>
      </w:r>
      <w:r>
        <w:t xml:space="preserve">(1), Article 3. </w:t>
      </w:r>
      <w:hyperlink r:id="rId24" w:tgtFrame="_new" w:history="1">
        <w:r>
          <w:rPr>
            <w:rStyle w:val="Hyperlink"/>
          </w:rPr>
          <w:t>https://doi.org/10.1186/s12960-025-01043-x</w:t>
        </w:r>
      </w:hyperlink>
    </w:p>
    <w:p w14:paraId="1F3584A8" w14:textId="77777777" w:rsidR="003C1BA8" w:rsidRDefault="003C1BA8" w:rsidP="003C1BA8">
      <w:pPr>
        <w:pStyle w:val="NormalWeb"/>
      </w:pPr>
      <w:r>
        <w:lastRenderedPageBreak/>
        <w:t>Osei, F. B., &amp; Sasidharan, S. (2023). Geospatial health (</w:t>
      </w:r>
      <w:proofErr w:type="spellStart"/>
      <w:r>
        <w:t>GeoHealth</w:t>
      </w:r>
      <w:proofErr w:type="spellEnd"/>
      <w:r>
        <w:t xml:space="preserve">): Current trends, methods, and applications. </w:t>
      </w:r>
      <w:r>
        <w:rPr>
          <w:rStyle w:val="Emphasis"/>
        </w:rPr>
        <w:t>Tropical Medicine and Infectious Disease, 8</w:t>
      </w:r>
      <w:r>
        <w:t xml:space="preserve">(7), Article 366. </w:t>
      </w:r>
      <w:hyperlink r:id="rId25" w:tgtFrame="_new" w:history="1">
        <w:r>
          <w:rPr>
            <w:rStyle w:val="Hyperlink"/>
          </w:rPr>
          <w:t>https://doi.org/10.3390/tropicalmed8070366</w:t>
        </w:r>
      </w:hyperlink>
    </w:p>
    <w:p w14:paraId="632EEDFB" w14:textId="77777777" w:rsidR="003C1BA8" w:rsidRDefault="003C1BA8" w:rsidP="003C1BA8">
      <w:pPr>
        <w:pStyle w:val="NormalWeb"/>
      </w:pPr>
      <w:r>
        <w:t xml:space="preserve">Parker, E., Ravipati, T., Beare, R., Srikanth, V., &amp; Andrew, N. (2022). Establishing an ethics and governance framework for access to and linkage of electronic health data for research projects. </w:t>
      </w:r>
      <w:r>
        <w:rPr>
          <w:rStyle w:val="Emphasis"/>
        </w:rPr>
        <w:t>International Journal of Population Data Science, 7</w:t>
      </w:r>
      <w:r>
        <w:t xml:space="preserve">(3), Article 1958. </w:t>
      </w:r>
      <w:hyperlink r:id="rId26" w:tgtFrame="_new" w:history="1">
        <w:r>
          <w:rPr>
            <w:rStyle w:val="Hyperlink"/>
          </w:rPr>
          <w:t>https://doi.org/10.23889/ijpds.v7i3.1958</w:t>
        </w:r>
      </w:hyperlink>
    </w:p>
    <w:p w14:paraId="1A6CA4EE" w14:textId="77777777" w:rsidR="003C1BA8" w:rsidRDefault="003C1BA8" w:rsidP="003C1BA8">
      <w:pPr>
        <w:pStyle w:val="NormalWeb"/>
      </w:pPr>
      <w:r>
        <w:t xml:space="preserve">Rajamani, S., Gunashekar, D. R., Ghimire, U., Leider, J. P., &amp; Dixon, B. E. (2026). Training needs in data, informatics and technical skills in the US governmental public health workforce. </w:t>
      </w:r>
      <w:r>
        <w:rPr>
          <w:rStyle w:val="Emphasis"/>
        </w:rPr>
        <w:t>Frontiers in Public Health, 14</w:t>
      </w:r>
      <w:r>
        <w:t xml:space="preserve">, Article 1766682. </w:t>
      </w:r>
      <w:hyperlink r:id="rId27" w:tgtFrame="_new" w:history="1">
        <w:r>
          <w:rPr>
            <w:rStyle w:val="Hyperlink"/>
          </w:rPr>
          <w:t>https://doi.org/10.3389/fpubh.2026.1766682</w:t>
        </w:r>
      </w:hyperlink>
    </w:p>
    <w:p w14:paraId="550003C5" w14:textId="77777777" w:rsidR="003C1BA8" w:rsidRDefault="003C1BA8" w:rsidP="003C1BA8">
      <w:pPr>
        <w:pStyle w:val="NormalWeb"/>
      </w:pPr>
      <w:r>
        <w:t xml:space="preserve">Rigby, R. C., Ferdinand, A. O., Kum, H.-C., &amp; Schmit, C. (2024). Data sharing in a decentralized public health system: Lessons from COVID-19 syndromic surveillance. </w:t>
      </w:r>
      <w:r>
        <w:rPr>
          <w:rStyle w:val="Emphasis"/>
        </w:rPr>
        <w:t>JMIR Public Health and Surveillance, 10</w:t>
      </w:r>
      <w:r>
        <w:t xml:space="preserve">, Article e52587. </w:t>
      </w:r>
      <w:hyperlink r:id="rId28" w:tgtFrame="_new" w:history="1">
        <w:r>
          <w:rPr>
            <w:rStyle w:val="Hyperlink"/>
          </w:rPr>
          <w:t>https://doi.org/10.2196/52587</w:t>
        </w:r>
      </w:hyperlink>
    </w:p>
    <w:p w14:paraId="7C9D7714" w14:textId="77777777" w:rsidR="003C1BA8" w:rsidRDefault="003C1BA8" w:rsidP="003C1BA8">
      <w:pPr>
        <w:pStyle w:val="NormalWeb"/>
      </w:pPr>
      <w:r>
        <w:t xml:space="preserve">Schulze, A., Brand, F., Geppert, J., &amp; </w:t>
      </w:r>
      <w:proofErr w:type="spellStart"/>
      <w:r>
        <w:t>Böl</w:t>
      </w:r>
      <w:proofErr w:type="spellEnd"/>
      <w:r>
        <w:t xml:space="preserve">, G.-F. (2023). Digital dashboards visualizing public health data: A systematic review. </w:t>
      </w:r>
      <w:r>
        <w:rPr>
          <w:rStyle w:val="Emphasis"/>
        </w:rPr>
        <w:t>Frontiers in Public Health, 11</w:t>
      </w:r>
      <w:r>
        <w:t xml:space="preserve">, Article 999958. </w:t>
      </w:r>
      <w:hyperlink r:id="rId29" w:tgtFrame="_new" w:history="1">
        <w:r>
          <w:rPr>
            <w:rStyle w:val="Hyperlink"/>
          </w:rPr>
          <w:t>https://doi.org/10.3389/fpubh.2023.999958</w:t>
        </w:r>
      </w:hyperlink>
    </w:p>
    <w:p w14:paraId="3FEE244A" w14:textId="77777777" w:rsidR="003C1BA8" w:rsidRDefault="003C1BA8" w:rsidP="003C1BA8">
      <w:pPr>
        <w:pStyle w:val="NormalWeb"/>
      </w:pPr>
      <w:r>
        <w:t xml:space="preserve">Smith, S., &amp; Johnson, G. (2023). A systematic review of the barriers, enablers and strategies to embedding translational research within the public hospital system focusing on nursing and allied health professions. </w:t>
      </w:r>
      <w:r>
        <w:rPr>
          <w:rStyle w:val="Emphasis"/>
        </w:rPr>
        <w:t>PLOS ONE, 18</w:t>
      </w:r>
      <w:r>
        <w:t xml:space="preserve">(2), Article e0281819. </w:t>
      </w:r>
      <w:hyperlink r:id="rId30" w:tgtFrame="_new" w:history="1">
        <w:r>
          <w:rPr>
            <w:rStyle w:val="Hyperlink"/>
          </w:rPr>
          <w:t>https://doi.org/10.1371/journal.pone.0281819</w:t>
        </w:r>
      </w:hyperlink>
    </w:p>
    <w:p w14:paraId="2DF3059F" w14:textId="77777777" w:rsidR="003C1BA8" w:rsidRDefault="003C1BA8" w:rsidP="003C1BA8">
      <w:pPr>
        <w:pStyle w:val="NormalWeb"/>
      </w:pPr>
      <w:r>
        <w:t xml:space="preserve">Song, C., Wang, X., Ge, E., Shi, X., &amp; Pan, J. (2024). Editorial: Applications of geospatial information technologies and spatial statistics in health services research. </w:t>
      </w:r>
      <w:r>
        <w:rPr>
          <w:rStyle w:val="Emphasis"/>
        </w:rPr>
        <w:t>Frontiers in Public Health, 11</w:t>
      </w:r>
      <w:r>
        <w:t xml:space="preserve">, Article 1349985. </w:t>
      </w:r>
      <w:hyperlink r:id="rId31" w:tgtFrame="_new" w:history="1">
        <w:r>
          <w:rPr>
            <w:rStyle w:val="Hyperlink"/>
          </w:rPr>
          <w:t>https://doi.org/10.3389/fpubh.2023.1349985</w:t>
        </w:r>
      </w:hyperlink>
    </w:p>
    <w:p w14:paraId="5F2B7D53" w14:textId="77777777" w:rsidR="003C1BA8" w:rsidRDefault="003C1BA8" w:rsidP="003C1BA8">
      <w:pPr>
        <w:pStyle w:val="NormalWeb"/>
      </w:pPr>
      <w:r>
        <w:t xml:space="preserve">Song, Y., </w:t>
      </w:r>
      <w:proofErr w:type="spellStart"/>
      <w:r>
        <w:t>Bracchiglione</w:t>
      </w:r>
      <w:proofErr w:type="spellEnd"/>
      <w:r>
        <w:t>, J., Meneses-</w:t>
      </w:r>
      <w:proofErr w:type="spellStart"/>
      <w:r>
        <w:t>Echávez</w:t>
      </w:r>
      <w:proofErr w:type="spellEnd"/>
      <w:r>
        <w:t xml:space="preserve">, J. F., de Carvalho Gomes, H., </w:t>
      </w:r>
      <w:proofErr w:type="spellStart"/>
      <w:r>
        <w:t>Albiger</w:t>
      </w:r>
      <w:proofErr w:type="spellEnd"/>
      <w:r>
        <w:t xml:space="preserve">, B., </w:t>
      </w:r>
      <w:proofErr w:type="spellStart"/>
      <w:r>
        <w:t>Solà</w:t>
      </w:r>
      <w:proofErr w:type="spellEnd"/>
      <w:r>
        <w:t xml:space="preserve">, I., Rigau, D., &amp; Alonso-Coello, P. (2025). Frameworks to support evidence-informed public health decision-making for infectious disease prevention and control: A scoping review. </w:t>
      </w:r>
      <w:r>
        <w:rPr>
          <w:rStyle w:val="Emphasis"/>
        </w:rPr>
        <w:t>Eurosurveillance, 30</w:t>
      </w:r>
      <w:r>
        <w:t xml:space="preserve">(19), Article 2400185. </w:t>
      </w:r>
      <w:hyperlink r:id="rId32" w:tgtFrame="_new" w:history="1">
        <w:r>
          <w:rPr>
            <w:rStyle w:val="Hyperlink"/>
          </w:rPr>
          <w:t>https://doi.org/10.2807/1560-7917.ES.2025.30.19.2400185</w:t>
        </w:r>
      </w:hyperlink>
    </w:p>
    <w:p w14:paraId="2273CDD1" w14:textId="77777777" w:rsidR="003C1BA8" w:rsidRDefault="003C1BA8" w:rsidP="003C1BA8">
      <w:pPr>
        <w:pStyle w:val="NormalWeb"/>
      </w:pPr>
      <w:r>
        <w:t xml:space="preserve">Sylla, B., Ismaila, O., &amp; Diallo, G. (2025). 25 years of digital health toward universal health coverage in low- and middle-income countries: Rapid systematic review. </w:t>
      </w:r>
      <w:r>
        <w:rPr>
          <w:rStyle w:val="Emphasis"/>
        </w:rPr>
        <w:t>Journal of Medical Internet Research, 27</w:t>
      </w:r>
      <w:r>
        <w:t xml:space="preserve">, Article e59042. </w:t>
      </w:r>
      <w:hyperlink r:id="rId33" w:tgtFrame="_new" w:history="1">
        <w:r>
          <w:rPr>
            <w:rStyle w:val="Hyperlink"/>
          </w:rPr>
          <w:t>https://doi.org/10.2196/59042</w:t>
        </w:r>
      </w:hyperlink>
    </w:p>
    <w:p w14:paraId="4FAB9DA5" w14:textId="77777777" w:rsidR="003C1BA8" w:rsidRDefault="003C1BA8" w:rsidP="003C1BA8">
      <w:pPr>
        <w:pStyle w:val="NormalWeb"/>
      </w:pPr>
      <w:proofErr w:type="spellStart"/>
      <w:r>
        <w:t>Thaldar</w:t>
      </w:r>
      <w:proofErr w:type="spellEnd"/>
      <w:r>
        <w:t xml:space="preserve">, D. (2024). Editorial: Data governance in African health research: ELSI challenges and solutions. </w:t>
      </w:r>
      <w:r>
        <w:rPr>
          <w:rStyle w:val="Emphasis"/>
        </w:rPr>
        <w:t>Frontiers in Pharmacology, 15</w:t>
      </w:r>
      <w:r>
        <w:t xml:space="preserve">, Article 1525434. </w:t>
      </w:r>
      <w:hyperlink r:id="rId34" w:tgtFrame="_new" w:history="1">
        <w:r>
          <w:rPr>
            <w:rStyle w:val="Hyperlink"/>
          </w:rPr>
          <w:t>https://doi.org/10.3389/fphar.2024.1525434</w:t>
        </w:r>
      </w:hyperlink>
    </w:p>
    <w:p w14:paraId="05CBB12A" w14:textId="77777777" w:rsidR="003C1BA8" w:rsidRDefault="003C1BA8" w:rsidP="003C1BA8">
      <w:pPr>
        <w:pStyle w:val="NormalWeb"/>
      </w:pPr>
      <w:r>
        <w:t xml:space="preserve">Wang, H., Song, Y., &amp; Bi, H. (2025). Optimizing public health management with predictive analytics: Leveraging the power of random forest. </w:t>
      </w:r>
      <w:r>
        <w:rPr>
          <w:rStyle w:val="Emphasis"/>
        </w:rPr>
        <w:t>Frontiers in Big Data, 8</w:t>
      </w:r>
      <w:r>
        <w:t xml:space="preserve">, Article 1574683. </w:t>
      </w:r>
      <w:hyperlink r:id="rId35" w:tgtFrame="_new" w:history="1">
        <w:r>
          <w:rPr>
            <w:rStyle w:val="Hyperlink"/>
          </w:rPr>
          <w:t>https://doi.org/10.3389/fdata.2025.1574683</w:t>
        </w:r>
      </w:hyperlink>
    </w:p>
    <w:p w14:paraId="72585326" w14:textId="77777777" w:rsidR="003C1BA8" w:rsidRDefault="003C1BA8" w:rsidP="003C1BA8">
      <w:pPr>
        <w:pStyle w:val="NormalWeb"/>
      </w:pPr>
      <w:r>
        <w:lastRenderedPageBreak/>
        <w:t xml:space="preserve">Wang, M., Huang, K., Li, X., Zhao, X., Downey, L., </w:t>
      </w:r>
      <w:proofErr w:type="spellStart"/>
      <w:r>
        <w:t>Hassounah</w:t>
      </w:r>
      <w:proofErr w:type="spellEnd"/>
      <w:r>
        <w:t>, S., Liu, X., Jin, Y., &amp; Ren, M. (202</w:t>
      </w:r>
      <w:r w:rsidR="00086A35">
        <w:t>4</w:t>
      </w:r>
      <w:r>
        <w:t xml:space="preserve">). Health workers’ adoption of digital health technology in low- and middle-income countries: A systematic review and meta-analysis. </w:t>
      </w:r>
      <w:r>
        <w:rPr>
          <w:rStyle w:val="Emphasis"/>
        </w:rPr>
        <w:t>Bulletin of the World Health Organization, 103</w:t>
      </w:r>
      <w:r>
        <w:t xml:space="preserve">, 126–135F. </w:t>
      </w:r>
      <w:hyperlink r:id="rId36" w:tgtFrame="_new" w:history="1">
        <w:r>
          <w:rPr>
            <w:rStyle w:val="Hyperlink"/>
          </w:rPr>
          <w:t>https://doi.org/10.2471/BLT.24.292157</w:t>
        </w:r>
      </w:hyperlink>
    </w:p>
    <w:p w14:paraId="417AD02A" w14:textId="77777777" w:rsidR="003C1BA8" w:rsidRDefault="003C1BA8" w:rsidP="003C1BA8">
      <w:pPr>
        <w:pStyle w:val="NormalWeb"/>
      </w:pPr>
      <w:r>
        <w:t xml:space="preserve">Xu, M., Cao, C., Li, Z., &amp; Zhao, L. (2024). Editorial: Application of spatial information technology in infectious disease surveillance. </w:t>
      </w:r>
      <w:r>
        <w:rPr>
          <w:rStyle w:val="Emphasis"/>
        </w:rPr>
        <w:t>Frontiers in Public Health, 12</w:t>
      </w:r>
      <w:r>
        <w:t xml:space="preserve">, Article 1435397. </w:t>
      </w:r>
      <w:hyperlink r:id="rId37" w:tgtFrame="_new" w:history="1">
        <w:r>
          <w:rPr>
            <w:rStyle w:val="Hyperlink"/>
          </w:rPr>
          <w:t>https://doi.org/10.3389/fpubh.2024.1435397</w:t>
        </w:r>
      </w:hyperlink>
    </w:p>
    <w:p w14:paraId="1F90C2BC" w14:textId="77777777" w:rsidR="003C1BA8" w:rsidRDefault="003C1BA8" w:rsidP="003C1BA8">
      <w:pPr>
        <w:pStyle w:val="NormalWeb"/>
      </w:pPr>
      <w:r>
        <w:t xml:space="preserve">Yi, S., Yam, E. L. Y., </w:t>
      </w:r>
      <w:proofErr w:type="spellStart"/>
      <w:r>
        <w:t>Cheruvettolil</w:t>
      </w:r>
      <w:proofErr w:type="spellEnd"/>
      <w:r>
        <w:t xml:space="preserve">, K., Linos, E., Gupta, A., Palaniappan, L., </w:t>
      </w:r>
      <w:proofErr w:type="spellStart"/>
      <w:r>
        <w:t>Rajeshuni</w:t>
      </w:r>
      <w:proofErr w:type="spellEnd"/>
      <w:r>
        <w:t xml:space="preserve">, N., Vaska, K. G., Schulman, K., &amp; Eggleston, K. N. (2024). Perspectives of digital health innovations in low- and middle-income health care systems from South and Southeast Asia. </w:t>
      </w:r>
      <w:r>
        <w:rPr>
          <w:rStyle w:val="Emphasis"/>
        </w:rPr>
        <w:t>Journal of Medical Internet Research, 26</w:t>
      </w:r>
      <w:r>
        <w:t xml:space="preserve">, Article e57612. </w:t>
      </w:r>
      <w:hyperlink r:id="rId38" w:tgtFrame="_new" w:history="1">
        <w:r>
          <w:rPr>
            <w:rStyle w:val="Hyperlink"/>
          </w:rPr>
          <w:t>https://doi.org/10.2196/57612</w:t>
        </w:r>
      </w:hyperlink>
    </w:p>
    <w:p w14:paraId="0F8B7A38" w14:textId="77777777" w:rsidR="004841B3" w:rsidRDefault="004841B3"/>
    <w:sectPr w:rsidR="004841B3" w:rsidSect="004841B3">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7667" w14:textId="77777777" w:rsidR="00AD3384" w:rsidRDefault="00AD3384" w:rsidP="005810AB">
      <w:pPr>
        <w:spacing w:after="0" w:line="240" w:lineRule="auto"/>
      </w:pPr>
      <w:r>
        <w:separator/>
      </w:r>
    </w:p>
  </w:endnote>
  <w:endnote w:type="continuationSeparator" w:id="0">
    <w:p w14:paraId="0BC4BF8B" w14:textId="77777777" w:rsidR="00AD3384" w:rsidRDefault="00AD3384" w:rsidP="0058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5ED6" w14:textId="77777777" w:rsidR="005810AB" w:rsidRDefault="00581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107A" w14:textId="77777777" w:rsidR="005810AB" w:rsidRDefault="005810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5C57" w14:textId="77777777" w:rsidR="005810AB" w:rsidRDefault="00581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4658" w14:textId="77777777" w:rsidR="00AD3384" w:rsidRDefault="00AD3384" w:rsidP="005810AB">
      <w:pPr>
        <w:spacing w:after="0" w:line="240" w:lineRule="auto"/>
      </w:pPr>
      <w:r>
        <w:separator/>
      </w:r>
    </w:p>
  </w:footnote>
  <w:footnote w:type="continuationSeparator" w:id="0">
    <w:p w14:paraId="708D733C" w14:textId="77777777" w:rsidR="00AD3384" w:rsidRDefault="00AD3384" w:rsidP="0058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E144" w14:textId="4F5C228A" w:rsidR="005810AB" w:rsidRDefault="005810AB">
    <w:pPr>
      <w:pStyle w:val="Header"/>
    </w:pPr>
    <w:r>
      <w:rPr>
        <w:noProof/>
      </w:rPr>
      <w:pict w14:anchorId="50971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9E2E" w14:textId="75FAD3AE" w:rsidR="005810AB" w:rsidRDefault="005810AB">
    <w:pPr>
      <w:pStyle w:val="Header"/>
    </w:pPr>
    <w:r>
      <w:rPr>
        <w:noProof/>
      </w:rPr>
      <w:pict w14:anchorId="0F95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F28" w14:textId="736E5B50" w:rsidR="005810AB" w:rsidRDefault="005810AB">
    <w:pPr>
      <w:pStyle w:val="Header"/>
    </w:pPr>
    <w:r>
      <w:rPr>
        <w:noProof/>
      </w:rPr>
      <w:pict w14:anchorId="64177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3E04"/>
    <w:multiLevelType w:val="hybridMultilevel"/>
    <w:tmpl w:val="AE7A2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2E3C4F"/>
    <w:multiLevelType w:val="hybridMultilevel"/>
    <w:tmpl w:val="B2642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FA1847"/>
    <w:multiLevelType w:val="hybridMultilevel"/>
    <w:tmpl w:val="3BD01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0527838">
    <w:abstractNumId w:val="1"/>
  </w:num>
  <w:num w:numId="2" w16cid:durableId="344285457">
    <w:abstractNumId w:val="2"/>
  </w:num>
  <w:num w:numId="3" w16cid:durableId="2130127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mailMerge>
    <w:mainDocumentType w:val="email"/>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1BA8"/>
    <w:rsid w:val="00086A35"/>
    <w:rsid w:val="00345F3B"/>
    <w:rsid w:val="003C1BA8"/>
    <w:rsid w:val="003E4042"/>
    <w:rsid w:val="004841B3"/>
    <w:rsid w:val="005810AB"/>
    <w:rsid w:val="00824882"/>
    <w:rsid w:val="008366D6"/>
    <w:rsid w:val="00A528CF"/>
    <w:rsid w:val="00AB1203"/>
    <w:rsid w:val="00AD3384"/>
    <w:rsid w:val="00BB5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49DD"/>
  <w15:docId w15:val="{B2699911-569B-4B66-BEDD-4B80D84C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C1B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C1BA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C1BA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C1BA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C1BA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C1BA8"/>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1BA8"/>
    <w:rPr>
      <w:b/>
      <w:bCs/>
    </w:rPr>
  </w:style>
  <w:style w:type="character" w:styleId="Emphasis">
    <w:name w:val="Emphasis"/>
    <w:basedOn w:val="DefaultParagraphFont"/>
    <w:uiPriority w:val="20"/>
    <w:qFormat/>
    <w:rsid w:val="003C1BA8"/>
    <w:rPr>
      <w:i/>
      <w:iCs/>
    </w:rPr>
  </w:style>
  <w:style w:type="character" w:styleId="Hyperlink">
    <w:name w:val="Hyperlink"/>
    <w:basedOn w:val="DefaultParagraphFont"/>
    <w:uiPriority w:val="99"/>
    <w:semiHidden/>
    <w:unhideWhenUsed/>
    <w:rsid w:val="003C1BA8"/>
    <w:rPr>
      <w:color w:val="0000FF"/>
      <w:u w:val="single"/>
    </w:rPr>
  </w:style>
  <w:style w:type="paragraph" w:styleId="ListParagraph">
    <w:name w:val="List Paragraph"/>
    <w:basedOn w:val="Normal"/>
    <w:uiPriority w:val="34"/>
    <w:qFormat/>
    <w:rsid w:val="003C1BA8"/>
    <w:pPr>
      <w:ind w:left="720"/>
      <w:contextualSpacing/>
    </w:pPr>
  </w:style>
  <w:style w:type="paragraph" w:customStyle="1" w:styleId="pdq2pgselectionanchorcontainer">
    <w:name w:val="pdq2pg_selectionanchorcontainer"/>
    <w:basedOn w:val="Normal"/>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81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0AB"/>
  </w:style>
  <w:style w:type="paragraph" w:styleId="Footer">
    <w:name w:val="footer"/>
    <w:basedOn w:val="Normal"/>
    <w:link w:val="FooterChar"/>
    <w:uiPriority w:val="99"/>
    <w:unhideWhenUsed/>
    <w:rsid w:val="00581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46424">
      <w:bodyDiv w:val="1"/>
      <w:marLeft w:val="0"/>
      <w:marRight w:val="0"/>
      <w:marTop w:val="0"/>
      <w:marBottom w:val="0"/>
      <w:divBdr>
        <w:top w:val="none" w:sz="0" w:space="0" w:color="auto"/>
        <w:left w:val="none" w:sz="0" w:space="0" w:color="auto"/>
        <w:bottom w:val="none" w:sz="0" w:space="0" w:color="auto"/>
        <w:right w:val="none" w:sz="0" w:space="0" w:color="auto"/>
      </w:divBdr>
      <w:divsChild>
        <w:div w:id="364335510">
          <w:marLeft w:val="0"/>
          <w:marRight w:val="0"/>
          <w:marTop w:val="0"/>
          <w:marBottom w:val="0"/>
          <w:divBdr>
            <w:top w:val="none" w:sz="0" w:space="0" w:color="auto"/>
            <w:left w:val="none" w:sz="0" w:space="0" w:color="auto"/>
            <w:bottom w:val="none" w:sz="0" w:space="0" w:color="auto"/>
            <w:right w:val="none" w:sz="0" w:space="0" w:color="auto"/>
          </w:divBdr>
        </w:div>
        <w:div w:id="170024070">
          <w:marLeft w:val="0"/>
          <w:marRight w:val="0"/>
          <w:marTop w:val="0"/>
          <w:marBottom w:val="0"/>
          <w:divBdr>
            <w:top w:val="none" w:sz="0" w:space="0" w:color="auto"/>
            <w:left w:val="none" w:sz="0" w:space="0" w:color="auto"/>
            <w:bottom w:val="none" w:sz="0" w:space="0" w:color="auto"/>
            <w:right w:val="none" w:sz="0" w:space="0" w:color="auto"/>
          </w:divBdr>
        </w:div>
        <w:div w:id="422461302">
          <w:marLeft w:val="0"/>
          <w:marRight w:val="0"/>
          <w:marTop w:val="0"/>
          <w:marBottom w:val="0"/>
          <w:divBdr>
            <w:top w:val="none" w:sz="0" w:space="0" w:color="auto"/>
            <w:left w:val="none" w:sz="0" w:space="0" w:color="auto"/>
            <w:bottom w:val="none" w:sz="0" w:space="0" w:color="auto"/>
            <w:right w:val="none" w:sz="0" w:space="0" w:color="auto"/>
          </w:divBdr>
        </w:div>
        <w:div w:id="603462217">
          <w:marLeft w:val="0"/>
          <w:marRight w:val="0"/>
          <w:marTop w:val="0"/>
          <w:marBottom w:val="0"/>
          <w:divBdr>
            <w:top w:val="none" w:sz="0" w:space="0" w:color="auto"/>
            <w:left w:val="none" w:sz="0" w:space="0" w:color="auto"/>
            <w:bottom w:val="none" w:sz="0" w:space="0" w:color="auto"/>
            <w:right w:val="none" w:sz="0" w:space="0" w:color="auto"/>
          </w:divBdr>
        </w:div>
        <w:div w:id="1631787833">
          <w:marLeft w:val="0"/>
          <w:marRight w:val="0"/>
          <w:marTop w:val="0"/>
          <w:marBottom w:val="0"/>
          <w:divBdr>
            <w:top w:val="none" w:sz="0" w:space="0" w:color="auto"/>
            <w:left w:val="none" w:sz="0" w:space="0" w:color="auto"/>
            <w:bottom w:val="none" w:sz="0" w:space="0" w:color="auto"/>
            <w:right w:val="none" w:sz="0" w:space="0" w:color="auto"/>
          </w:divBdr>
        </w:div>
        <w:div w:id="1858424885">
          <w:marLeft w:val="0"/>
          <w:marRight w:val="0"/>
          <w:marTop w:val="0"/>
          <w:marBottom w:val="0"/>
          <w:divBdr>
            <w:top w:val="none" w:sz="0" w:space="0" w:color="auto"/>
            <w:left w:val="none" w:sz="0" w:space="0" w:color="auto"/>
            <w:bottom w:val="none" w:sz="0" w:space="0" w:color="auto"/>
            <w:right w:val="none" w:sz="0" w:space="0" w:color="auto"/>
          </w:divBdr>
        </w:div>
      </w:divsChild>
    </w:div>
    <w:div w:id="7518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cadv.2024.101045" TargetMode="External"/><Relationship Id="rId18" Type="http://schemas.openxmlformats.org/officeDocument/2006/relationships/hyperlink" Target="https://doi.org/10.1111/eci.12931" TargetMode="External"/><Relationship Id="rId26" Type="http://schemas.openxmlformats.org/officeDocument/2006/relationships/hyperlink" Target="https://doi.org/10.23889/ijpds.v7i3.1958?utm_source=chatgpt.com" TargetMode="External"/><Relationship Id="rId39" Type="http://schemas.openxmlformats.org/officeDocument/2006/relationships/header" Target="header1.xml"/><Relationship Id="rId21" Type="http://schemas.openxmlformats.org/officeDocument/2006/relationships/hyperlink" Target="https://doi.org/10.3390/ijerph20031785?utm_source=chatgpt.com" TargetMode="External"/><Relationship Id="rId34" Type="http://schemas.openxmlformats.org/officeDocument/2006/relationships/hyperlink" Target="https://doi.org/10.3389/fphar.2024.1525434?utm_source=chatgpt.com" TargetMode="External"/><Relationship Id="rId42" Type="http://schemas.openxmlformats.org/officeDocument/2006/relationships/footer" Target="footer2.xml"/><Relationship Id="rId7" Type="http://schemas.openxmlformats.org/officeDocument/2006/relationships/hyperlink" Target="https://doi.org/10.1186/s12961-023-01089-0?utm_source=chatgpt.com" TargetMode="External"/><Relationship Id="rId2" Type="http://schemas.openxmlformats.org/officeDocument/2006/relationships/styles" Target="styles.xml"/><Relationship Id="rId16" Type="http://schemas.openxmlformats.org/officeDocument/2006/relationships/hyperlink" Target="https://doi.org/10.1093/heapol/czag046" TargetMode="External"/><Relationship Id="rId29" Type="http://schemas.openxmlformats.org/officeDocument/2006/relationships/hyperlink" Target="https://doi.org/10.3389/fpubh.2023.999958?utm_source=chatgp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889/ijpds.v7i3.2062?utm_source=chatgpt.com" TargetMode="External"/><Relationship Id="rId24" Type="http://schemas.openxmlformats.org/officeDocument/2006/relationships/hyperlink" Target="https://doi.org/10.1186/s12960-025-01043-x" TargetMode="External"/><Relationship Id="rId32" Type="http://schemas.openxmlformats.org/officeDocument/2006/relationships/hyperlink" Target="https://doi.org/10.2807/1560-7917.ES.2025.30.19.2400185" TargetMode="External"/><Relationship Id="rId37" Type="http://schemas.openxmlformats.org/officeDocument/2006/relationships/hyperlink" Target="https://doi.org/10.3389/fpubh.2024.1435397?utm_source=chatgpt.com"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89/fpubh.2022.1010055?utm_source=chatgpt.com" TargetMode="External"/><Relationship Id="rId23" Type="http://schemas.openxmlformats.org/officeDocument/2006/relationships/hyperlink" Target="https://doi.org/10.1177/14604582241294217?utm_source=chatgpt.com" TargetMode="External"/><Relationship Id="rId28" Type="http://schemas.openxmlformats.org/officeDocument/2006/relationships/hyperlink" Target="https://doi.org/10.2196/52587?utm_source=chatgpt.com" TargetMode="External"/><Relationship Id="rId36" Type="http://schemas.openxmlformats.org/officeDocument/2006/relationships/hyperlink" Target="https://doi.org/10.2471/BLT.24.292157?utm_source=chatgpt.com" TargetMode="External"/><Relationship Id="rId10" Type="http://schemas.openxmlformats.org/officeDocument/2006/relationships/hyperlink" Target="https://doi.org/10.1016/j.puhe.2023.10.024" TargetMode="External"/><Relationship Id="rId19" Type="http://schemas.openxmlformats.org/officeDocument/2006/relationships/hyperlink" Target="https://doi.org/10.3389/fpubh.2025.1643180?utm_source=chatgpt.com" TargetMode="External"/><Relationship Id="rId31" Type="http://schemas.openxmlformats.org/officeDocument/2006/relationships/hyperlink" Target="https://doi.org/10.3389/fpubh.2023.1349985?utm_source=chatgpt.com"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186/s12942-018-0157-5?utm_source=chatgpt.com" TargetMode="External"/><Relationship Id="rId14" Type="http://schemas.openxmlformats.org/officeDocument/2006/relationships/hyperlink" Target="https://doi.org/10.3389/fpubh.2022.1090303?utm_source=chatgpt.com" TargetMode="External"/><Relationship Id="rId22" Type="http://schemas.openxmlformats.org/officeDocument/2006/relationships/hyperlink" Target="https://doi.org/10.1016/j.heliyon.2024.e26297" TargetMode="External"/><Relationship Id="rId27" Type="http://schemas.openxmlformats.org/officeDocument/2006/relationships/hyperlink" Target="https://doi.org/10.3389/fpubh.2026.1766682" TargetMode="External"/><Relationship Id="rId30" Type="http://schemas.openxmlformats.org/officeDocument/2006/relationships/hyperlink" Target="https://doi.org/10.1371/journal.pone.0281819?utm_source=chatgpt.com" TargetMode="External"/><Relationship Id="rId35" Type="http://schemas.openxmlformats.org/officeDocument/2006/relationships/hyperlink" Target="https://doi.org/10.3389/fdata.2025.1574683?utm_source=chatgpt.com" TargetMode="External"/><Relationship Id="rId43" Type="http://schemas.openxmlformats.org/officeDocument/2006/relationships/header" Target="header3.xml"/><Relationship Id="rId8" Type="http://schemas.openxmlformats.org/officeDocument/2006/relationships/hyperlink" Target="https://doi.org/10.1186/s41073-019-0064-8?utm_source=chatgpt.com" TargetMode="External"/><Relationship Id="rId3" Type="http://schemas.openxmlformats.org/officeDocument/2006/relationships/settings" Target="settings.xml"/><Relationship Id="rId12" Type="http://schemas.openxmlformats.org/officeDocument/2006/relationships/hyperlink" Target="https://doi.org/10.5888/pcd21.240245?utm_source=chatgpt.com" TargetMode="External"/><Relationship Id="rId17" Type="http://schemas.openxmlformats.org/officeDocument/2006/relationships/hyperlink" Target="https://doi.org/10.3389/fdgth.2024.1330160?utm_source=chatgpt.com" TargetMode="External"/><Relationship Id="rId25" Type="http://schemas.openxmlformats.org/officeDocument/2006/relationships/hyperlink" Target="https://doi.org/10.3390/tropicalmed8070366" TargetMode="External"/><Relationship Id="rId33" Type="http://schemas.openxmlformats.org/officeDocument/2006/relationships/hyperlink" Target="https://doi.org/10.2196/59042?utm_source=chatgpt.com" TargetMode="External"/><Relationship Id="rId38" Type="http://schemas.openxmlformats.org/officeDocument/2006/relationships/hyperlink" Target="https://doi.org/10.2196/57612" TargetMode="External"/><Relationship Id="rId46" Type="http://schemas.openxmlformats.org/officeDocument/2006/relationships/theme" Target="theme/theme1.xml"/><Relationship Id="rId20" Type="http://schemas.openxmlformats.org/officeDocument/2006/relationships/hyperlink" Target="https://doi.org/10.34133/2022/9893703"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8867</Words>
  <Characters>50543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6</cp:revision>
  <dcterms:created xsi:type="dcterms:W3CDTF">2026-06-30T17:03:00Z</dcterms:created>
  <dcterms:modified xsi:type="dcterms:W3CDTF">2026-07-01T13:20:00Z</dcterms:modified>
</cp:coreProperties>
</file>