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D4FD5" w14:textId="77777777" w:rsidR="00A11AA4" w:rsidRPr="00A11AA4" w:rsidRDefault="00A11AA4" w:rsidP="00A11AA4">
      <w:pPr>
        <w:spacing w:before="100" w:beforeAutospacing="1" w:after="100" w:afterAutospacing="1" w:line="240" w:lineRule="auto"/>
        <w:outlineLvl w:val="1"/>
        <w:rPr>
          <w:rFonts w:ascii="Times New Roman" w:eastAsia="Times New Roman" w:hAnsi="Times New Roman" w:cs="Times New Roman"/>
          <w:b/>
          <w:bCs/>
          <w:i/>
          <w:iCs/>
          <w:sz w:val="36"/>
          <w:szCs w:val="36"/>
          <w:u w:val="single"/>
          <w:lang w:val="en-US" w:eastAsia="en-GB"/>
        </w:rPr>
      </w:pPr>
      <w:r w:rsidRPr="00A11AA4">
        <w:rPr>
          <w:rFonts w:ascii="Times New Roman" w:eastAsia="Times New Roman" w:hAnsi="Times New Roman" w:cs="Times New Roman"/>
          <w:b/>
          <w:bCs/>
          <w:i/>
          <w:iCs/>
          <w:sz w:val="36"/>
          <w:szCs w:val="36"/>
          <w:u w:val="single"/>
          <w:lang w:val="en-US" w:eastAsia="en-GB"/>
        </w:rPr>
        <w:t>Review Article</w:t>
      </w:r>
    </w:p>
    <w:p w14:paraId="34F4CA77" w14:textId="77777777" w:rsidR="008665DB" w:rsidRPr="008665DB" w:rsidRDefault="008665DB" w:rsidP="008665DB">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8665DB">
        <w:rPr>
          <w:rFonts w:ascii="Times New Roman" w:eastAsia="Times New Roman" w:hAnsi="Times New Roman" w:cs="Times New Roman"/>
          <w:b/>
          <w:bCs/>
          <w:sz w:val="36"/>
          <w:szCs w:val="36"/>
          <w:lang w:eastAsia="en-GB"/>
        </w:rPr>
        <w:t>Artificial Intelligence for Malnutrition Prediction: Integrating Clinical, Socioeconomic, and Environmental Determinants for Sustainable Development</w:t>
      </w:r>
    </w:p>
    <w:p w14:paraId="2E0804EF" w14:textId="77777777" w:rsidR="008665DB" w:rsidRPr="008665DB" w:rsidRDefault="008665DB" w:rsidP="008665DB">
      <w:pPr>
        <w:spacing w:after="0" w:line="240" w:lineRule="auto"/>
        <w:rPr>
          <w:rFonts w:ascii="Times New Roman" w:eastAsia="Times New Roman" w:hAnsi="Times New Roman" w:cs="Times New Roman"/>
          <w:sz w:val="24"/>
          <w:szCs w:val="24"/>
          <w:lang w:eastAsia="en-GB"/>
        </w:rPr>
      </w:pPr>
    </w:p>
    <w:p w14:paraId="04B2062A" w14:textId="77777777" w:rsidR="008665DB" w:rsidRPr="008665DB" w:rsidRDefault="008665DB" w:rsidP="008665D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665DB">
        <w:rPr>
          <w:rFonts w:ascii="Times New Roman" w:eastAsia="Times New Roman" w:hAnsi="Times New Roman" w:cs="Times New Roman"/>
          <w:b/>
          <w:bCs/>
          <w:sz w:val="27"/>
          <w:szCs w:val="27"/>
          <w:lang w:eastAsia="en-GB"/>
        </w:rPr>
        <w:t>Abstract</w:t>
      </w:r>
    </w:p>
    <w:p w14:paraId="3CA33BB8"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Malnutrition in all its forms continues to represent one of the most severe and preventable threats to human health and development, affecting an estimated 2.5 billion people globally and imposing profound burdens on low- and middle-income countries. Conventional nutrition surveillance tools remain episodic, resource-intensive, and inadequate for capturing the complex multidimensional determinants — clinical, socioeconomic, and environmental — that collectively drive malnutrition outcomes. The rapid maturation of artificial intelligence (AI) and machine learning (ML) offers transformative possibilities for malnutrition prediction by enabling the integration of heterogeneous data streams at scales and resolutions previously beyond reach. This review critically examines the application of AI approaches — including supervised ML algorithms, deep learning architectures, natural language processing (NLP), and geospatial analytics — to malnutrition prediction across diverse populations and contexts. It evaluates the evidence for multi-domain data integration within predictive frameworks, situates these developments within the agenda of the United Nations Sustainable Development Goals (SDGs), and identifies critical gaps concerning algorithmic bias, model interpretability, data privacy, and equitable deployment in resource-constrained settings. Evidence indicates that ensemble ML models incorporating remotely sensed environmental data, household socioeconomic indicators, and clinical measurements achieve substantially improved predictive performance relative to single-domain approaches. Significant barriers persist, however, particularly with respect to data governance, infrastructure deficits, and ethical accountability. This review calls for a transdisciplinary research agenda uniting nutrition science, data science, environmental epidemiology, and development policy to harness AI responsibly for malnutrition prevention and management, in alignment with the ambitions of sustainable development.</w:t>
      </w:r>
    </w:p>
    <w:p w14:paraId="5D36E01A"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b/>
          <w:bCs/>
          <w:sz w:val="24"/>
          <w:szCs w:val="24"/>
          <w:lang w:eastAsia="en-GB"/>
        </w:rPr>
        <w:t>Keywords:</w:t>
      </w:r>
      <w:r w:rsidRPr="008665DB">
        <w:rPr>
          <w:rFonts w:ascii="Times New Roman" w:eastAsia="Times New Roman" w:hAnsi="Times New Roman" w:cs="Times New Roman"/>
          <w:sz w:val="24"/>
          <w:szCs w:val="24"/>
          <w:lang w:eastAsia="en-GB"/>
        </w:rPr>
        <w:t xml:space="preserve"> artificial intelligence; machine learning; malnutrition prediction; stunting; wasting; food security; sustainable development goals; geospatial analysis; deep learning; socioeconomic determinants</w:t>
      </w:r>
    </w:p>
    <w:p w14:paraId="1D40329E" w14:textId="77777777" w:rsidR="008665DB" w:rsidRPr="008665DB" w:rsidRDefault="008665DB" w:rsidP="008665DB">
      <w:pPr>
        <w:spacing w:after="0" w:line="240" w:lineRule="auto"/>
        <w:rPr>
          <w:rFonts w:ascii="Times New Roman" w:eastAsia="Times New Roman" w:hAnsi="Times New Roman" w:cs="Times New Roman"/>
          <w:sz w:val="24"/>
          <w:szCs w:val="24"/>
          <w:lang w:eastAsia="en-GB"/>
        </w:rPr>
      </w:pPr>
    </w:p>
    <w:p w14:paraId="42E2A3D3" w14:textId="77777777" w:rsidR="008665DB" w:rsidRPr="008665DB" w:rsidRDefault="008665DB" w:rsidP="008665D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665DB">
        <w:rPr>
          <w:rFonts w:ascii="Times New Roman" w:eastAsia="Times New Roman" w:hAnsi="Times New Roman" w:cs="Times New Roman"/>
          <w:b/>
          <w:bCs/>
          <w:sz w:val="27"/>
          <w:szCs w:val="27"/>
          <w:lang w:eastAsia="en-GB"/>
        </w:rPr>
        <w:t>1. Introduction</w:t>
      </w:r>
    </w:p>
    <w:p w14:paraId="0BB3B9FC" w14:textId="77777777" w:rsidR="008665DB" w:rsidRPr="008665DB" w:rsidRDefault="008665DB" w:rsidP="008665D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1.1 The Global Burden of Malnutrition</w:t>
      </w:r>
    </w:p>
    <w:p w14:paraId="08F2B458"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Malnutrition in all its forms — undernutrition, micronutrient deficiency, and overweight — constitutes one of the gravest and most enduring challenges in global public health. According to the United Nations joint estimates, approximately 148 million children under the age of five years were stunted (low height-for-age), 45 million were wasted (low weight-</w:t>
      </w:r>
      <w:r w:rsidRPr="008665DB">
        <w:rPr>
          <w:rFonts w:ascii="Times New Roman" w:eastAsia="Times New Roman" w:hAnsi="Times New Roman" w:cs="Times New Roman"/>
          <w:sz w:val="24"/>
          <w:szCs w:val="24"/>
          <w:lang w:eastAsia="en-GB"/>
        </w:rPr>
        <w:lastRenderedPageBreak/>
        <w:t>for-height), and 37 million were overweight globally in 2022, with the disproportionate burden concentrated in Sub-Saharan Africa and South Asia (UNICEF, WHO, &amp; World Bank, 2023). These figures represent not only a failure of food systems and health infrastructure but a profound violation of children's rights to health and development. The consequences of early-onset undernutrition extend far beyond childhood, with a well-documented continuum linking growth faltering to impaired cognitive development, reduced educational attainment, diminished economic productivity, and heightened vulnerability to non-communicable diseases in adult life (Black et al., 2013). The global hunger situation has further deteriorated in recent years; the Food and Agriculture Organization of the United Nations estimated that between 691 and 783 million people experienced hunger in 2022, and projections indicate that, under current trajectories, the world will not achieve the goal of zero hunger by 2030 (FAO, IFAD, UNICEF, WFP, &amp; WHO, 2023).</w:t>
      </w:r>
    </w:p>
    <w:p w14:paraId="61FD457F"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The aetiology of malnutrition is inherently multidimensional, and this complexity is a defining feature of the problem that any serious analytical approach must confront. The conceptual framework developed over three decades by the United Nations Children's Fund classifies the causes of child malnutrition across three nested levels: immediate causes at the individual level (inadequate dietary intake and disease), underlying causes at the household and community level (food insecurity, inadequate caregiving, and poor water, sanitation, and hygiene [WASH] environments), and basic causes at the structural level (poverty, inequality, governance, and the political economy of food) (Black et al., 2008; Black et al., 2013). This hierarchy underscores the inadequacy of purely clinical approaches to prediction and prevention, and demands that analytical frameworks encompass the broader social, economic, and environmental determinants of nutritional status.</w:t>
      </w:r>
    </w:p>
    <w:p w14:paraId="4C5FF573" w14:textId="77777777" w:rsidR="008665DB" w:rsidRPr="008665DB" w:rsidRDefault="008665DB" w:rsidP="008665D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1.2 Limitations of Conventional Nutrition Surveillance</w:t>
      </w:r>
    </w:p>
    <w:p w14:paraId="18580E3A"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Despite substantial international investments in nutrition surveillance over recent decades, existing systems remain insufficient in timeliness, geographic resolution, and analytical scope. Conventional approaches to identifying malnutrition risk — including mid-upper arm circumference (MUAC) measurement, anthropometric surveys, and dietary recall instruments — are labour-intensive, episodic, and dependent on health systems that are characteristically under-resourced in high-burden settings (Victora et al., 2021). National nutrition surveys such as Demographic and Health Surveys (DHS) and Multiple Indicator Cluster Surveys (MICS) provide population-level estimates but are conducted at multi-year intervals, rendering them unsuitable for real-time risk stratification or timely early warning. Classical statistical methods — principally logistic regression and analysis of variance — that have long anchored nutrition epidemiology are limited in their capacity to capture the nonlinear and interactive relationships among the many determinants of malnutrition, and they perform poorly when confronted with high-dimensional, heterogeneous datasets that combine clinical measurements, household survey variables, and environmental indicators (Obermeyer &amp; Emanuel, 2016).</w:t>
      </w:r>
    </w:p>
    <w:p w14:paraId="05268B8F"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The COVID-19 pandemic exposed the full fragility of existing surveillance infrastructure with particular clarity, disrupting data collection, straining health system capacity, and exacerbating nutritional vulnerabilities across virtually every world region (</w:t>
      </w:r>
      <w:proofErr w:type="spellStart"/>
      <w:r w:rsidRPr="008665DB">
        <w:rPr>
          <w:rFonts w:ascii="Times New Roman" w:eastAsia="Times New Roman" w:hAnsi="Times New Roman" w:cs="Times New Roman"/>
          <w:sz w:val="24"/>
          <w:szCs w:val="24"/>
          <w:lang w:eastAsia="en-GB"/>
        </w:rPr>
        <w:t>Akseer</w:t>
      </w:r>
      <w:proofErr w:type="spellEnd"/>
      <w:r w:rsidRPr="008665DB">
        <w:rPr>
          <w:rFonts w:ascii="Times New Roman" w:eastAsia="Times New Roman" w:hAnsi="Times New Roman" w:cs="Times New Roman"/>
          <w:sz w:val="24"/>
          <w:szCs w:val="24"/>
          <w:lang w:eastAsia="en-GB"/>
        </w:rPr>
        <w:t xml:space="preserve"> et al., 2020). The compounding effects of conflict, climate shocks, and economic instability have further amplified the inadequacy of conventional approaches. There is, therefore, an urgent need for scalable, adaptive, and data-driven tools capable of integrating diverse data streams </w:t>
      </w:r>
      <w:r w:rsidRPr="008665DB">
        <w:rPr>
          <w:rFonts w:ascii="Times New Roman" w:eastAsia="Times New Roman" w:hAnsi="Times New Roman" w:cs="Times New Roman"/>
          <w:sz w:val="24"/>
          <w:szCs w:val="24"/>
          <w:lang w:eastAsia="en-GB"/>
        </w:rPr>
        <w:lastRenderedPageBreak/>
        <w:t>to identify at-risk individuals and populations with greater precision, timeliness, and contextual relevance than current methods permit.</w:t>
      </w:r>
    </w:p>
    <w:p w14:paraId="32C4A12D" w14:textId="77777777" w:rsidR="008665DB" w:rsidRPr="008665DB" w:rsidRDefault="008665DB" w:rsidP="008665D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1.3 Emergence of Artificial Intelligence in Nutritional Science</w:t>
      </w:r>
    </w:p>
    <w:p w14:paraId="3C6805FA"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The deployment of AI in medicine and public health has accelerated dramatically over the past decade, propelled by advances in computational power, algorithmic development, and the proliferation of large-scale digital datasets. ML algorithms — including random forests (RFs), gradient boosting machines, support vector machines (SVMs), and deep neural networks (DNNs) — have demonstrated capacity to detect complex patterns in high-dimensional data that elude conventional statistical techniques </w:t>
      </w:r>
      <w:r w:rsidRPr="008665DB">
        <w:rPr>
          <w:rFonts w:ascii="Times New Roman" w:eastAsia="Times New Roman" w:hAnsi="Times New Roman" w:cs="Times New Roman"/>
          <w:b/>
          <w:bCs/>
          <w:sz w:val="24"/>
          <w:szCs w:val="24"/>
          <w:lang w:eastAsia="en-GB"/>
        </w:rPr>
        <w:t>(LeCun et al., 2015)</w:t>
      </w:r>
      <w:r w:rsidRPr="008665DB">
        <w:rPr>
          <w:rFonts w:ascii="Times New Roman" w:eastAsia="Times New Roman" w:hAnsi="Times New Roman" w:cs="Times New Roman"/>
          <w:sz w:val="24"/>
          <w:szCs w:val="24"/>
          <w:lang w:eastAsia="en-GB"/>
        </w:rPr>
        <w:t xml:space="preserve">. Topol (2019) characterised this convergence of human and artificial intelligence in medicine as a fundamental transformation of clinical practice, enabling diagnostic and prognostic capabilities that challenge and often surpass those of individual clinicians in specific domains. In global health more broadly, AI has been applied to disease surveillance, epidemic forecasting, clinical diagnosis, and health systems planning, with a growing body of evidence supporting utility in low- and middle-income countries (LMICs) </w:t>
      </w:r>
      <w:r w:rsidRPr="008665DB">
        <w:rPr>
          <w:rFonts w:ascii="Times New Roman" w:eastAsia="Times New Roman" w:hAnsi="Times New Roman" w:cs="Times New Roman"/>
          <w:b/>
          <w:bCs/>
          <w:sz w:val="24"/>
          <w:szCs w:val="24"/>
          <w:lang w:eastAsia="en-GB"/>
        </w:rPr>
        <w:t>(Wahl et al., 2018)</w:t>
      </w:r>
      <w:r w:rsidRPr="008665DB">
        <w:rPr>
          <w:rFonts w:ascii="Times New Roman" w:eastAsia="Times New Roman" w:hAnsi="Times New Roman" w:cs="Times New Roman"/>
          <w:sz w:val="24"/>
          <w:szCs w:val="24"/>
          <w:lang w:eastAsia="en-GB"/>
        </w:rPr>
        <w:t>.</w:t>
      </w:r>
    </w:p>
    <w:p w14:paraId="7DBA1E5C"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Within nutritional science, AI has been applied to dietary assessment, food recognition from photographic images, early prediction of nutrition-related disease risk, and subnational mapping of malnutrition using geospatial data </w:t>
      </w:r>
      <w:r w:rsidRPr="008665DB">
        <w:rPr>
          <w:rFonts w:ascii="Times New Roman" w:eastAsia="Times New Roman" w:hAnsi="Times New Roman" w:cs="Times New Roman"/>
          <w:b/>
          <w:bCs/>
          <w:sz w:val="24"/>
          <w:szCs w:val="24"/>
          <w:lang w:eastAsia="en-GB"/>
        </w:rPr>
        <w:t>(</w:t>
      </w:r>
      <w:proofErr w:type="spellStart"/>
      <w:r w:rsidRPr="008665DB">
        <w:rPr>
          <w:rFonts w:ascii="Times New Roman" w:eastAsia="Times New Roman" w:hAnsi="Times New Roman" w:cs="Times New Roman"/>
          <w:b/>
          <w:bCs/>
          <w:sz w:val="24"/>
          <w:szCs w:val="24"/>
          <w:lang w:eastAsia="en-GB"/>
        </w:rPr>
        <w:t>Rajpurkar</w:t>
      </w:r>
      <w:proofErr w:type="spellEnd"/>
      <w:r w:rsidRPr="008665DB">
        <w:rPr>
          <w:rFonts w:ascii="Times New Roman" w:eastAsia="Times New Roman" w:hAnsi="Times New Roman" w:cs="Times New Roman"/>
          <w:b/>
          <w:bCs/>
          <w:sz w:val="24"/>
          <w:szCs w:val="24"/>
          <w:lang w:eastAsia="en-GB"/>
        </w:rPr>
        <w:t xml:space="preserve"> et al., 2022)</w:t>
      </w:r>
      <w:r w:rsidRPr="008665DB">
        <w:rPr>
          <w:rFonts w:ascii="Times New Roman" w:eastAsia="Times New Roman" w:hAnsi="Times New Roman" w:cs="Times New Roman"/>
          <w:sz w:val="24"/>
          <w:szCs w:val="24"/>
          <w:lang w:eastAsia="en-GB"/>
        </w:rPr>
        <w:t>. The integration of clinical records, household survey data, satellite remote sensing imagery, and environmental measurements within unified AI prediction frameworks represents a paradigm shift from single-indicator screening to holistic, multi-domain risk modelling. These approaches hold particular promise for advancing progress towards the SDGs, most notably SDG 2 (Zero Hunger) and SDG 3 (Good Health and Well-Being), by enabling more targeted, equitable, and efficient allocation of nutrition interventions.</w:t>
      </w:r>
    </w:p>
    <w:p w14:paraId="682BA7C1" w14:textId="77777777" w:rsidR="008665DB" w:rsidRPr="008665DB" w:rsidRDefault="008665DB" w:rsidP="008665D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1.4 Scope, Research Gap, and Objectives</w:t>
      </w:r>
    </w:p>
    <w:p w14:paraId="6DCF8C86"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Despite rapid growth in the literature at the intersection of AI and nutrition science, no comprehensive critical review has mapped the integration of clinical, socioeconomic, and environmental determinants within AI-based malnutrition prediction frameworks, nor situated these developments within the broader SDG agenda. Existing reviews have tended to focus on single AI modalities, specific population subgroups, or isolated determinant domains, leaving significant gaps in understanding of how multi-domain data integration performs across diverse geographical and programmatic contexts, and what ethical and implementation challenges attend the translation of AI tools into operational nutrition programmes. This review addresses those gaps by critically synthesising the evidence on AI methods applied to malnutrition prediction, evaluating the contribution of multi-domain data integration to predictive performance, examining the alignment of AI nutrition tools with SDG targets, identifying ethical and implementation challenges, and articulating priorities for a responsible and equitable AI-nutrition research agenda.</w:t>
      </w:r>
    </w:p>
    <w:p w14:paraId="4E4EE2B8" w14:textId="77777777" w:rsidR="008665DB" w:rsidRPr="008665DB" w:rsidRDefault="008665DB" w:rsidP="008665DB">
      <w:pPr>
        <w:spacing w:after="0" w:line="240" w:lineRule="auto"/>
        <w:rPr>
          <w:rFonts w:ascii="Times New Roman" w:eastAsia="Times New Roman" w:hAnsi="Times New Roman" w:cs="Times New Roman"/>
          <w:sz w:val="24"/>
          <w:szCs w:val="24"/>
          <w:lang w:eastAsia="en-GB"/>
        </w:rPr>
      </w:pPr>
    </w:p>
    <w:p w14:paraId="435C985E" w14:textId="77777777" w:rsidR="008665DB" w:rsidRPr="008665DB" w:rsidRDefault="008665DB" w:rsidP="008665D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665DB">
        <w:rPr>
          <w:rFonts w:ascii="Times New Roman" w:eastAsia="Times New Roman" w:hAnsi="Times New Roman" w:cs="Times New Roman"/>
          <w:b/>
          <w:bCs/>
          <w:sz w:val="27"/>
          <w:szCs w:val="27"/>
          <w:lang w:eastAsia="en-GB"/>
        </w:rPr>
        <w:t>2. Methods for Literature Selection</w:t>
      </w:r>
    </w:p>
    <w:p w14:paraId="524E1AB9" w14:textId="77777777" w:rsidR="008665DB" w:rsidRPr="008665DB" w:rsidRDefault="008665DB" w:rsidP="008665D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2.1 Databases Searched and Search Strategy</w:t>
      </w:r>
    </w:p>
    <w:p w14:paraId="19641D7A"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lastRenderedPageBreak/>
        <w:t>A structured literature search was conducted across multiple electronic bibliographic databases to identify peer-reviewed studies concerning AI, ML, and deep learning applications in malnutrition prediction, classification, and surveillance. The databases searched were Web of Science, Scopus, Google Scholar, PubMed/MEDLINE, and five field-specific indexing sources: the Global Health database (CAB International), the Food and Agriculture Organization AGRIS database, the International Food Policy Research Institute (IFPRI) publications repository, the Cochrane Library for methodological and evidence synthesis resources, and the Global Index Medicus for literature from LMICs and regional health research. The primary literature search covered publications from January 2010 to April 1, 2026, reflecting the period during which modern ML methods became established in health and nutrition research contexts. Classic foundational references from prior periods supplement the evidence base where they provide essential theoretical or empirical context.</w:t>
      </w:r>
    </w:p>
    <w:p w14:paraId="30CB84DF"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The search strategy used Boolean operators combining controlled vocabulary terms and free-text keywords. The primary search string was structured as: ("artificial intelligence" OR "machine learning" OR "deep learning" OR "neural network" OR "random forest" OR "gradient boosting" OR "natural language processing") AND ("malnutrition" OR "stunting" OR "wasting" OR "undernutrition" OR "food insecurity" OR "child nutrition" OR "nutritional status"). Secondary searches incorporated additional terms including "geospatial analysis," "remote sensing," "environmental determinants," "socioeconomic factors," "sustainable development goals," "nutrition surveillance," "early warning," and "low- and middle-income countries." All searches were conducted in English.</w:t>
      </w:r>
    </w:p>
    <w:p w14:paraId="0AB537A8" w14:textId="77777777" w:rsidR="008665DB" w:rsidRPr="008665DB" w:rsidRDefault="008665DB" w:rsidP="008665D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2.2 Inclusion and Exclusion Criteria</w:t>
      </w:r>
    </w:p>
    <w:p w14:paraId="6524D6EF"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Studies were included when they: (a) applied AI, ML, or deep learning methods to predict, classify, or map malnutrition outcomes in human populations; (b) incorporated at least one clinical, socioeconomic, or environmental variable within the analytical framework; and (c) were published in peer-reviewed academic journals. Authoritative institutional reports from organisations including WHO, FAO, UNICEF, the World Bank, and the United Nations (UN) were included as supplementary evidence where verifiable URLs were provided. Studies were excluded if they were conference abstracts, preprints, grey literature publications, book chapters, trade magazine articles, patent documents, or restricted to non-human subjects or purely food composition analysis without a population health application.</w:t>
      </w:r>
    </w:p>
    <w:p w14:paraId="515683C9" w14:textId="77777777" w:rsidR="008665DB" w:rsidRPr="008665DB" w:rsidRDefault="008665DB" w:rsidP="008665D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2.3 Screening Workflow, Duplicate Handling, and Language Restrictions</w:t>
      </w:r>
    </w:p>
    <w:p w14:paraId="7F0AA49C"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Retrieved records were imported into a reference management system and subjected to automated deduplication followed by manual verification. Title and abstract screening was performed against the inclusion and exclusion criteria, with full-text review applied to all records identified as potentially eligible. Records available only in languages other than English were excluded. Where multiple publications reported overlapping analyses from the same dataset or cohort, the most methodologically rigorous or most recently published report was retained to avoid double-counting of evidence. No formal quality scoring was applied, but methodological rigour and publication in high-impact journals served as informal indicators of study influence during selection.</w:t>
      </w:r>
    </w:p>
    <w:p w14:paraId="5659F8C5" w14:textId="77777777" w:rsidR="008665DB" w:rsidRPr="008665DB" w:rsidRDefault="008665DB" w:rsidP="008665D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2.4 Rationale for a Narrative Review Approach</w:t>
      </w:r>
    </w:p>
    <w:p w14:paraId="54A98065"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lastRenderedPageBreak/>
        <w:t xml:space="preserve">A narrative rather than systematic review approach was adopted, given the substantial heterogeneity in AI methodologies, malnutrition outcome definitions, population contexts, and data types across the retrieved literature. As Snyder (2019) argues, narrative reviews are well suited to synthesising evidence in rapidly evolving fields where standardised reporting frameworks are not yet universally adopted, and where the primary objective is conceptual and thematic synthesis rather than quantitative effect estimation. </w:t>
      </w:r>
      <w:r w:rsidRPr="008665DB">
        <w:rPr>
          <w:rFonts w:ascii="Times New Roman" w:eastAsia="Times New Roman" w:hAnsi="Times New Roman" w:cs="Times New Roman"/>
          <w:b/>
          <w:bCs/>
          <w:sz w:val="24"/>
          <w:szCs w:val="24"/>
          <w:lang w:eastAsia="en-GB"/>
        </w:rPr>
        <w:t>Green et al. (2006)</w:t>
      </w:r>
      <w:r w:rsidRPr="008665DB">
        <w:rPr>
          <w:rFonts w:ascii="Times New Roman" w:eastAsia="Times New Roman" w:hAnsi="Times New Roman" w:cs="Times New Roman"/>
          <w:sz w:val="24"/>
          <w:szCs w:val="24"/>
          <w:lang w:eastAsia="en-GB"/>
        </w:rPr>
        <w:t xml:space="preserve"> further note that narrative reviews allow authors to address broad, complex questions that cannot be usefully constrained to a single PICO (population, intervention, comparison, outcome) framework, as is the case in this multidisciplinary field. A formal meta-analysis was precluded by the diversity of AI methods, outcome measures, and performance metrics reported across studies, which would have rendered pooled estimates statistically misleading. </w:t>
      </w:r>
      <w:r w:rsidRPr="008665DB">
        <w:rPr>
          <w:rFonts w:ascii="Times New Roman" w:eastAsia="Times New Roman" w:hAnsi="Times New Roman" w:cs="Times New Roman"/>
          <w:bCs/>
          <w:sz w:val="24"/>
          <w:szCs w:val="24"/>
          <w:lang w:eastAsia="en-GB"/>
        </w:rPr>
        <w:t>The literature search strategy is summarised in Table 1.</w:t>
      </w:r>
    </w:p>
    <w:p w14:paraId="05AF92F0"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b/>
          <w:bCs/>
          <w:sz w:val="24"/>
          <w:szCs w:val="24"/>
          <w:lang w:eastAsia="en-GB"/>
        </w:rPr>
        <w:t>Table 1. Summary of Literature Search Strategy</w:t>
      </w:r>
    </w:p>
    <w:tbl>
      <w:tblPr>
        <w:tblStyle w:val="TableGrid"/>
        <w:tblW w:w="0" w:type="auto"/>
        <w:tblLook w:val="04A0" w:firstRow="1" w:lastRow="0" w:firstColumn="1" w:lastColumn="0" w:noHBand="0" w:noVBand="1"/>
      </w:tblPr>
      <w:tblGrid>
        <w:gridCol w:w="2044"/>
        <w:gridCol w:w="7198"/>
      </w:tblGrid>
      <w:tr w:rsidR="008665DB" w:rsidRPr="008665DB" w14:paraId="6A1E96E2" w14:textId="77777777" w:rsidTr="008665DB">
        <w:tc>
          <w:tcPr>
            <w:tcW w:w="0" w:type="auto"/>
            <w:hideMark/>
          </w:tcPr>
          <w:p w14:paraId="3BA4B869" w14:textId="77777777" w:rsidR="008665DB" w:rsidRPr="008665DB" w:rsidRDefault="008665DB" w:rsidP="008665DB">
            <w:pPr>
              <w:jc w:val="center"/>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Parameter</w:t>
            </w:r>
          </w:p>
        </w:tc>
        <w:tc>
          <w:tcPr>
            <w:tcW w:w="0" w:type="auto"/>
            <w:hideMark/>
          </w:tcPr>
          <w:p w14:paraId="394368F7" w14:textId="77777777" w:rsidR="008665DB" w:rsidRPr="008665DB" w:rsidRDefault="008665DB" w:rsidP="008665DB">
            <w:pPr>
              <w:jc w:val="center"/>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Details</w:t>
            </w:r>
          </w:p>
        </w:tc>
      </w:tr>
      <w:tr w:rsidR="008665DB" w:rsidRPr="008665DB" w14:paraId="23091FB6" w14:textId="77777777" w:rsidTr="008665DB">
        <w:tc>
          <w:tcPr>
            <w:tcW w:w="0" w:type="auto"/>
            <w:hideMark/>
          </w:tcPr>
          <w:p w14:paraId="328F3D0F"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Databases searched</w:t>
            </w:r>
          </w:p>
        </w:tc>
        <w:tc>
          <w:tcPr>
            <w:tcW w:w="0" w:type="auto"/>
            <w:hideMark/>
          </w:tcPr>
          <w:p w14:paraId="3C2643F0"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Web of Science, Scopus, Google Scholar, PubMed/MEDLINE, Global Health (CAB International), AGRIS (FAO), IFPRI repository, Cochrane Library, Global Index Medicus</w:t>
            </w:r>
          </w:p>
        </w:tc>
      </w:tr>
      <w:tr w:rsidR="008665DB" w:rsidRPr="008665DB" w14:paraId="104EB53C" w14:textId="77777777" w:rsidTr="008665DB">
        <w:tc>
          <w:tcPr>
            <w:tcW w:w="0" w:type="auto"/>
            <w:hideMark/>
          </w:tcPr>
          <w:p w14:paraId="30125492"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Date range</w:t>
            </w:r>
          </w:p>
        </w:tc>
        <w:tc>
          <w:tcPr>
            <w:tcW w:w="0" w:type="auto"/>
            <w:hideMark/>
          </w:tcPr>
          <w:p w14:paraId="4A433B82"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January 2010 – April 1, 2026</w:t>
            </w:r>
          </w:p>
        </w:tc>
      </w:tr>
      <w:tr w:rsidR="008665DB" w:rsidRPr="008665DB" w14:paraId="09E14FCA" w14:textId="77777777" w:rsidTr="008665DB">
        <w:tc>
          <w:tcPr>
            <w:tcW w:w="0" w:type="auto"/>
            <w:hideMark/>
          </w:tcPr>
          <w:p w14:paraId="368B6B74"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Supplementary older references</w:t>
            </w:r>
          </w:p>
        </w:tc>
        <w:tc>
          <w:tcPr>
            <w:tcW w:w="0" w:type="auto"/>
            <w:hideMark/>
          </w:tcPr>
          <w:p w14:paraId="1DA624DF"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Included where foundational for theoretical context</w:t>
            </w:r>
          </w:p>
        </w:tc>
      </w:tr>
      <w:tr w:rsidR="008665DB" w:rsidRPr="008665DB" w14:paraId="799A5F52" w14:textId="77777777" w:rsidTr="008665DB">
        <w:tc>
          <w:tcPr>
            <w:tcW w:w="0" w:type="auto"/>
            <w:hideMark/>
          </w:tcPr>
          <w:p w14:paraId="23BEA485"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Primary search terms</w:t>
            </w:r>
          </w:p>
        </w:tc>
        <w:tc>
          <w:tcPr>
            <w:tcW w:w="0" w:type="auto"/>
            <w:hideMark/>
          </w:tcPr>
          <w:p w14:paraId="63BA3544"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"artificial intelligence," "machine learning," "deep learning," "neural network," "random forest," "gradient boosting," "natural language processing," "malnutrition," "stunting," "wasting," "undernutrition," "food insecurity," "nutritional status"</w:t>
            </w:r>
          </w:p>
        </w:tc>
      </w:tr>
      <w:tr w:rsidR="008665DB" w:rsidRPr="008665DB" w14:paraId="6F7EC296" w14:textId="77777777" w:rsidTr="008665DB">
        <w:tc>
          <w:tcPr>
            <w:tcW w:w="0" w:type="auto"/>
            <w:hideMark/>
          </w:tcPr>
          <w:p w14:paraId="3247C307"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Secondary search terms</w:t>
            </w:r>
          </w:p>
        </w:tc>
        <w:tc>
          <w:tcPr>
            <w:tcW w:w="0" w:type="auto"/>
            <w:hideMark/>
          </w:tcPr>
          <w:p w14:paraId="0611AF4D"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"remote sensing," "geospatial analysis," "socioeconomic determinants," "sustainable development goals," "nutrition surveillance," "early warning," "LMIC," "environmental determinants"</w:t>
            </w:r>
          </w:p>
        </w:tc>
      </w:tr>
      <w:tr w:rsidR="008665DB" w:rsidRPr="008665DB" w14:paraId="67271047" w14:textId="77777777" w:rsidTr="008665DB">
        <w:tc>
          <w:tcPr>
            <w:tcW w:w="0" w:type="auto"/>
            <w:hideMark/>
          </w:tcPr>
          <w:p w14:paraId="6CFBD55F"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Language restriction</w:t>
            </w:r>
          </w:p>
        </w:tc>
        <w:tc>
          <w:tcPr>
            <w:tcW w:w="0" w:type="auto"/>
            <w:hideMark/>
          </w:tcPr>
          <w:p w14:paraId="14359879"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English</w:t>
            </w:r>
          </w:p>
        </w:tc>
      </w:tr>
      <w:tr w:rsidR="008665DB" w:rsidRPr="008665DB" w14:paraId="20401E7A" w14:textId="77777777" w:rsidTr="008665DB">
        <w:tc>
          <w:tcPr>
            <w:tcW w:w="0" w:type="auto"/>
            <w:hideMark/>
          </w:tcPr>
          <w:p w14:paraId="60A86814"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Inclusion criteria</w:t>
            </w:r>
          </w:p>
        </w:tc>
        <w:tc>
          <w:tcPr>
            <w:tcW w:w="0" w:type="auto"/>
            <w:hideMark/>
          </w:tcPr>
          <w:p w14:paraId="37ADC3DF"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Peer-reviewed; AI or ML methods applied to malnutrition outcomes; human populations; at least one clinical, socioeconomic, or environmental variable</w:t>
            </w:r>
          </w:p>
        </w:tc>
      </w:tr>
      <w:tr w:rsidR="008665DB" w:rsidRPr="008665DB" w14:paraId="2D4D0DF5" w14:textId="77777777" w:rsidTr="008665DB">
        <w:tc>
          <w:tcPr>
            <w:tcW w:w="0" w:type="auto"/>
            <w:hideMark/>
          </w:tcPr>
          <w:p w14:paraId="56DDE757"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Exclusion criteria</w:t>
            </w:r>
          </w:p>
        </w:tc>
        <w:tc>
          <w:tcPr>
            <w:tcW w:w="0" w:type="auto"/>
            <w:hideMark/>
          </w:tcPr>
          <w:p w14:paraId="1A00D737"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Grey literature, preprints, books, conference papers, patents, trade publications, non-peer-reviewed sources</w:t>
            </w:r>
          </w:p>
        </w:tc>
      </w:tr>
      <w:tr w:rsidR="008665DB" w:rsidRPr="008665DB" w14:paraId="6CCF25F1" w14:textId="77777777" w:rsidTr="008665DB">
        <w:tc>
          <w:tcPr>
            <w:tcW w:w="0" w:type="auto"/>
            <w:hideMark/>
          </w:tcPr>
          <w:p w14:paraId="001D3398"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Institutional sources</w:t>
            </w:r>
          </w:p>
        </w:tc>
        <w:tc>
          <w:tcPr>
            <w:tcW w:w="0" w:type="auto"/>
            <w:hideMark/>
          </w:tcPr>
          <w:p w14:paraId="7B50FB8C"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WHO, FAO, UNICEF, World Bank, UN — with verifiable URLs</w:t>
            </w:r>
          </w:p>
        </w:tc>
      </w:tr>
      <w:tr w:rsidR="008665DB" w:rsidRPr="008665DB" w14:paraId="39B29DA4" w14:textId="77777777" w:rsidTr="008665DB">
        <w:tc>
          <w:tcPr>
            <w:tcW w:w="0" w:type="auto"/>
            <w:hideMark/>
          </w:tcPr>
          <w:p w14:paraId="61EF6EFB"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Review type</w:t>
            </w:r>
          </w:p>
        </w:tc>
        <w:tc>
          <w:tcPr>
            <w:tcW w:w="0" w:type="auto"/>
            <w:hideMark/>
          </w:tcPr>
          <w:p w14:paraId="39818AB2"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Narrative review</w:t>
            </w:r>
          </w:p>
        </w:tc>
      </w:tr>
    </w:tbl>
    <w:p w14:paraId="1456614A"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i/>
          <w:iCs/>
          <w:sz w:val="24"/>
          <w:szCs w:val="24"/>
          <w:lang w:eastAsia="en-GB"/>
        </w:rPr>
        <w:t>Sources: Green et al. (2006); Snyder (2019)</w:t>
      </w:r>
    </w:p>
    <w:p w14:paraId="50DF1D03" w14:textId="77777777" w:rsidR="008665DB" w:rsidRPr="008665DB" w:rsidRDefault="008665DB" w:rsidP="008665DB">
      <w:pPr>
        <w:spacing w:after="0" w:line="240" w:lineRule="auto"/>
        <w:rPr>
          <w:rFonts w:ascii="Times New Roman" w:eastAsia="Times New Roman" w:hAnsi="Times New Roman" w:cs="Times New Roman"/>
          <w:sz w:val="24"/>
          <w:szCs w:val="24"/>
          <w:lang w:eastAsia="en-GB"/>
        </w:rPr>
      </w:pPr>
    </w:p>
    <w:p w14:paraId="1A68E0B9" w14:textId="77777777" w:rsidR="008665DB" w:rsidRPr="008665DB" w:rsidRDefault="008665DB" w:rsidP="008665D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665DB">
        <w:rPr>
          <w:rFonts w:ascii="Times New Roman" w:eastAsia="Times New Roman" w:hAnsi="Times New Roman" w:cs="Times New Roman"/>
          <w:b/>
          <w:bCs/>
          <w:sz w:val="27"/>
          <w:szCs w:val="27"/>
          <w:lang w:eastAsia="en-GB"/>
        </w:rPr>
        <w:t>3. The Multidimensional Determinants of Malnutrition</w:t>
      </w:r>
    </w:p>
    <w:p w14:paraId="4481CA83" w14:textId="77777777" w:rsidR="008665DB" w:rsidRPr="008665DB" w:rsidRDefault="008665DB" w:rsidP="008665D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3.1 Clinical and Biological Determinants</w:t>
      </w:r>
    </w:p>
    <w:p w14:paraId="4242CAFF"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lastRenderedPageBreak/>
        <w:t>Clinical determinants of malnutrition encompass a range of physiological, microbiological, and anthropometric parameters whose interactions produce the complex phenotypes of stunting, wasting, and micronutrient deficiency observed in affected populations. Anthropometric status in children is assessed using WHO-standardised indices — height-for-age Z-score (HAZ), weight-for-height Z-score (WHZ), and weight-for-age Z-score (WAZ) — referenced against the WHO Multicentre Growth Reference Study standards established from longitudinal data collected in children raised under optimal conditions across six countries (de Onis &amp; Branca, 2016). The co-occurrence of stunting and wasting is particularly clinically significant: children simultaneously affected by both conditions face a substantially elevated risk of mortality compared with those affected by either alone, as their combined anthropometric deficits reflect severe and compound physiological compromise (Myatt et al., 2018).</w:t>
      </w:r>
    </w:p>
    <w:p w14:paraId="17727673"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Low birth weight (LBW) and intrauterine growth restriction represent important precursors to childhood stunting and wasting, establishing trajectories of nutritional disadvantage that can persist across the life course through epigenetic, metabolic, and developmental mechanisms (Black et al., 2013). Maternal nutritional status is itself a powerful determinant; anaemia, inadequate gestational weight gain, and micronutrient deficiencies during pregnancy are independently associated with adverse offspring growth outcomes and elevate the intergenerational transmission of undernutrition (Victora et al., 2021). Breastfeeding duration, timing of complementary feeding introduction, and dietary diversity in early life represent additional clinical determinants that interact with biological vulnerability.</w:t>
      </w:r>
    </w:p>
    <w:p w14:paraId="1D36DD24"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Recurrent infection, particularly enteric disease and intestinal parasitic infestation, perpetuates the nutrition-infection cycle central to the pathophysiology of wasting in resource-limited settings </w:t>
      </w:r>
      <w:r w:rsidRPr="008665DB">
        <w:rPr>
          <w:rFonts w:ascii="Times New Roman" w:eastAsia="Times New Roman" w:hAnsi="Times New Roman" w:cs="Times New Roman"/>
          <w:b/>
          <w:bCs/>
          <w:sz w:val="24"/>
          <w:szCs w:val="24"/>
          <w:lang w:eastAsia="en-GB"/>
        </w:rPr>
        <w:t>(Guerrant et al., 2013)</w:t>
      </w:r>
      <w:r w:rsidRPr="008665DB">
        <w:rPr>
          <w:rFonts w:ascii="Times New Roman" w:eastAsia="Times New Roman" w:hAnsi="Times New Roman" w:cs="Times New Roman"/>
          <w:sz w:val="24"/>
          <w:szCs w:val="24"/>
          <w:lang w:eastAsia="en-GB"/>
        </w:rPr>
        <w:t xml:space="preserve">. Environmental enteric dysfunction (EED), a subclinical condition characterised by altered gut permeability, villous atrophy, and chronic intestinal inflammation, has emerged as a key mechanistic mediator linking environmental contamination with linear growth faltering in children exposed to inadequate sanitation conditions </w:t>
      </w:r>
      <w:r w:rsidRPr="008665DB">
        <w:rPr>
          <w:rFonts w:ascii="Times New Roman" w:eastAsia="Times New Roman" w:hAnsi="Times New Roman" w:cs="Times New Roman"/>
          <w:b/>
          <w:bCs/>
          <w:sz w:val="24"/>
          <w:szCs w:val="24"/>
          <w:lang w:eastAsia="en-GB"/>
        </w:rPr>
        <w:t>(Crane et al., 2015)</w:t>
      </w:r>
      <w:r w:rsidRPr="008665DB">
        <w:rPr>
          <w:rFonts w:ascii="Times New Roman" w:eastAsia="Times New Roman" w:hAnsi="Times New Roman" w:cs="Times New Roman"/>
          <w:sz w:val="24"/>
          <w:szCs w:val="24"/>
          <w:lang w:eastAsia="en-GB"/>
        </w:rPr>
        <w:t>. The complexity of these clinical interactions — each variable influencing and being influenced by others — makes them a challenging but rewarding target for AI methods capable of modelling high-dimensional, nonlinear relationships.</w:t>
      </w:r>
    </w:p>
    <w:p w14:paraId="5CCE6CDE" w14:textId="77777777" w:rsidR="008665DB" w:rsidRPr="008665DB" w:rsidRDefault="008665DB" w:rsidP="008665D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3.2 Socioeconomic Determinants</w:t>
      </w:r>
    </w:p>
    <w:p w14:paraId="763362BA"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Poverty remains the most fundamental structural determinant of malnutrition at household and community levels, operating through multiple pathways that constrain dietary quality, limit healthcare access, and reduce investments in sanitation infrastructure. Household income poverty limits the availability and affordability of diverse, nutrient-dense foods, making poor households disproportionately reliant on energy-dense but micronutrient-poor staple diets (Smith &amp; Haddad, 2015). Maternal education consistently emerges as one of the strongest predictors of child nutritional status across LMICs: educated mothers demonstrate improved infant and young child feeding practices, greater healthcare-seeking behaviour, and a greater capacity to translate income into nutritional outcomes for their children (Bhutta et al., 2013). The mechanisms through which education influences nutrition span knowledge, autonomy, and social status within the household, making it a cross-cutting socioeconomic predictor of considerable importance.</w:t>
      </w:r>
    </w:p>
    <w:p w14:paraId="2C5F70DC"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lastRenderedPageBreak/>
        <w:t xml:space="preserve">Gender inequality intersects with malnutrition through overlapping pathways including women's dietary autonomy, control over household resources, time allocation, and social status. Food price volatility and limited market access represent additional socioeconomic risk factors, particularly where food systems are fragile, transport costs are high, and smallholder farmers are poorly integrated into commodity markets (FAO, IFAD, UNICEF, WFP, &amp; WHO, 2023). The phenomenon of the double burden of malnutrition — the co-existence of undernutrition and overweight or obesity within the same household, community, or individual across the life course — adds further complexity to the socioeconomic patterning of malnutrition in rapidly urbanising LMICs </w:t>
      </w:r>
      <w:r w:rsidRPr="008665DB">
        <w:rPr>
          <w:rFonts w:ascii="Times New Roman" w:eastAsia="Times New Roman" w:hAnsi="Times New Roman" w:cs="Times New Roman"/>
          <w:b/>
          <w:bCs/>
          <w:sz w:val="24"/>
          <w:szCs w:val="24"/>
          <w:lang w:eastAsia="en-GB"/>
        </w:rPr>
        <w:t>(Popkin et al., 2020)</w:t>
      </w:r>
      <w:r w:rsidRPr="008665DB">
        <w:rPr>
          <w:rFonts w:ascii="Times New Roman" w:eastAsia="Times New Roman" w:hAnsi="Times New Roman" w:cs="Times New Roman"/>
          <w:sz w:val="24"/>
          <w:szCs w:val="24"/>
          <w:lang w:eastAsia="en-GB"/>
        </w:rPr>
        <w:t>. Urban populations face a distinct nutritional risk landscape in which energy-dense processed foods are more accessible than nutritious alternatives, caregiving time is constrained by women's workforce participation, and the protective factors of traditional food environments have diminished.</w:t>
      </w:r>
    </w:p>
    <w:p w14:paraId="647961FD" w14:textId="77777777" w:rsidR="008665DB" w:rsidRPr="008665DB" w:rsidRDefault="008665DB" w:rsidP="008665D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3.3 Environmental Determinants</w:t>
      </w:r>
    </w:p>
    <w:p w14:paraId="1FB11E59"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Environmental determinants of malnutrition operate across multiple spatial and temporal scales, from the microenvironment of the household water source to the macroscale dynamics of climate systems. Climate variability and change exert direct effects on agricultural production, food availability, and diet quality, with disproportionate impacts on smallholder farming communities in Sub-Saharan Africa and South Asia who depend on rain-fed agriculture for both subsistence and income </w:t>
      </w:r>
      <w:r w:rsidRPr="008665DB">
        <w:rPr>
          <w:rFonts w:ascii="Times New Roman" w:eastAsia="Times New Roman" w:hAnsi="Times New Roman" w:cs="Times New Roman"/>
          <w:b/>
          <w:bCs/>
          <w:sz w:val="24"/>
          <w:szCs w:val="24"/>
          <w:lang w:eastAsia="en-GB"/>
        </w:rPr>
        <w:t>(Lloyd et al., 2011)</w:t>
      </w:r>
      <w:r w:rsidRPr="008665DB">
        <w:rPr>
          <w:rFonts w:ascii="Times New Roman" w:eastAsia="Times New Roman" w:hAnsi="Times New Roman" w:cs="Times New Roman"/>
          <w:sz w:val="24"/>
          <w:szCs w:val="24"/>
          <w:lang w:eastAsia="en-GB"/>
        </w:rPr>
        <w:t>. Drought, flooding, and temperature extremes reduce crop yields, disrupt supply chains, and increase household food insecurity, with downstream consequences for child nutritional status that may manifest weeks to months after the initial climatic event. The relationship between climate shocks and malnutrition is characterised by nonlinearity and threshold effects, whereby small cumulative changes in rainfall or temperature produce disproportionate deteriorations in nutritional outcomes once agronomic or livelihood thresholds are crossed.</w:t>
      </w:r>
    </w:p>
    <w:p w14:paraId="68E60456"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Land use change and deforestation alter the availability of wild foods and transform local agricultural systems, reducing dietary diversity in affected communities in ways that are often difficult to capture through standard dietary surveys </w:t>
      </w:r>
      <w:r w:rsidRPr="008665DB">
        <w:rPr>
          <w:rFonts w:ascii="Times New Roman" w:eastAsia="Times New Roman" w:hAnsi="Times New Roman" w:cs="Times New Roman"/>
          <w:b/>
          <w:bCs/>
          <w:sz w:val="24"/>
          <w:szCs w:val="24"/>
          <w:lang w:eastAsia="en-GB"/>
        </w:rPr>
        <w:t>(Fanzo et al., 2018)</w:t>
      </w:r>
      <w:r w:rsidRPr="008665DB">
        <w:rPr>
          <w:rFonts w:ascii="Times New Roman" w:eastAsia="Times New Roman" w:hAnsi="Times New Roman" w:cs="Times New Roman"/>
          <w:sz w:val="24"/>
          <w:szCs w:val="24"/>
          <w:lang w:eastAsia="en-GB"/>
        </w:rPr>
        <w:t>. Water quality and availability intersect with malnutrition through their effects on pathogen exposure, personal hygiene, and sanitation, contributing to the EED-growth faltering pathway described in Section 3.1. Household air pollution arising from the combustion of solid biomass fuels for cooking and heating represents an independent environmental risk factor for child growth faltering, mediated through respiratory morbidity and systemic inflammation (</w:t>
      </w:r>
      <w:proofErr w:type="spellStart"/>
      <w:r w:rsidRPr="008665DB">
        <w:rPr>
          <w:rFonts w:ascii="Times New Roman" w:eastAsia="Times New Roman" w:hAnsi="Times New Roman" w:cs="Times New Roman"/>
          <w:sz w:val="24"/>
          <w:szCs w:val="24"/>
          <w:lang w:eastAsia="en-GB"/>
        </w:rPr>
        <w:t>Dherani</w:t>
      </w:r>
      <w:proofErr w:type="spellEnd"/>
      <w:r w:rsidRPr="008665DB">
        <w:rPr>
          <w:rFonts w:ascii="Times New Roman" w:eastAsia="Times New Roman" w:hAnsi="Times New Roman" w:cs="Times New Roman"/>
          <w:sz w:val="24"/>
          <w:szCs w:val="24"/>
          <w:lang w:eastAsia="en-GB"/>
        </w:rPr>
        <w:t xml:space="preserve"> et al., 2008). The aggregate effect of these environmental determinants constitutes a dynamic and spatially heterogeneous risk landscape that demands analytical tools capable of processing geospatial data at scale and integrating temporal dynamics.</w:t>
      </w:r>
      <w:r>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bCs/>
          <w:sz w:val="24"/>
          <w:szCs w:val="24"/>
          <w:lang w:eastAsia="en-GB"/>
        </w:rPr>
        <w:t>Table 2 summarises the key determinant domains, representative variables, levels of action, and primary data sources relevant to AI-based malnutrition research across the clinical, socioeconomic, environmental, food systems, and governance dimensions discussed in this section.</w:t>
      </w:r>
    </w:p>
    <w:p w14:paraId="5B41466F"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b/>
          <w:bCs/>
          <w:sz w:val="24"/>
          <w:szCs w:val="24"/>
          <w:lang w:eastAsia="en-GB"/>
        </w:rPr>
        <w:t>Table 2. Key Determinant Domains, Variables, and Data Sources in Malnutrition Research</w:t>
      </w:r>
    </w:p>
    <w:tbl>
      <w:tblPr>
        <w:tblStyle w:val="TableGrid"/>
        <w:tblW w:w="0" w:type="auto"/>
        <w:tblLook w:val="04A0" w:firstRow="1" w:lastRow="0" w:firstColumn="1" w:lastColumn="0" w:noHBand="0" w:noVBand="1"/>
      </w:tblPr>
      <w:tblGrid>
        <w:gridCol w:w="2089"/>
        <w:gridCol w:w="3140"/>
        <w:gridCol w:w="1680"/>
        <w:gridCol w:w="2333"/>
      </w:tblGrid>
      <w:tr w:rsidR="008665DB" w:rsidRPr="008665DB" w14:paraId="606D2190" w14:textId="77777777" w:rsidTr="008665DB">
        <w:tc>
          <w:tcPr>
            <w:tcW w:w="0" w:type="auto"/>
            <w:hideMark/>
          </w:tcPr>
          <w:p w14:paraId="7237FF71" w14:textId="77777777" w:rsidR="008665DB" w:rsidRPr="008665DB" w:rsidRDefault="008665DB" w:rsidP="008665DB">
            <w:pPr>
              <w:jc w:val="center"/>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Determinant Domain</w:t>
            </w:r>
          </w:p>
        </w:tc>
        <w:tc>
          <w:tcPr>
            <w:tcW w:w="0" w:type="auto"/>
            <w:hideMark/>
          </w:tcPr>
          <w:p w14:paraId="694F7A33" w14:textId="77777777" w:rsidR="008665DB" w:rsidRPr="008665DB" w:rsidRDefault="008665DB" w:rsidP="008665DB">
            <w:pPr>
              <w:jc w:val="center"/>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Representative Variables</w:t>
            </w:r>
          </w:p>
        </w:tc>
        <w:tc>
          <w:tcPr>
            <w:tcW w:w="0" w:type="auto"/>
            <w:hideMark/>
          </w:tcPr>
          <w:p w14:paraId="290FE2F3" w14:textId="77777777" w:rsidR="008665DB" w:rsidRPr="008665DB" w:rsidRDefault="008665DB" w:rsidP="008665DB">
            <w:pPr>
              <w:jc w:val="center"/>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Level of Action</w:t>
            </w:r>
          </w:p>
        </w:tc>
        <w:tc>
          <w:tcPr>
            <w:tcW w:w="0" w:type="auto"/>
            <w:hideMark/>
          </w:tcPr>
          <w:p w14:paraId="618257BF" w14:textId="77777777" w:rsidR="008665DB" w:rsidRPr="008665DB" w:rsidRDefault="008665DB" w:rsidP="008665DB">
            <w:pPr>
              <w:jc w:val="center"/>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Primary Data Sources</w:t>
            </w:r>
          </w:p>
        </w:tc>
      </w:tr>
      <w:tr w:rsidR="008665DB" w:rsidRPr="008665DB" w14:paraId="0DBE8BCB" w14:textId="77777777" w:rsidTr="008665DB">
        <w:tc>
          <w:tcPr>
            <w:tcW w:w="0" w:type="auto"/>
            <w:hideMark/>
          </w:tcPr>
          <w:p w14:paraId="55AD6FB9"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Clinical/biological</w:t>
            </w:r>
          </w:p>
        </w:tc>
        <w:tc>
          <w:tcPr>
            <w:tcW w:w="0" w:type="auto"/>
            <w:hideMark/>
          </w:tcPr>
          <w:p w14:paraId="79A3E0F3"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HAZ, WHZ, WAZ; LBW; </w:t>
            </w:r>
            <w:r w:rsidRPr="008665DB">
              <w:rPr>
                <w:rFonts w:ascii="Times New Roman" w:eastAsia="Times New Roman" w:hAnsi="Times New Roman" w:cs="Times New Roman"/>
                <w:sz w:val="24"/>
                <w:szCs w:val="24"/>
                <w:lang w:eastAsia="en-GB"/>
              </w:rPr>
              <w:lastRenderedPageBreak/>
              <w:t>maternal anaemia; enteric infection; EED; birth interval; gestational age</w:t>
            </w:r>
          </w:p>
        </w:tc>
        <w:tc>
          <w:tcPr>
            <w:tcW w:w="0" w:type="auto"/>
            <w:hideMark/>
          </w:tcPr>
          <w:p w14:paraId="1EF9B4D4"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lastRenderedPageBreak/>
              <w:t xml:space="preserve">Individual, </w:t>
            </w:r>
            <w:r w:rsidRPr="008665DB">
              <w:rPr>
                <w:rFonts w:ascii="Times New Roman" w:eastAsia="Times New Roman" w:hAnsi="Times New Roman" w:cs="Times New Roman"/>
                <w:sz w:val="24"/>
                <w:szCs w:val="24"/>
                <w:lang w:eastAsia="en-GB"/>
              </w:rPr>
              <w:lastRenderedPageBreak/>
              <w:t>household</w:t>
            </w:r>
          </w:p>
        </w:tc>
        <w:tc>
          <w:tcPr>
            <w:tcW w:w="0" w:type="auto"/>
            <w:hideMark/>
          </w:tcPr>
          <w:p w14:paraId="6C9AE7E1"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lastRenderedPageBreak/>
              <w:t xml:space="preserve">Clinical records, </w:t>
            </w:r>
            <w:r w:rsidRPr="008665DB">
              <w:rPr>
                <w:rFonts w:ascii="Times New Roman" w:eastAsia="Times New Roman" w:hAnsi="Times New Roman" w:cs="Times New Roman"/>
                <w:sz w:val="24"/>
                <w:szCs w:val="24"/>
                <w:lang w:eastAsia="en-GB"/>
              </w:rPr>
              <w:lastRenderedPageBreak/>
              <w:t>DHS/MICS surveys, hospital databases</w:t>
            </w:r>
          </w:p>
        </w:tc>
      </w:tr>
      <w:tr w:rsidR="008665DB" w:rsidRPr="008665DB" w14:paraId="3122B6C4" w14:textId="77777777" w:rsidTr="008665DB">
        <w:tc>
          <w:tcPr>
            <w:tcW w:w="0" w:type="auto"/>
            <w:hideMark/>
          </w:tcPr>
          <w:p w14:paraId="62059155"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lastRenderedPageBreak/>
              <w:t>Socioeconomic</w:t>
            </w:r>
          </w:p>
        </w:tc>
        <w:tc>
          <w:tcPr>
            <w:tcW w:w="0" w:type="auto"/>
            <w:hideMark/>
          </w:tcPr>
          <w:p w14:paraId="0AA558A0"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Household wealth index; maternal education; food expenditure; market access; WASH access; social protection participation</w:t>
            </w:r>
          </w:p>
        </w:tc>
        <w:tc>
          <w:tcPr>
            <w:tcW w:w="0" w:type="auto"/>
            <w:hideMark/>
          </w:tcPr>
          <w:p w14:paraId="0445B770"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Household, community, national</w:t>
            </w:r>
          </w:p>
        </w:tc>
        <w:tc>
          <w:tcPr>
            <w:tcW w:w="0" w:type="auto"/>
            <w:hideMark/>
          </w:tcPr>
          <w:p w14:paraId="019AF7D7"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DHS, MICS, household expenditure surveys, administrative records</w:t>
            </w:r>
          </w:p>
        </w:tc>
      </w:tr>
      <w:tr w:rsidR="008665DB" w:rsidRPr="008665DB" w14:paraId="2B94B3EE" w14:textId="77777777" w:rsidTr="008665DB">
        <w:tc>
          <w:tcPr>
            <w:tcW w:w="0" w:type="auto"/>
            <w:hideMark/>
          </w:tcPr>
          <w:p w14:paraId="1BCA57DF"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Environmental</w:t>
            </w:r>
          </w:p>
        </w:tc>
        <w:tc>
          <w:tcPr>
            <w:tcW w:w="0" w:type="auto"/>
            <w:hideMark/>
          </w:tcPr>
          <w:p w14:paraId="3C99BCBF"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Rainfall anomalies; temperature; NDVI; land use; WASH infrastructure; household air quality</w:t>
            </w:r>
          </w:p>
        </w:tc>
        <w:tc>
          <w:tcPr>
            <w:tcW w:w="0" w:type="auto"/>
            <w:hideMark/>
          </w:tcPr>
          <w:p w14:paraId="70EACC74"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Community, regional, national</w:t>
            </w:r>
          </w:p>
        </w:tc>
        <w:tc>
          <w:tcPr>
            <w:tcW w:w="0" w:type="auto"/>
            <w:hideMark/>
          </w:tcPr>
          <w:p w14:paraId="7AB27739"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Remote sensing platforms, meteorological datasets, GIS layers</w:t>
            </w:r>
          </w:p>
        </w:tc>
      </w:tr>
      <w:tr w:rsidR="008665DB" w:rsidRPr="008665DB" w14:paraId="4F00DFD5" w14:textId="77777777" w:rsidTr="008665DB">
        <w:tc>
          <w:tcPr>
            <w:tcW w:w="0" w:type="auto"/>
            <w:hideMark/>
          </w:tcPr>
          <w:p w14:paraId="02C76C6F"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Food systems</w:t>
            </w:r>
          </w:p>
        </w:tc>
        <w:tc>
          <w:tcPr>
            <w:tcW w:w="0" w:type="auto"/>
            <w:hideMark/>
          </w:tcPr>
          <w:p w14:paraId="37978FED"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Market price indices; dietary diversity score; crop production; food retail access</w:t>
            </w:r>
          </w:p>
        </w:tc>
        <w:tc>
          <w:tcPr>
            <w:tcW w:w="0" w:type="auto"/>
            <w:hideMark/>
          </w:tcPr>
          <w:p w14:paraId="4C795A61"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Household, regional</w:t>
            </w:r>
          </w:p>
        </w:tc>
        <w:tc>
          <w:tcPr>
            <w:tcW w:w="0" w:type="auto"/>
            <w:hideMark/>
          </w:tcPr>
          <w:p w14:paraId="668D1F91"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Market monitoring, HDDS surveys, agricultural census</w:t>
            </w:r>
          </w:p>
        </w:tc>
      </w:tr>
      <w:tr w:rsidR="008665DB" w:rsidRPr="008665DB" w14:paraId="03776CD4" w14:textId="77777777" w:rsidTr="008665DB">
        <w:tc>
          <w:tcPr>
            <w:tcW w:w="0" w:type="auto"/>
            <w:hideMark/>
          </w:tcPr>
          <w:p w14:paraId="6F97C644"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Governance/policy</w:t>
            </w:r>
          </w:p>
        </w:tc>
        <w:tc>
          <w:tcPr>
            <w:tcW w:w="0" w:type="auto"/>
            <w:hideMark/>
          </w:tcPr>
          <w:p w14:paraId="2C9E2161"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Primary healthcare coverage; immunisation uptake; social protection reach; agricultural subsidy structure</w:t>
            </w:r>
          </w:p>
        </w:tc>
        <w:tc>
          <w:tcPr>
            <w:tcW w:w="0" w:type="auto"/>
            <w:hideMark/>
          </w:tcPr>
          <w:p w14:paraId="497357AF"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National, subnational</w:t>
            </w:r>
          </w:p>
        </w:tc>
        <w:tc>
          <w:tcPr>
            <w:tcW w:w="0" w:type="auto"/>
            <w:hideMark/>
          </w:tcPr>
          <w:p w14:paraId="68F7BF6B"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Administrative health records, policy databases</w:t>
            </w:r>
          </w:p>
        </w:tc>
      </w:tr>
    </w:tbl>
    <w:p w14:paraId="1796A549"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i/>
          <w:iCs/>
          <w:sz w:val="24"/>
          <w:szCs w:val="24"/>
          <w:lang w:eastAsia="en-GB"/>
        </w:rPr>
        <w:t>Sources: Black et al. (2008); Black et al. (2013); Bhutta et al. (2013); FAO, IFAD, UNICEF, WFP, &amp; WHO (2023); Victora et al. (2021)</w:t>
      </w:r>
    </w:p>
    <w:p w14:paraId="094F91B4"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HAZ = height-for-age Z-score; WHZ = weight-for-height Z-score; WAZ = weight-for-age Z-score; LBW = low birth weight; EED = environmental enteric dysfunction; DHS = Demographic and Health Survey; MICS = Multiple Indicator Cluster Survey; NDVI = normalised difference vegetation index; WASH = water, sanitation, and hygiene; GIS = geographic information system; HDDS = Household Dietary Diversity Score.</w:t>
      </w:r>
    </w:p>
    <w:p w14:paraId="4C955200" w14:textId="77777777" w:rsidR="008665DB" w:rsidRPr="008665DB" w:rsidRDefault="008665DB" w:rsidP="008665DB">
      <w:pPr>
        <w:spacing w:after="0" w:line="240" w:lineRule="auto"/>
        <w:rPr>
          <w:rFonts w:ascii="Times New Roman" w:eastAsia="Times New Roman" w:hAnsi="Times New Roman" w:cs="Times New Roman"/>
          <w:sz w:val="24"/>
          <w:szCs w:val="24"/>
          <w:lang w:eastAsia="en-GB"/>
        </w:rPr>
      </w:pPr>
    </w:p>
    <w:p w14:paraId="177798E7" w14:textId="77777777" w:rsidR="008665DB" w:rsidRPr="008665DB" w:rsidRDefault="008665DB" w:rsidP="008665D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665DB">
        <w:rPr>
          <w:rFonts w:ascii="Times New Roman" w:eastAsia="Times New Roman" w:hAnsi="Times New Roman" w:cs="Times New Roman"/>
          <w:b/>
          <w:bCs/>
          <w:sz w:val="27"/>
          <w:szCs w:val="27"/>
          <w:lang w:eastAsia="en-GB"/>
        </w:rPr>
        <w:t>4. Artificial Intelligence Approaches for Malnutrition Prediction</w:t>
      </w:r>
    </w:p>
    <w:p w14:paraId="623193A8" w14:textId="77777777" w:rsidR="008665DB" w:rsidRPr="008665DB" w:rsidRDefault="008665DB" w:rsidP="008665D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4.1 Supervised Machine Learning Algorithms</w:t>
      </w:r>
    </w:p>
    <w:p w14:paraId="22FA87A6"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Supervised ML algorithms have been the most widely applied AI category in malnutrition prediction, trained on labelled datasets in which nutritional outcomes — commonly stunting status, wasting status, or underweight classification — serve as the target variable against which model parameters are optimised. The RF algorithm, introduced by </w:t>
      </w:r>
      <w:proofErr w:type="spellStart"/>
      <w:r w:rsidRPr="008665DB">
        <w:rPr>
          <w:rFonts w:ascii="Times New Roman" w:eastAsia="Times New Roman" w:hAnsi="Times New Roman" w:cs="Times New Roman"/>
          <w:sz w:val="24"/>
          <w:szCs w:val="24"/>
          <w:lang w:eastAsia="en-GB"/>
        </w:rPr>
        <w:t>Breiman</w:t>
      </w:r>
      <w:proofErr w:type="spellEnd"/>
      <w:r w:rsidRPr="008665DB">
        <w:rPr>
          <w:rFonts w:ascii="Times New Roman" w:eastAsia="Times New Roman" w:hAnsi="Times New Roman" w:cs="Times New Roman"/>
          <w:sz w:val="24"/>
          <w:szCs w:val="24"/>
          <w:lang w:eastAsia="en-GB"/>
        </w:rPr>
        <w:t xml:space="preserve"> (2001), constructs an ensemble of decision trees using bootstrap samples of the training data and random subsets of predictor variables, aggregating predictions across trees to produce stable and accurate classifications. RF has become a particularly common method in nutrition research owing to its robustness to overfitting, capacity to handle datasets with missing values, built-in estimation of variable importance through permutation methods, and ability to detect nonlinear interactions without requiring feature transformation. Studies applying RF to DHS and MICS survey data for prediction of stunting and wasting have consistently demonstrated improved discrimination relative to logistic regression, particularly when multi-domain features spanning clinical, socioeconomic, and environmental predictors are incorporated jointly.</w:t>
      </w:r>
    </w:p>
    <w:p w14:paraId="0032A933"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lastRenderedPageBreak/>
        <w:t>Gradient boosting algorithms — most notably Extreme Gradient Boosting (</w:t>
      </w:r>
      <w:proofErr w:type="spellStart"/>
      <w:r w:rsidRPr="008665DB">
        <w:rPr>
          <w:rFonts w:ascii="Times New Roman" w:eastAsia="Times New Roman" w:hAnsi="Times New Roman" w:cs="Times New Roman"/>
          <w:sz w:val="24"/>
          <w:szCs w:val="24"/>
          <w:lang w:eastAsia="en-GB"/>
        </w:rPr>
        <w:t>XGBoost</w:t>
      </w:r>
      <w:proofErr w:type="spellEnd"/>
      <w:r w:rsidRPr="008665DB">
        <w:rPr>
          <w:rFonts w:ascii="Times New Roman" w:eastAsia="Times New Roman" w:hAnsi="Times New Roman" w:cs="Times New Roman"/>
          <w:sz w:val="24"/>
          <w:szCs w:val="24"/>
          <w:lang w:eastAsia="en-GB"/>
        </w:rPr>
        <w:t>) and Light Gradient Boosting Machine (</w:t>
      </w:r>
      <w:proofErr w:type="spellStart"/>
      <w:r w:rsidRPr="008665DB">
        <w:rPr>
          <w:rFonts w:ascii="Times New Roman" w:eastAsia="Times New Roman" w:hAnsi="Times New Roman" w:cs="Times New Roman"/>
          <w:sz w:val="24"/>
          <w:szCs w:val="24"/>
          <w:lang w:eastAsia="en-GB"/>
        </w:rPr>
        <w:t>LightGBM</w:t>
      </w:r>
      <w:proofErr w:type="spellEnd"/>
      <w:r w:rsidRPr="008665DB">
        <w:rPr>
          <w:rFonts w:ascii="Times New Roman" w:eastAsia="Times New Roman" w:hAnsi="Times New Roman" w:cs="Times New Roman"/>
          <w:sz w:val="24"/>
          <w:szCs w:val="24"/>
          <w:lang w:eastAsia="en-GB"/>
        </w:rPr>
        <w:t xml:space="preserve">) — build sequential ensembles of trees in which each successive tree corrects the residual errors of its predecessors, producing models of high predictive fidelity for complex classification tasks (Obermeyer &amp; Emanuel, 2016). These methods have been applied across multiple national contexts in South Asia and Sub-Saharan Africa, where they demonstrate consistently strong sensitivity and specificity for identifying nutritionally vulnerable children under five years when trained on integrated household and environmental feature sets. SVMs, which identify optimal hyperplanes to maximally separate classes in a transformed feature space, have also been applied in nutrition classification tasks (Cortes &amp; </w:t>
      </w:r>
      <w:proofErr w:type="spellStart"/>
      <w:r w:rsidRPr="008665DB">
        <w:rPr>
          <w:rFonts w:ascii="Times New Roman" w:eastAsia="Times New Roman" w:hAnsi="Times New Roman" w:cs="Times New Roman"/>
          <w:sz w:val="24"/>
          <w:szCs w:val="24"/>
          <w:lang w:eastAsia="en-GB"/>
        </w:rPr>
        <w:t>Vapnik</w:t>
      </w:r>
      <w:proofErr w:type="spellEnd"/>
      <w:r w:rsidRPr="008665DB">
        <w:rPr>
          <w:rFonts w:ascii="Times New Roman" w:eastAsia="Times New Roman" w:hAnsi="Times New Roman" w:cs="Times New Roman"/>
          <w:sz w:val="24"/>
          <w:szCs w:val="24"/>
          <w:lang w:eastAsia="en-GB"/>
        </w:rPr>
        <w:t>, 1995). While SVMs perform well in small and moderate samples, their performance is more sensitive to feature scaling, kernel selection, and class imbalance than ensemble tree methods, and their computational cost scales less favourably with increasing dataset size.</w:t>
      </w:r>
    </w:p>
    <w:p w14:paraId="3291BE5A"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The comparative advantage of ML algorithms over classical statistical models manifests most clearly when numerous predictors, complex interaction structures, and nonlinear relationships co-exist — conditions that characterise multi-domain malnutrition datasets assembled from diverse sources. Logistic regression and its extensions retain value as interpretable benchmarks against which ML performance gains are measured, and as methodological reference points for communicating model findings to non-specialist audiences in policy and programme settings.</w:t>
      </w:r>
    </w:p>
    <w:p w14:paraId="1C405EB6" w14:textId="77777777" w:rsidR="008665DB" w:rsidRPr="008665DB" w:rsidRDefault="008665DB" w:rsidP="008665D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4.2 Deep Learning Architectures</w:t>
      </w:r>
    </w:p>
    <w:p w14:paraId="6C7E3013"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DNNs and their specialised variants have expanded the frontier of AI-based malnutrition prediction, particularly in domains involving unstructured data — medical images, satellite imagery, and free-text clinical records — that cannot be directly ingested by tabular ML algorithms. Convolutional neural networks (CNNs) apply learned hierarchical filters to extract spatially meaningful features from two-dimensional or three-dimensional inputs, and have been adapted for anthropometric screening applications in which photographs of children are processed to estimate growth indicators without physical measurement (LeCun et al., 2015). In mobile health (mHealth) contexts, CNN-based systems that estimate MUAC and weight from smartphone photographs hold substantial promise for scalable, low-cost screening in settings where trained health workers and weighing equipment are scarce, enabling community-level identification of children at risk of severe acute malnutrition (SAM). Translating such approaches from research prototypes to robust field tools requires careful attention to image quality variability, diverse skin tones and body positions, and the maintenance of accuracy across heterogeneous photographic conditions.</w:t>
      </w:r>
    </w:p>
    <w:p w14:paraId="40073F70"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Recurrent neural networks (RNNs) and their long short-term memory (LSTM) variant are architecturally suited to modelling sequential and temporal data, making them appropriate for capturing the longitudinal trajectories of child growth and the seasonal dynamics of food insecurity (</w:t>
      </w:r>
      <w:proofErr w:type="spellStart"/>
      <w:r w:rsidRPr="008665DB">
        <w:rPr>
          <w:rFonts w:ascii="Times New Roman" w:eastAsia="Times New Roman" w:hAnsi="Times New Roman" w:cs="Times New Roman"/>
          <w:sz w:val="24"/>
          <w:szCs w:val="24"/>
          <w:lang w:eastAsia="en-GB"/>
        </w:rPr>
        <w:t>Rajpurkar</w:t>
      </w:r>
      <w:proofErr w:type="spellEnd"/>
      <w:r w:rsidRPr="008665DB">
        <w:rPr>
          <w:rFonts w:ascii="Times New Roman" w:eastAsia="Times New Roman" w:hAnsi="Times New Roman" w:cs="Times New Roman"/>
          <w:sz w:val="24"/>
          <w:szCs w:val="24"/>
          <w:lang w:eastAsia="en-GB"/>
        </w:rPr>
        <w:t xml:space="preserve"> et al., 2022). LSTM models trained on multi-year time series of rainfall data, agricultural production indices, market price observations, and child anthropometric measurements have demonstrated capacity to forecast wasting incidence in advance of its peak, providing actionable lead time for early intervention and pre-positioning of therapeutic feeding supplies. Transfer learning — the fine-tuning of DNNs pre-trained on large external datasets for nutrition-specific tasks with smaller local training samples — has been proposed as a strategy to address the persistent challenge of limited labelled nutritional outcome data in </w:t>
      </w:r>
      <w:r w:rsidRPr="008665DB">
        <w:rPr>
          <w:rFonts w:ascii="Times New Roman" w:eastAsia="Times New Roman" w:hAnsi="Times New Roman" w:cs="Times New Roman"/>
          <w:sz w:val="24"/>
          <w:szCs w:val="24"/>
          <w:lang w:eastAsia="en-GB"/>
        </w:rPr>
        <w:lastRenderedPageBreak/>
        <w:t>LMICs, although the extent to which representations learned from radically different domains transfer usefully to nutrition contexts requires empirical scrutiny.</w:t>
      </w:r>
    </w:p>
    <w:p w14:paraId="71199350" w14:textId="77777777" w:rsidR="008665DB" w:rsidRPr="008665DB" w:rsidRDefault="008665DB" w:rsidP="008665D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4.3 Natural Language Processing</w:t>
      </w:r>
    </w:p>
    <w:p w14:paraId="7D3545EA"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NLP, the branch of AI concerned with automated understanding and generation of human language, offers emerging but underexplored utility in nutrition surveillance and research. Clinical notes, hospital discharge summaries, community health worker records, and electronic health records (EHRs) contain rich nutritional information that is rarely captured in structured databases, including dietary histories, caregiving assessments, and socioeconomic narratives documented by frontline health workers. Transformer-based NLP models — including architectures built on the Bidirectional Encoder Representations from Transformers (BERT) framework — have demonstrated the capacity to extract structured nutritional information from unstructured clinical text, offering a pathway to population-level nutritional surveillance from routinely collected clinical documentation (Wahl et al., 2018).</w:t>
      </w:r>
    </w:p>
    <w:p w14:paraId="7FC82AE6"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Beyond clinical settings, NLP has been applied to social media platforms, news archives, and community-generated text to detect food insecurity signals in near-real-time, anticipating formal nutrition survey findings by weeks to months. Sentiment analysis, topic modelling, and event extraction algorithms applied to digital text data have been used to identify nutrition-relevant events — crop failures, food price spikes, displacement, and market disruptions — and to track public discourse around hunger and food access in affected communities </w:t>
      </w:r>
      <w:r w:rsidRPr="008665DB">
        <w:rPr>
          <w:rFonts w:ascii="Times New Roman" w:eastAsia="Times New Roman" w:hAnsi="Times New Roman" w:cs="Times New Roman"/>
          <w:b/>
          <w:bCs/>
          <w:sz w:val="24"/>
          <w:szCs w:val="24"/>
          <w:lang w:eastAsia="en-GB"/>
        </w:rPr>
        <w:t>(Brownstein et al., 2009)</w:t>
      </w:r>
      <w:r w:rsidRPr="008665DB">
        <w:rPr>
          <w:rFonts w:ascii="Times New Roman" w:eastAsia="Times New Roman" w:hAnsi="Times New Roman" w:cs="Times New Roman"/>
          <w:sz w:val="24"/>
          <w:szCs w:val="24"/>
          <w:lang w:eastAsia="en-GB"/>
        </w:rPr>
        <w:t>. While these approaches remain at early stages of validation and carry inherent risks related to sampling bias — overrepresenting internet-connected, urban, and literate populations — they represent a potentially important complement to conventional surveillance in data-sparse environments, especially when integrated with traditional epidemiological data streams.</w:t>
      </w:r>
    </w:p>
    <w:p w14:paraId="3D22B45D" w14:textId="77777777" w:rsidR="008665DB" w:rsidRPr="008665DB" w:rsidRDefault="008665DB" w:rsidP="008665D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4.4 Geospatial Artificial Intelligence and Remote Sensing</w:t>
      </w:r>
    </w:p>
    <w:p w14:paraId="776E2288"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Geospatial AI integrates remotely sensed data from satellite platforms with ground-based measurements and household survey data to produce spatially explicit, high-resolution predictions of malnutrition risk that extend beyond the geographic coverage of survey clusters. The normalised difference vegetation index (NDVI) derived from multispectral satellite sensors serves as a proxy for vegetation density and crop productivity, and has been linked to nutritional outcomes in smallholder farming communities across Sub-Saharan Africa and South Asia, where agricultural livelihoods directly translate environmental conditions into household food availability </w:t>
      </w:r>
      <w:r w:rsidRPr="008665DB">
        <w:rPr>
          <w:rFonts w:ascii="Times New Roman" w:eastAsia="Times New Roman" w:hAnsi="Times New Roman" w:cs="Times New Roman"/>
          <w:b/>
          <w:bCs/>
          <w:sz w:val="24"/>
          <w:szCs w:val="24"/>
          <w:lang w:eastAsia="en-GB"/>
        </w:rPr>
        <w:t>(Osgood-Zimmerman et al., 2018)</w:t>
      </w:r>
      <w:r w:rsidRPr="008665DB">
        <w:rPr>
          <w:rFonts w:ascii="Times New Roman" w:eastAsia="Times New Roman" w:hAnsi="Times New Roman" w:cs="Times New Roman"/>
          <w:sz w:val="24"/>
          <w:szCs w:val="24"/>
          <w:lang w:eastAsia="en-GB"/>
        </w:rPr>
        <w:t>. Rainfall estimates from datasets such as CHIRPS provide temporally regular, spatially continuous characterisation of precipitation variability, enabling the identification of drought conditions, abnormal seasonal deficits, and long-term rainfall trends that bear on food production and child nutrition (Funk et al., 2015).</w:t>
      </w:r>
    </w:p>
    <w:p w14:paraId="572FB7F0"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Model-based </w:t>
      </w:r>
      <w:proofErr w:type="spellStart"/>
      <w:r w:rsidRPr="008665DB">
        <w:rPr>
          <w:rFonts w:ascii="Times New Roman" w:eastAsia="Times New Roman" w:hAnsi="Times New Roman" w:cs="Times New Roman"/>
          <w:sz w:val="24"/>
          <w:szCs w:val="24"/>
          <w:lang w:eastAsia="en-GB"/>
        </w:rPr>
        <w:t>geostatistics</w:t>
      </w:r>
      <w:proofErr w:type="spellEnd"/>
      <w:r w:rsidRPr="008665DB">
        <w:rPr>
          <w:rFonts w:ascii="Times New Roman" w:eastAsia="Times New Roman" w:hAnsi="Times New Roman" w:cs="Times New Roman"/>
          <w:sz w:val="24"/>
          <w:szCs w:val="24"/>
          <w:lang w:eastAsia="en-GB"/>
        </w:rPr>
        <w:t xml:space="preserve"> — combining Bayesian spatial modelling with ML algorithms — enables the production of continuous subnational maps of malnutrition prevalence from geographically sparse survey data, filling spatial gaps between survey clusters with uncertainty-quantified predictions. These spatially explicit estimates have been used to identify pockets of high malnutrition burden that would be invisible in national-level summary statistics and to monitor changes in the geographic distribution of nutritional risk over time (Osgood-Zimmerman et al., 2018). Platforms such as Google Earth Engine, which </w:t>
      </w:r>
      <w:r w:rsidRPr="008665DB">
        <w:rPr>
          <w:rFonts w:ascii="Times New Roman" w:eastAsia="Times New Roman" w:hAnsi="Times New Roman" w:cs="Times New Roman"/>
          <w:sz w:val="24"/>
          <w:szCs w:val="24"/>
          <w:lang w:eastAsia="en-GB"/>
        </w:rPr>
        <w:lastRenderedPageBreak/>
        <w:t>provides cloud-based access to decades of archived satellite imagery and computational tools for large-scale geospatial analysis, have substantially reduced the technical barriers to geospatial AI in LMIC research contexts.</w:t>
      </w:r>
      <w:r>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bCs/>
          <w:sz w:val="24"/>
          <w:szCs w:val="24"/>
          <w:lang w:eastAsia="en-GB"/>
        </w:rPr>
        <w:t>The principal AI methods applied to malnutrition prediction research, together with their primary applications, key advantages, and main limitations, are summarised in Table 3.</w:t>
      </w:r>
    </w:p>
    <w:p w14:paraId="5CB047D4"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b/>
          <w:bCs/>
          <w:sz w:val="24"/>
          <w:szCs w:val="24"/>
          <w:lang w:eastAsia="en-GB"/>
        </w:rPr>
        <w:t>Table 3. Summary of AI Methods Applied in Malnutrition Prediction Research</w:t>
      </w:r>
    </w:p>
    <w:tbl>
      <w:tblPr>
        <w:tblStyle w:val="TableGrid"/>
        <w:tblW w:w="0" w:type="auto"/>
        <w:tblLook w:val="04A0" w:firstRow="1" w:lastRow="0" w:firstColumn="1" w:lastColumn="0" w:noHBand="0" w:noVBand="1"/>
      </w:tblPr>
      <w:tblGrid>
        <w:gridCol w:w="1962"/>
        <w:gridCol w:w="2375"/>
        <w:gridCol w:w="2433"/>
        <w:gridCol w:w="2472"/>
      </w:tblGrid>
      <w:tr w:rsidR="008665DB" w:rsidRPr="008665DB" w14:paraId="30114E1E" w14:textId="77777777" w:rsidTr="008665DB">
        <w:tc>
          <w:tcPr>
            <w:tcW w:w="0" w:type="auto"/>
            <w:hideMark/>
          </w:tcPr>
          <w:p w14:paraId="71C08174" w14:textId="77777777" w:rsidR="008665DB" w:rsidRPr="008665DB" w:rsidRDefault="008665DB" w:rsidP="008665DB">
            <w:pPr>
              <w:jc w:val="center"/>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AI Method</w:t>
            </w:r>
          </w:p>
        </w:tc>
        <w:tc>
          <w:tcPr>
            <w:tcW w:w="0" w:type="auto"/>
            <w:hideMark/>
          </w:tcPr>
          <w:p w14:paraId="01333F7F" w14:textId="77777777" w:rsidR="008665DB" w:rsidRPr="008665DB" w:rsidRDefault="008665DB" w:rsidP="008665DB">
            <w:pPr>
              <w:jc w:val="center"/>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Primary Malnutrition Application</w:t>
            </w:r>
          </w:p>
        </w:tc>
        <w:tc>
          <w:tcPr>
            <w:tcW w:w="0" w:type="auto"/>
            <w:hideMark/>
          </w:tcPr>
          <w:p w14:paraId="2617A475" w14:textId="77777777" w:rsidR="008665DB" w:rsidRPr="008665DB" w:rsidRDefault="008665DB" w:rsidP="008665DB">
            <w:pPr>
              <w:jc w:val="center"/>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Key Advantage</w:t>
            </w:r>
          </w:p>
        </w:tc>
        <w:tc>
          <w:tcPr>
            <w:tcW w:w="0" w:type="auto"/>
            <w:hideMark/>
          </w:tcPr>
          <w:p w14:paraId="740CF49E" w14:textId="77777777" w:rsidR="008665DB" w:rsidRPr="008665DB" w:rsidRDefault="008665DB" w:rsidP="008665DB">
            <w:pPr>
              <w:jc w:val="center"/>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Key Limitation</w:t>
            </w:r>
          </w:p>
        </w:tc>
      </w:tr>
      <w:tr w:rsidR="008665DB" w:rsidRPr="008665DB" w14:paraId="095BB47C" w14:textId="77777777" w:rsidTr="008665DB">
        <w:tc>
          <w:tcPr>
            <w:tcW w:w="0" w:type="auto"/>
            <w:hideMark/>
          </w:tcPr>
          <w:p w14:paraId="22EEA8BF"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Random forest</w:t>
            </w:r>
          </w:p>
        </w:tc>
        <w:tc>
          <w:tcPr>
            <w:tcW w:w="0" w:type="auto"/>
            <w:hideMark/>
          </w:tcPr>
          <w:p w14:paraId="38CC64AE"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Stunting and wasting classification from survey data</w:t>
            </w:r>
          </w:p>
        </w:tc>
        <w:tc>
          <w:tcPr>
            <w:tcW w:w="0" w:type="auto"/>
            <w:hideMark/>
          </w:tcPr>
          <w:p w14:paraId="143F3105"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Robustness to overfitting; built-in feature importance; handles missing data</w:t>
            </w:r>
          </w:p>
        </w:tc>
        <w:tc>
          <w:tcPr>
            <w:tcW w:w="0" w:type="auto"/>
            <w:hideMark/>
          </w:tcPr>
          <w:p w14:paraId="57483D12"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Less effective with high-dimensional unstructured data</w:t>
            </w:r>
          </w:p>
        </w:tc>
      </w:tr>
      <w:tr w:rsidR="008665DB" w:rsidRPr="008665DB" w14:paraId="6498F8ED" w14:textId="77777777" w:rsidTr="008665DB">
        <w:tc>
          <w:tcPr>
            <w:tcW w:w="0" w:type="auto"/>
            <w:hideMark/>
          </w:tcPr>
          <w:p w14:paraId="1E279D77"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Gradient boosting (</w:t>
            </w:r>
            <w:proofErr w:type="spellStart"/>
            <w:r w:rsidRPr="008665DB">
              <w:rPr>
                <w:rFonts w:ascii="Times New Roman" w:eastAsia="Times New Roman" w:hAnsi="Times New Roman" w:cs="Times New Roman"/>
                <w:sz w:val="24"/>
                <w:szCs w:val="24"/>
                <w:lang w:eastAsia="en-GB"/>
              </w:rPr>
              <w:t>XGBoost</w:t>
            </w:r>
            <w:proofErr w:type="spellEnd"/>
            <w:r w:rsidRPr="008665DB">
              <w:rPr>
                <w:rFonts w:ascii="Times New Roman" w:eastAsia="Times New Roman" w:hAnsi="Times New Roman" w:cs="Times New Roman"/>
                <w:sz w:val="24"/>
                <w:szCs w:val="24"/>
                <w:lang w:eastAsia="en-GB"/>
              </w:rPr>
              <w:t xml:space="preserve">, </w:t>
            </w:r>
            <w:proofErr w:type="spellStart"/>
            <w:r w:rsidRPr="008665DB">
              <w:rPr>
                <w:rFonts w:ascii="Times New Roman" w:eastAsia="Times New Roman" w:hAnsi="Times New Roman" w:cs="Times New Roman"/>
                <w:sz w:val="24"/>
                <w:szCs w:val="24"/>
                <w:lang w:eastAsia="en-GB"/>
              </w:rPr>
              <w:t>LightGBM</w:t>
            </w:r>
            <w:proofErr w:type="spellEnd"/>
            <w:r w:rsidRPr="008665DB">
              <w:rPr>
                <w:rFonts w:ascii="Times New Roman" w:eastAsia="Times New Roman" w:hAnsi="Times New Roman" w:cs="Times New Roman"/>
                <w:sz w:val="24"/>
                <w:szCs w:val="24"/>
                <w:lang w:eastAsia="en-GB"/>
              </w:rPr>
              <w:t>)</w:t>
            </w:r>
          </w:p>
        </w:tc>
        <w:tc>
          <w:tcPr>
            <w:tcW w:w="0" w:type="auto"/>
            <w:hideMark/>
          </w:tcPr>
          <w:p w14:paraId="70D09C58"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Wasting risk stratification from multi-domain features</w:t>
            </w:r>
          </w:p>
        </w:tc>
        <w:tc>
          <w:tcPr>
            <w:tcW w:w="0" w:type="auto"/>
            <w:hideMark/>
          </w:tcPr>
          <w:p w14:paraId="0E0ACC11"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High predictive accuracy; handles class imbalance effectively</w:t>
            </w:r>
          </w:p>
        </w:tc>
        <w:tc>
          <w:tcPr>
            <w:tcW w:w="0" w:type="auto"/>
            <w:hideMark/>
          </w:tcPr>
          <w:p w14:paraId="4F435176"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Computationally intensive; hyperparameter sensitivity</w:t>
            </w:r>
          </w:p>
        </w:tc>
      </w:tr>
      <w:tr w:rsidR="008665DB" w:rsidRPr="008665DB" w14:paraId="729B968C" w14:textId="77777777" w:rsidTr="008665DB">
        <w:tc>
          <w:tcPr>
            <w:tcW w:w="0" w:type="auto"/>
            <w:hideMark/>
          </w:tcPr>
          <w:p w14:paraId="5B928CDD"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Support vector machine</w:t>
            </w:r>
          </w:p>
        </w:tc>
        <w:tc>
          <w:tcPr>
            <w:tcW w:w="0" w:type="auto"/>
            <w:hideMark/>
          </w:tcPr>
          <w:p w14:paraId="2032E24A"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Binary malnutrition classification in moderate samples</w:t>
            </w:r>
          </w:p>
        </w:tc>
        <w:tc>
          <w:tcPr>
            <w:tcW w:w="0" w:type="auto"/>
            <w:hideMark/>
          </w:tcPr>
          <w:p w14:paraId="5B1FE8DA"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Effective in smaller datasets; strong theoretical basis</w:t>
            </w:r>
          </w:p>
        </w:tc>
        <w:tc>
          <w:tcPr>
            <w:tcW w:w="0" w:type="auto"/>
            <w:hideMark/>
          </w:tcPr>
          <w:p w14:paraId="7234E755"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Sensitive to feature scaling; reduced interpretability</w:t>
            </w:r>
          </w:p>
        </w:tc>
      </w:tr>
      <w:tr w:rsidR="008665DB" w:rsidRPr="008665DB" w14:paraId="369FFBE9" w14:textId="77777777" w:rsidTr="008665DB">
        <w:tc>
          <w:tcPr>
            <w:tcW w:w="0" w:type="auto"/>
            <w:hideMark/>
          </w:tcPr>
          <w:p w14:paraId="55EB5DA3"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Convolutional neural network</w:t>
            </w:r>
          </w:p>
        </w:tc>
        <w:tc>
          <w:tcPr>
            <w:tcW w:w="0" w:type="auto"/>
            <w:hideMark/>
          </w:tcPr>
          <w:p w14:paraId="41741BE5"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Image-based anthropometric screening; dietary food recognition</w:t>
            </w:r>
          </w:p>
        </w:tc>
        <w:tc>
          <w:tcPr>
            <w:tcW w:w="0" w:type="auto"/>
            <w:hideMark/>
          </w:tcPr>
          <w:p w14:paraId="1E5EE654"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Processes unstructured imagery; scalable for mHealth</w:t>
            </w:r>
          </w:p>
        </w:tc>
        <w:tc>
          <w:tcPr>
            <w:tcW w:w="0" w:type="auto"/>
            <w:hideMark/>
          </w:tcPr>
          <w:p w14:paraId="39B6D897"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Requires large labelled datasets; computationally opaque</w:t>
            </w:r>
          </w:p>
        </w:tc>
      </w:tr>
      <w:tr w:rsidR="008665DB" w:rsidRPr="008665DB" w14:paraId="55C88149" w14:textId="77777777" w:rsidTr="008665DB">
        <w:tc>
          <w:tcPr>
            <w:tcW w:w="0" w:type="auto"/>
            <w:hideMark/>
          </w:tcPr>
          <w:p w14:paraId="328FF86E"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LSTM/RNN</w:t>
            </w:r>
          </w:p>
        </w:tc>
        <w:tc>
          <w:tcPr>
            <w:tcW w:w="0" w:type="auto"/>
            <w:hideMark/>
          </w:tcPr>
          <w:p w14:paraId="583A652F"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Longitudinal growth trajectories; famine early warning forecasting</w:t>
            </w:r>
          </w:p>
        </w:tc>
        <w:tc>
          <w:tcPr>
            <w:tcW w:w="0" w:type="auto"/>
            <w:hideMark/>
          </w:tcPr>
          <w:p w14:paraId="53489204"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Captures temporal dynamics and seasonal patterns</w:t>
            </w:r>
          </w:p>
        </w:tc>
        <w:tc>
          <w:tcPr>
            <w:tcW w:w="0" w:type="auto"/>
            <w:hideMark/>
          </w:tcPr>
          <w:p w14:paraId="22168A68"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Demands longitudinal training data; computationally demanding</w:t>
            </w:r>
          </w:p>
        </w:tc>
      </w:tr>
      <w:tr w:rsidR="008665DB" w:rsidRPr="008665DB" w14:paraId="44F88F9A" w14:textId="77777777" w:rsidTr="008665DB">
        <w:tc>
          <w:tcPr>
            <w:tcW w:w="0" w:type="auto"/>
            <w:hideMark/>
          </w:tcPr>
          <w:p w14:paraId="0814AEA1"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Bayesian geospatial models</w:t>
            </w:r>
          </w:p>
        </w:tc>
        <w:tc>
          <w:tcPr>
            <w:tcW w:w="0" w:type="auto"/>
            <w:hideMark/>
          </w:tcPr>
          <w:p w14:paraId="1C7C198D"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Subnational malnutrition prevalence mapping</w:t>
            </w:r>
          </w:p>
        </w:tc>
        <w:tc>
          <w:tcPr>
            <w:tcW w:w="0" w:type="auto"/>
            <w:hideMark/>
          </w:tcPr>
          <w:p w14:paraId="5FECFF80"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Spatial uncertainty quantification; interpolation beyond survey clusters</w:t>
            </w:r>
          </w:p>
        </w:tc>
        <w:tc>
          <w:tcPr>
            <w:tcW w:w="0" w:type="auto"/>
            <w:hideMark/>
          </w:tcPr>
          <w:p w14:paraId="2212C411"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Requires georeferenced survey data; specialist expertise</w:t>
            </w:r>
          </w:p>
        </w:tc>
      </w:tr>
      <w:tr w:rsidR="008665DB" w:rsidRPr="008665DB" w14:paraId="2BCF26B7" w14:textId="77777777" w:rsidTr="008665DB">
        <w:tc>
          <w:tcPr>
            <w:tcW w:w="0" w:type="auto"/>
            <w:hideMark/>
          </w:tcPr>
          <w:p w14:paraId="0EA9CF1B"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NLP and transformer models</w:t>
            </w:r>
          </w:p>
        </w:tc>
        <w:tc>
          <w:tcPr>
            <w:tcW w:w="0" w:type="auto"/>
            <w:hideMark/>
          </w:tcPr>
          <w:p w14:paraId="237AEF37"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EHR extraction; social media food insecurity surveillance</w:t>
            </w:r>
          </w:p>
        </w:tc>
        <w:tc>
          <w:tcPr>
            <w:tcW w:w="0" w:type="auto"/>
            <w:hideMark/>
          </w:tcPr>
          <w:p w14:paraId="3E37D17F"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Leverages routinely collected unstructured text</w:t>
            </w:r>
          </w:p>
        </w:tc>
        <w:tc>
          <w:tcPr>
            <w:tcW w:w="0" w:type="auto"/>
            <w:hideMark/>
          </w:tcPr>
          <w:p w14:paraId="7E6CB7AB"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Sampling bias; limited performance in non-English LMIC text</w:t>
            </w:r>
          </w:p>
        </w:tc>
      </w:tr>
    </w:tbl>
    <w:p w14:paraId="450CFD3E"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i/>
          <w:iCs/>
          <w:sz w:val="24"/>
          <w:szCs w:val="24"/>
          <w:lang w:eastAsia="en-GB"/>
        </w:rPr>
        <w:t xml:space="preserve">Sources: </w:t>
      </w:r>
      <w:proofErr w:type="spellStart"/>
      <w:r w:rsidRPr="008665DB">
        <w:rPr>
          <w:rFonts w:ascii="Times New Roman" w:eastAsia="Times New Roman" w:hAnsi="Times New Roman" w:cs="Times New Roman"/>
          <w:i/>
          <w:iCs/>
          <w:sz w:val="24"/>
          <w:szCs w:val="24"/>
          <w:lang w:eastAsia="en-GB"/>
        </w:rPr>
        <w:t>Breiman</w:t>
      </w:r>
      <w:proofErr w:type="spellEnd"/>
      <w:r w:rsidRPr="008665DB">
        <w:rPr>
          <w:rFonts w:ascii="Times New Roman" w:eastAsia="Times New Roman" w:hAnsi="Times New Roman" w:cs="Times New Roman"/>
          <w:i/>
          <w:iCs/>
          <w:sz w:val="24"/>
          <w:szCs w:val="24"/>
          <w:lang w:eastAsia="en-GB"/>
        </w:rPr>
        <w:t xml:space="preserve"> (2001); Cortes &amp; </w:t>
      </w:r>
      <w:proofErr w:type="spellStart"/>
      <w:r w:rsidRPr="008665DB">
        <w:rPr>
          <w:rFonts w:ascii="Times New Roman" w:eastAsia="Times New Roman" w:hAnsi="Times New Roman" w:cs="Times New Roman"/>
          <w:i/>
          <w:iCs/>
          <w:sz w:val="24"/>
          <w:szCs w:val="24"/>
          <w:lang w:eastAsia="en-GB"/>
        </w:rPr>
        <w:t>Vapnik</w:t>
      </w:r>
      <w:proofErr w:type="spellEnd"/>
      <w:r w:rsidRPr="008665DB">
        <w:rPr>
          <w:rFonts w:ascii="Times New Roman" w:eastAsia="Times New Roman" w:hAnsi="Times New Roman" w:cs="Times New Roman"/>
          <w:i/>
          <w:iCs/>
          <w:sz w:val="24"/>
          <w:szCs w:val="24"/>
          <w:lang w:eastAsia="en-GB"/>
        </w:rPr>
        <w:t xml:space="preserve"> (1995); LeCun et al. (2015); </w:t>
      </w:r>
      <w:proofErr w:type="spellStart"/>
      <w:r w:rsidRPr="008665DB">
        <w:rPr>
          <w:rFonts w:ascii="Times New Roman" w:eastAsia="Times New Roman" w:hAnsi="Times New Roman" w:cs="Times New Roman"/>
          <w:i/>
          <w:iCs/>
          <w:sz w:val="24"/>
          <w:szCs w:val="24"/>
          <w:lang w:eastAsia="en-GB"/>
        </w:rPr>
        <w:t>Rajpurkar</w:t>
      </w:r>
      <w:proofErr w:type="spellEnd"/>
      <w:r w:rsidRPr="008665DB">
        <w:rPr>
          <w:rFonts w:ascii="Times New Roman" w:eastAsia="Times New Roman" w:hAnsi="Times New Roman" w:cs="Times New Roman"/>
          <w:i/>
          <w:iCs/>
          <w:sz w:val="24"/>
          <w:szCs w:val="24"/>
          <w:lang w:eastAsia="en-GB"/>
        </w:rPr>
        <w:t xml:space="preserve"> et al. (2022)</w:t>
      </w:r>
    </w:p>
    <w:p w14:paraId="1E5C074C"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LSTM = long short-term memory; RNN = recurrent neural network; NLP = natural language processing; EHR = electronic health record; mHealth = mobile health; LMIC = low- and middle-income country.</w:t>
      </w:r>
    </w:p>
    <w:p w14:paraId="4B90A4EF" w14:textId="77777777" w:rsidR="008665DB" w:rsidRPr="008665DB" w:rsidRDefault="008665DB" w:rsidP="008665DB">
      <w:pPr>
        <w:spacing w:after="0" w:line="240" w:lineRule="auto"/>
        <w:rPr>
          <w:rFonts w:ascii="Times New Roman" w:eastAsia="Times New Roman" w:hAnsi="Times New Roman" w:cs="Times New Roman"/>
          <w:sz w:val="24"/>
          <w:szCs w:val="24"/>
          <w:lang w:eastAsia="en-GB"/>
        </w:rPr>
      </w:pPr>
    </w:p>
    <w:p w14:paraId="071432C1" w14:textId="77777777" w:rsidR="008665DB" w:rsidRPr="008665DB" w:rsidRDefault="008665DB" w:rsidP="008665D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665DB">
        <w:rPr>
          <w:rFonts w:ascii="Times New Roman" w:eastAsia="Times New Roman" w:hAnsi="Times New Roman" w:cs="Times New Roman"/>
          <w:b/>
          <w:bCs/>
          <w:sz w:val="27"/>
          <w:szCs w:val="27"/>
          <w:lang w:eastAsia="en-GB"/>
        </w:rPr>
        <w:lastRenderedPageBreak/>
        <w:t>5. Integration of Multi-Domain Data in Artificial Intelligence Malnutrition Models</w:t>
      </w:r>
    </w:p>
    <w:p w14:paraId="2CEBC5FE" w14:textId="77777777" w:rsidR="008665DB" w:rsidRPr="008665DB" w:rsidRDefault="008665DB" w:rsidP="008665D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5.1 Data Integration Frameworks</w:t>
      </w:r>
    </w:p>
    <w:p w14:paraId="6C177DBC"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The integration of heterogeneous data sources — clinical records, household survey data, satellite imagery, economic indicators, and environmental measurements — is simultaneously the central promise and the principal methodological challenge of AI-based malnutrition prediction. Multi-domain integration requires systematic decisions about data linkage strategies, variable harmonisation across different measurement instruments, handling of spatial and temporal mismatches between data layers, and treatment of missing data in contexts where certain data types may be entirely absent for some study units. Two broad integration architectures dominate the literature: early integration (data-level fusion), in which variables from multiple data streams are combined into a unified feature matrix before model training, and late integration (decision-level fusion), in which separately trained domain-specific models are combined through ensemble or stacking strategies (</w:t>
      </w:r>
      <w:proofErr w:type="spellStart"/>
      <w:r w:rsidRPr="008665DB">
        <w:rPr>
          <w:rFonts w:ascii="Times New Roman" w:eastAsia="Times New Roman" w:hAnsi="Times New Roman" w:cs="Times New Roman"/>
          <w:sz w:val="24"/>
          <w:szCs w:val="24"/>
          <w:lang w:eastAsia="en-GB"/>
        </w:rPr>
        <w:t>Rajpurkar</w:t>
      </w:r>
      <w:proofErr w:type="spellEnd"/>
      <w:r w:rsidRPr="008665DB">
        <w:rPr>
          <w:rFonts w:ascii="Times New Roman" w:eastAsia="Times New Roman" w:hAnsi="Times New Roman" w:cs="Times New Roman"/>
          <w:sz w:val="24"/>
          <w:szCs w:val="24"/>
          <w:lang w:eastAsia="en-GB"/>
        </w:rPr>
        <w:t xml:space="preserve"> et al., 2022).</w:t>
      </w:r>
    </w:p>
    <w:p w14:paraId="5C3F74AE"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Early integration is computationally straightforward and preserves cross-domain interaction effects — the way in which, for instance, a rainfall deficit modifies the effect of household poverty on child wasting — but is sensitive to differences in data quality, measurement scale, and temporal alignment across sources. Late integration is more resilient to heterogeneous data quality and permits specialised model architectures for each data type, but risks losing the cross-domain interaction information that early fusion naturally preserves. Multi-input deep learning architectures have emerged as a technically sophisticated alternative, processing structured tabular data, time-series data, and imagery through domain-specific subnetworks and combining their learned representations in a joint embedding layer before final prediction (LeCun et al., 2015). These architectures are computationally demanding and require larger training datasets than tabular ML methods, but offer the most flexible representation of multi-domain relationships.</w:t>
      </w:r>
    </w:p>
    <w:p w14:paraId="096C19E5" w14:textId="77777777" w:rsidR="008665DB" w:rsidRPr="008665DB" w:rsidRDefault="008665DB" w:rsidP="008665D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5.2 Feature Engineering and Variable Selection</w:t>
      </w:r>
    </w:p>
    <w:p w14:paraId="132A2223"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Feature engineering — the principled transformation of raw data into informative model inputs — substantially determines the predictive performance of AI malnutrition models across all integration architectures. In the clinical domain, derived features such as rate of MUAC change over a defined period, Z-score velocity between measurement occasions, and composite infection burden indices have been shown to capture nutritional dynamics more sensitively than single-timepoint anthropometric values. In the socioeconomic domain, composite indices — such as the DHS Wealth Index derived from asset ownership and housing characteristics, Household Dietary Diversity Scores (HDDS), and the Household Food Insecurity Access Scale (HFIAS) — provide more sensitive and contextually appropriate predictors of nutritional vulnerability than income or expenditure measures in isolation (Smith &amp; Haddad, 2015).</w:t>
      </w:r>
    </w:p>
    <w:p w14:paraId="526C582E"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Environmental feature engineering involves constructing lagged and cumulative exposure variables that capture the delayed pathways through which environmental conditions affect nutritional status. Rainfall deficits accumulated over 90-day periods, mean NDVI in the three months preceding an anthropometric assessment, and seasonal anomalies relative to long-term climatological means provide more biologically and agronomically meaningful </w:t>
      </w:r>
      <w:r w:rsidRPr="008665DB">
        <w:rPr>
          <w:rFonts w:ascii="Times New Roman" w:eastAsia="Times New Roman" w:hAnsi="Times New Roman" w:cs="Times New Roman"/>
          <w:sz w:val="24"/>
          <w:szCs w:val="24"/>
          <w:lang w:eastAsia="en-GB"/>
        </w:rPr>
        <w:lastRenderedPageBreak/>
        <w:t>predictors than contemporaneous point measurements. Feature selection and dimensionality reduction methods — including LASSO (least absolute shrinkage and selection operator) regularisation, recursive feature elimination, and SHAP (</w:t>
      </w:r>
      <w:proofErr w:type="spellStart"/>
      <w:r w:rsidRPr="008665DB">
        <w:rPr>
          <w:rFonts w:ascii="Times New Roman" w:eastAsia="Times New Roman" w:hAnsi="Times New Roman" w:cs="Times New Roman"/>
          <w:sz w:val="24"/>
          <w:szCs w:val="24"/>
          <w:lang w:eastAsia="en-GB"/>
        </w:rPr>
        <w:t>SHapley</w:t>
      </w:r>
      <w:proofErr w:type="spellEnd"/>
      <w:r w:rsidRPr="008665DB">
        <w:rPr>
          <w:rFonts w:ascii="Times New Roman" w:eastAsia="Times New Roman" w:hAnsi="Times New Roman" w:cs="Times New Roman"/>
          <w:sz w:val="24"/>
          <w:szCs w:val="24"/>
          <w:lang w:eastAsia="en-GB"/>
        </w:rPr>
        <w:t xml:space="preserve"> Additive </w:t>
      </w:r>
      <w:proofErr w:type="spellStart"/>
      <w:r w:rsidRPr="008665DB">
        <w:rPr>
          <w:rFonts w:ascii="Times New Roman" w:eastAsia="Times New Roman" w:hAnsi="Times New Roman" w:cs="Times New Roman"/>
          <w:sz w:val="24"/>
          <w:szCs w:val="24"/>
          <w:lang w:eastAsia="en-GB"/>
        </w:rPr>
        <w:t>exPlanations</w:t>
      </w:r>
      <w:proofErr w:type="spellEnd"/>
      <w:r w:rsidRPr="008665DB">
        <w:rPr>
          <w:rFonts w:ascii="Times New Roman" w:eastAsia="Times New Roman" w:hAnsi="Times New Roman" w:cs="Times New Roman"/>
          <w:sz w:val="24"/>
          <w:szCs w:val="24"/>
          <w:lang w:eastAsia="en-GB"/>
        </w:rPr>
        <w:t>) value-based importance ranking — have been applied to identify parsimonious and generalisable subsets of predictors from high-dimensional feature spaces (Lundberg et al., 2020). SHAP-based analyses of malnutrition prediction models have consistently identified maternal education, WASH access, and rainfall anomalies among the top-ranked predictors, findings that align well with established nutritional theory and reinforce confidence in model validity.</w:t>
      </w:r>
    </w:p>
    <w:p w14:paraId="217FB0C8" w14:textId="77777777" w:rsidR="008665DB" w:rsidRPr="008665DB" w:rsidRDefault="008665DB" w:rsidP="008665D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5.3 Predictive Performance of Integrated Models</w:t>
      </w:r>
    </w:p>
    <w:p w14:paraId="3AADBADA"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Evidence from comparative studies conducted across LMIC settings consistently supports the superiority of models integrating multiple data domains over those relying on any single data type. The incremental contribution of environmental and socioeconomic features to models that begin with clinical anthropometric variables alone is well-documented, </w:t>
      </w:r>
      <w:r w:rsidRPr="008665DB">
        <w:rPr>
          <w:rFonts w:ascii="Times New Roman" w:eastAsia="Times New Roman" w:hAnsi="Times New Roman" w:cs="Times New Roman"/>
          <w:bCs/>
          <w:sz w:val="24"/>
          <w:szCs w:val="24"/>
          <w:lang w:eastAsia="en-GB"/>
        </w:rPr>
        <w:t>with reported area under the receiver operating characteristic curve (AUC) values for integrated approaches typically falling in the range of 0.80–0.90 for binary classification tasks across the reviewed literature, compared with clinical-only baselines that more commonly fall in the 0.65–0.75 range.</w:t>
      </w:r>
      <w:r w:rsidRPr="008665DB">
        <w:rPr>
          <w:rFonts w:ascii="Times New Roman" w:eastAsia="Times New Roman" w:hAnsi="Times New Roman" w:cs="Times New Roman"/>
          <w:sz w:val="24"/>
          <w:szCs w:val="24"/>
          <w:lang w:eastAsia="en-GB"/>
        </w:rPr>
        <w:t xml:space="preserve"> Ensemble methods that combine predictions from models trained on domain-specific features — for example, a geospatial model for environmental risk and an RF model for household socioeconomic risk — have demonstrated particularly strong overall performance, suggesting that the complementarity of information across domains translates into measurable predictive gains.</w:t>
      </w:r>
    </w:p>
    <w:p w14:paraId="35E62100"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Reporting and interpretation of performance metrics require careful attention to the epidemiological characteristics of the study population. Class imbalance — reflecting the lower prevalence of severe malnutrition relative to mild or borderline cases in many national survey datasets — can produce misleadingly high overall accuracy whilst masking poor sensitivity for the highest-risk individuals who are the intended target of predictive models. The F1 score, precision-recall curves, and calibration plots provide complementary metrics to AUC that are more informative in imbalanced classification settings and should be standard components of AI malnutrition model evaluation.</w:t>
      </w:r>
    </w:p>
    <w:p w14:paraId="588CD4BD" w14:textId="77777777" w:rsidR="008665DB" w:rsidRPr="008665DB" w:rsidRDefault="008665DB" w:rsidP="008665DB">
      <w:pPr>
        <w:spacing w:after="0" w:line="240" w:lineRule="auto"/>
        <w:rPr>
          <w:rFonts w:ascii="Times New Roman" w:eastAsia="Times New Roman" w:hAnsi="Times New Roman" w:cs="Times New Roman"/>
          <w:sz w:val="24"/>
          <w:szCs w:val="24"/>
          <w:lang w:eastAsia="en-GB"/>
        </w:rPr>
      </w:pPr>
    </w:p>
    <w:p w14:paraId="2DCA4B66" w14:textId="77777777" w:rsidR="008665DB" w:rsidRPr="008665DB" w:rsidRDefault="008665DB" w:rsidP="008665D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665DB">
        <w:rPr>
          <w:rFonts w:ascii="Times New Roman" w:eastAsia="Times New Roman" w:hAnsi="Times New Roman" w:cs="Times New Roman"/>
          <w:b/>
          <w:bCs/>
          <w:sz w:val="27"/>
          <w:szCs w:val="27"/>
          <w:lang w:eastAsia="en-GB"/>
        </w:rPr>
        <w:t>6. The Role of Socioeconomic and Environmental Data in Artificial Intelligence Models</w:t>
      </w:r>
    </w:p>
    <w:p w14:paraId="44BB61BE" w14:textId="77777777" w:rsidR="008665DB" w:rsidRPr="008665DB" w:rsidRDefault="008665DB" w:rsidP="008665D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6.1 Socioeconomic Variables as Predictors</w:t>
      </w:r>
    </w:p>
    <w:p w14:paraId="63A1A01F"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Among the socioeconomic features incorporated in AI malnutrition models, maternal education and household wealth consistently rank among the most important predictors in variable importance analyses across diverse country contexts. The mechanisms through which maternal education influences child nutrition are multiple and interacting: educated mothers possess greater nutritional knowledge, demonstrate improved infant and young child feeding practices, engage more effectively with healthcare services, and command greater decision-making authority over household food purchases and healthcare expenditures (Bhutta et al., 2013). WASH access variables are significant contributors to malnutrition risk models, particularly for wasting outcomes where the pathways linking environmental </w:t>
      </w:r>
      <w:r w:rsidRPr="008665DB">
        <w:rPr>
          <w:rFonts w:ascii="Times New Roman" w:eastAsia="Times New Roman" w:hAnsi="Times New Roman" w:cs="Times New Roman"/>
          <w:sz w:val="24"/>
          <w:szCs w:val="24"/>
          <w:lang w:eastAsia="en-GB"/>
        </w:rPr>
        <w:lastRenderedPageBreak/>
        <w:t>contamination to gut inflammation and growth faltering are most direct (Guerrant et al., 2013). The joint effect of maternal education and WASH access is often synergistic rather than simply additive, as educated mothers are better positioned to utilise available WASH infrastructure and to implement hygiene practices that reduce pathogen exposure.</w:t>
      </w:r>
    </w:p>
    <w:p w14:paraId="4A88A6E5"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Social protection indicators — including participation in conditional cash transfer programmes, food assistance schemes, and community therapeutic feeding — are increasingly incorporated as dynamic socioeconomic predictors, though their availability in routinely collected datasets remains inconsistent across LMICs. The emergence of mobile phone-derived data, including call detail records and mobile money transaction patterns, as proxies for socioeconomic status and residential mobility opens new avenues for real-time socioeconomic feature generation that supplements episodic survey measurements. Mobile penetration rates in Sub-Saharan Africa and South Asia have risen substantially, and AI approaches that leverage passively collected mobile data for nutritional risk assessment could provide continuous monitoring capacity in contexts where periodic surveys are impractical </w:t>
      </w:r>
      <w:r w:rsidRPr="008665DB">
        <w:rPr>
          <w:rFonts w:ascii="Times New Roman" w:eastAsia="Times New Roman" w:hAnsi="Times New Roman" w:cs="Times New Roman"/>
          <w:b/>
          <w:bCs/>
          <w:sz w:val="24"/>
          <w:szCs w:val="24"/>
          <w:lang w:eastAsia="en-GB"/>
        </w:rPr>
        <w:t>(</w:t>
      </w:r>
      <w:proofErr w:type="spellStart"/>
      <w:r w:rsidRPr="008665DB">
        <w:rPr>
          <w:rFonts w:ascii="Times New Roman" w:eastAsia="Times New Roman" w:hAnsi="Times New Roman" w:cs="Times New Roman"/>
          <w:b/>
          <w:bCs/>
          <w:sz w:val="24"/>
          <w:szCs w:val="24"/>
          <w:lang w:eastAsia="en-GB"/>
        </w:rPr>
        <w:t>Labrique</w:t>
      </w:r>
      <w:proofErr w:type="spellEnd"/>
      <w:r w:rsidRPr="008665DB">
        <w:rPr>
          <w:rFonts w:ascii="Times New Roman" w:eastAsia="Times New Roman" w:hAnsi="Times New Roman" w:cs="Times New Roman"/>
          <w:b/>
          <w:bCs/>
          <w:sz w:val="24"/>
          <w:szCs w:val="24"/>
          <w:lang w:eastAsia="en-GB"/>
        </w:rPr>
        <w:t xml:space="preserve"> et al., 2013)</w:t>
      </w:r>
      <w:r w:rsidRPr="008665DB">
        <w:rPr>
          <w:rFonts w:ascii="Times New Roman" w:eastAsia="Times New Roman" w:hAnsi="Times New Roman" w:cs="Times New Roman"/>
          <w:sz w:val="24"/>
          <w:szCs w:val="24"/>
          <w:lang w:eastAsia="en-GB"/>
        </w:rPr>
        <w:t>.</w:t>
      </w:r>
    </w:p>
    <w:p w14:paraId="77776CAA" w14:textId="77777777" w:rsidR="008665DB" w:rsidRPr="008665DB" w:rsidRDefault="008665DB" w:rsidP="008665D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6.2 Remote Sensing and Geospatial Environmental Features</w:t>
      </w:r>
    </w:p>
    <w:p w14:paraId="3B90AEEB"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Remote sensing data provide spatially continuous and temporally regular measurements of environmental conditions that are directly relevant to agricultural productivity, livelihood viability, and nutritional risk. The CHIRPS rainfall dataset, available at approximately 5 km × 5 km spatial resolution from 1981 to the present, enables characterisation of rainfall anomalies, seasonal drought indices, and long-term precipitation trends at a resolution sufficient to distinguish conditions across different agro-ecological zones within a single country (Funk et al., 2015). The NDVI derived from sensors including the Moderate Resolution Imaging Spectroradiometer (MODIS) and Landsat tracks vegetation phenology and crop productivity over time, providing leading indicators of agricultural harvest quality and pasture availability for pastoralist communities that are directly linked to household food security.</w:t>
      </w:r>
    </w:p>
    <w:p w14:paraId="38933C45"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Land surface temperature, evapotranspiration estimates derived from energy balance models, and soil moisture products from the Soil Moisture Active Passive (SMAP) satellite mission capture heat stress, drought severity, and irrigation adequacy across spatial extents that match the operational scale of district-level nutrition programme planning. The integration of these multi-source environmental layers with community-level socioeconomic data in subnational mapping exercises has produced high-resolution predictions of malnutrition risk that reveal geographic heterogeneity — including pockets of extreme vulnerability within broadly food-secure regions — that national average statistics would entirely obscure (Osgood-Zimmerman et al., 2018). Such spatially explicit risk surfaces are directly actionable in the targeting of community-based management of acute malnutrition (CMAM) programmes and in the design of humanitarian early warning systems.</w:t>
      </w:r>
      <w:r>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bCs/>
          <w:sz w:val="24"/>
          <w:szCs w:val="24"/>
          <w:lang w:eastAsia="en-GB"/>
        </w:rPr>
        <w:t>Table 4 provides an overview of the principal environmental and geospatial data sources used in AI-based malnutrition prediction research, including their primary variables, spatial resolution, temporal coverage, and relevance to nutritional risk.</w:t>
      </w:r>
    </w:p>
    <w:p w14:paraId="037C072D"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b/>
          <w:bCs/>
          <w:sz w:val="24"/>
          <w:szCs w:val="24"/>
          <w:lang w:eastAsia="en-GB"/>
        </w:rPr>
        <w:t>Table 4. Environmental and Geospatial Data Sources Used in AI-Based Malnutrition Prediction</w:t>
      </w:r>
    </w:p>
    <w:tbl>
      <w:tblPr>
        <w:tblStyle w:val="TableGrid"/>
        <w:tblW w:w="0" w:type="auto"/>
        <w:tblLook w:val="04A0" w:firstRow="1" w:lastRow="0" w:firstColumn="1" w:lastColumn="0" w:noHBand="0" w:noVBand="1"/>
      </w:tblPr>
      <w:tblGrid>
        <w:gridCol w:w="2230"/>
        <w:gridCol w:w="2210"/>
        <w:gridCol w:w="1675"/>
        <w:gridCol w:w="1409"/>
        <w:gridCol w:w="1718"/>
      </w:tblGrid>
      <w:tr w:rsidR="008665DB" w:rsidRPr="008665DB" w14:paraId="630E1010" w14:textId="77777777" w:rsidTr="008665DB">
        <w:tc>
          <w:tcPr>
            <w:tcW w:w="0" w:type="auto"/>
            <w:hideMark/>
          </w:tcPr>
          <w:p w14:paraId="482BF03C" w14:textId="77777777" w:rsidR="008665DB" w:rsidRPr="008665DB" w:rsidRDefault="008665DB" w:rsidP="008665DB">
            <w:pPr>
              <w:jc w:val="center"/>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Data Source</w:t>
            </w:r>
          </w:p>
        </w:tc>
        <w:tc>
          <w:tcPr>
            <w:tcW w:w="0" w:type="auto"/>
            <w:hideMark/>
          </w:tcPr>
          <w:p w14:paraId="58AC120D" w14:textId="77777777" w:rsidR="008665DB" w:rsidRPr="008665DB" w:rsidRDefault="008665DB" w:rsidP="008665DB">
            <w:pPr>
              <w:jc w:val="center"/>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Primary Variable</w:t>
            </w:r>
          </w:p>
        </w:tc>
        <w:tc>
          <w:tcPr>
            <w:tcW w:w="0" w:type="auto"/>
            <w:hideMark/>
          </w:tcPr>
          <w:p w14:paraId="5C3D57E9" w14:textId="77777777" w:rsidR="008665DB" w:rsidRPr="008665DB" w:rsidRDefault="008665DB" w:rsidP="008665DB">
            <w:pPr>
              <w:jc w:val="center"/>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 xml:space="preserve">Approximate </w:t>
            </w:r>
            <w:r w:rsidRPr="008665DB">
              <w:rPr>
                <w:rFonts w:ascii="Times New Roman" w:eastAsia="Times New Roman" w:hAnsi="Times New Roman" w:cs="Times New Roman"/>
                <w:b/>
                <w:bCs/>
                <w:sz w:val="24"/>
                <w:szCs w:val="24"/>
                <w:lang w:eastAsia="en-GB"/>
              </w:rPr>
              <w:lastRenderedPageBreak/>
              <w:t>Spatial Resolution</w:t>
            </w:r>
          </w:p>
        </w:tc>
        <w:tc>
          <w:tcPr>
            <w:tcW w:w="0" w:type="auto"/>
            <w:hideMark/>
          </w:tcPr>
          <w:p w14:paraId="386261A8" w14:textId="77777777" w:rsidR="008665DB" w:rsidRPr="008665DB" w:rsidRDefault="008665DB" w:rsidP="008665DB">
            <w:pPr>
              <w:jc w:val="center"/>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lastRenderedPageBreak/>
              <w:t xml:space="preserve">Temporal </w:t>
            </w:r>
            <w:r w:rsidRPr="008665DB">
              <w:rPr>
                <w:rFonts w:ascii="Times New Roman" w:eastAsia="Times New Roman" w:hAnsi="Times New Roman" w:cs="Times New Roman"/>
                <w:b/>
                <w:bCs/>
                <w:sz w:val="24"/>
                <w:szCs w:val="24"/>
                <w:lang w:eastAsia="en-GB"/>
              </w:rPr>
              <w:lastRenderedPageBreak/>
              <w:t>Coverage</w:t>
            </w:r>
          </w:p>
        </w:tc>
        <w:tc>
          <w:tcPr>
            <w:tcW w:w="0" w:type="auto"/>
            <w:hideMark/>
          </w:tcPr>
          <w:p w14:paraId="314945F8" w14:textId="77777777" w:rsidR="008665DB" w:rsidRPr="008665DB" w:rsidRDefault="008665DB" w:rsidP="008665DB">
            <w:pPr>
              <w:jc w:val="center"/>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lastRenderedPageBreak/>
              <w:t xml:space="preserve">Relevance to </w:t>
            </w:r>
            <w:r w:rsidRPr="008665DB">
              <w:rPr>
                <w:rFonts w:ascii="Times New Roman" w:eastAsia="Times New Roman" w:hAnsi="Times New Roman" w:cs="Times New Roman"/>
                <w:b/>
                <w:bCs/>
                <w:sz w:val="24"/>
                <w:szCs w:val="24"/>
                <w:lang w:eastAsia="en-GB"/>
              </w:rPr>
              <w:lastRenderedPageBreak/>
              <w:t>Malnutrition Risk</w:t>
            </w:r>
          </w:p>
        </w:tc>
      </w:tr>
      <w:tr w:rsidR="008665DB" w:rsidRPr="008665DB" w14:paraId="5D1B799F" w14:textId="77777777" w:rsidTr="008665DB">
        <w:tc>
          <w:tcPr>
            <w:tcW w:w="0" w:type="auto"/>
            <w:hideMark/>
          </w:tcPr>
          <w:p w14:paraId="2D8B0EE7"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lastRenderedPageBreak/>
              <w:t>CHIRPS</w:t>
            </w:r>
          </w:p>
        </w:tc>
        <w:tc>
          <w:tcPr>
            <w:tcW w:w="0" w:type="auto"/>
            <w:hideMark/>
          </w:tcPr>
          <w:p w14:paraId="4AC78CA2"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Rainfall, drought index</w:t>
            </w:r>
          </w:p>
        </w:tc>
        <w:tc>
          <w:tcPr>
            <w:tcW w:w="0" w:type="auto"/>
            <w:hideMark/>
          </w:tcPr>
          <w:p w14:paraId="646AFF16"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~5 km</w:t>
            </w:r>
          </w:p>
        </w:tc>
        <w:tc>
          <w:tcPr>
            <w:tcW w:w="0" w:type="auto"/>
            <w:hideMark/>
          </w:tcPr>
          <w:p w14:paraId="77C8DFD5"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1981–present</w:t>
            </w:r>
          </w:p>
        </w:tc>
        <w:tc>
          <w:tcPr>
            <w:tcW w:w="0" w:type="auto"/>
            <w:hideMark/>
          </w:tcPr>
          <w:p w14:paraId="703FDD58"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Agricultural productivity; food availability</w:t>
            </w:r>
          </w:p>
        </w:tc>
      </w:tr>
      <w:tr w:rsidR="008665DB" w:rsidRPr="008665DB" w14:paraId="03255DD0" w14:textId="77777777" w:rsidTr="008665DB">
        <w:tc>
          <w:tcPr>
            <w:tcW w:w="0" w:type="auto"/>
            <w:hideMark/>
          </w:tcPr>
          <w:p w14:paraId="02159DF6"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MODIS/Landsat</w:t>
            </w:r>
          </w:p>
        </w:tc>
        <w:tc>
          <w:tcPr>
            <w:tcW w:w="0" w:type="auto"/>
            <w:hideMark/>
          </w:tcPr>
          <w:p w14:paraId="125987A3"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NDVI; land surface temperature; evapotranspiration</w:t>
            </w:r>
          </w:p>
        </w:tc>
        <w:tc>
          <w:tcPr>
            <w:tcW w:w="0" w:type="auto"/>
            <w:hideMark/>
          </w:tcPr>
          <w:p w14:paraId="0FB54493"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30 m – 1 km</w:t>
            </w:r>
          </w:p>
        </w:tc>
        <w:tc>
          <w:tcPr>
            <w:tcW w:w="0" w:type="auto"/>
            <w:hideMark/>
          </w:tcPr>
          <w:p w14:paraId="3814630A"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2000/1972–present</w:t>
            </w:r>
          </w:p>
        </w:tc>
        <w:tc>
          <w:tcPr>
            <w:tcW w:w="0" w:type="auto"/>
            <w:hideMark/>
          </w:tcPr>
          <w:p w14:paraId="012853D9"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Vegetation and crop productivity; heat stress</w:t>
            </w:r>
          </w:p>
        </w:tc>
      </w:tr>
      <w:tr w:rsidR="008665DB" w:rsidRPr="008665DB" w14:paraId="672F0AC1" w14:textId="77777777" w:rsidTr="008665DB">
        <w:tc>
          <w:tcPr>
            <w:tcW w:w="0" w:type="auto"/>
            <w:hideMark/>
          </w:tcPr>
          <w:p w14:paraId="4B8CADF5"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SMAP/GRACE</w:t>
            </w:r>
          </w:p>
        </w:tc>
        <w:tc>
          <w:tcPr>
            <w:tcW w:w="0" w:type="auto"/>
            <w:hideMark/>
          </w:tcPr>
          <w:p w14:paraId="6EFA7A96"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Soil moisture; groundwater anomaly</w:t>
            </w:r>
          </w:p>
        </w:tc>
        <w:tc>
          <w:tcPr>
            <w:tcW w:w="0" w:type="auto"/>
            <w:hideMark/>
          </w:tcPr>
          <w:p w14:paraId="1A3DB146"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9–36 km</w:t>
            </w:r>
          </w:p>
        </w:tc>
        <w:tc>
          <w:tcPr>
            <w:tcW w:w="0" w:type="auto"/>
            <w:hideMark/>
          </w:tcPr>
          <w:p w14:paraId="4BC689BE"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2015/2002–present</w:t>
            </w:r>
          </w:p>
        </w:tc>
        <w:tc>
          <w:tcPr>
            <w:tcW w:w="0" w:type="auto"/>
            <w:hideMark/>
          </w:tcPr>
          <w:p w14:paraId="1A9F2A86"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Agricultural water stress; irrigation adequacy</w:t>
            </w:r>
          </w:p>
        </w:tc>
      </w:tr>
      <w:tr w:rsidR="008665DB" w:rsidRPr="008665DB" w14:paraId="771C6741" w14:textId="77777777" w:rsidTr="008665DB">
        <w:tc>
          <w:tcPr>
            <w:tcW w:w="0" w:type="auto"/>
            <w:hideMark/>
          </w:tcPr>
          <w:p w14:paraId="12BC712C"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DHS/MICS clusters</w:t>
            </w:r>
          </w:p>
        </w:tc>
        <w:tc>
          <w:tcPr>
            <w:tcW w:w="0" w:type="auto"/>
            <w:hideMark/>
          </w:tcPr>
          <w:p w14:paraId="624E5D67"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Household socioeconomic, WASH, and anthropometric data</w:t>
            </w:r>
          </w:p>
        </w:tc>
        <w:tc>
          <w:tcPr>
            <w:tcW w:w="0" w:type="auto"/>
            <w:hideMark/>
          </w:tcPr>
          <w:p w14:paraId="73623000"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Survey cluster</w:t>
            </w:r>
          </w:p>
        </w:tc>
        <w:tc>
          <w:tcPr>
            <w:tcW w:w="0" w:type="auto"/>
            <w:hideMark/>
          </w:tcPr>
          <w:p w14:paraId="18D86C4F"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Multi-year intervals</w:t>
            </w:r>
          </w:p>
        </w:tc>
        <w:tc>
          <w:tcPr>
            <w:tcW w:w="0" w:type="auto"/>
            <w:hideMark/>
          </w:tcPr>
          <w:p w14:paraId="41BFD35D"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Direct nutrition determinants at household level</w:t>
            </w:r>
          </w:p>
        </w:tc>
      </w:tr>
      <w:tr w:rsidR="008665DB" w:rsidRPr="008665DB" w14:paraId="59BB0BEE" w14:textId="77777777" w:rsidTr="008665DB">
        <w:tc>
          <w:tcPr>
            <w:tcW w:w="0" w:type="auto"/>
            <w:hideMark/>
          </w:tcPr>
          <w:p w14:paraId="17B22BF7"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OpenStreetMap</w:t>
            </w:r>
          </w:p>
        </w:tc>
        <w:tc>
          <w:tcPr>
            <w:tcW w:w="0" w:type="auto"/>
            <w:hideMark/>
          </w:tcPr>
          <w:p w14:paraId="294D663E"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Road network; market and health facility proximity</w:t>
            </w:r>
          </w:p>
        </w:tc>
        <w:tc>
          <w:tcPr>
            <w:tcW w:w="0" w:type="auto"/>
            <w:hideMark/>
          </w:tcPr>
          <w:p w14:paraId="19582541"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Variable</w:t>
            </w:r>
          </w:p>
        </w:tc>
        <w:tc>
          <w:tcPr>
            <w:tcW w:w="0" w:type="auto"/>
            <w:hideMark/>
          </w:tcPr>
          <w:p w14:paraId="6599E216"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2004–present</w:t>
            </w:r>
          </w:p>
        </w:tc>
        <w:tc>
          <w:tcPr>
            <w:tcW w:w="0" w:type="auto"/>
            <w:hideMark/>
          </w:tcPr>
          <w:p w14:paraId="5B835E07"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Market access; healthcare accessibility</w:t>
            </w:r>
          </w:p>
        </w:tc>
      </w:tr>
      <w:tr w:rsidR="008665DB" w:rsidRPr="008665DB" w14:paraId="7F29F6DA" w14:textId="77777777" w:rsidTr="008665DB">
        <w:tc>
          <w:tcPr>
            <w:tcW w:w="0" w:type="auto"/>
            <w:hideMark/>
          </w:tcPr>
          <w:p w14:paraId="77C59E0C" w14:textId="77777777" w:rsidR="008665DB" w:rsidRPr="008665DB" w:rsidRDefault="008665DB" w:rsidP="008665DB">
            <w:pPr>
              <w:rPr>
                <w:rFonts w:ascii="Times New Roman" w:eastAsia="Times New Roman" w:hAnsi="Times New Roman" w:cs="Times New Roman"/>
                <w:sz w:val="24"/>
                <w:szCs w:val="24"/>
                <w:lang w:eastAsia="en-GB"/>
              </w:rPr>
            </w:pPr>
            <w:proofErr w:type="spellStart"/>
            <w:r w:rsidRPr="008665DB">
              <w:rPr>
                <w:rFonts w:ascii="Times New Roman" w:eastAsia="Times New Roman" w:hAnsi="Times New Roman" w:cs="Times New Roman"/>
                <w:sz w:val="24"/>
                <w:szCs w:val="24"/>
                <w:lang w:eastAsia="en-GB"/>
              </w:rPr>
              <w:t>WorldPop</w:t>
            </w:r>
            <w:proofErr w:type="spellEnd"/>
            <w:r w:rsidRPr="008665DB">
              <w:rPr>
                <w:rFonts w:ascii="Times New Roman" w:eastAsia="Times New Roman" w:hAnsi="Times New Roman" w:cs="Times New Roman"/>
                <w:sz w:val="24"/>
                <w:szCs w:val="24"/>
                <w:lang w:eastAsia="en-GB"/>
              </w:rPr>
              <w:t>/</w:t>
            </w:r>
            <w:proofErr w:type="spellStart"/>
            <w:r w:rsidRPr="008665DB">
              <w:rPr>
                <w:rFonts w:ascii="Times New Roman" w:eastAsia="Times New Roman" w:hAnsi="Times New Roman" w:cs="Times New Roman"/>
                <w:sz w:val="24"/>
                <w:szCs w:val="24"/>
                <w:lang w:eastAsia="en-GB"/>
              </w:rPr>
              <w:t>LandScan</w:t>
            </w:r>
            <w:proofErr w:type="spellEnd"/>
          </w:p>
        </w:tc>
        <w:tc>
          <w:tcPr>
            <w:tcW w:w="0" w:type="auto"/>
            <w:hideMark/>
          </w:tcPr>
          <w:p w14:paraId="734D2479"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Population density and distribution</w:t>
            </w:r>
          </w:p>
        </w:tc>
        <w:tc>
          <w:tcPr>
            <w:tcW w:w="0" w:type="auto"/>
            <w:hideMark/>
          </w:tcPr>
          <w:p w14:paraId="717D285F"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100 m – 1 km</w:t>
            </w:r>
          </w:p>
        </w:tc>
        <w:tc>
          <w:tcPr>
            <w:tcW w:w="0" w:type="auto"/>
            <w:hideMark/>
          </w:tcPr>
          <w:p w14:paraId="6982AC6F"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2000–present</w:t>
            </w:r>
          </w:p>
        </w:tc>
        <w:tc>
          <w:tcPr>
            <w:tcW w:w="0" w:type="auto"/>
            <w:hideMark/>
          </w:tcPr>
          <w:p w14:paraId="551E1C21"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Vulnerability exposure; denominator estimation</w:t>
            </w:r>
          </w:p>
        </w:tc>
      </w:tr>
    </w:tbl>
    <w:p w14:paraId="07EFF35F"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i/>
          <w:iCs/>
          <w:sz w:val="24"/>
          <w:szCs w:val="24"/>
          <w:lang w:eastAsia="en-GB"/>
        </w:rPr>
        <w:t>Sources: Funk et al. (2015); Osgood-Zimmerman et al. (2018); Victora et al. (2021)</w:t>
      </w:r>
    </w:p>
    <w:p w14:paraId="1B5845D3"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CHIRPS = Climate Hazards Infrared Precipitation with Stations; NDVI = normalised difference vegetation index; MODIS = Moderate Resolution Imaging Spectroradiometer; SMAP = Soil Moisture Active Passive; GRACE = Gravity Recovery and Climate Experiment; DHS = Demographic and Health Survey; MICS = Multiple Indicator Cluster Survey; WASH = water, sanitation, and hygiene.</w:t>
      </w:r>
    </w:p>
    <w:p w14:paraId="247B7FFA" w14:textId="77777777" w:rsidR="008665DB" w:rsidRPr="008665DB" w:rsidRDefault="008665DB" w:rsidP="008665D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6.3 Climate Change as a Dynamic Environmental Predictor</w:t>
      </w:r>
    </w:p>
    <w:p w14:paraId="30E968DF"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Climate change is intensifying the environmental drivers of malnutrition through more frequent, severe, and geographically shifting droughts, floods, and temperature extremes, with disproportionate impacts on communities in tropical regions whose livelihoods are most directly dependent on climate-sensitive agriculture (Lloyd et al., 2011). AI models that incorporate dynamically updated climate data alongside historical baseline conditions are better positioned to capture the evolving risk landscape than static risk-factor models calibrated on historical averages. The integration of seasonal and decadal climate forecasts derived from coupled ocean-atmosphere models with household-level nutrition data represents a methodological frontier with significant practical implications for food security planning and nutrition programme design.</w:t>
      </w:r>
    </w:p>
    <w:p w14:paraId="0568FEB1"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Time-series analyses using LSTM networks have shown promise in detecting nonlinear threshold effects in climate-nutrition relationships — critical inflection points at which small additional climate stressors produce disproportionately large increases in wasting rates — </w:t>
      </w:r>
      <w:r w:rsidRPr="008665DB">
        <w:rPr>
          <w:rFonts w:ascii="Times New Roman" w:eastAsia="Times New Roman" w:hAnsi="Times New Roman" w:cs="Times New Roman"/>
          <w:sz w:val="24"/>
          <w:szCs w:val="24"/>
          <w:lang w:eastAsia="en-GB"/>
        </w:rPr>
        <w:lastRenderedPageBreak/>
        <w:t>reflecting the crossing of livelihood coping thresholds beyond which household food security deteriorates rapidly (Fanzo et al., 2018). The integration of downscaled climate model projections from the Coupled Model Intercomparison Project Phase 6 (CMIP6) with nutrition outcome data could support forward-looking malnutrition risk assessment under different emissions scenarios, informing long-term adaptation planning. Substantial methodological challenges remain, however, including the spatial mismatch between climate model grid cells and survey cluster locations, uncertainty propagation from climate to nutrition outcomes, and the difficulty of accounting for adaptive behaviour change that may partially offset climate-driven risk increases over longer time horizons.</w:t>
      </w:r>
    </w:p>
    <w:p w14:paraId="27FF9150" w14:textId="77777777" w:rsidR="008665DB" w:rsidRPr="008665DB" w:rsidRDefault="008665DB" w:rsidP="008665DB">
      <w:pPr>
        <w:spacing w:after="0" w:line="240" w:lineRule="auto"/>
        <w:rPr>
          <w:rFonts w:ascii="Times New Roman" w:eastAsia="Times New Roman" w:hAnsi="Times New Roman" w:cs="Times New Roman"/>
          <w:sz w:val="24"/>
          <w:szCs w:val="24"/>
          <w:lang w:eastAsia="en-GB"/>
        </w:rPr>
      </w:pPr>
    </w:p>
    <w:p w14:paraId="127668B5" w14:textId="77777777" w:rsidR="008665DB" w:rsidRPr="008665DB" w:rsidRDefault="008665DB" w:rsidP="008665D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665DB">
        <w:rPr>
          <w:rFonts w:ascii="Times New Roman" w:eastAsia="Times New Roman" w:hAnsi="Times New Roman" w:cs="Times New Roman"/>
          <w:b/>
          <w:bCs/>
          <w:sz w:val="27"/>
          <w:szCs w:val="27"/>
          <w:lang w:eastAsia="en-GB"/>
        </w:rPr>
        <w:t>7. Artificial Intelligence and the Sustainable Development Goals</w:t>
      </w:r>
    </w:p>
    <w:p w14:paraId="639B9589" w14:textId="77777777" w:rsidR="008665DB" w:rsidRPr="008665DB" w:rsidRDefault="008665DB" w:rsidP="008665D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7.1 SDG 2: Zero Hunger</w:t>
      </w:r>
    </w:p>
    <w:p w14:paraId="62C481EF"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AI-based malnutrition prediction is most directly aligned with SDG 2, which sets targets for the elimination of hunger, achievement of food security and improved nutrition, and promotion of sustainable agriculture by 2030 (United Nations, 2015). AI tools that improve the precision of nutrition surveillance enable more effective and equitable targeting of food assistance, therapeutic feeding programmes, and social protection interventions at household and community levels, directly supporting the SDG 2 sub-target of ending all forms of malnutrition. Early warning systems that integrate AI — including those developed under the Famine Early Warning Systems Network (FEWS NET), which combines satellite-derived agricultural production estimates, market price monitoring, and conflict indicators — have improved the timeliness and geographic precision of humanitarian responses to acute food crises (FAO, IFAD, UNICEF, WFP, &amp; WHO, 2023).</w:t>
      </w:r>
    </w:p>
    <w:p w14:paraId="27B98D82"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Agricultural AI applications represent a further and increasingly important point of convergence between SDG 2 and predictive analytics. Mobile-based advisory systems that deliver context-sensitive agronomic recommendations to smallholder farmers — drawing on local weather data, soil type information, and market price signals — have demonstrated potential to improve crop yields and dietary diversity among participating households (</w:t>
      </w:r>
      <w:proofErr w:type="spellStart"/>
      <w:r w:rsidRPr="008665DB">
        <w:rPr>
          <w:rFonts w:ascii="Times New Roman" w:eastAsia="Times New Roman" w:hAnsi="Times New Roman" w:cs="Times New Roman"/>
          <w:sz w:val="24"/>
          <w:szCs w:val="24"/>
          <w:lang w:eastAsia="en-GB"/>
        </w:rPr>
        <w:t>Labrique</w:t>
      </w:r>
      <w:proofErr w:type="spellEnd"/>
      <w:r w:rsidRPr="008665DB">
        <w:rPr>
          <w:rFonts w:ascii="Times New Roman" w:eastAsia="Times New Roman" w:hAnsi="Times New Roman" w:cs="Times New Roman"/>
          <w:sz w:val="24"/>
          <w:szCs w:val="24"/>
          <w:lang w:eastAsia="en-GB"/>
        </w:rPr>
        <w:t xml:space="preserve"> et al., 2013). The integration of nutrition outcomes data with agricultural AI platforms creates conceptual opportunities for closed-loop systems that simultaneously optimise food production, market access, and dietary quality, addressing SDG 2 across the food systems value chain. Achieving this integration in practice requires cross-sectoral data governance frameworks that bridge the traditional institutional divide between agricultural ministries, health ministries, and humanitarian agencies (Wahl et al., 2018).</w:t>
      </w:r>
    </w:p>
    <w:p w14:paraId="14768C58" w14:textId="77777777" w:rsidR="008665DB" w:rsidRPr="008665DB" w:rsidRDefault="008665DB" w:rsidP="008665D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7.2 SDG 3: Good Health and Well-Being</w:t>
      </w:r>
    </w:p>
    <w:p w14:paraId="22F2D6D3"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AI-based malnutrition prediction intersects with SDG 3 by enabling more targeted and timely health system responses to nutrition-related disease burden, directly supporting sub-targets related to the reduction of under-five and neonatal mortality, the achievement of universal health coverage, and the reduction of the burden of non-communicable diseases. Predictive models identifying children at imminent risk of SAM can prompt preventive therapeutic feeding and community case-finding, potentially averting progression to severe complicated SAM that requires hospitalisation and carries substantially higher mortality risk (Topol, 2019). The integration of malnutrition risk models with EHR systems and clinical decision </w:t>
      </w:r>
      <w:r w:rsidRPr="008665DB">
        <w:rPr>
          <w:rFonts w:ascii="Times New Roman" w:eastAsia="Times New Roman" w:hAnsi="Times New Roman" w:cs="Times New Roman"/>
          <w:sz w:val="24"/>
          <w:szCs w:val="24"/>
          <w:lang w:eastAsia="en-GB"/>
        </w:rPr>
        <w:lastRenderedPageBreak/>
        <w:t xml:space="preserve">support tools at the primary care level enables health workers to prioritise nutritional screening and early intervention for identified high-risk patients, making better use of scarce healthcare human resources </w:t>
      </w:r>
      <w:r w:rsidRPr="008665DB">
        <w:rPr>
          <w:rFonts w:ascii="Times New Roman" w:eastAsia="Times New Roman" w:hAnsi="Times New Roman" w:cs="Times New Roman"/>
          <w:bCs/>
          <w:sz w:val="24"/>
          <w:szCs w:val="24"/>
          <w:lang w:eastAsia="en-GB"/>
        </w:rPr>
        <w:t>(Ruel et al., 2013)</w:t>
      </w:r>
      <w:r w:rsidRPr="008665DB">
        <w:rPr>
          <w:rFonts w:ascii="Times New Roman" w:eastAsia="Times New Roman" w:hAnsi="Times New Roman" w:cs="Times New Roman"/>
          <w:sz w:val="24"/>
          <w:szCs w:val="24"/>
          <w:lang w:eastAsia="en-GB"/>
        </w:rPr>
        <w:t>.</w:t>
      </w:r>
    </w:p>
    <w:p w14:paraId="592821BC"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Micronutrient deficiency disorders — including iron deficiency anaemia, vitamin A deficiency, and iodine deficiency disorders — represent a major component of the malnutrition burden in LMICs, with profound effects on child development, immune function, and maternal health (Black et al., 2013). Predictive models trained on dietary assessment instruments, biochemical biomarker data, and household survey variables have been applied to identify sub-populations with the highest micronutrient deficiency risk, enabling more cost-effective targeting of supplementation and food fortification programmes. The alignment of AI-driven nutrition screening with universal health coverage frameworks creates a pathway for integrating nutrition surveillance into routine primary healthcare contacts — antenatal care, immunisation visits, and growth monitoring sessions — in ways that are both technically feasible and programmatically sustainable </w:t>
      </w:r>
      <w:r w:rsidRPr="008665DB">
        <w:rPr>
          <w:rFonts w:ascii="Times New Roman" w:eastAsia="Times New Roman" w:hAnsi="Times New Roman" w:cs="Times New Roman"/>
          <w:bCs/>
          <w:sz w:val="24"/>
          <w:szCs w:val="24"/>
          <w:lang w:eastAsia="en-GB"/>
        </w:rPr>
        <w:t>(Ruel et al., 2018)</w:t>
      </w:r>
      <w:r w:rsidRPr="008665DB">
        <w:rPr>
          <w:rFonts w:ascii="Times New Roman" w:eastAsia="Times New Roman" w:hAnsi="Times New Roman" w:cs="Times New Roman"/>
          <w:sz w:val="24"/>
          <w:szCs w:val="24"/>
          <w:lang w:eastAsia="en-GB"/>
        </w:rPr>
        <w:t>.</w:t>
      </w:r>
    </w:p>
    <w:p w14:paraId="73A31544" w14:textId="77777777" w:rsidR="008665DB" w:rsidRPr="008665DB" w:rsidRDefault="008665DB" w:rsidP="008665D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7.3 Cross-Cutting SDG Linkages</w:t>
      </w:r>
    </w:p>
    <w:p w14:paraId="5273C817"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The utility of AI for malnutrition prediction extends beyond SDG 2 and SDG 3 to encompass several additional SDG targets, reflecting the inherently cross-cutting nature of malnutrition itself. SDG 1 (No Poverty) intersects with nutrition through the targeting of social protection programmes; AI models identifying ultra-poor households at acute nutritional risk can inform the allocation of conditional cash transfers and food vouchers in ways that are more responsive to real-time nutritional vulnerability than eligibility criteria based on historical income assessments. SDG 5 (Gender Equality) is implicated through the central role of women's empowerment and maternal education in nutrition outcomes, and through the potential for AI tools to identify gender-differentiated nutritional vulnerability that would remain invisible in aggregated household-level statistics (Bhutta et al., 2013). SDG 13 (Climate Action) is engaged through AI models that map climate-sensitive nutrition risk and identify communities most exposed to climate-driven food insecurity, supporting both mitigation and adaptation planning (Lloyd et al., 2011).</w:t>
      </w:r>
    </w:p>
    <w:p w14:paraId="3ECFF3E5"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SDG 17 (Partnerships for the Goals) is fundamental to the governance and data-sharing arrangements required to build the large-scale, multi-domain datasets on which AI nutrition models depend. Sustained data partnerships between national statistical offices, ministries of health and agriculture, development agencies, research institutions, and the private technology sector are prerequisites for the data pipelines that feed operational AI surveillance systems. Open data initiatives, standardised nutrition data reporting frameworks, and interoperability standards for health and agricultural information systems constitute necessary infrastructure for scalable and replicable AI nutrition tools that can be adopted across national boundaries (United Nations, 2015).</w:t>
      </w:r>
    </w:p>
    <w:p w14:paraId="4ACC745A" w14:textId="77777777" w:rsidR="008665DB" w:rsidRPr="008665DB" w:rsidRDefault="008665DB" w:rsidP="008665DB">
      <w:pPr>
        <w:spacing w:after="0" w:line="240" w:lineRule="auto"/>
        <w:rPr>
          <w:rFonts w:ascii="Times New Roman" w:eastAsia="Times New Roman" w:hAnsi="Times New Roman" w:cs="Times New Roman"/>
          <w:sz w:val="24"/>
          <w:szCs w:val="24"/>
          <w:lang w:eastAsia="en-GB"/>
        </w:rPr>
      </w:pPr>
    </w:p>
    <w:p w14:paraId="20988A92" w14:textId="77777777" w:rsidR="008665DB" w:rsidRPr="008665DB" w:rsidRDefault="008665DB" w:rsidP="008665D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665DB">
        <w:rPr>
          <w:rFonts w:ascii="Times New Roman" w:eastAsia="Times New Roman" w:hAnsi="Times New Roman" w:cs="Times New Roman"/>
          <w:b/>
          <w:bCs/>
          <w:sz w:val="27"/>
          <w:szCs w:val="27"/>
          <w:lang w:eastAsia="en-GB"/>
        </w:rPr>
        <w:t>8. Ethical Considerations, Challenges, and Implementation Barriers</w:t>
      </w:r>
    </w:p>
    <w:p w14:paraId="1708CFC5" w14:textId="77777777" w:rsidR="008665DB" w:rsidRPr="008665DB" w:rsidRDefault="008665DB" w:rsidP="008665D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8.1 Algorithmic Bias and Equity</w:t>
      </w:r>
    </w:p>
    <w:p w14:paraId="48176C0B"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Algorithmic bias represents a critical ethical challenge in AI-based malnutrition prediction, with the potential to entrench or deepen existing health inequities if not systematically </w:t>
      </w:r>
      <w:r w:rsidRPr="008665DB">
        <w:rPr>
          <w:rFonts w:ascii="Times New Roman" w:eastAsia="Times New Roman" w:hAnsi="Times New Roman" w:cs="Times New Roman"/>
          <w:sz w:val="24"/>
          <w:szCs w:val="24"/>
          <w:lang w:eastAsia="en-GB"/>
        </w:rPr>
        <w:lastRenderedPageBreak/>
        <w:t xml:space="preserve">identified and addressed. AI models trained on data predominantly representing one geographic region, ethnic community, or socioeconomic stratum may perform poorly when applied to underrepresented populations — a problem of external validity that is particularly acute in global nutrition research, where data from the highest-burden communities are often the scarcest and least representative </w:t>
      </w:r>
      <w:r w:rsidRPr="008665DB">
        <w:rPr>
          <w:rFonts w:ascii="Times New Roman" w:eastAsia="Times New Roman" w:hAnsi="Times New Roman" w:cs="Times New Roman"/>
          <w:bCs/>
          <w:sz w:val="24"/>
          <w:szCs w:val="24"/>
          <w:lang w:eastAsia="en-GB"/>
        </w:rPr>
        <w:t>(Obermeyer et al., 2019)</w:t>
      </w:r>
      <w:r w:rsidRPr="008665DB">
        <w:rPr>
          <w:rFonts w:ascii="Times New Roman" w:eastAsia="Times New Roman" w:hAnsi="Times New Roman" w:cs="Times New Roman"/>
          <w:sz w:val="24"/>
          <w:szCs w:val="24"/>
          <w:lang w:eastAsia="en-GB"/>
        </w:rPr>
        <w:t>. An AI model that appears to perform well on aggregate validation metrics for a given country may systematically underestimate risk among marginalised groups — indigenous communities, displaced populations, nomadic pastoralists, urban informal settlement residents — whose risk factor profiles differ substantially from those of the populations on which the model was trained.</w:t>
      </w:r>
    </w:p>
    <w:p w14:paraId="4598B3AB"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The deployment of biased AI models in public health resource allocation carries serious operational consequences: systematically misclassified high-risk groups receive a smaller than warranted share of nutrition interventions, perpetuating and potentially widening existing disparities. Bias mitigation strategies — including stratified and balanced sampling during training data assembly, fairness-aware training objectives, and demographic-specific calibration — should be treated as standard components of responsible AI model development in nutrition research, rather than optional technical refinements. Prospective auditing of deployed models for differential performance across demographic subgroups should be institutionalised within health system AI governance frameworks and reported transparently in published evaluations (Obermeyer et al., 2019).</w:t>
      </w:r>
    </w:p>
    <w:p w14:paraId="0E318084" w14:textId="77777777" w:rsidR="008665DB" w:rsidRPr="008665DB" w:rsidRDefault="008665DB" w:rsidP="008665D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8.2 Data Privacy and Security</w:t>
      </w:r>
    </w:p>
    <w:p w14:paraId="1C1BEFD1"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AI malnutrition models frequently require access to sensitive individual-level data, including clinical measurements, household income and expenditure, geographic location, and mobile phone records. In settings where formal data protection frameworks are weak, nascent, or inadequately enforced, the collection and processing of such data carry genuine risks of privacy violation, re-identification of nominally anonymised records, and secondary use of data beyond the purposes for which consent was given (Wahl et al., 2018). Children — the primary subjects of malnutrition surveillance — are particularly vulnerable and require heightened protective measures. Data de-identification and anonymisation protocols, pseudonymisation of geographic locations, and restricted access to individually identifiable records represent foundational privacy safeguards.</w:t>
      </w:r>
    </w:p>
    <w:p w14:paraId="76CBF0AD"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Federated learning architectures, in which AI models are trained collaboratively across geographically distributed data sources without transferring individual-level records to a centralised repository, offer a technically promising approach to privacy-preserving multi-site nutrition modelling </w:t>
      </w:r>
      <w:r w:rsidRPr="008665DB">
        <w:rPr>
          <w:rFonts w:ascii="Times New Roman" w:eastAsia="Times New Roman" w:hAnsi="Times New Roman" w:cs="Times New Roman"/>
          <w:b/>
          <w:bCs/>
          <w:sz w:val="24"/>
          <w:szCs w:val="24"/>
          <w:lang w:eastAsia="en-GB"/>
        </w:rPr>
        <w:t>(Li et al., 2020)</w:t>
      </w:r>
      <w:r w:rsidRPr="008665DB">
        <w:rPr>
          <w:rFonts w:ascii="Times New Roman" w:eastAsia="Times New Roman" w:hAnsi="Times New Roman" w:cs="Times New Roman"/>
          <w:sz w:val="24"/>
          <w:szCs w:val="24"/>
          <w:lang w:eastAsia="en-GB"/>
        </w:rPr>
        <w:t>. Under federated architectures, model parameters rather than raw data are shared between nodes, substantially reducing the risk of data breach or misuse whilst enabling collaborative model training across national boundaries. Differential privacy techniques, which add calibrated statistical noise to model outputs to prevent reverse-engineering of individual data points from model parameters, provide an additional layer of protection. The governance of data partnerships between national governments, international development organisations, and private technology companies requires careful regulatory attention, particularly where commercial interests intersect with access to sensitive population health data.</w:t>
      </w:r>
    </w:p>
    <w:p w14:paraId="08DD0F31" w14:textId="77777777" w:rsidR="008665DB" w:rsidRPr="008665DB" w:rsidRDefault="008665DB" w:rsidP="008665D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8.3 Explainability and Interpretability</w:t>
      </w:r>
    </w:p>
    <w:p w14:paraId="239C8579"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lastRenderedPageBreak/>
        <w:t>The opacity of high-performing AI models — the so-called black box problem — poses a meaningful barrier to clinical and policy adoption in nutrition contexts, where accountability, trust, and professional judgement are non-negotiable requirements. Community health workers, programme managers, and national policymakers need actionable, comprehensible explanations of AI predictions to exercise informed judgement and to communicate risk assessments to caregivers and community members in culturally appropriate ways. Explainable AI (XAI) methods, including SHAP value decompositions and Local Interpretable Model-Agnostic Explanations (LIME), provide post-hoc interpretations of complex model predictions that attribute a predicted risk score to the contributions of individual input features (Arrieta et al., 2020). When applied to malnutrition prediction models, SHAP analyses have consistently identified maternal education, WASH access, household wealth, and rainfall anomalies as primary drivers of elevated risk — findings that are ecologically coherent and reinforce rather than challenge established nutritional knowledge (Lundberg et al., 2020).</w:t>
      </w:r>
    </w:p>
    <w:p w14:paraId="46B92F0D"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Attention mechanisms embedded in deep learning architectures provide intrinsic interpretability for sequential and spatial models, highlighting the time periods, spatial locations, or text passages that contributed most to a given prediction. The trade-off between model performance and interpretability remains a genuine technical tension that should be resolved contextually. In settings where downstream decisions are made by community health workers with limited technical training, a modestly less accurate but readily interpretable decision tree or logistic regression model may be preferable to an opaque ensemble that achieves marginally superior AUC on held-out test data (Arrieta et al., 2020).</w:t>
      </w:r>
    </w:p>
    <w:p w14:paraId="494ED320" w14:textId="77777777" w:rsidR="008665DB" w:rsidRPr="008665DB" w:rsidRDefault="008665DB" w:rsidP="008665D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8.4 Infrastructure and Institutional Capacity</w:t>
      </w:r>
    </w:p>
    <w:p w14:paraId="70063E73"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The implementation of AI malnutrition prediction systems in LMICs faces substantial and interacting infrastructure constraints. Reliable electricity supply, high-speed internet connectivity, and access to cloud or high-performance computing resources — prerequisites for training and deploying large AI models — remain limited in many high-burden settings. Mobile-first AI architectures optimised for low-bandwidth environments and on-device model inference using compressed, lightweight models represent partial but imperfect solutions, requiring careful engineering to maintain predictive performance under hardware and connectivity constraints. The quality, completeness, and interoperability of digital health data systems in LMICs vary enormously; without investment in data infrastructure, including electronic registers, standardised coding systems, and data quality assurance protocols, AI tools cannot access the data streams they require (Development Initiatives, 2022).</w:t>
      </w:r>
    </w:p>
    <w:p w14:paraId="3A96BB16"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Human capacity constraints are equally binding. The availability of data scientists, ML engineers, biostatisticians, and public health informaticists with AI expertise in LMICs is severely limited relative to the scale of the technical challenge. International training initiatives, structured south-south knowledge exchange programmes, and the embedding of AI capacity within national nutrition research institutes and universities are necessary to build the endogenous technical expertise required for long-term sustainability. Without sustained investment in human capital, AI nutrition tools risk perpetual dependency on external technical assistance, undermining local ownership and programme continuity (</w:t>
      </w:r>
      <w:proofErr w:type="spellStart"/>
      <w:r w:rsidRPr="008665DB">
        <w:rPr>
          <w:rFonts w:ascii="Times New Roman" w:eastAsia="Times New Roman" w:hAnsi="Times New Roman" w:cs="Times New Roman"/>
          <w:sz w:val="24"/>
          <w:szCs w:val="24"/>
          <w:lang w:eastAsia="en-GB"/>
        </w:rPr>
        <w:t>Rajpurkar</w:t>
      </w:r>
      <w:proofErr w:type="spellEnd"/>
      <w:r w:rsidRPr="008665DB">
        <w:rPr>
          <w:rFonts w:ascii="Times New Roman" w:eastAsia="Times New Roman" w:hAnsi="Times New Roman" w:cs="Times New Roman"/>
          <w:sz w:val="24"/>
          <w:szCs w:val="24"/>
          <w:lang w:eastAsia="en-GB"/>
        </w:rPr>
        <w:t xml:space="preserve"> et al., 2022).</w:t>
      </w:r>
      <w:r>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bCs/>
          <w:sz w:val="24"/>
          <w:szCs w:val="24"/>
          <w:lang w:eastAsia="en-GB"/>
        </w:rPr>
        <w:t>Table 5 summarises the principal ethical and implementation challenges in AI-based malnutrition prediction, with proposed mitigation strategies for each.</w:t>
      </w:r>
    </w:p>
    <w:p w14:paraId="439417D4"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b/>
          <w:bCs/>
          <w:sz w:val="24"/>
          <w:szCs w:val="24"/>
          <w:lang w:eastAsia="en-GB"/>
        </w:rPr>
        <w:lastRenderedPageBreak/>
        <w:t>Table 5. Ethical and Implementation Challenges in AI-Based Malnutrition Prediction and Proposed Mitigations</w:t>
      </w:r>
    </w:p>
    <w:tbl>
      <w:tblPr>
        <w:tblStyle w:val="TableGrid"/>
        <w:tblW w:w="0" w:type="auto"/>
        <w:tblLook w:val="04A0" w:firstRow="1" w:lastRow="0" w:firstColumn="1" w:lastColumn="0" w:noHBand="0" w:noVBand="1"/>
      </w:tblPr>
      <w:tblGrid>
        <w:gridCol w:w="1724"/>
        <w:gridCol w:w="4073"/>
        <w:gridCol w:w="3445"/>
      </w:tblGrid>
      <w:tr w:rsidR="008665DB" w:rsidRPr="008665DB" w14:paraId="66DCAA5A" w14:textId="77777777" w:rsidTr="008665DB">
        <w:tc>
          <w:tcPr>
            <w:tcW w:w="0" w:type="auto"/>
            <w:hideMark/>
          </w:tcPr>
          <w:p w14:paraId="2362FBE1" w14:textId="77777777" w:rsidR="008665DB" w:rsidRPr="008665DB" w:rsidRDefault="008665DB" w:rsidP="008665DB">
            <w:pPr>
              <w:jc w:val="center"/>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Challenge</w:t>
            </w:r>
          </w:p>
        </w:tc>
        <w:tc>
          <w:tcPr>
            <w:tcW w:w="0" w:type="auto"/>
            <w:hideMark/>
          </w:tcPr>
          <w:p w14:paraId="2765B4BE" w14:textId="77777777" w:rsidR="008665DB" w:rsidRPr="008665DB" w:rsidRDefault="008665DB" w:rsidP="008665DB">
            <w:pPr>
              <w:jc w:val="center"/>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Description</w:t>
            </w:r>
          </w:p>
        </w:tc>
        <w:tc>
          <w:tcPr>
            <w:tcW w:w="0" w:type="auto"/>
            <w:hideMark/>
          </w:tcPr>
          <w:p w14:paraId="03D393E0" w14:textId="77777777" w:rsidR="008665DB" w:rsidRPr="008665DB" w:rsidRDefault="008665DB" w:rsidP="008665DB">
            <w:pPr>
              <w:jc w:val="center"/>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Mitigation Strategy</w:t>
            </w:r>
          </w:p>
        </w:tc>
      </w:tr>
      <w:tr w:rsidR="008665DB" w:rsidRPr="008665DB" w14:paraId="37507E4C" w14:textId="77777777" w:rsidTr="008665DB">
        <w:tc>
          <w:tcPr>
            <w:tcW w:w="0" w:type="auto"/>
            <w:hideMark/>
          </w:tcPr>
          <w:p w14:paraId="3A801E74"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Algorithmic bias</w:t>
            </w:r>
          </w:p>
        </w:tc>
        <w:tc>
          <w:tcPr>
            <w:tcW w:w="0" w:type="auto"/>
            <w:hideMark/>
          </w:tcPr>
          <w:p w14:paraId="601D2739"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Underrepresentation of marginalised groups in training data leads to differential model performance</w:t>
            </w:r>
          </w:p>
        </w:tc>
        <w:tc>
          <w:tcPr>
            <w:tcW w:w="0" w:type="auto"/>
            <w:hideMark/>
          </w:tcPr>
          <w:p w14:paraId="5976A2CD"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Stratified sampling; fairness-aware objectives; demographic-specific model auditing</w:t>
            </w:r>
          </w:p>
        </w:tc>
      </w:tr>
      <w:tr w:rsidR="008665DB" w:rsidRPr="008665DB" w14:paraId="0D5AD493" w14:textId="77777777" w:rsidTr="008665DB">
        <w:tc>
          <w:tcPr>
            <w:tcW w:w="0" w:type="auto"/>
            <w:hideMark/>
          </w:tcPr>
          <w:p w14:paraId="2609EBB3"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Data privacy</w:t>
            </w:r>
          </w:p>
        </w:tc>
        <w:tc>
          <w:tcPr>
            <w:tcW w:w="0" w:type="auto"/>
            <w:hideMark/>
          </w:tcPr>
          <w:p w14:paraId="65A3ED72"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Sensitive individual-level data on children and households in low-regulation settings</w:t>
            </w:r>
          </w:p>
        </w:tc>
        <w:tc>
          <w:tcPr>
            <w:tcW w:w="0" w:type="auto"/>
            <w:hideMark/>
          </w:tcPr>
          <w:p w14:paraId="5CD909D3"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Federated learning; differential privacy; national data governance frameworks</w:t>
            </w:r>
          </w:p>
        </w:tc>
      </w:tr>
      <w:tr w:rsidR="008665DB" w:rsidRPr="008665DB" w14:paraId="41ECB216" w14:textId="77777777" w:rsidTr="008665DB">
        <w:tc>
          <w:tcPr>
            <w:tcW w:w="0" w:type="auto"/>
            <w:hideMark/>
          </w:tcPr>
          <w:p w14:paraId="7099B49C"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Black box opacity</w:t>
            </w:r>
          </w:p>
        </w:tc>
        <w:tc>
          <w:tcPr>
            <w:tcW w:w="0" w:type="auto"/>
            <w:hideMark/>
          </w:tcPr>
          <w:p w14:paraId="53B2C120"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Complex ensemble and deep learning models resist interpretable explanation</w:t>
            </w:r>
          </w:p>
        </w:tc>
        <w:tc>
          <w:tcPr>
            <w:tcW w:w="0" w:type="auto"/>
            <w:hideMark/>
          </w:tcPr>
          <w:p w14:paraId="0BA7DD97"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SHAP/LIME explainability methods; choosing interpretable models for frontline use</w:t>
            </w:r>
          </w:p>
        </w:tc>
      </w:tr>
      <w:tr w:rsidR="008665DB" w:rsidRPr="008665DB" w14:paraId="1EF6FD4E" w14:textId="77777777" w:rsidTr="008665DB">
        <w:tc>
          <w:tcPr>
            <w:tcW w:w="0" w:type="auto"/>
            <w:hideMark/>
          </w:tcPr>
          <w:p w14:paraId="3078D3BB"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Data scarcity</w:t>
            </w:r>
          </w:p>
        </w:tc>
        <w:tc>
          <w:tcPr>
            <w:tcW w:w="0" w:type="auto"/>
            <w:hideMark/>
          </w:tcPr>
          <w:p w14:paraId="265F6954"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Limited labelled nutritional outcome data in highest-burden LMIC settings</w:t>
            </w:r>
          </w:p>
        </w:tc>
        <w:tc>
          <w:tcPr>
            <w:tcW w:w="0" w:type="auto"/>
            <w:hideMark/>
          </w:tcPr>
          <w:p w14:paraId="35587E6D"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Transfer learning; data augmentation; cross-national model adaptation</w:t>
            </w:r>
          </w:p>
        </w:tc>
      </w:tr>
      <w:tr w:rsidR="008665DB" w:rsidRPr="008665DB" w14:paraId="62AB14E1" w14:textId="77777777" w:rsidTr="008665DB">
        <w:tc>
          <w:tcPr>
            <w:tcW w:w="0" w:type="auto"/>
            <w:hideMark/>
          </w:tcPr>
          <w:p w14:paraId="04606DC9"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Infrastructure deficits</w:t>
            </w:r>
          </w:p>
        </w:tc>
        <w:tc>
          <w:tcPr>
            <w:tcW w:w="0" w:type="auto"/>
            <w:hideMark/>
          </w:tcPr>
          <w:p w14:paraId="02606056"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Limited computing, connectivity, and electricity in rural high-burden settings</w:t>
            </w:r>
          </w:p>
        </w:tc>
        <w:tc>
          <w:tcPr>
            <w:tcW w:w="0" w:type="auto"/>
            <w:hideMark/>
          </w:tcPr>
          <w:p w14:paraId="465C6C14"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Edge computing; mobile-first lightweight architectures; offline inference capability</w:t>
            </w:r>
          </w:p>
        </w:tc>
      </w:tr>
      <w:tr w:rsidR="008665DB" w:rsidRPr="008665DB" w14:paraId="1D000EE3" w14:textId="77777777" w:rsidTr="008665DB">
        <w:tc>
          <w:tcPr>
            <w:tcW w:w="0" w:type="auto"/>
            <w:hideMark/>
          </w:tcPr>
          <w:p w14:paraId="584CF5DF"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Capacity deficits</w:t>
            </w:r>
          </w:p>
        </w:tc>
        <w:tc>
          <w:tcPr>
            <w:tcW w:w="0" w:type="auto"/>
            <w:hideMark/>
          </w:tcPr>
          <w:p w14:paraId="1B8148B3"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Insufficient AI and data science expertise within LMIC research and health institutions</w:t>
            </w:r>
          </w:p>
        </w:tc>
        <w:tc>
          <w:tcPr>
            <w:tcW w:w="0" w:type="auto"/>
            <w:hideMark/>
          </w:tcPr>
          <w:p w14:paraId="49CEC8F4"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Structured training; south-south exchange; embedded research fellowships</w:t>
            </w:r>
          </w:p>
        </w:tc>
      </w:tr>
      <w:tr w:rsidR="008665DB" w:rsidRPr="008665DB" w14:paraId="2B8A8068" w14:textId="77777777" w:rsidTr="008665DB">
        <w:tc>
          <w:tcPr>
            <w:tcW w:w="0" w:type="auto"/>
            <w:hideMark/>
          </w:tcPr>
          <w:p w14:paraId="2647D091"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Data governance gaps</w:t>
            </w:r>
          </w:p>
        </w:tc>
        <w:tc>
          <w:tcPr>
            <w:tcW w:w="0" w:type="auto"/>
            <w:hideMark/>
          </w:tcPr>
          <w:p w14:paraId="2C1903B3"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Unclear ownership, secondary use rights, and accountability for cross-sector datasets</w:t>
            </w:r>
          </w:p>
        </w:tc>
        <w:tc>
          <w:tcPr>
            <w:tcW w:w="0" w:type="auto"/>
            <w:hideMark/>
          </w:tcPr>
          <w:p w14:paraId="56AFA645" w14:textId="77777777" w:rsidR="008665DB" w:rsidRPr="008665DB" w:rsidRDefault="008665DB" w:rsidP="008665DB">
            <w:pPr>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National data protection legislation; international regulatory alignment; consent frameworks</w:t>
            </w:r>
          </w:p>
        </w:tc>
      </w:tr>
    </w:tbl>
    <w:p w14:paraId="7B6CD95D"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i/>
          <w:iCs/>
          <w:sz w:val="24"/>
          <w:szCs w:val="24"/>
          <w:lang w:eastAsia="en-GB"/>
        </w:rPr>
        <w:t xml:space="preserve">Sources: Obermeyer et al. (2019); Wahl et al. (2018); Arrieta et al. (2020); </w:t>
      </w:r>
      <w:proofErr w:type="spellStart"/>
      <w:r w:rsidRPr="008665DB">
        <w:rPr>
          <w:rFonts w:ascii="Times New Roman" w:eastAsia="Times New Roman" w:hAnsi="Times New Roman" w:cs="Times New Roman"/>
          <w:i/>
          <w:iCs/>
          <w:sz w:val="24"/>
          <w:szCs w:val="24"/>
          <w:lang w:eastAsia="en-GB"/>
        </w:rPr>
        <w:t>Rajpurkar</w:t>
      </w:r>
      <w:proofErr w:type="spellEnd"/>
      <w:r w:rsidRPr="008665DB">
        <w:rPr>
          <w:rFonts w:ascii="Times New Roman" w:eastAsia="Times New Roman" w:hAnsi="Times New Roman" w:cs="Times New Roman"/>
          <w:i/>
          <w:iCs/>
          <w:sz w:val="24"/>
          <w:szCs w:val="24"/>
          <w:lang w:eastAsia="en-GB"/>
        </w:rPr>
        <w:t xml:space="preserve"> et al. (2022)</w:t>
      </w:r>
    </w:p>
    <w:p w14:paraId="19DBBED9" w14:textId="77777777" w:rsidR="008665DB" w:rsidRPr="008665DB" w:rsidRDefault="008665DB" w:rsidP="008665DB">
      <w:pPr>
        <w:spacing w:after="0" w:line="240" w:lineRule="auto"/>
        <w:rPr>
          <w:rFonts w:ascii="Times New Roman" w:eastAsia="Times New Roman" w:hAnsi="Times New Roman" w:cs="Times New Roman"/>
          <w:sz w:val="24"/>
          <w:szCs w:val="24"/>
          <w:lang w:eastAsia="en-GB"/>
        </w:rPr>
      </w:pPr>
    </w:p>
    <w:p w14:paraId="1E353A44" w14:textId="77777777" w:rsidR="008665DB" w:rsidRPr="008665DB" w:rsidRDefault="008665DB" w:rsidP="008665D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665DB">
        <w:rPr>
          <w:rFonts w:ascii="Times New Roman" w:eastAsia="Times New Roman" w:hAnsi="Times New Roman" w:cs="Times New Roman"/>
          <w:b/>
          <w:bCs/>
          <w:sz w:val="27"/>
          <w:szCs w:val="27"/>
          <w:lang w:eastAsia="en-GB"/>
        </w:rPr>
        <w:t>9. Future Directions</w:t>
      </w:r>
    </w:p>
    <w:p w14:paraId="7B08F55A"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Research at the intersection of AI and malnutrition prediction is maturing rapidly, and several directions hold particular promise for scientific and programmatic progress in the coming decade. The development of foundation models for global health — large-scale AI systems pre-trained on diverse, multi-modal datasets spanning satellite imagery, household survey records, clinical measurements, and environmental time series — could substantially reduce the labelled data requirements for LMIC-specific deployments and enable flexible fine-tuning for specific nutritional prediction tasks across diverse country contexts. The conceptual parallels between large language models in NLP and large vision-language models in medical imaging suggest that analogous multi-modal nutrition foundation models, pre-trained on global observational datasets, are technically feasible within the existing research horizon.</w:t>
      </w:r>
    </w:p>
    <w:p w14:paraId="21B975CF"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Federated learning represents a genuinely transformative opportunity for privacy-preserving, multi-country nutrition model development, enabling the collaborative training of high-performance AI models across national data systems without requiring the aggregation of sensitive individual-level data in a centralised repository. A federated architecture that learns simultaneously from household survey data in ten or more countries whilst respecting </w:t>
      </w:r>
      <w:r w:rsidRPr="008665DB">
        <w:rPr>
          <w:rFonts w:ascii="Times New Roman" w:eastAsia="Times New Roman" w:hAnsi="Times New Roman" w:cs="Times New Roman"/>
          <w:sz w:val="24"/>
          <w:szCs w:val="24"/>
          <w:lang w:eastAsia="en-GB"/>
        </w:rPr>
        <w:lastRenderedPageBreak/>
        <w:t>national data sovereignty frameworks would produce malnutrition risk models with substantially greater geographic generalisability than those trained within any single national context — directly addressing one of the most persistent limitations in the current literature.</w:t>
      </w:r>
    </w:p>
    <w:p w14:paraId="62E94044"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Digital phenotyping — the extraction of health-relevant behavioural and contextual signals from passively collected smartphone sensor data, including physical activity patterns, sleep regularity, mobility trajectories, and call network characteristics — is an emerging data source for dynamic nutritional vulnerability assessment in communities where smartphone penetration is rising faster than formal income growth. These passively collected digital signals, while requiring careful privacy governance, may provide near-continuous proxy indicators of household stress, dietary disruption, and caregiving capacity that complement episodic survey measurements. The development of validated algorithms linking digital phenotyping signals to nutritional outcome measures represents a high-priority research need.</w:t>
      </w:r>
    </w:p>
    <w:p w14:paraId="29536824"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The integration of AI nutrition prediction tools with community health information systems and national integrated disease surveillance platforms is the critical pathway from research demonstration to operational impact. AI-generated risk scores that are not embedded in health system workflows and linked to programmatic responses remain academic outputs rather than public health tools; co-designing AI outputs for use within community health worker mobile applications, district health management information systems, and national nutrition monitoring dashboards is therefore as important as algorithmic innovation itself. Causal inference methods — including structural equation modelling, directed acyclic graphs (DAGs), and counterfactual reasoning frameworks — represent a necessary methodological complement to purely predictive AI, enabling the identification of intervention targets within causal structures and providing a firmer evidence base for the design of effective and context-appropriate nutrition programmes.</w:t>
      </w:r>
    </w:p>
    <w:p w14:paraId="7FCEF515" w14:textId="77777777" w:rsidR="008665DB" w:rsidRPr="008665DB" w:rsidRDefault="008665DB" w:rsidP="008665DB">
      <w:pPr>
        <w:spacing w:after="0" w:line="240" w:lineRule="auto"/>
        <w:rPr>
          <w:rFonts w:ascii="Times New Roman" w:eastAsia="Times New Roman" w:hAnsi="Times New Roman" w:cs="Times New Roman"/>
          <w:sz w:val="24"/>
          <w:szCs w:val="24"/>
          <w:lang w:eastAsia="en-GB"/>
        </w:rPr>
      </w:pPr>
    </w:p>
    <w:p w14:paraId="419D15D3" w14:textId="77777777" w:rsidR="008665DB" w:rsidRPr="008665DB" w:rsidRDefault="008665DB" w:rsidP="008665D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665DB">
        <w:rPr>
          <w:rFonts w:ascii="Times New Roman" w:eastAsia="Times New Roman" w:hAnsi="Times New Roman" w:cs="Times New Roman"/>
          <w:b/>
          <w:bCs/>
          <w:sz w:val="27"/>
          <w:szCs w:val="27"/>
          <w:lang w:eastAsia="en-GB"/>
        </w:rPr>
        <w:t>10. Conclusions</w:t>
      </w:r>
    </w:p>
    <w:p w14:paraId="425B0868"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This review has synthesised a rapidly growing body of evidence on the application of AI methods to malnutrition prediction across clinical, socioeconomic, and environmental determinant domains, and examined the implications of these developments for sustainable development.</w:t>
      </w:r>
    </w:p>
    <w:p w14:paraId="395E65EF"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AI models — particularly ensemble supervised methods such as RF and gradient boosting, and deep learning architectures including CNN and LSTM networks — demonstrate consistent and often substantial superiority over conventional statistical approaches when applied to multi-domain malnutrition datasets, with the most pronounced improvements observed when environmental and socioeconomic features are integrated alongside clinical indicators in a unified predictive framework. Geospatial AI that leverages satellite-derived environmental data alongside household survey variables has demonstrated operational promise for subnational malnutrition mapping and early warning systems, though the translation of these research tools into routine humanitarian and development programme use remains limited.</w:t>
      </w:r>
    </w:p>
    <w:p w14:paraId="757947BB"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The ethical dimensions of AI in nutrition surveillance — including algorithmic bias, data privacy, model explainability, and institutional accountability — are not peripheral technical concerns but central challenges that must be incorporated into the design, evaluation, and </w:t>
      </w:r>
      <w:r w:rsidRPr="008665DB">
        <w:rPr>
          <w:rFonts w:ascii="Times New Roman" w:eastAsia="Times New Roman" w:hAnsi="Times New Roman" w:cs="Times New Roman"/>
          <w:sz w:val="24"/>
          <w:szCs w:val="24"/>
          <w:lang w:eastAsia="en-GB"/>
        </w:rPr>
        <w:lastRenderedPageBreak/>
        <w:t>governance of AI nutrition tools from inception. Failure to address these dimensions systematically risks deploying technically sophisticated but socially harmful tools that deepen rather than reduce nutritional inequities.</w:t>
      </w:r>
    </w:p>
    <w:p w14:paraId="48C1BCD5"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The alignment of AI nutrition applications with the SDG agenda is conceptually coherent and empirically supported, but operationally immature. Realising the potential contribution of AI to SDG 2, SDG 3, and associated targets demands deliberate and sustained investment in data infrastructure, digital health systems, human capacity, cross-sectoral partnerships, and enabling regulatory frameworks spanning health, agriculture, and data governance. The responsible deployment of AI for malnutrition prediction, grounded in equity, transparency, community engagement, and scientific rigour, represents one of the most promising and most demanding frontiers in nutrition science and sustainable development research.</w:t>
      </w:r>
    </w:p>
    <w:p w14:paraId="4B76006F" w14:textId="77777777" w:rsidR="008665DB" w:rsidRPr="008665DB" w:rsidRDefault="008665DB" w:rsidP="008665DB">
      <w:pPr>
        <w:spacing w:after="0" w:line="240" w:lineRule="auto"/>
        <w:rPr>
          <w:rFonts w:ascii="Times New Roman" w:eastAsia="Times New Roman" w:hAnsi="Times New Roman" w:cs="Times New Roman"/>
          <w:sz w:val="24"/>
          <w:szCs w:val="24"/>
          <w:lang w:eastAsia="en-GB"/>
        </w:rPr>
      </w:pPr>
    </w:p>
    <w:p w14:paraId="08FB7FFD" w14:textId="77777777" w:rsidR="008665DB" w:rsidRPr="008665DB" w:rsidRDefault="008665DB" w:rsidP="008665D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665DB">
        <w:rPr>
          <w:rFonts w:ascii="Times New Roman" w:eastAsia="Times New Roman" w:hAnsi="Times New Roman" w:cs="Times New Roman"/>
          <w:b/>
          <w:bCs/>
          <w:sz w:val="27"/>
          <w:szCs w:val="27"/>
          <w:lang w:eastAsia="en-GB"/>
        </w:rPr>
        <w:t>11. Limitations</w:t>
      </w:r>
    </w:p>
    <w:p w14:paraId="3369C256"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This review carries several limitations that contextualise the conclusions drawn from the available evidence. As a narrative rather than systematic review, it is inherently susceptible to selection and interpretation bias, and has not employed formal systematic review protocols such as PROSPERO registration, structured risk-of-bias assessment tools, or GRADE (Grading of Recommendations Assessment, Development and Evaluation) evidence quality rating. The restriction of the search to English-language publications likely excludes relevant evidence from francophone West Africa, Lusophone contexts, and other high-burden regions where research is published in French, Portuguese, or Spanish. The pace of publication in this field means that studies published between the literature search end date and journal review may not be captured, and AI methodology evolves at a speed that can render specific technical conclusions partially outdated within a short publication cycle.</w:t>
      </w:r>
    </w:p>
    <w:p w14:paraId="7B512445"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Study quality across the retrieved literature varied considerably in terms of sample representativeness, geographic scope, validation rigour, and transparency of reporting, and no formal quality weighting was applied to the synthesised evidence. Many individual studies in the AI-malnutrition space relied on cross-sectional DHS or MICS data, which preclude causal inference and limit temporal characterisation of nutritional trajectories. The geographic distribution of the evidence base is uneven, with published studies disproportionately concentrated in South Asia and East Africa, which limits the generalisability of performance findings and methodological conclusions to West Africa, the Sahel, Central Africa, and parts of Latin America and the Caribbean where malnutrition burdens are also substantial.</w:t>
      </w:r>
    </w:p>
    <w:p w14:paraId="4735AEBA" w14:textId="77777777" w:rsidR="00B54BFF" w:rsidRPr="000839CE" w:rsidRDefault="00B54BFF" w:rsidP="00B54BFF">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717D0297" w14:textId="77777777" w:rsidR="00B54BFF" w:rsidRPr="000839CE" w:rsidRDefault="00B54BFF" w:rsidP="00B54BFF">
      <w:pPr>
        <w:spacing w:after="0" w:line="240" w:lineRule="auto"/>
        <w:rPr>
          <w:rFonts w:ascii="Times New Roman" w:hAnsi="Times New Roman" w:cs="Times New Roman"/>
        </w:rPr>
      </w:pPr>
    </w:p>
    <w:p w14:paraId="63D93FB5" w14:textId="77777777" w:rsidR="00B54BFF" w:rsidRPr="000839CE" w:rsidRDefault="00B54BFF" w:rsidP="00B54BFF">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2E972C2" w14:textId="77777777" w:rsidR="008665DB" w:rsidRPr="008665DB" w:rsidRDefault="008665DB" w:rsidP="008665DB">
      <w:pPr>
        <w:spacing w:after="0" w:line="240" w:lineRule="auto"/>
        <w:rPr>
          <w:rFonts w:ascii="Times New Roman" w:eastAsia="Times New Roman" w:hAnsi="Times New Roman" w:cs="Times New Roman"/>
          <w:sz w:val="24"/>
          <w:szCs w:val="24"/>
          <w:lang w:eastAsia="en-GB"/>
        </w:rPr>
      </w:pPr>
    </w:p>
    <w:p w14:paraId="00E47AE3" w14:textId="77777777" w:rsidR="008665DB" w:rsidRPr="008665DB" w:rsidRDefault="008665DB" w:rsidP="008665D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665DB">
        <w:rPr>
          <w:rFonts w:ascii="Times New Roman" w:eastAsia="Times New Roman" w:hAnsi="Times New Roman" w:cs="Times New Roman"/>
          <w:b/>
          <w:bCs/>
          <w:sz w:val="27"/>
          <w:szCs w:val="27"/>
          <w:lang w:eastAsia="en-GB"/>
        </w:rPr>
        <w:lastRenderedPageBreak/>
        <w:t>References</w:t>
      </w:r>
    </w:p>
    <w:p w14:paraId="584AF40F"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8665DB">
        <w:rPr>
          <w:rFonts w:ascii="Times New Roman" w:eastAsia="Times New Roman" w:hAnsi="Times New Roman" w:cs="Times New Roman"/>
          <w:sz w:val="24"/>
          <w:szCs w:val="24"/>
          <w:lang w:eastAsia="en-GB"/>
        </w:rPr>
        <w:t>Akseer</w:t>
      </w:r>
      <w:proofErr w:type="spellEnd"/>
      <w:r w:rsidRPr="008665DB">
        <w:rPr>
          <w:rFonts w:ascii="Times New Roman" w:eastAsia="Times New Roman" w:hAnsi="Times New Roman" w:cs="Times New Roman"/>
          <w:sz w:val="24"/>
          <w:szCs w:val="24"/>
          <w:lang w:eastAsia="en-GB"/>
        </w:rPr>
        <w:t xml:space="preserve">, N., </w:t>
      </w:r>
      <w:proofErr w:type="spellStart"/>
      <w:r w:rsidRPr="008665DB">
        <w:rPr>
          <w:rFonts w:ascii="Times New Roman" w:eastAsia="Times New Roman" w:hAnsi="Times New Roman" w:cs="Times New Roman"/>
          <w:sz w:val="24"/>
          <w:szCs w:val="24"/>
          <w:lang w:eastAsia="en-GB"/>
        </w:rPr>
        <w:t>Kandru</w:t>
      </w:r>
      <w:proofErr w:type="spellEnd"/>
      <w:r w:rsidRPr="008665DB">
        <w:rPr>
          <w:rFonts w:ascii="Times New Roman" w:eastAsia="Times New Roman" w:hAnsi="Times New Roman" w:cs="Times New Roman"/>
          <w:sz w:val="24"/>
          <w:szCs w:val="24"/>
          <w:lang w:eastAsia="en-GB"/>
        </w:rPr>
        <w:t xml:space="preserve">, G., Keats, E. C., &amp; Bhutta, Z. A. (2020). COVID-19 pandemic and mitigation strategies: implications for maternal and child health and nutrition. </w:t>
      </w:r>
      <w:r w:rsidRPr="008665DB">
        <w:rPr>
          <w:rFonts w:ascii="Times New Roman" w:eastAsia="Times New Roman" w:hAnsi="Times New Roman" w:cs="Times New Roman"/>
          <w:i/>
          <w:iCs/>
          <w:sz w:val="24"/>
          <w:szCs w:val="24"/>
          <w:lang w:eastAsia="en-GB"/>
        </w:rPr>
        <w:t>The American Journal of Clinical Nutrition</w:t>
      </w:r>
      <w:r w:rsidRPr="008665DB">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i/>
          <w:iCs/>
          <w:sz w:val="24"/>
          <w:szCs w:val="24"/>
          <w:lang w:eastAsia="en-GB"/>
        </w:rPr>
        <w:t>112</w:t>
      </w:r>
      <w:r w:rsidRPr="008665DB">
        <w:rPr>
          <w:rFonts w:ascii="Times New Roman" w:eastAsia="Times New Roman" w:hAnsi="Times New Roman" w:cs="Times New Roman"/>
          <w:sz w:val="24"/>
          <w:szCs w:val="24"/>
          <w:lang w:eastAsia="en-GB"/>
        </w:rPr>
        <w:t xml:space="preserve">(2), 251–256. </w:t>
      </w:r>
      <w:r w:rsidRPr="008665DB">
        <w:rPr>
          <w:rFonts w:ascii="Times New Roman" w:eastAsia="Times New Roman" w:hAnsi="Times New Roman" w:cs="Times New Roman"/>
          <w:color w:val="0000FF"/>
          <w:sz w:val="24"/>
          <w:szCs w:val="24"/>
          <w:u w:val="single"/>
          <w:lang w:eastAsia="en-GB"/>
        </w:rPr>
        <w:t>https://doi.org/10.1093/ajcn/nqaa171</w:t>
      </w:r>
    </w:p>
    <w:p w14:paraId="4E81D9FD"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Arrieta, A. B., Díaz-Rodríguez, N., Del Ser, J., </w:t>
      </w:r>
      <w:proofErr w:type="spellStart"/>
      <w:r w:rsidRPr="008665DB">
        <w:rPr>
          <w:rFonts w:ascii="Times New Roman" w:eastAsia="Times New Roman" w:hAnsi="Times New Roman" w:cs="Times New Roman"/>
          <w:sz w:val="24"/>
          <w:szCs w:val="24"/>
          <w:lang w:eastAsia="en-GB"/>
        </w:rPr>
        <w:t>Bennetot</w:t>
      </w:r>
      <w:proofErr w:type="spellEnd"/>
      <w:r w:rsidRPr="008665DB">
        <w:rPr>
          <w:rFonts w:ascii="Times New Roman" w:eastAsia="Times New Roman" w:hAnsi="Times New Roman" w:cs="Times New Roman"/>
          <w:sz w:val="24"/>
          <w:szCs w:val="24"/>
          <w:lang w:eastAsia="en-GB"/>
        </w:rPr>
        <w:t xml:space="preserve">, A., </w:t>
      </w:r>
      <w:proofErr w:type="spellStart"/>
      <w:r w:rsidRPr="008665DB">
        <w:rPr>
          <w:rFonts w:ascii="Times New Roman" w:eastAsia="Times New Roman" w:hAnsi="Times New Roman" w:cs="Times New Roman"/>
          <w:sz w:val="24"/>
          <w:szCs w:val="24"/>
          <w:lang w:eastAsia="en-GB"/>
        </w:rPr>
        <w:t>Tabik</w:t>
      </w:r>
      <w:proofErr w:type="spellEnd"/>
      <w:r w:rsidRPr="008665DB">
        <w:rPr>
          <w:rFonts w:ascii="Times New Roman" w:eastAsia="Times New Roman" w:hAnsi="Times New Roman" w:cs="Times New Roman"/>
          <w:sz w:val="24"/>
          <w:szCs w:val="24"/>
          <w:lang w:eastAsia="en-GB"/>
        </w:rPr>
        <w:t xml:space="preserve">, S., Barbado, A., García, S., Gil-López, S., Molina, D., Benjamins, R., Chatila, R., &amp; Herrera, F. (2020). Explainable Artificial Intelligence (XAI): concepts, taxonomies, opportunities and challenges toward responsible AI. </w:t>
      </w:r>
      <w:r w:rsidRPr="008665DB">
        <w:rPr>
          <w:rFonts w:ascii="Times New Roman" w:eastAsia="Times New Roman" w:hAnsi="Times New Roman" w:cs="Times New Roman"/>
          <w:i/>
          <w:iCs/>
          <w:sz w:val="24"/>
          <w:szCs w:val="24"/>
          <w:lang w:eastAsia="en-GB"/>
        </w:rPr>
        <w:t>Information Fusion</w:t>
      </w:r>
      <w:r w:rsidRPr="008665DB">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i/>
          <w:iCs/>
          <w:sz w:val="24"/>
          <w:szCs w:val="24"/>
          <w:lang w:eastAsia="en-GB"/>
        </w:rPr>
        <w:t>58</w:t>
      </w:r>
      <w:r w:rsidRPr="008665DB">
        <w:rPr>
          <w:rFonts w:ascii="Times New Roman" w:eastAsia="Times New Roman" w:hAnsi="Times New Roman" w:cs="Times New Roman"/>
          <w:sz w:val="24"/>
          <w:szCs w:val="24"/>
          <w:lang w:eastAsia="en-GB"/>
        </w:rPr>
        <w:t xml:space="preserve">, 82–115. </w:t>
      </w:r>
      <w:r w:rsidRPr="008665DB">
        <w:rPr>
          <w:rFonts w:ascii="Times New Roman" w:eastAsia="Times New Roman" w:hAnsi="Times New Roman" w:cs="Times New Roman"/>
          <w:color w:val="0000FF"/>
          <w:sz w:val="24"/>
          <w:szCs w:val="24"/>
          <w:u w:val="single"/>
          <w:lang w:eastAsia="en-GB"/>
        </w:rPr>
        <w:t>https://doi.org/10.1016/j.inffus.2019.12.012</w:t>
      </w:r>
    </w:p>
    <w:p w14:paraId="66948B7C"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Bhutta, Z. A., Das, J. K., Rizvi, A., Gaffey, M. F., Walker, N., Horton, S., Webb, P., Lartey, A., &amp; Black, R. E. (2013). Evidence-based interventions for improvement of maternal and child nutrition: what can be done and at what cost? </w:t>
      </w:r>
      <w:r w:rsidRPr="008665DB">
        <w:rPr>
          <w:rFonts w:ascii="Times New Roman" w:eastAsia="Times New Roman" w:hAnsi="Times New Roman" w:cs="Times New Roman"/>
          <w:i/>
          <w:iCs/>
          <w:sz w:val="24"/>
          <w:szCs w:val="24"/>
          <w:lang w:eastAsia="en-GB"/>
        </w:rPr>
        <w:t>The Lancet</w:t>
      </w:r>
      <w:r w:rsidRPr="008665DB">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i/>
          <w:iCs/>
          <w:sz w:val="24"/>
          <w:szCs w:val="24"/>
          <w:lang w:eastAsia="en-GB"/>
        </w:rPr>
        <w:t>382</w:t>
      </w:r>
      <w:r w:rsidRPr="008665DB">
        <w:rPr>
          <w:rFonts w:ascii="Times New Roman" w:eastAsia="Times New Roman" w:hAnsi="Times New Roman" w:cs="Times New Roman"/>
          <w:sz w:val="24"/>
          <w:szCs w:val="24"/>
          <w:lang w:eastAsia="en-GB"/>
        </w:rPr>
        <w:t xml:space="preserve">(9890), 452–477. </w:t>
      </w:r>
      <w:r w:rsidRPr="008665DB">
        <w:rPr>
          <w:rFonts w:ascii="Times New Roman" w:eastAsia="Times New Roman" w:hAnsi="Times New Roman" w:cs="Times New Roman"/>
          <w:color w:val="0000FF"/>
          <w:sz w:val="24"/>
          <w:szCs w:val="24"/>
          <w:u w:val="single"/>
          <w:lang w:eastAsia="en-GB"/>
        </w:rPr>
        <w:t>https://doi.org/10.1016/S0140-6736(13)60996-4</w:t>
      </w:r>
    </w:p>
    <w:p w14:paraId="6BB8064F"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Black, R. E., Allen, L. H., Bhutta, Z. A., Caulfield, L. E., de Onis, M., Ezzati, M., Mathers, C., &amp; Rivera, J. (2008). Maternal and child undernutrition: global and regional exposures and health consequences. </w:t>
      </w:r>
      <w:r w:rsidRPr="008665DB">
        <w:rPr>
          <w:rFonts w:ascii="Times New Roman" w:eastAsia="Times New Roman" w:hAnsi="Times New Roman" w:cs="Times New Roman"/>
          <w:i/>
          <w:iCs/>
          <w:sz w:val="24"/>
          <w:szCs w:val="24"/>
          <w:lang w:eastAsia="en-GB"/>
        </w:rPr>
        <w:t>The Lancet</w:t>
      </w:r>
      <w:r w:rsidRPr="008665DB">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i/>
          <w:iCs/>
          <w:sz w:val="24"/>
          <w:szCs w:val="24"/>
          <w:lang w:eastAsia="en-GB"/>
        </w:rPr>
        <w:t>371</w:t>
      </w:r>
      <w:r w:rsidRPr="008665DB">
        <w:rPr>
          <w:rFonts w:ascii="Times New Roman" w:eastAsia="Times New Roman" w:hAnsi="Times New Roman" w:cs="Times New Roman"/>
          <w:sz w:val="24"/>
          <w:szCs w:val="24"/>
          <w:lang w:eastAsia="en-GB"/>
        </w:rPr>
        <w:t xml:space="preserve">(9608), 243–260. </w:t>
      </w:r>
      <w:r w:rsidRPr="008665DB">
        <w:rPr>
          <w:rFonts w:ascii="Times New Roman" w:eastAsia="Times New Roman" w:hAnsi="Times New Roman" w:cs="Times New Roman"/>
          <w:color w:val="0000FF"/>
          <w:sz w:val="24"/>
          <w:szCs w:val="24"/>
          <w:u w:val="single"/>
          <w:lang w:eastAsia="en-GB"/>
        </w:rPr>
        <w:t>https://doi.org/10.1016/S0140-6736(07)61690-0</w:t>
      </w:r>
    </w:p>
    <w:p w14:paraId="0DD704FB"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Black, R. E., Victora, C. G., Walker, S. P., Bhutta, Z. A., Christian, P., de Onis, M., Ezzati, M., Grantham-McGregor, S., Katz, J., Martorell, R., &amp; </w:t>
      </w:r>
      <w:proofErr w:type="spellStart"/>
      <w:r w:rsidRPr="008665DB">
        <w:rPr>
          <w:rFonts w:ascii="Times New Roman" w:eastAsia="Times New Roman" w:hAnsi="Times New Roman" w:cs="Times New Roman"/>
          <w:sz w:val="24"/>
          <w:szCs w:val="24"/>
          <w:lang w:eastAsia="en-GB"/>
        </w:rPr>
        <w:t>Uauy</w:t>
      </w:r>
      <w:proofErr w:type="spellEnd"/>
      <w:r w:rsidRPr="008665DB">
        <w:rPr>
          <w:rFonts w:ascii="Times New Roman" w:eastAsia="Times New Roman" w:hAnsi="Times New Roman" w:cs="Times New Roman"/>
          <w:sz w:val="24"/>
          <w:szCs w:val="24"/>
          <w:lang w:eastAsia="en-GB"/>
        </w:rPr>
        <w:t xml:space="preserve">, R. (2013). Maternal and child undernutrition and overweight in low-income and middle-income countries. </w:t>
      </w:r>
      <w:r w:rsidRPr="008665DB">
        <w:rPr>
          <w:rFonts w:ascii="Times New Roman" w:eastAsia="Times New Roman" w:hAnsi="Times New Roman" w:cs="Times New Roman"/>
          <w:i/>
          <w:iCs/>
          <w:sz w:val="24"/>
          <w:szCs w:val="24"/>
          <w:lang w:eastAsia="en-GB"/>
        </w:rPr>
        <w:t>The Lancet</w:t>
      </w:r>
      <w:r w:rsidRPr="008665DB">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i/>
          <w:iCs/>
          <w:sz w:val="24"/>
          <w:szCs w:val="24"/>
          <w:lang w:eastAsia="en-GB"/>
        </w:rPr>
        <w:t>382</w:t>
      </w:r>
      <w:r w:rsidRPr="008665DB">
        <w:rPr>
          <w:rFonts w:ascii="Times New Roman" w:eastAsia="Times New Roman" w:hAnsi="Times New Roman" w:cs="Times New Roman"/>
          <w:sz w:val="24"/>
          <w:szCs w:val="24"/>
          <w:lang w:eastAsia="en-GB"/>
        </w:rPr>
        <w:t xml:space="preserve">(9890), 427–451. </w:t>
      </w:r>
      <w:r w:rsidRPr="008665DB">
        <w:rPr>
          <w:rFonts w:ascii="Times New Roman" w:eastAsia="Times New Roman" w:hAnsi="Times New Roman" w:cs="Times New Roman"/>
          <w:color w:val="0000FF"/>
          <w:sz w:val="24"/>
          <w:szCs w:val="24"/>
          <w:u w:val="single"/>
          <w:lang w:eastAsia="en-GB"/>
        </w:rPr>
        <w:t>https://doi.org/10.1016/S0140-6736(13)60937-X</w:t>
      </w:r>
    </w:p>
    <w:p w14:paraId="0CE6C377"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8665DB">
        <w:rPr>
          <w:rFonts w:ascii="Times New Roman" w:eastAsia="Times New Roman" w:hAnsi="Times New Roman" w:cs="Times New Roman"/>
          <w:sz w:val="24"/>
          <w:szCs w:val="24"/>
          <w:lang w:eastAsia="en-GB"/>
        </w:rPr>
        <w:t>Breiman</w:t>
      </w:r>
      <w:proofErr w:type="spellEnd"/>
      <w:r w:rsidRPr="008665DB">
        <w:rPr>
          <w:rFonts w:ascii="Times New Roman" w:eastAsia="Times New Roman" w:hAnsi="Times New Roman" w:cs="Times New Roman"/>
          <w:sz w:val="24"/>
          <w:szCs w:val="24"/>
          <w:lang w:eastAsia="en-GB"/>
        </w:rPr>
        <w:t xml:space="preserve">, L. (2001). Random forests. </w:t>
      </w:r>
      <w:r w:rsidRPr="008665DB">
        <w:rPr>
          <w:rFonts w:ascii="Times New Roman" w:eastAsia="Times New Roman" w:hAnsi="Times New Roman" w:cs="Times New Roman"/>
          <w:i/>
          <w:iCs/>
          <w:sz w:val="24"/>
          <w:szCs w:val="24"/>
          <w:lang w:eastAsia="en-GB"/>
        </w:rPr>
        <w:t>Machine Learning</w:t>
      </w:r>
      <w:r w:rsidRPr="008665DB">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i/>
          <w:iCs/>
          <w:sz w:val="24"/>
          <w:szCs w:val="24"/>
          <w:lang w:eastAsia="en-GB"/>
        </w:rPr>
        <w:t>45</w:t>
      </w:r>
      <w:r w:rsidRPr="008665DB">
        <w:rPr>
          <w:rFonts w:ascii="Times New Roman" w:eastAsia="Times New Roman" w:hAnsi="Times New Roman" w:cs="Times New Roman"/>
          <w:sz w:val="24"/>
          <w:szCs w:val="24"/>
          <w:lang w:eastAsia="en-GB"/>
        </w:rPr>
        <w:t xml:space="preserve">(1), 5–32. </w:t>
      </w:r>
      <w:r w:rsidRPr="008665DB">
        <w:rPr>
          <w:rFonts w:ascii="Times New Roman" w:eastAsia="Times New Roman" w:hAnsi="Times New Roman" w:cs="Times New Roman"/>
          <w:color w:val="0000FF"/>
          <w:sz w:val="24"/>
          <w:szCs w:val="24"/>
          <w:u w:val="single"/>
          <w:lang w:eastAsia="en-GB"/>
        </w:rPr>
        <w:t>https://doi.org/10.1023/A:1010933404324</w:t>
      </w:r>
    </w:p>
    <w:p w14:paraId="0BE55B24"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Brownstein, J. S., Freifeld, C. C., &amp; Madoff, L. C. (2009). Digital disease detection — harnessing the Web for public health surveillance. </w:t>
      </w:r>
      <w:r w:rsidRPr="008665DB">
        <w:rPr>
          <w:rFonts w:ascii="Times New Roman" w:eastAsia="Times New Roman" w:hAnsi="Times New Roman" w:cs="Times New Roman"/>
          <w:i/>
          <w:iCs/>
          <w:sz w:val="24"/>
          <w:szCs w:val="24"/>
          <w:lang w:eastAsia="en-GB"/>
        </w:rPr>
        <w:t>New England Journal of Medicine</w:t>
      </w:r>
      <w:r w:rsidRPr="008665DB">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i/>
          <w:iCs/>
          <w:sz w:val="24"/>
          <w:szCs w:val="24"/>
          <w:lang w:eastAsia="en-GB"/>
        </w:rPr>
        <w:t>360</w:t>
      </w:r>
      <w:r w:rsidRPr="008665DB">
        <w:rPr>
          <w:rFonts w:ascii="Times New Roman" w:eastAsia="Times New Roman" w:hAnsi="Times New Roman" w:cs="Times New Roman"/>
          <w:sz w:val="24"/>
          <w:szCs w:val="24"/>
          <w:lang w:eastAsia="en-GB"/>
        </w:rPr>
        <w:t xml:space="preserve">(21), 2153–2157. </w:t>
      </w:r>
      <w:r w:rsidRPr="008665DB">
        <w:rPr>
          <w:rFonts w:ascii="Times New Roman" w:eastAsia="Times New Roman" w:hAnsi="Times New Roman" w:cs="Times New Roman"/>
          <w:color w:val="0000FF"/>
          <w:sz w:val="24"/>
          <w:szCs w:val="24"/>
          <w:u w:val="single"/>
          <w:lang w:eastAsia="en-GB"/>
        </w:rPr>
        <w:t>https://doi.org/10.1056/NEJMp0900702</w:t>
      </w:r>
    </w:p>
    <w:p w14:paraId="78E61C50"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Cortes, C., &amp; </w:t>
      </w:r>
      <w:proofErr w:type="spellStart"/>
      <w:r w:rsidRPr="008665DB">
        <w:rPr>
          <w:rFonts w:ascii="Times New Roman" w:eastAsia="Times New Roman" w:hAnsi="Times New Roman" w:cs="Times New Roman"/>
          <w:sz w:val="24"/>
          <w:szCs w:val="24"/>
          <w:lang w:eastAsia="en-GB"/>
        </w:rPr>
        <w:t>Vapnik</w:t>
      </w:r>
      <w:proofErr w:type="spellEnd"/>
      <w:r w:rsidRPr="008665DB">
        <w:rPr>
          <w:rFonts w:ascii="Times New Roman" w:eastAsia="Times New Roman" w:hAnsi="Times New Roman" w:cs="Times New Roman"/>
          <w:sz w:val="24"/>
          <w:szCs w:val="24"/>
          <w:lang w:eastAsia="en-GB"/>
        </w:rPr>
        <w:t xml:space="preserve">, V. (1995). Support-vector networks. </w:t>
      </w:r>
      <w:r w:rsidRPr="008665DB">
        <w:rPr>
          <w:rFonts w:ascii="Times New Roman" w:eastAsia="Times New Roman" w:hAnsi="Times New Roman" w:cs="Times New Roman"/>
          <w:i/>
          <w:iCs/>
          <w:sz w:val="24"/>
          <w:szCs w:val="24"/>
          <w:lang w:eastAsia="en-GB"/>
        </w:rPr>
        <w:t>Machine Learning</w:t>
      </w:r>
      <w:r w:rsidRPr="008665DB">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i/>
          <w:iCs/>
          <w:sz w:val="24"/>
          <w:szCs w:val="24"/>
          <w:lang w:eastAsia="en-GB"/>
        </w:rPr>
        <w:t>20</w:t>
      </w:r>
      <w:r w:rsidRPr="008665DB">
        <w:rPr>
          <w:rFonts w:ascii="Times New Roman" w:eastAsia="Times New Roman" w:hAnsi="Times New Roman" w:cs="Times New Roman"/>
          <w:sz w:val="24"/>
          <w:szCs w:val="24"/>
          <w:lang w:eastAsia="en-GB"/>
        </w:rPr>
        <w:t xml:space="preserve">(3), 273–297. </w:t>
      </w:r>
      <w:r w:rsidRPr="008665DB">
        <w:rPr>
          <w:rFonts w:ascii="Times New Roman" w:eastAsia="Times New Roman" w:hAnsi="Times New Roman" w:cs="Times New Roman"/>
          <w:color w:val="0000FF"/>
          <w:sz w:val="24"/>
          <w:szCs w:val="24"/>
          <w:u w:val="single"/>
          <w:lang w:eastAsia="en-GB"/>
        </w:rPr>
        <w:t>https://doi.org/10.1007/BF00994018</w:t>
      </w:r>
    </w:p>
    <w:p w14:paraId="2ED917A8"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Crane, R. J., Jones, K. D. J., &amp; Berkley, J. A. (2015). Environmental enteric dysfunction: an overview. </w:t>
      </w:r>
      <w:r w:rsidRPr="008665DB">
        <w:rPr>
          <w:rFonts w:ascii="Times New Roman" w:eastAsia="Times New Roman" w:hAnsi="Times New Roman" w:cs="Times New Roman"/>
          <w:i/>
          <w:iCs/>
          <w:sz w:val="24"/>
          <w:szCs w:val="24"/>
          <w:lang w:eastAsia="en-GB"/>
        </w:rPr>
        <w:t>Food and Nutrition Bulletin</w:t>
      </w:r>
      <w:r w:rsidRPr="008665DB">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i/>
          <w:iCs/>
          <w:sz w:val="24"/>
          <w:szCs w:val="24"/>
          <w:lang w:eastAsia="en-GB"/>
        </w:rPr>
        <w:t>36</w:t>
      </w:r>
      <w:r w:rsidRPr="008665DB">
        <w:rPr>
          <w:rFonts w:ascii="Times New Roman" w:eastAsia="Times New Roman" w:hAnsi="Times New Roman" w:cs="Times New Roman"/>
          <w:sz w:val="24"/>
          <w:szCs w:val="24"/>
          <w:lang w:eastAsia="en-GB"/>
        </w:rPr>
        <w:t xml:space="preserve">(1 Suppl), S76–S87. </w:t>
      </w:r>
      <w:r w:rsidRPr="008665DB">
        <w:rPr>
          <w:rFonts w:ascii="Times New Roman" w:eastAsia="Times New Roman" w:hAnsi="Times New Roman" w:cs="Times New Roman"/>
          <w:color w:val="0000FF"/>
          <w:sz w:val="24"/>
          <w:szCs w:val="24"/>
          <w:u w:val="single"/>
          <w:lang w:eastAsia="en-GB"/>
        </w:rPr>
        <w:t>https://doi.org/10.1177/15648265150361S113</w:t>
      </w:r>
    </w:p>
    <w:p w14:paraId="596D65C4"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de Onis, M., &amp; Branca, F. (2016). Childhood stunting: a global perspective. </w:t>
      </w:r>
      <w:r w:rsidRPr="008665DB">
        <w:rPr>
          <w:rFonts w:ascii="Times New Roman" w:eastAsia="Times New Roman" w:hAnsi="Times New Roman" w:cs="Times New Roman"/>
          <w:i/>
          <w:iCs/>
          <w:sz w:val="24"/>
          <w:szCs w:val="24"/>
          <w:lang w:eastAsia="en-GB"/>
        </w:rPr>
        <w:t>Maternal &amp; Child Nutrition</w:t>
      </w:r>
      <w:r w:rsidRPr="008665DB">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i/>
          <w:iCs/>
          <w:sz w:val="24"/>
          <w:szCs w:val="24"/>
          <w:lang w:eastAsia="en-GB"/>
        </w:rPr>
        <w:t>12</w:t>
      </w:r>
      <w:r w:rsidRPr="008665DB">
        <w:rPr>
          <w:rFonts w:ascii="Times New Roman" w:eastAsia="Times New Roman" w:hAnsi="Times New Roman" w:cs="Times New Roman"/>
          <w:sz w:val="24"/>
          <w:szCs w:val="24"/>
          <w:lang w:eastAsia="en-GB"/>
        </w:rPr>
        <w:t xml:space="preserve">(Suppl. 1), 12–26. </w:t>
      </w:r>
      <w:r w:rsidRPr="008665DB">
        <w:rPr>
          <w:rFonts w:ascii="Times New Roman" w:eastAsia="Times New Roman" w:hAnsi="Times New Roman" w:cs="Times New Roman"/>
          <w:color w:val="0000FF"/>
          <w:sz w:val="24"/>
          <w:szCs w:val="24"/>
          <w:u w:val="single"/>
          <w:lang w:eastAsia="en-GB"/>
        </w:rPr>
        <w:t>https://doi.org/10.1111/mcn.12231</w:t>
      </w:r>
    </w:p>
    <w:p w14:paraId="54E5F2F5"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Development Initiatives. (2022). </w:t>
      </w:r>
      <w:r w:rsidRPr="008665DB">
        <w:rPr>
          <w:rFonts w:ascii="Times New Roman" w:eastAsia="Times New Roman" w:hAnsi="Times New Roman" w:cs="Times New Roman"/>
          <w:i/>
          <w:iCs/>
          <w:sz w:val="24"/>
          <w:szCs w:val="24"/>
          <w:lang w:eastAsia="en-GB"/>
        </w:rPr>
        <w:t>Global Nutrition Report 2022: Stronger commitments for greater action</w:t>
      </w:r>
      <w:r w:rsidRPr="008665DB">
        <w:rPr>
          <w:rFonts w:ascii="Times New Roman" w:eastAsia="Times New Roman" w:hAnsi="Times New Roman" w:cs="Times New Roman"/>
          <w:sz w:val="24"/>
          <w:szCs w:val="24"/>
          <w:lang w:eastAsia="en-GB"/>
        </w:rPr>
        <w:t xml:space="preserve">. Development Initiatives. </w:t>
      </w:r>
      <w:r w:rsidRPr="008665DB">
        <w:rPr>
          <w:rFonts w:ascii="Times New Roman" w:eastAsia="Times New Roman" w:hAnsi="Times New Roman" w:cs="Times New Roman"/>
          <w:color w:val="0000FF"/>
          <w:sz w:val="24"/>
          <w:szCs w:val="24"/>
          <w:u w:val="single"/>
          <w:lang w:eastAsia="en-GB"/>
        </w:rPr>
        <w:t>https://globalnutritionreport.org/reports/2022-global-nutrition-report/</w:t>
      </w:r>
    </w:p>
    <w:p w14:paraId="14A68A48"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Dherani, M., Pope, D., Mascarenhas, M., Smith, K. R., Weber, M., &amp; Bruce, N. (2008). Indoor air pollution from unprocessed solid fuel use and pneumonia risk in children aged </w:t>
      </w:r>
      <w:r w:rsidRPr="008665DB">
        <w:rPr>
          <w:rFonts w:ascii="Times New Roman" w:eastAsia="Times New Roman" w:hAnsi="Times New Roman" w:cs="Times New Roman"/>
          <w:sz w:val="24"/>
          <w:szCs w:val="24"/>
          <w:lang w:eastAsia="en-GB"/>
        </w:rPr>
        <w:lastRenderedPageBreak/>
        <w:t xml:space="preserve">under five years: a systematic review and meta-analysis. </w:t>
      </w:r>
      <w:r w:rsidRPr="008665DB">
        <w:rPr>
          <w:rFonts w:ascii="Times New Roman" w:eastAsia="Times New Roman" w:hAnsi="Times New Roman" w:cs="Times New Roman"/>
          <w:i/>
          <w:iCs/>
          <w:sz w:val="24"/>
          <w:szCs w:val="24"/>
          <w:lang w:eastAsia="en-GB"/>
        </w:rPr>
        <w:t>Bulletin of the World Health Organization</w:t>
      </w:r>
      <w:r w:rsidRPr="008665DB">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i/>
          <w:iCs/>
          <w:sz w:val="24"/>
          <w:szCs w:val="24"/>
          <w:lang w:eastAsia="en-GB"/>
        </w:rPr>
        <w:t>86</w:t>
      </w:r>
      <w:r w:rsidRPr="008665DB">
        <w:rPr>
          <w:rFonts w:ascii="Times New Roman" w:eastAsia="Times New Roman" w:hAnsi="Times New Roman" w:cs="Times New Roman"/>
          <w:sz w:val="24"/>
          <w:szCs w:val="24"/>
          <w:lang w:eastAsia="en-GB"/>
        </w:rPr>
        <w:t xml:space="preserve">(5), 390–398C. </w:t>
      </w:r>
      <w:r w:rsidRPr="008665DB">
        <w:rPr>
          <w:rFonts w:ascii="Times New Roman" w:eastAsia="Times New Roman" w:hAnsi="Times New Roman" w:cs="Times New Roman"/>
          <w:color w:val="0000FF"/>
          <w:sz w:val="24"/>
          <w:szCs w:val="24"/>
          <w:u w:val="single"/>
          <w:lang w:eastAsia="en-GB"/>
        </w:rPr>
        <w:t>https://doi.org/10.2471/BLT.07.044529</w:t>
      </w:r>
    </w:p>
    <w:p w14:paraId="5413A780"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Fanzo, J., Davis, C., McLaren, R., &amp; </w:t>
      </w:r>
      <w:proofErr w:type="spellStart"/>
      <w:r w:rsidRPr="008665DB">
        <w:rPr>
          <w:rFonts w:ascii="Times New Roman" w:eastAsia="Times New Roman" w:hAnsi="Times New Roman" w:cs="Times New Roman"/>
          <w:sz w:val="24"/>
          <w:szCs w:val="24"/>
          <w:lang w:eastAsia="en-GB"/>
        </w:rPr>
        <w:t>Choufani</w:t>
      </w:r>
      <w:proofErr w:type="spellEnd"/>
      <w:r w:rsidRPr="008665DB">
        <w:rPr>
          <w:rFonts w:ascii="Times New Roman" w:eastAsia="Times New Roman" w:hAnsi="Times New Roman" w:cs="Times New Roman"/>
          <w:sz w:val="24"/>
          <w:szCs w:val="24"/>
          <w:lang w:eastAsia="en-GB"/>
        </w:rPr>
        <w:t xml:space="preserve">, J. (2018). The effect of climate change across food systems: implications for nutrition outcomes. </w:t>
      </w:r>
      <w:r w:rsidRPr="008665DB">
        <w:rPr>
          <w:rFonts w:ascii="Times New Roman" w:eastAsia="Times New Roman" w:hAnsi="Times New Roman" w:cs="Times New Roman"/>
          <w:i/>
          <w:iCs/>
          <w:sz w:val="24"/>
          <w:szCs w:val="24"/>
          <w:lang w:eastAsia="en-GB"/>
        </w:rPr>
        <w:t>Global Food Security</w:t>
      </w:r>
      <w:r w:rsidRPr="008665DB">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i/>
          <w:iCs/>
          <w:sz w:val="24"/>
          <w:szCs w:val="24"/>
          <w:lang w:eastAsia="en-GB"/>
        </w:rPr>
        <w:t>18</w:t>
      </w:r>
      <w:r w:rsidRPr="008665DB">
        <w:rPr>
          <w:rFonts w:ascii="Times New Roman" w:eastAsia="Times New Roman" w:hAnsi="Times New Roman" w:cs="Times New Roman"/>
          <w:sz w:val="24"/>
          <w:szCs w:val="24"/>
          <w:lang w:eastAsia="en-GB"/>
        </w:rPr>
        <w:t xml:space="preserve">, 12–19. </w:t>
      </w:r>
      <w:r w:rsidRPr="008665DB">
        <w:rPr>
          <w:rFonts w:ascii="Times New Roman" w:eastAsia="Times New Roman" w:hAnsi="Times New Roman" w:cs="Times New Roman"/>
          <w:color w:val="0000FF"/>
          <w:sz w:val="24"/>
          <w:szCs w:val="24"/>
          <w:u w:val="single"/>
          <w:lang w:eastAsia="en-GB"/>
        </w:rPr>
        <w:t>https://doi.org/10.1016/j.gfs.2018.06.001</w:t>
      </w:r>
    </w:p>
    <w:p w14:paraId="110DADF3"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FAO, IFAD, UNICEF, WFP, &amp; WHO. (2023). </w:t>
      </w:r>
      <w:r w:rsidRPr="008665DB">
        <w:rPr>
          <w:rFonts w:ascii="Times New Roman" w:eastAsia="Times New Roman" w:hAnsi="Times New Roman" w:cs="Times New Roman"/>
          <w:i/>
          <w:iCs/>
          <w:sz w:val="24"/>
          <w:szCs w:val="24"/>
          <w:lang w:eastAsia="en-GB"/>
        </w:rPr>
        <w:t>The state of food security and nutrition in the world 2023: Urbanization, agrifood systems transformation and healthy diets across the rural–urban continuum</w:t>
      </w:r>
      <w:r w:rsidRPr="008665DB">
        <w:rPr>
          <w:rFonts w:ascii="Times New Roman" w:eastAsia="Times New Roman" w:hAnsi="Times New Roman" w:cs="Times New Roman"/>
          <w:sz w:val="24"/>
          <w:szCs w:val="24"/>
          <w:lang w:eastAsia="en-GB"/>
        </w:rPr>
        <w:t xml:space="preserve">. FAO. </w:t>
      </w:r>
      <w:r w:rsidRPr="008665DB">
        <w:rPr>
          <w:rFonts w:ascii="Times New Roman" w:eastAsia="Times New Roman" w:hAnsi="Times New Roman" w:cs="Times New Roman"/>
          <w:color w:val="0000FF"/>
          <w:sz w:val="24"/>
          <w:szCs w:val="24"/>
          <w:u w:val="single"/>
          <w:lang w:eastAsia="en-GB"/>
        </w:rPr>
        <w:t>https://doi.org/10.4060/cc3017en</w:t>
      </w:r>
    </w:p>
    <w:p w14:paraId="54D6EB96"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Funk, C., Peterson, P., </w:t>
      </w:r>
      <w:proofErr w:type="spellStart"/>
      <w:r w:rsidRPr="008665DB">
        <w:rPr>
          <w:rFonts w:ascii="Times New Roman" w:eastAsia="Times New Roman" w:hAnsi="Times New Roman" w:cs="Times New Roman"/>
          <w:sz w:val="24"/>
          <w:szCs w:val="24"/>
          <w:lang w:eastAsia="en-GB"/>
        </w:rPr>
        <w:t>Landsfeld</w:t>
      </w:r>
      <w:proofErr w:type="spellEnd"/>
      <w:r w:rsidRPr="008665DB">
        <w:rPr>
          <w:rFonts w:ascii="Times New Roman" w:eastAsia="Times New Roman" w:hAnsi="Times New Roman" w:cs="Times New Roman"/>
          <w:sz w:val="24"/>
          <w:szCs w:val="24"/>
          <w:lang w:eastAsia="en-GB"/>
        </w:rPr>
        <w:t xml:space="preserve">, M., Pedreros, D., Verdin, J., Shukla, S., Husak, G., Rowland, J., Harrison, L., Hoell, A., &amp; Michaelsen, J. (2015). The climate hazards infrared precipitation with stations — a new environmental record for monitoring extremes. </w:t>
      </w:r>
      <w:r w:rsidRPr="008665DB">
        <w:rPr>
          <w:rFonts w:ascii="Times New Roman" w:eastAsia="Times New Roman" w:hAnsi="Times New Roman" w:cs="Times New Roman"/>
          <w:i/>
          <w:iCs/>
          <w:sz w:val="24"/>
          <w:szCs w:val="24"/>
          <w:lang w:eastAsia="en-GB"/>
        </w:rPr>
        <w:t>Scientific Data</w:t>
      </w:r>
      <w:r w:rsidRPr="008665DB">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i/>
          <w:iCs/>
          <w:sz w:val="24"/>
          <w:szCs w:val="24"/>
          <w:lang w:eastAsia="en-GB"/>
        </w:rPr>
        <w:t>2</w:t>
      </w:r>
      <w:r w:rsidRPr="008665DB">
        <w:rPr>
          <w:rFonts w:ascii="Times New Roman" w:eastAsia="Times New Roman" w:hAnsi="Times New Roman" w:cs="Times New Roman"/>
          <w:sz w:val="24"/>
          <w:szCs w:val="24"/>
          <w:lang w:eastAsia="en-GB"/>
        </w:rPr>
        <w:t xml:space="preserve">(1), 150066. </w:t>
      </w:r>
      <w:r w:rsidRPr="008665DB">
        <w:rPr>
          <w:rFonts w:ascii="Times New Roman" w:eastAsia="Times New Roman" w:hAnsi="Times New Roman" w:cs="Times New Roman"/>
          <w:color w:val="0000FF"/>
          <w:sz w:val="24"/>
          <w:szCs w:val="24"/>
          <w:u w:val="single"/>
          <w:lang w:eastAsia="en-GB"/>
        </w:rPr>
        <w:t>https://doi.org/10.1038/sdata.2015.66</w:t>
      </w:r>
    </w:p>
    <w:p w14:paraId="5418CF0E"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Green, B. N., Johnson, C. D., &amp; Adams, A. (2006). Writing narrative literature reviews for peer-reviewed journals: secrets of the trade. </w:t>
      </w:r>
      <w:r w:rsidRPr="008665DB">
        <w:rPr>
          <w:rFonts w:ascii="Times New Roman" w:eastAsia="Times New Roman" w:hAnsi="Times New Roman" w:cs="Times New Roman"/>
          <w:i/>
          <w:iCs/>
          <w:sz w:val="24"/>
          <w:szCs w:val="24"/>
          <w:lang w:eastAsia="en-GB"/>
        </w:rPr>
        <w:t>Journal of Chiropractic Medicine</w:t>
      </w:r>
      <w:r w:rsidRPr="008665DB">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i/>
          <w:iCs/>
          <w:sz w:val="24"/>
          <w:szCs w:val="24"/>
          <w:lang w:eastAsia="en-GB"/>
        </w:rPr>
        <w:t>5</w:t>
      </w:r>
      <w:r w:rsidRPr="008665DB">
        <w:rPr>
          <w:rFonts w:ascii="Times New Roman" w:eastAsia="Times New Roman" w:hAnsi="Times New Roman" w:cs="Times New Roman"/>
          <w:sz w:val="24"/>
          <w:szCs w:val="24"/>
          <w:lang w:eastAsia="en-GB"/>
        </w:rPr>
        <w:t xml:space="preserve">(3), 101–117. </w:t>
      </w:r>
      <w:r w:rsidRPr="008665DB">
        <w:rPr>
          <w:rFonts w:ascii="Times New Roman" w:eastAsia="Times New Roman" w:hAnsi="Times New Roman" w:cs="Times New Roman"/>
          <w:color w:val="0000FF"/>
          <w:sz w:val="24"/>
          <w:szCs w:val="24"/>
          <w:u w:val="single"/>
          <w:lang w:eastAsia="en-GB"/>
        </w:rPr>
        <w:t>https://doi.org/10.1016/S0899-3467(07)60142-6</w:t>
      </w:r>
    </w:p>
    <w:p w14:paraId="56CC25B3"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Guerrant, R. L., DeBoer, M. D., Moore, S. R., Scharf, R. J., &amp; Lima, A. A. M. (2013). The impoverished gut — a triple burden of diarrhoea, stunting and chronic disease. </w:t>
      </w:r>
      <w:r w:rsidRPr="008665DB">
        <w:rPr>
          <w:rFonts w:ascii="Times New Roman" w:eastAsia="Times New Roman" w:hAnsi="Times New Roman" w:cs="Times New Roman"/>
          <w:i/>
          <w:iCs/>
          <w:sz w:val="24"/>
          <w:szCs w:val="24"/>
          <w:lang w:eastAsia="en-GB"/>
        </w:rPr>
        <w:t>Nature Reviews Gastroenterology &amp; Hepatology</w:t>
      </w:r>
      <w:r w:rsidRPr="008665DB">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i/>
          <w:iCs/>
          <w:sz w:val="24"/>
          <w:szCs w:val="24"/>
          <w:lang w:eastAsia="en-GB"/>
        </w:rPr>
        <w:t>10</w:t>
      </w:r>
      <w:r w:rsidRPr="008665DB">
        <w:rPr>
          <w:rFonts w:ascii="Times New Roman" w:eastAsia="Times New Roman" w:hAnsi="Times New Roman" w:cs="Times New Roman"/>
          <w:sz w:val="24"/>
          <w:szCs w:val="24"/>
          <w:lang w:eastAsia="en-GB"/>
        </w:rPr>
        <w:t xml:space="preserve">(4), 220–229. </w:t>
      </w:r>
      <w:r w:rsidRPr="008665DB">
        <w:rPr>
          <w:rFonts w:ascii="Times New Roman" w:eastAsia="Times New Roman" w:hAnsi="Times New Roman" w:cs="Times New Roman"/>
          <w:color w:val="0000FF"/>
          <w:sz w:val="24"/>
          <w:szCs w:val="24"/>
          <w:u w:val="single"/>
          <w:lang w:eastAsia="en-GB"/>
        </w:rPr>
        <w:t>https://doi.org/10.1038/nrgastro.2012.239</w:t>
      </w:r>
    </w:p>
    <w:p w14:paraId="70CF2728"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8665DB">
        <w:rPr>
          <w:rFonts w:ascii="Times New Roman" w:eastAsia="Times New Roman" w:hAnsi="Times New Roman" w:cs="Times New Roman"/>
          <w:sz w:val="24"/>
          <w:szCs w:val="24"/>
          <w:lang w:eastAsia="en-GB"/>
        </w:rPr>
        <w:t>Labrique</w:t>
      </w:r>
      <w:proofErr w:type="spellEnd"/>
      <w:r w:rsidRPr="008665DB">
        <w:rPr>
          <w:rFonts w:ascii="Times New Roman" w:eastAsia="Times New Roman" w:hAnsi="Times New Roman" w:cs="Times New Roman"/>
          <w:sz w:val="24"/>
          <w:szCs w:val="24"/>
          <w:lang w:eastAsia="en-GB"/>
        </w:rPr>
        <w:t xml:space="preserve">, A. B., Vasudevan, L., Kochi, E., Fabricant, R., &amp; Mehl, G. (2013). mHealth innovations as health system strengthening tools: 12 common applications and a visual framework. </w:t>
      </w:r>
      <w:r w:rsidRPr="008665DB">
        <w:rPr>
          <w:rFonts w:ascii="Times New Roman" w:eastAsia="Times New Roman" w:hAnsi="Times New Roman" w:cs="Times New Roman"/>
          <w:i/>
          <w:iCs/>
          <w:sz w:val="24"/>
          <w:szCs w:val="24"/>
          <w:lang w:eastAsia="en-GB"/>
        </w:rPr>
        <w:t>Global Health: Science and Practice</w:t>
      </w:r>
      <w:r w:rsidRPr="008665DB">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i/>
          <w:iCs/>
          <w:sz w:val="24"/>
          <w:szCs w:val="24"/>
          <w:lang w:eastAsia="en-GB"/>
        </w:rPr>
        <w:t>1</w:t>
      </w:r>
      <w:r w:rsidRPr="008665DB">
        <w:rPr>
          <w:rFonts w:ascii="Times New Roman" w:eastAsia="Times New Roman" w:hAnsi="Times New Roman" w:cs="Times New Roman"/>
          <w:sz w:val="24"/>
          <w:szCs w:val="24"/>
          <w:lang w:eastAsia="en-GB"/>
        </w:rPr>
        <w:t xml:space="preserve">(2), 160–171. </w:t>
      </w:r>
      <w:r w:rsidRPr="008665DB">
        <w:rPr>
          <w:rFonts w:ascii="Times New Roman" w:eastAsia="Times New Roman" w:hAnsi="Times New Roman" w:cs="Times New Roman"/>
          <w:color w:val="0000FF"/>
          <w:sz w:val="24"/>
          <w:szCs w:val="24"/>
          <w:u w:val="single"/>
          <w:lang w:eastAsia="en-GB"/>
        </w:rPr>
        <w:t>https://doi.org/10.9745/GHSP-D-13-00031</w:t>
      </w:r>
    </w:p>
    <w:p w14:paraId="561E0F48"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LeCun, Y., Bengio, Y., &amp; Hinton, G. (2015). Deep learning. </w:t>
      </w:r>
      <w:r w:rsidRPr="008665DB">
        <w:rPr>
          <w:rFonts w:ascii="Times New Roman" w:eastAsia="Times New Roman" w:hAnsi="Times New Roman" w:cs="Times New Roman"/>
          <w:i/>
          <w:iCs/>
          <w:sz w:val="24"/>
          <w:szCs w:val="24"/>
          <w:lang w:eastAsia="en-GB"/>
        </w:rPr>
        <w:t>Nature</w:t>
      </w:r>
      <w:r w:rsidRPr="008665DB">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i/>
          <w:iCs/>
          <w:sz w:val="24"/>
          <w:szCs w:val="24"/>
          <w:lang w:eastAsia="en-GB"/>
        </w:rPr>
        <w:t>521</w:t>
      </w:r>
      <w:r w:rsidRPr="008665DB">
        <w:rPr>
          <w:rFonts w:ascii="Times New Roman" w:eastAsia="Times New Roman" w:hAnsi="Times New Roman" w:cs="Times New Roman"/>
          <w:sz w:val="24"/>
          <w:szCs w:val="24"/>
          <w:lang w:eastAsia="en-GB"/>
        </w:rPr>
        <w:t xml:space="preserve">(7553), 436–444. </w:t>
      </w:r>
      <w:r w:rsidRPr="008665DB">
        <w:rPr>
          <w:rFonts w:ascii="Times New Roman" w:eastAsia="Times New Roman" w:hAnsi="Times New Roman" w:cs="Times New Roman"/>
          <w:color w:val="0000FF"/>
          <w:sz w:val="24"/>
          <w:szCs w:val="24"/>
          <w:u w:val="single"/>
          <w:lang w:eastAsia="en-GB"/>
        </w:rPr>
        <w:t>https://doi.org/10.1038/nature14539</w:t>
      </w:r>
    </w:p>
    <w:p w14:paraId="5A3D30C5"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Li, T., Sahu, A. K., Talwalkar, A., &amp; Smith, V. (2020). Federated learning: challenges, methods, and future directions. </w:t>
      </w:r>
      <w:r w:rsidRPr="008665DB">
        <w:rPr>
          <w:rFonts w:ascii="Times New Roman" w:eastAsia="Times New Roman" w:hAnsi="Times New Roman" w:cs="Times New Roman"/>
          <w:i/>
          <w:iCs/>
          <w:sz w:val="24"/>
          <w:szCs w:val="24"/>
          <w:lang w:eastAsia="en-GB"/>
        </w:rPr>
        <w:t>IEEE Signal Processing Magazine</w:t>
      </w:r>
      <w:r w:rsidRPr="008665DB">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i/>
          <w:iCs/>
          <w:sz w:val="24"/>
          <w:szCs w:val="24"/>
          <w:lang w:eastAsia="en-GB"/>
        </w:rPr>
        <w:t>37</w:t>
      </w:r>
      <w:r w:rsidRPr="008665DB">
        <w:rPr>
          <w:rFonts w:ascii="Times New Roman" w:eastAsia="Times New Roman" w:hAnsi="Times New Roman" w:cs="Times New Roman"/>
          <w:sz w:val="24"/>
          <w:szCs w:val="24"/>
          <w:lang w:eastAsia="en-GB"/>
        </w:rPr>
        <w:t xml:space="preserve">(3), 50–60. </w:t>
      </w:r>
      <w:r w:rsidRPr="008665DB">
        <w:rPr>
          <w:rFonts w:ascii="Times New Roman" w:eastAsia="Times New Roman" w:hAnsi="Times New Roman" w:cs="Times New Roman"/>
          <w:color w:val="0000FF"/>
          <w:sz w:val="24"/>
          <w:szCs w:val="24"/>
          <w:u w:val="single"/>
          <w:lang w:eastAsia="en-GB"/>
        </w:rPr>
        <w:t>https://doi.org/10.1109/MSP.2020.2975749</w:t>
      </w:r>
    </w:p>
    <w:p w14:paraId="7884D9D1"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Lloyd, S. J., Kovats, R. S., &amp; Chalabi, Z. (2011). Climate change, crop yields, and undernutrition: development of a model to quantify the impact of climate scenarios on child undernutrition. </w:t>
      </w:r>
      <w:r w:rsidRPr="008665DB">
        <w:rPr>
          <w:rFonts w:ascii="Times New Roman" w:eastAsia="Times New Roman" w:hAnsi="Times New Roman" w:cs="Times New Roman"/>
          <w:i/>
          <w:iCs/>
          <w:sz w:val="24"/>
          <w:szCs w:val="24"/>
          <w:lang w:eastAsia="en-GB"/>
        </w:rPr>
        <w:t>Environmental Health Perspectives</w:t>
      </w:r>
      <w:r w:rsidRPr="008665DB">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i/>
          <w:iCs/>
          <w:sz w:val="24"/>
          <w:szCs w:val="24"/>
          <w:lang w:eastAsia="en-GB"/>
        </w:rPr>
        <w:t>119</w:t>
      </w:r>
      <w:r w:rsidRPr="008665DB">
        <w:rPr>
          <w:rFonts w:ascii="Times New Roman" w:eastAsia="Times New Roman" w:hAnsi="Times New Roman" w:cs="Times New Roman"/>
          <w:sz w:val="24"/>
          <w:szCs w:val="24"/>
          <w:lang w:eastAsia="en-GB"/>
        </w:rPr>
        <w:t xml:space="preserve">(12), 1817–1823. </w:t>
      </w:r>
      <w:r w:rsidRPr="008665DB">
        <w:rPr>
          <w:rFonts w:ascii="Times New Roman" w:eastAsia="Times New Roman" w:hAnsi="Times New Roman" w:cs="Times New Roman"/>
          <w:color w:val="0000FF"/>
          <w:sz w:val="24"/>
          <w:szCs w:val="24"/>
          <w:u w:val="single"/>
          <w:lang w:eastAsia="en-GB"/>
        </w:rPr>
        <w:t>https://doi.org/10.1289/ehp.1003311</w:t>
      </w:r>
    </w:p>
    <w:p w14:paraId="1BA5287B"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Lundberg, S. M., Erion, G., Chen, H., DeGrave, A., </w:t>
      </w:r>
      <w:proofErr w:type="spellStart"/>
      <w:r w:rsidRPr="008665DB">
        <w:rPr>
          <w:rFonts w:ascii="Times New Roman" w:eastAsia="Times New Roman" w:hAnsi="Times New Roman" w:cs="Times New Roman"/>
          <w:sz w:val="24"/>
          <w:szCs w:val="24"/>
          <w:lang w:eastAsia="en-GB"/>
        </w:rPr>
        <w:t>Prutkin</w:t>
      </w:r>
      <w:proofErr w:type="spellEnd"/>
      <w:r w:rsidRPr="008665DB">
        <w:rPr>
          <w:rFonts w:ascii="Times New Roman" w:eastAsia="Times New Roman" w:hAnsi="Times New Roman" w:cs="Times New Roman"/>
          <w:sz w:val="24"/>
          <w:szCs w:val="24"/>
          <w:lang w:eastAsia="en-GB"/>
        </w:rPr>
        <w:t xml:space="preserve">, J. M., Nair, B., Katz, R., Himmelfarb, J., Bansal, N., &amp; Lee, S. I. (2020). From local explanations to global understanding with explainable AI for trees. </w:t>
      </w:r>
      <w:r w:rsidRPr="008665DB">
        <w:rPr>
          <w:rFonts w:ascii="Times New Roman" w:eastAsia="Times New Roman" w:hAnsi="Times New Roman" w:cs="Times New Roman"/>
          <w:i/>
          <w:iCs/>
          <w:sz w:val="24"/>
          <w:szCs w:val="24"/>
          <w:lang w:eastAsia="en-GB"/>
        </w:rPr>
        <w:t>Nature Machine Intelligence</w:t>
      </w:r>
      <w:r w:rsidRPr="008665DB">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i/>
          <w:iCs/>
          <w:sz w:val="24"/>
          <w:szCs w:val="24"/>
          <w:lang w:eastAsia="en-GB"/>
        </w:rPr>
        <w:t>2</w:t>
      </w:r>
      <w:r w:rsidRPr="008665DB">
        <w:rPr>
          <w:rFonts w:ascii="Times New Roman" w:eastAsia="Times New Roman" w:hAnsi="Times New Roman" w:cs="Times New Roman"/>
          <w:sz w:val="24"/>
          <w:szCs w:val="24"/>
          <w:lang w:eastAsia="en-GB"/>
        </w:rPr>
        <w:t xml:space="preserve">(1), 56–67. </w:t>
      </w:r>
      <w:r w:rsidRPr="008665DB">
        <w:rPr>
          <w:rFonts w:ascii="Times New Roman" w:eastAsia="Times New Roman" w:hAnsi="Times New Roman" w:cs="Times New Roman"/>
          <w:color w:val="0000FF"/>
          <w:sz w:val="24"/>
          <w:szCs w:val="24"/>
          <w:u w:val="single"/>
          <w:lang w:eastAsia="en-GB"/>
        </w:rPr>
        <w:t>https://doi.org/10.1038/s42256-019-0138-9</w:t>
      </w:r>
    </w:p>
    <w:p w14:paraId="2A0EAC69"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Myatt, M., Khara, T., </w:t>
      </w:r>
      <w:proofErr w:type="spellStart"/>
      <w:r w:rsidRPr="008665DB">
        <w:rPr>
          <w:rFonts w:ascii="Times New Roman" w:eastAsia="Times New Roman" w:hAnsi="Times New Roman" w:cs="Times New Roman"/>
          <w:sz w:val="24"/>
          <w:szCs w:val="24"/>
          <w:lang w:eastAsia="en-GB"/>
        </w:rPr>
        <w:t>Schoenbuchner</w:t>
      </w:r>
      <w:proofErr w:type="spellEnd"/>
      <w:r w:rsidRPr="008665DB">
        <w:rPr>
          <w:rFonts w:ascii="Times New Roman" w:eastAsia="Times New Roman" w:hAnsi="Times New Roman" w:cs="Times New Roman"/>
          <w:sz w:val="24"/>
          <w:szCs w:val="24"/>
          <w:lang w:eastAsia="en-GB"/>
        </w:rPr>
        <w:t xml:space="preserve">, S., Pietzsch, S., Dolan, C., Lelijveld, N., &amp; </w:t>
      </w:r>
      <w:proofErr w:type="spellStart"/>
      <w:r w:rsidRPr="008665DB">
        <w:rPr>
          <w:rFonts w:ascii="Times New Roman" w:eastAsia="Times New Roman" w:hAnsi="Times New Roman" w:cs="Times New Roman"/>
          <w:sz w:val="24"/>
          <w:szCs w:val="24"/>
          <w:lang w:eastAsia="en-GB"/>
        </w:rPr>
        <w:t>Briend</w:t>
      </w:r>
      <w:proofErr w:type="spellEnd"/>
      <w:r w:rsidRPr="008665DB">
        <w:rPr>
          <w:rFonts w:ascii="Times New Roman" w:eastAsia="Times New Roman" w:hAnsi="Times New Roman" w:cs="Times New Roman"/>
          <w:sz w:val="24"/>
          <w:szCs w:val="24"/>
          <w:lang w:eastAsia="en-GB"/>
        </w:rPr>
        <w:t xml:space="preserve">, A. (2018). Children who are both wasted and stunted are also underweight and have a high risk </w:t>
      </w:r>
      <w:r w:rsidRPr="008665DB">
        <w:rPr>
          <w:rFonts w:ascii="Times New Roman" w:eastAsia="Times New Roman" w:hAnsi="Times New Roman" w:cs="Times New Roman"/>
          <w:sz w:val="24"/>
          <w:szCs w:val="24"/>
          <w:lang w:eastAsia="en-GB"/>
        </w:rPr>
        <w:lastRenderedPageBreak/>
        <w:t xml:space="preserve">of death: a descriptive epidemiology of multiple anthropometric deficits using data from 51 countries. </w:t>
      </w:r>
      <w:r w:rsidRPr="008665DB">
        <w:rPr>
          <w:rFonts w:ascii="Times New Roman" w:eastAsia="Times New Roman" w:hAnsi="Times New Roman" w:cs="Times New Roman"/>
          <w:i/>
          <w:iCs/>
          <w:sz w:val="24"/>
          <w:szCs w:val="24"/>
          <w:lang w:eastAsia="en-GB"/>
        </w:rPr>
        <w:t>Archives of Public Health</w:t>
      </w:r>
      <w:r w:rsidRPr="008665DB">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i/>
          <w:iCs/>
          <w:sz w:val="24"/>
          <w:szCs w:val="24"/>
          <w:lang w:eastAsia="en-GB"/>
        </w:rPr>
        <w:t>76</w:t>
      </w:r>
      <w:r w:rsidRPr="008665DB">
        <w:rPr>
          <w:rFonts w:ascii="Times New Roman" w:eastAsia="Times New Roman" w:hAnsi="Times New Roman" w:cs="Times New Roman"/>
          <w:sz w:val="24"/>
          <w:szCs w:val="24"/>
          <w:lang w:eastAsia="en-GB"/>
        </w:rPr>
        <w:t xml:space="preserve">, 28. </w:t>
      </w:r>
      <w:r w:rsidRPr="008665DB">
        <w:rPr>
          <w:rFonts w:ascii="Times New Roman" w:eastAsia="Times New Roman" w:hAnsi="Times New Roman" w:cs="Times New Roman"/>
          <w:color w:val="0000FF"/>
          <w:sz w:val="24"/>
          <w:szCs w:val="24"/>
          <w:u w:val="single"/>
          <w:lang w:eastAsia="en-GB"/>
        </w:rPr>
        <w:t>https://doi.org/10.1186/s13690-018-0277-1</w:t>
      </w:r>
    </w:p>
    <w:p w14:paraId="0FF8F4B1"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Obermeyer, Z., &amp; Emanuel, E. J. (2016). Predicting the future — big data, machine learning, and clinical medicine. </w:t>
      </w:r>
      <w:r w:rsidRPr="008665DB">
        <w:rPr>
          <w:rFonts w:ascii="Times New Roman" w:eastAsia="Times New Roman" w:hAnsi="Times New Roman" w:cs="Times New Roman"/>
          <w:i/>
          <w:iCs/>
          <w:sz w:val="24"/>
          <w:szCs w:val="24"/>
          <w:lang w:eastAsia="en-GB"/>
        </w:rPr>
        <w:t>New England Journal of Medicine</w:t>
      </w:r>
      <w:r w:rsidRPr="008665DB">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i/>
          <w:iCs/>
          <w:sz w:val="24"/>
          <w:szCs w:val="24"/>
          <w:lang w:eastAsia="en-GB"/>
        </w:rPr>
        <w:t>375</w:t>
      </w:r>
      <w:r w:rsidRPr="008665DB">
        <w:rPr>
          <w:rFonts w:ascii="Times New Roman" w:eastAsia="Times New Roman" w:hAnsi="Times New Roman" w:cs="Times New Roman"/>
          <w:sz w:val="24"/>
          <w:szCs w:val="24"/>
          <w:lang w:eastAsia="en-GB"/>
        </w:rPr>
        <w:t xml:space="preserve">(13), 1216–1219. </w:t>
      </w:r>
      <w:r w:rsidRPr="008665DB">
        <w:rPr>
          <w:rFonts w:ascii="Times New Roman" w:eastAsia="Times New Roman" w:hAnsi="Times New Roman" w:cs="Times New Roman"/>
          <w:color w:val="0000FF"/>
          <w:sz w:val="24"/>
          <w:szCs w:val="24"/>
          <w:u w:val="single"/>
          <w:lang w:eastAsia="en-GB"/>
        </w:rPr>
        <w:t>https://doi.org/10.1056/NEJMp1606181</w:t>
      </w:r>
    </w:p>
    <w:p w14:paraId="5CCFD4C9"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Obermeyer, Z., Powers, B., Vogeli, C., &amp; Mullainathan, S. (2019). Dissecting racial bias in an algorithm used to manage the health of populations. </w:t>
      </w:r>
      <w:r w:rsidRPr="008665DB">
        <w:rPr>
          <w:rFonts w:ascii="Times New Roman" w:eastAsia="Times New Roman" w:hAnsi="Times New Roman" w:cs="Times New Roman"/>
          <w:i/>
          <w:iCs/>
          <w:sz w:val="24"/>
          <w:szCs w:val="24"/>
          <w:lang w:eastAsia="en-GB"/>
        </w:rPr>
        <w:t>Science</w:t>
      </w:r>
      <w:r w:rsidRPr="008665DB">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i/>
          <w:iCs/>
          <w:sz w:val="24"/>
          <w:szCs w:val="24"/>
          <w:lang w:eastAsia="en-GB"/>
        </w:rPr>
        <w:t>366</w:t>
      </w:r>
      <w:r w:rsidRPr="008665DB">
        <w:rPr>
          <w:rFonts w:ascii="Times New Roman" w:eastAsia="Times New Roman" w:hAnsi="Times New Roman" w:cs="Times New Roman"/>
          <w:sz w:val="24"/>
          <w:szCs w:val="24"/>
          <w:lang w:eastAsia="en-GB"/>
        </w:rPr>
        <w:t xml:space="preserve">(6464), 447–453. </w:t>
      </w:r>
      <w:r w:rsidRPr="008665DB">
        <w:rPr>
          <w:rFonts w:ascii="Times New Roman" w:eastAsia="Times New Roman" w:hAnsi="Times New Roman" w:cs="Times New Roman"/>
          <w:color w:val="0000FF"/>
          <w:sz w:val="24"/>
          <w:szCs w:val="24"/>
          <w:u w:val="single"/>
          <w:lang w:eastAsia="en-GB"/>
        </w:rPr>
        <w:t>https://doi.org/10.1126/science.aax2342</w:t>
      </w:r>
    </w:p>
    <w:p w14:paraId="2C22FC7C"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Osgood-Zimmerman, A., </w:t>
      </w:r>
      <w:proofErr w:type="spellStart"/>
      <w:r w:rsidRPr="008665DB">
        <w:rPr>
          <w:rFonts w:ascii="Times New Roman" w:eastAsia="Times New Roman" w:hAnsi="Times New Roman" w:cs="Times New Roman"/>
          <w:sz w:val="24"/>
          <w:szCs w:val="24"/>
          <w:lang w:eastAsia="en-GB"/>
        </w:rPr>
        <w:t>Millear</w:t>
      </w:r>
      <w:proofErr w:type="spellEnd"/>
      <w:r w:rsidRPr="008665DB">
        <w:rPr>
          <w:rFonts w:ascii="Times New Roman" w:eastAsia="Times New Roman" w:hAnsi="Times New Roman" w:cs="Times New Roman"/>
          <w:sz w:val="24"/>
          <w:szCs w:val="24"/>
          <w:lang w:eastAsia="en-GB"/>
        </w:rPr>
        <w:t xml:space="preserve">, A. I., Stubbs, R. W., Shields, C., Pickering, B. V., Earl, L., Graetz, N., </w:t>
      </w:r>
      <w:proofErr w:type="spellStart"/>
      <w:r w:rsidRPr="008665DB">
        <w:rPr>
          <w:rFonts w:ascii="Times New Roman" w:eastAsia="Times New Roman" w:hAnsi="Times New Roman" w:cs="Times New Roman"/>
          <w:sz w:val="24"/>
          <w:szCs w:val="24"/>
          <w:lang w:eastAsia="en-GB"/>
        </w:rPr>
        <w:t>Kinyoki</w:t>
      </w:r>
      <w:proofErr w:type="spellEnd"/>
      <w:r w:rsidRPr="008665DB">
        <w:rPr>
          <w:rFonts w:ascii="Times New Roman" w:eastAsia="Times New Roman" w:hAnsi="Times New Roman" w:cs="Times New Roman"/>
          <w:sz w:val="24"/>
          <w:szCs w:val="24"/>
          <w:lang w:eastAsia="en-GB"/>
        </w:rPr>
        <w:t xml:space="preserve">, D. K., Ray, S. E., Bhatt, S., Browne, A. J., Burstein, R., Cameron, E., Casey, D. C., Deshpande, A., Fullman, N., Gething, P. W., Gibson, H. S., Henry, N. J., . . . Hay, S. I. (2018). Mapping child growth failure in Africa between 2000 and 2015. </w:t>
      </w:r>
      <w:r w:rsidRPr="008665DB">
        <w:rPr>
          <w:rFonts w:ascii="Times New Roman" w:eastAsia="Times New Roman" w:hAnsi="Times New Roman" w:cs="Times New Roman"/>
          <w:i/>
          <w:iCs/>
          <w:sz w:val="24"/>
          <w:szCs w:val="24"/>
          <w:lang w:eastAsia="en-GB"/>
        </w:rPr>
        <w:t>Nature</w:t>
      </w:r>
      <w:r w:rsidRPr="008665DB">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i/>
          <w:iCs/>
          <w:sz w:val="24"/>
          <w:szCs w:val="24"/>
          <w:lang w:eastAsia="en-GB"/>
        </w:rPr>
        <w:t>555</w:t>
      </w:r>
      <w:r w:rsidRPr="008665DB">
        <w:rPr>
          <w:rFonts w:ascii="Times New Roman" w:eastAsia="Times New Roman" w:hAnsi="Times New Roman" w:cs="Times New Roman"/>
          <w:sz w:val="24"/>
          <w:szCs w:val="24"/>
          <w:lang w:eastAsia="en-GB"/>
        </w:rPr>
        <w:t xml:space="preserve">(7694), 41–47. </w:t>
      </w:r>
      <w:r w:rsidRPr="008665DB">
        <w:rPr>
          <w:rFonts w:ascii="Times New Roman" w:eastAsia="Times New Roman" w:hAnsi="Times New Roman" w:cs="Times New Roman"/>
          <w:color w:val="0000FF"/>
          <w:sz w:val="24"/>
          <w:szCs w:val="24"/>
          <w:u w:val="single"/>
          <w:lang w:eastAsia="en-GB"/>
        </w:rPr>
        <w:t>https://doi.org/10.1038/nature25760</w:t>
      </w:r>
    </w:p>
    <w:p w14:paraId="553CF63D"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Popkin, B. M., Corvalan, C., &amp; Grummer-Strawn, L. M. (2020). Dynamics of the double burden of malnutrition and the changing nutrition reality. </w:t>
      </w:r>
      <w:r w:rsidRPr="008665DB">
        <w:rPr>
          <w:rFonts w:ascii="Times New Roman" w:eastAsia="Times New Roman" w:hAnsi="Times New Roman" w:cs="Times New Roman"/>
          <w:i/>
          <w:iCs/>
          <w:sz w:val="24"/>
          <w:szCs w:val="24"/>
          <w:lang w:eastAsia="en-GB"/>
        </w:rPr>
        <w:t>The Lancet</w:t>
      </w:r>
      <w:r w:rsidRPr="008665DB">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i/>
          <w:iCs/>
          <w:sz w:val="24"/>
          <w:szCs w:val="24"/>
          <w:lang w:eastAsia="en-GB"/>
        </w:rPr>
        <w:t>395</w:t>
      </w:r>
      <w:r w:rsidRPr="008665DB">
        <w:rPr>
          <w:rFonts w:ascii="Times New Roman" w:eastAsia="Times New Roman" w:hAnsi="Times New Roman" w:cs="Times New Roman"/>
          <w:sz w:val="24"/>
          <w:szCs w:val="24"/>
          <w:lang w:eastAsia="en-GB"/>
        </w:rPr>
        <w:t xml:space="preserve">(10217), 65–74. </w:t>
      </w:r>
      <w:r w:rsidRPr="008665DB">
        <w:rPr>
          <w:rFonts w:ascii="Times New Roman" w:eastAsia="Times New Roman" w:hAnsi="Times New Roman" w:cs="Times New Roman"/>
          <w:color w:val="0000FF"/>
          <w:sz w:val="24"/>
          <w:szCs w:val="24"/>
          <w:u w:val="single"/>
          <w:lang w:eastAsia="en-GB"/>
        </w:rPr>
        <w:t>https://doi.org/10.1016/S0140-6736(19)32497-3</w:t>
      </w:r>
    </w:p>
    <w:p w14:paraId="1EBF7028"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8665DB">
        <w:rPr>
          <w:rFonts w:ascii="Times New Roman" w:eastAsia="Times New Roman" w:hAnsi="Times New Roman" w:cs="Times New Roman"/>
          <w:sz w:val="24"/>
          <w:szCs w:val="24"/>
          <w:lang w:eastAsia="en-GB"/>
        </w:rPr>
        <w:t>Rajpurkar</w:t>
      </w:r>
      <w:proofErr w:type="spellEnd"/>
      <w:r w:rsidRPr="008665DB">
        <w:rPr>
          <w:rFonts w:ascii="Times New Roman" w:eastAsia="Times New Roman" w:hAnsi="Times New Roman" w:cs="Times New Roman"/>
          <w:sz w:val="24"/>
          <w:szCs w:val="24"/>
          <w:lang w:eastAsia="en-GB"/>
        </w:rPr>
        <w:t xml:space="preserve">, P., Chen, E., Banerjee, O., &amp; Topol, E. J. (2022). AI in health and medicine. </w:t>
      </w:r>
      <w:r w:rsidRPr="008665DB">
        <w:rPr>
          <w:rFonts w:ascii="Times New Roman" w:eastAsia="Times New Roman" w:hAnsi="Times New Roman" w:cs="Times New Roman"/>
          <w:i/>
          <w:iCs/>
          <w:sz w:val="24"/>
          <w:szCs w:val="24"/>
          <w:lang w:eastAsia="en-GB"/>
        </w:rPr>
        <w:t>Nature Medicine</w:t>
      </w:r>
      <w:r w:rsidRPr="008665DB">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i/>
          <w:iCs/>
          <w:sz w:val="24"/>
          <w:szCs w:val="24"/>
          <w:lang w:eastAsia="en-GB"/>
        </w:rPr>
        <w:t>28</w:t>
      </w:r>
      <w:r w:rsidRPr="008665DB">
        <w:rPr>
          <w:rFonts w:ascii="Times New Roman" w:eastAsia="Times New Roman" w:hAnsi="Times New Roman" w:cs="Times New Roman"/>
          <w:sz w:val="24"/>
          <w:szCs w:val="24"/>
          <w:lang w:eastAsia="en-GB"/>
        </w:rPr>
        <w:t xml:space="preserve">(1), 31–38. </w:t>
      </w:r>
      <w:r w:rsidRPr="008665DB">
        <w:rPr>
          <w:rFonts w:ascii="Times New Roman" w:eastAsia="Times New Roman" w:hAnsi="Times New Roman" w:cs="Times New Roman"/>
          <w:color w:val="0000FF"/>
          <w:sz w:val="24"/>
          <w:szCs w:val="24"/>
          <w:u w:val="single"/>
          <w:lang w:eastAsia="en-GB"/>
        </w:rPr>
        <w:t>https://doi.org/10.1038/s41591-021-01614-0</w:t>
      </w:r>
    </w:p>
    <w:p w14:paraId="313E7AE2"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Ruel, M. T., Alderman, H., &amp; Maternal and Child Nutrition Study Group. (2013). Nutrition-sensitive interventions and programmes: how can they help to accelerate progress in improving maternal and child nutrition? </w:t>
      </w:r>
      <w:r w:rsidRPr="008665DB">
        <w:rPr>
          <w:rFonts w:ascii="Times New Roman" w:eastAsia="Times New Roman" w:hAnsi="Times New Roman" w:cs="Times New Roman"/>
          <w:i/>
          <w:iCs/>
          <w:sz w:val="24"/>
          <w:szCs w:val="24"/>
          <w:lang w:eastAsia="en-GB"/>
        </w:rPr>
        <w:t>The Lancet</w:t>
      </w:r>
      <w:r w:rsidRPr="008665DB">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i/>
          <w:iCs/>
          <w:sz w:val="24"/>
          <w:szCs w:val="24"/>
          <w:lang w:eastAsia="en-GB"/>
        </w:rPr>
        <w:t>382</w:t>
      </w:r>
      <w:r w:rsidRPr="008665DB">
        <w:rPr>
          <w:rFonts w:ascii="Times New Roman" w:eastAsia="Times New Roman" w:hAnsi="Times New Roman" w:cs="Times New Roman"/>
          <w:sz w:val="24"/>
          <w:szCs w:val="24"/>
          <w:lang w:eastAsia="en-GB"/>
        </w:rPr>
        <w:t xml:space="preserve">(9891), 536–551. </w:t>
      </w:r>
      <w:r w:rsidRPr="008665DB">
        <w:rPr>
          <w:rFonts w:ascii="Times New Roman" w:eastAsia="Times New Roman" w:hAnsi="Times New Roman" w:cs="Times New Roman"/>
          <w:color w:val="0000FF"/>
          <w:sz w:val="24"/>
          <w:szCs w:val="24"/>
          <w:u w:val="single"/>
          <w:lang w:eastAsia="en-GB"/>
        </w:rPr>
        <w:t>https://doi.org/10.1016/S0140-6736(13)60843-0</w:t>
      </w:r>
    </w:p>
    <w:p w14:paraId="44FD0D76"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Ruel, M. T., Quisumbing, A. R., &amp; </w:t>
      </w:r>
      <w:proofErr w:type="spellStart"/>
      <w:r w:rsidRPr="008665DB">
        <w:rPr>
          <w:rFonts w:ascii="Times New Roman" w:eastAsia="Times New Roman" w:hAnsi="Times New Roman" w:cs="Times New Roman"/>
          <w:sz w:val="24"/>
          <w:szCs w:val="24"/>
          <w:lang w:eastAsia="en-GB"/>
        </w:rPr>
        <w:t>Balagamwala</w:t>
      </w:r>
      <w:proofErr w:type="spellEnd"/>
      <w:r w:rsidRPr="008665DB">
        <w:rPr>
          <w:rFonts w:ascii="Times New Roman" w:eastAsia="Times New Roman" w:hAnsi="Times New Roman" w:cs="Times New Roman"/>
          <w:sz w:val="24"/>
          <w:szCs w:val="24"/>
          <w:lang w:eastAsia="en-GB"/>
        </w:rPr>
        <w:t xml:space="preserve">, M. (2018). Nutrition-sensitive agriculture: what have we learned so far? </w:t>
      </w:r>
      <w:r w:rsidRPr="008665DB">
        <w:rPr>
          <w:rFonts w:ascii="Times New Roman" w:eastAsia="Times New Roman" w:hAnsi="Times New Roman" w:cs="Times New Roman"/>
          <w:i/>
          <w:iCs/>
          <w:sz w:val="24"/>
          <w:szCs w:val="24"/>
          <w:lang w:eastAsia="en-GB"/>
        </w:rPr>
        <w:t>Global Food Security</w:t>
      </w:r>
      <w:r w:rsidRPr="008665DB">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i/>
          <w:iCs/>
          <w:sz w:val="24"/>
          <w:szCs w:val="24"/>
          <w:lang w:eastAsia="en-GB"/>
        </w:rPr>
        <w:t>17</w:t>
      </w:r>
      <w:r w:rsidRPr="008665DB">
        <w:rPr>
          <w:rFonts w:ascii="Times New Roman" w:eastAsia="Times New Roman" w:hAnsi="Times New Roman" w:cs="Times New Roman"/>
          <w:sz w:val="24"/>
          <w:szCs w:val="24"/>
          <w:lang w:eastAsia="en-GB"/>
        </w:rPr>
        <w:t xml:space="preserve">, 128–153. </w:t>
      </w:r>
      <w:r w:rsidRPr="008665DB">
        <w:rPr>
          <w:rFonts w:ascii="Times New Roman" w:eastAsia="Times New Roman" w:hAnsi="Times New Roman" w:cs="Times New Roman"/>
          <w:color w:val="0000FF"/>
          <w:sz w:val="24"/>
          <w:szCs w:val="24"/>
          <w:u w:val="single"/>
          <w:lang w:eastAsia="en-GB"/>
        </w:rPr>
        <w:t>https://doi.org/10.1016/j.gfs.2018.01.002</w:t>
      </w:r>
    </w:p>
    <w:p w14:paraId="3AFA4E25"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Smith, L. C., &amp; Haddad, L. (2015). Reducing child undernutrition: past drivers and priorities for the post-MDG era. </w:t>
      </w:r>
      <w:r w:rsidRPr="008665DB">
        <w:rPr>
          <w:rFonts w:ascii="Times New Roman" w:eastAsia="Times New Roman" w:hAnsi="Times New Roman" w:cs="Times New Roman"/>
          <w:i/>
          <w:iCs/>
          <w:sz w:val="24"/>
          <w:szCs w:val="24"/>
          <w:lang w:eastAsia="en-GB"/>
        </w:rPr>
        <w:t>World Development</w:t>
      </w:r>
      <w:r w:rsidRPr="008665DB">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i/>
          <w:iCs/>
          <w:sz w:val="24"/>
          <w:szCs w:val="24"/>
          <w:lang w:eastAsia="en-GB"/>
        </w:rPr>
        <w:t>68</w:t>
      </w:r>
      <w:r w:rsidRPr="008665DB">
        <w:rPr>
          <w:rFonts w:ascii="Times New Roman" w:eastAsia="Times New Roman" w:hAnsi="Times New Roman" w:cs="Times New Roman"/>
          <w:sz w:val="24"/>
          <w:szCs w:val="24"/>
          <w:lang w:eastAsia="en-GB"/>
        </w:rPr>
        <w:t xml:space="preserve">, 180–204. </w:t>
      </w:r>
      <w:r w:rsidRPr="008665DB">
        <w:rPr>
          <w:rFonts w:ascii="Times New Roman" w:eastAsia="Times New Roman" w:hAnsi="Times New Roman" w:cs="Times New Roman"/>
          <w:color w:val="0000FF"/>
          <w:sz w:val="24"/>
          <w:szCs w:val="24"/>
          <w:u w:val="single"/>
          <w:lang w:eastAsia="en-GB"/>
        </w:rPr>
        <w:t>https://doi.org/10.1016/j.worlddev.2014.11.014</w:t>
      </w:r>
    </w:p>
    <w:p w14:paraId="2F94B8F5"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Snyder, H. (2019). Literature review as a research methodology: an overview and guidelines. </w:t>
      </w:r>
      <w:r w:rsidRPr="008665DB">
        <w:rPr>
          <w:rFonts w:ascii="Times New Roman" w:eastAsia="Times New Roman" w:hAnsi="Times New Roman" w:cs="Times New Roman"/>
          <w:i/>
          <w:iCs/>
          <w:sz w:val="24"/>
          <w:szCs w:val="24"/>
          <w:lang w:eastAsia="en-GB"/>
        </w:rPr>
        <w:t>Journal of Business Research</w:t>
      </w:r>
      <w:r w:rsidRPr="008665DB">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i/>
          <w:iCs/>
          <w:sz w:val="24"/>
          <w:szCs w:val="24"/>
          <w:lang w:eastAsia="en-GB"/>
        </w:rPr>
        <w:t>104</w:t>
      </w:r>
      <w:r w:rsidRPr="008665DB">
        <w:rPr>
          <w:rFonts w:ascii="Times New Roman" w:eastAsia="Times New Roman" w:hAnsi="Times New Roman" w:cs="Times New Roman"/>
          <w:sz w:val="24"/>
          <w:szCs w:val="24"/>
          <w:lang w:eastAsia="en-GB"/>
        </w:rPr>
        <w:t xml:space="preserve">, 333–339. </w:t>
      </w:r>
      <w:r w:rsidRPr="008665DB">
        <w:rPr>
          <w:rFonts w:ascii="Times New Roman" w:eastAsia="Times New Roman" w:hAnsi="Times New Roman" w:cs="Times New Roman"/>
          <w:color w:val="0000FF"/>
          <w:sz w:val="24"/>
          <w:szCs w:val="24"/>
          <w:u w:val="single"/>
          <w:lang w:eastAsia="en-GB"/>
        </w:rPr>
        <w:t>https://doi.org/10.1016/j.jbusres.2019.07.039</w:t>
      </w:r>
    </w:p>
    <w:p w14:paraId="77886ED6"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Topol, E. J. (2019). High-performance medicine: the convergence of human and artificial intelligence. </w:t>
      </w:r>
      <w:r w:rsidRPr="008665DB">
        <w:rPr>
          <w:rFonts w:ascii="Times New Roman" w:eastAsia="Times New Roman" w:hAnsi="Times New Roman" w:cs="Times New Roman"/>
          <w:i/>
          <w:iCs/>
          <w:sz w:val="24"/>
          <w:szCs w:val="24"/>
          <w:lang w:eastAsia="en-GB"/>
        </w:rPr>
        <w:t>Nature Medicine</w:t>
      </w:r>
      <w:r w:rsidRPr="008665DB">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i/>
          <w:iCs/>
          <w:sz w:val="24"/>
          <w:szCs w:val="24"/>
          <w:lang w:eastAsia="en-GB"/>
        </w:rPr>
        <w:t>25</w:t>
      </w:r>
      <w:r w:rsidRPr="008665DB">
        <w:rPr>
          <w:rFonts w:ascii="Times New Roman" w:eastAsia="Times New Roman" w:hAnsi="Times New Roman" w:cs="Times New Roman"/>
          <w:sz w:val="24"/>
          <w:szCs w:val="24"/>
          <w:lang w:eastAsia="en-GB"/>
        </w:rPr>
        <w:t xml:space="preserve">(1), 44–56. </w:t>
      </w:r>
      <w:r w:rsidRPr="008665DB">
        <w:rPr>
          <w:rFonts w:ascii="Times New Roman" w:eastAsia="Times New Roman" w:hAnsi="Times New Roman" w:cs="Times New Roman"/>
          <w:color w:val="0000FF"/>
          <w:sz w:val="24"/>
          <w:szCs w:val="24"/>
          <w:u w:val="single"/>
          <w:lang w:eastAsia="en-GB"/>
        </w:rPr>
        <w:t>https://doi.org/10.1038/s41591-018-0300-7</w:t>
      </w:r>
    </w:p>
    <w:p w14:paraId="4810EDCB"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UNICEF, WHO, &amp; World Bank. (2023). </w:t>
      </w:r>
      <w:r w:rsidRPr="008665DB">
        <w:rPr>
          <w:rFonts w:ascii="Times New Roman" w:eastAsia="Times New Roman" w:hAnsi="Times New Roman" w:cs="Times New Roman"/>
          <w:i/>
          <w:iCs/>
          <w:sz w:val="24"/>
          <w:szCs w:val="24"/>
          <w:lang w:eastAsia="en-GB"/>
        </w:rPr>
        <w:t>UNICEF/WHO/World Bank Group joint child malnutrition estimates: levels and trends in child malnutrition — key findings of the 2023 edition</w:t>
      </w:r>
      <w:r w:rsidRPr="008665DB">
        <w:rPr>
          <w:rFonts w:ascii="Times New Roman" w:eastAsia="Times New Roman" w:hAnsi="Times New Roman" w:cs="Times New Roman"/>
          <w:sz w:val="24"/>
          <w:szCs w:val="24"/>
          <w:lang w:eastAsia="en-GB"/>
        </w:rPr>
        <w:t xml:space="preserve">. WHO. </w:t>
      </w:r>
      <w:r w:rsidRPr="008665DB">
        <w:rPr>
          <w:rFonts w:ascii="Times New Roman" w:eastAsia="Times New Roman" w:hAnsi="Times New Roman" w:cs="Times New Roman"/>
          <w:color w:val="0000FF"/>
          <w:sz w:val="24"/>
          <w:szCs w:val="24"/>
          <w:u w:val="single"/>
          <w:lang w:eastAsia="en-GB"/>
        </w:rPr>
        <w:t>https://www.who.int/publications/i/item/9789240073791</w:t>
      </w:r>
    </w:p>
    <w:p w14:paraId="4C7F6DDF"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United Nations. (2015). </w:t>
      </w:r>
      <w:r w:rsidRPr="008665DB">
        <w:rPr>
          <w:rFonts w:ascii="Times New Roman" w:eastAsia="Times New Roman" w:hAnsi="Times New Roman" w:cs="Times New Roman"/>
          <w:i/>
          <w:iCs/>
          <w:sz w:val="24"/>
          <w:szCs w:val="24"/>
          <w:lang w:eastAsia="en-GB"/>
        </w:rPr>
        <w:t>Transforming our world: the 2030 Agenda for Sustainable Development</w:t>
      </w:r>
      <w:r w:rsidRPr="008665DB">
        <w:rPr>
          <w:rFonts w:ascii="Times New Roman" w:eastAsia="Times New Roman" w:hAnsi="Times New Roman" w:cs="Times New Roman"/>
          <w:sz w:val="24"/>
          <w:szCs w:val="24"/>
          <w:lang w:eastAsia="en-GB"/>
        </w:rPr>
        <w:t xml:space="preserve">. Resolution adopted by the General Assembly on 25 September 2015 (A/RES/70/1). </w:t>
      </w:r>
      <w:r w:rsidRPr="008665DB">
        <w:rPr>
          <w:rFonts w:ascii="Times New Roman" w:eastAsia="Times New Roman" w:hAnsi="Times New Roman" w:cs="Times New Roman"/>
          <w:color w:val="0000FF"/>
          <w:sz w:val="24"/>
          <w:szCs w:val="24"/>
          <w:u w:val="single"/>
          <w:lang w:eastAsia="en-GB"/>
        </w:rPr>
        <w:t>https://sdgs.un.org/2030agenda</w:t>
      </w:r>
    </w:p>
    <w:p w14:paraId="4FA6D7C8"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lastRenderedPageBreak/>
        <w:t xml:space="preserve">Victora, C. G., Christian, P., Vidaletti, L. P., Gatica-Domínguez, G., Menon, P., &amp; Black, R. E. (2021). Revisiting maternal and child undernutrition in low-income and middle-income countries: variable progress towards an unfinished agenda. </w:t>
      </w:r>
      <w:r w:rsidRPr="008665DB">
        <w:rPr>
          <w:rFonts w:ascii="Times New Roman" w:eastAsia="Times New Roman" w:hAnsi="Times New Roman" w:cs="Times New Roman"/>
          <w:i/>
          <w:iCs/>
          <w:sz w:val="24"/>
          <w:szCs w:val="24"/>
          <w:lang w:eastAsia="en-GB"/>
        </w:rPr>
        <w:t>The Lancet</w:t>
      </w:r>
      <w:r w:rsidRPr="008665DB">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i/>
          <w:iCs/>
          <w:sz w:val="24"/>
          <w:szCs w:val="24"/>
          <w:lang w:eastAsia="en-GB"/>
        </w:rPr>
        <w:t>397</w:t>
      </w:r>
      <w:r w:rsidRPr="008665DB">
        <w:rPr>
          <w:rFonts w:ascii="Times New Roman" w:eastAsia="Times New Roman" w:hAnsi="Times New Roman" w:cs="Times New Roman"/>
          <w:sz w:val="24"/>
          <w:szCs w:val="24"/>
          <w:lang w:eastAsia="en-GB"/>
        </w:rPr>
        <w:t xml:space="preserve">(10282), 1388–1399. </w:t>
      </w:r>
      <w:r w:rsidRPr="008665DB">
        <w:rPr>
          <w:rFonts w:ascii="Times New Roman" w:eastAsia="Times New Roman" w:hAnsi="Times New Roman" w:cs="Times New Roman"/>
          <w:color w:val="0000FF"/>
          <w:sz w:val="24"/>
          <w:szCs w:val="24"/>
          <w:u w:val="single"/>
          <w:lang w:eastAsia="en-GB"/>
        </w:rPr>
        <w:t>https://doi.org/10.1016/S0140-6736(21)00394-9</w:t>
      </w:r>
    </w:p>
    <w:p w14:paraId="4EB0F058" w14:textId="77777777" w:rsidR="008665DB" w:rsidRPr="008665DB" w:rsidRDefault="008665DB" w:rsidP="008665DB">
      <w:pPr>
        <w:spacing w:before="100" w:beforeAutospacing="1" w:after="100" w:afterAutospacing="1" w:line="240" w:lineRule="auto"/>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Wahl, B., </w:t>
      </w:r>
      <w:proofErr w:type="spellStart"/>
      <w:r w:rsidRPr="008665DB">
        <w:rPr>
          <w:rFonts w:ascii="Times New Roman" w:eastAsia="Times New Roman" w:hAnsi="Times New Roman" w:cs="Times New Roman"/>
          <w:sz w:val="24"/>
          <w:szCs w:val="24"/>
          <w:lang w:eastAsia="en-GB"/>
        </w:rPr>
        <w:t>Cossy</w:t>
      </w:r>
      <w:proofErr w:type="spellEnd"/>
      <w:r w:rsidRPr="008665DB">
        <w:rPr>
          <w:rFonts w:ascii="Times New Roman" w:eastAsia="Times New Roman" w:hAnsi="Times New Roman" w:cs="Times New Roman"/>
          <w:sz w:val="24"/>
          <w:szCs w:val="24"/>
          <w:lang w:eastAsia="en-GB"/>
        </w:rPr>
        <w:t xml:space="preserve">-Gantner, A., Germann, S., &amp; Schwalbe, N. R. (2018). Artificial intelligence (AI) and global health: how can AI contribute to health in resource-poor settings? </w:t>
      </w:r>
      <w:r w:rsidRPr="008665DB">
        <w:rPr>
          <w:rFonts w:ascii="Times New Roman" w:eastAsia="Times New Roman" w:hAnsi="Times New Roman" w:cs="Times New Roman"/>
          <w:i/>
          <w:iCs/>
          <w:sz w:val="24"/>
          <w:szCs w:val="24"/>
          <w:lang w:eastAsia="en-GB"/>
        </w:rPr>
        <w:t>BMJ Global Health</w:t>
      </w:r>
      <w:r w:rsidRPr="008665DB">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i/>
          <w:iCs/>
          <w:sz w:val="24"/>
          <w:szCs w:val="24"/>
          <w:lang w:eastAsia="en-GB"/>
        </w:rPr>
        <w:t>3</w:t>
      </w:r>
      <w:r w:rsidRPr="008665DB">
        <w:rPr>
          <w:rFonts w:ascii="Times New Roman" w:eastAsia="Times New Roman" w:hAnsi="Times New Roman" w:cs="Times New Roman"/>
          <w:sz w:val="24"/>
          <w:szCs w:val="24"/>
          <w:lang w:eastAsia="en-GB"/>
        </w:rPr>
        <w:t xml:space="preserve">(4), e000798. </w:t>
      </w:r>
      <w:r w:rsidRPr="008665DB">
        <w:rPr>
          <w:rFonts w:ascii="Times New Roman" w:eastAsia="Times New Roman" w:hAnsi="Times New Roman" w:cs="Times New Roman"/>
          <w:color w:val="0000FF"/>
          <w:sz w:val="24"/>
          <w:szCs w:val="24"/>
          <w:u w:val="single"/>
          <w:lang w:eastAsia="en-GB"/>
        </w:rPr>
        <w:t>https://doi.org/10.1136/bmjgh-2018-000798</w:t>
      </w:r>
    </w:p>
    <w:p w14:paraId="75012DE4" w14:textId="77777777" w:rsidR="004841B3" w:rsidRDefault="004841B3"/>
    <w:sectPr w:rsidR="004841B3" w:rsidSect="004841B3">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B69AC" w14:textId="77777777" w:rsidR="008A2B4D" w:rsidRDefault="008A2B4D" w:rsidP="00A02053">
      <w:pPr>
        <w:spacing w:after="0" w:line="240" w:lineRule="auto"/>
      </w:pPr>
      <w:r>
        <w:separator/>
      </w:r>
    </w:p>
  </w:endnote>
  <w:endnote w:type="continuationSeparator" w:id="0">
    <w:p w14:paraId="284CA63A" w14:textId="77777777" w:rsidR="008A2B4D" w:rsidRDefault="008A2B4D" w:rsidP="00A02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AE697" w14:textId="77777777" w:rsidR="00A02053" w:rsidRDefault="00A020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DC7B3" w14:textId="77777777" w:rsidR="00A02053" w:rsidRDefault="00A020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2B5D2" w14:textId="77777777" w:rsidR="00A02053" w:rsidRDefault="00A020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A91C9" w14:textId="77777777" w:rsidR="008A2B4D" w:rsidRDefault="008A2B4D" w:rsidP="00A02053">
      <w:pPr>
        <w:spacing w:after="0" w:line="240" w:lineRule="auto"/>
      </w:pPr>
      <w:r>
        <w:separator/>
      </w:r>
    </w:p>
  </w:footnote>
  <w:footnote w:type="continuationSeparator" w:id="0">
    <w:p w14:paraId="19C42FBC" w14:textId="77777777" w:rsidR="008A2B4D" w:rsidRDefault="008A2B4D" w:rsidP="00A020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93D91" w14:textId="564C44A9" w:rsidR="00A02053" w:rsidRDefault="00A02053">
    <w:pPr>
      <w:pStyle w:val="Header"/>
    </w:pPr>
    <w:r>
      <w:rPr>
        <w:noProof/>
      </w:rPr>
      <w:pict w14:anchorId="4AEF38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217860"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D30ED" w14:textId="0913CCF3" w:rsidR="00A02053" w:rsidRDefault="00A02053">
    <w:pPr>
      <w:pStyle w:val="Header"/>
    </w:pPr>
    <w:r>
      <w:rPr>
        <w:noProof/>
      </w:rPr>
      <w:pict w14:anchorId="51496E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217861"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6A2D7" w14:textId="1D06346F" w:rsidR="00A02053" w:rsidRDefault="00A02053">
    <w:pPr>
      <w:pStyle w:val="Header"/>
    </w:pPr>
    <w:r>
      <w:rPr>
        <w:noProof/>
      </w:rPr>
      <w:pict w14:anchorId="61B2A2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217859"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665DB"/>
    <w:rsid w:val="000168F6"/>
    <w:rsid w:val="00345F3B"/>
    <w:rsid w:val="004841B3"/>
    <w:rsid w:val="006C6AFA"/>
    <w:rsid w:val="00750BD8"/>
    <w:rsid w:val="00824882"/>
    <w:rsid w:val="008665DB"/>
    <w:rsid w:val="008A2B4D"/>
    <w:rsid w:val="00A02053"/>
    <w:rsid w:val="00A11AA4"/>
    <w:rsid w:val="00B54BFF"/>
    <w:rsid w:val="00C339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76FE9"/>
  <w15:docId w15:val="{B2B8348E-4D1D-40B4-B4A6-18EBD3C7A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8665D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8665D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8665DB"/>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ediumShading1-Accent11">
    <w:name w:val="Medium Shading 1 - Accent 11"/>
    <w:basedOn w:val="TableNormal"/>
    <w:uiPriority w:val="63"/>
    <w:rsid w:val="0082488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2Char">
    <w:name w:val="Heading 2 Char"/>
    <w:basedOn w:val="DefaultParagraphFont"/>
    <w:link w:val="Heading2"/>
    <w:uiPriority w:val="9"/>
    <w:rsid w:val="008665DB"/>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8665DB"/>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8665DB"/>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8665D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665DB"/>
    <w:rPr>
      <w:b/>
      <w:bCs/>
    </w:rPr>
  </w:style>
  <w:style w:type="character" w:styleId="Emphasis">
    <w:name w:val="Emphasis"/>
    <w:basedOn w:val="DefaultParagraphFont"/>
    <w:uiPriority w:val="20"/>
    <w:qFormat/>
    <w:rsid w:val="008665DB"/>
    <w:rPr>
      <w:i/>
      <w:iCs/>
    </w:rPr>
  </w:style>
  <w:style w:type="character" w:styleId="Hyperlink">
    <w:name w:val="Hyperlink"/>
    <w:basedOn w:val="DefaultParagraphFont"/>
    <w:uiPriority w:val="99"/>
    <w:semiHidden/>
    <w:unhideWhenUsed/>
    <w:rsid w:val="008665DB"/>
    <w:rPr>
      <w:color w:val="0000FF"/>
      <w:u w:val="single"/>
    </w:rPr>
  </w:style>
  <w:style w:type="table" w:styleId="TableGrid">
    <w:name w:val="Table Grid"/>
    <w:basedOn w:val="TableNormal"/>
    <w:uiPriority w:val="59"/>
    <w:rsid w:val="00866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20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2053"/>
  </w:style>
  <w:style w:type="paragraph" w:styleId="Footer">
    <w:name w:val="footer"/>
    <w:basedOn w:val="Normal"/>
    <w:link w:val="FooterChar"/>
    <w:uiPriority w:val="99"/>
    <w:unhideWhenUsed/>
    <w:rsid w:val="00A020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2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904407">
      <w:bodyDiv w:val="1"/>
      <w:marLeft w:val="0"/>
      <w:marRight w:val="0"/>
      <w:marTop w:val="0"/>
      <w:marBottom w:val="0"/>
      <w:divBdr>
        <w:top w:val="none" w:sz="0" w:space="0" w:color="auto"/>
        <w:left w:val="none" w:sz="0" w:space="0" w:color="auto"/>
        <w:bottom w:val="none" w:sz="0" w:space="0" w:color="auto"/>
        <w:right w:val="none" w:sz="0" w:space="0" w:color="auto"/>
      </w:divBdr>
    </w:div>
    <w:div w:id="1784038321">
      <w:bodyDiv w:val="1"/>
      <w:marLeft w:val="0"/>
      <w:marRight w:val="0"/>
      <w:marTop w:val="0"/>
      <w:marBottom w:val="0"/>
      <w:divBdr>
        <w:top w:val="none" w:sz="0" w:space="0" w:color="auto"/>
        <w:left w:val="none" w:sz="0" w:space="0" w:color="auto"/>
        <w:bottom w:val="none" w:sz="0" w:space="0" w:color="auto"/>
        <w:right w:val="none" w:sz="0" w:space="0" w:color="auto"/>
      </w:divBdr>
      <w:divsChild>
        <w:div w:id="640887995">
          <w:marLeft w:val="0"/>
          <w:marRight w:val="0"/>
          <w:marTop w:val="0"/>
          <w:marBottom w:val="0"/>
          <w:divBdr>
            <w:top w:val="none" w:sz="0" w:space="0" w:color="auto"/>
            <w:left w:val="none" w:sz="0" w:space="0" w:color="auto"/>
            <w:bottom w:val="none" w:sz="0" w:space="0" w:color="auto"/>
            <w:right w:val="none" w:sz="0" w:space="0" w:color="auto"/>
          </w:divBdr>
        </w:div>
        <w:div w:id="460805890">
          <w:marLeft w:val="0"/>
          <w:marRight w:val="0"/>
          <w:marTop w:val="0"/>
          <w:marBottom w:val="0"/>
          <w:divBdr>
            <w:top w:val="none" w:sz="0" w:space="0" w:color="auto"/>
            <w:left w:val="none" w:sz="0" w:space="0" w:color="auto"/>
            <w:bottom w:val="none" w:sz="0" w:space="0" w:color="auto"/>
            <w:right w:val="none" w:sz="0" w:space="0" w:color="auto"/>
          </w:divBdr>
        </w:div>
        <w:div w:id="260575184">
          <w:marLeft w:val="0"/>
          <w:marRight w:val="0"/>
          <w:marTop w:val="0"/>
          <w:marBottom w:val="0"/>
          <w:divBdr>
            <w:top w:val="none" w:sz="0" w:space="0" w:color="auto"/>
            <w:left w:val="none" w:sz="0" w:space="0" w:color="auto"/>
            <w:bottom w:val="none" w:sz="0" w:space="0" w:color="auto"/>
            <w:right w:val="none" w:sz="0" w:space="0" w:color="auto"/>
          </w:divBdr>
        </w:div>
        <w:div w:id="907032066">
          <w:marLeft w:val="0"/>
          <w:marRight w:val="0"/>
          <w:marTop w:val="0"/>
          <w:marBottom w:val="0"/>
          <w:divBdr>
            <w:top w:val="none" w:sz="0" w:space="0" w:color="auto"/>
            <w:left w:val="none" w:sz="0" w:space="0" w:color="auto"/>
            <w:bottom w:val="none" w:sz="0" w:space="0" w:color="auto"/>
            <w:right w:val="none" w:sz="0" w:space="0" w:color="auto"/>
          </w:divBdr>
        </w:div>
        <w:div w:id="339085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26</Pages>
  <Words>12249</Words>
  <Characters>69823</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1166</cp:lastModifiedBy>
  <cp:revision>6</cp:revision>
  <dcterms:created xsi:type="dcterms:W3CDTF">2026-07-02T14:39:00Z</dcterms:created>
  <dcterms:modified xsi:type="dcterms:W3CDTF">2026-07-03T12:43:00Z</dcterms:modified>
</cp:coreProperties>
</file>