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8CEB0" w14:textId="77777777" w:rsidR="006F3202" w:rsidRPr="006F3202" w:rsidRDefault="006F3202" w:rsidP="006F3202">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6F3202">
        <w:rPr>
          <w:rFonts w:ascii="Times New Roman" w:eastAsia="Times New Roman" w:hAnsi="Times New Roman" w:cs="Times New Roman"/>
          <w:b/>
          <w:bCs/>
          <w:i/>
          <w:iCs/>
          <w:sz w:val="36"/>
          <w:szCs w:val="36"/>
          <w:u w:val="single"/>
          <w:lang w:val="en-US" w:eastAsia="en-GB"/>
        </w:rPr>
        <w:t>Review Article</w:t>
      </w:r>
    </w:p>
    <w:p w14:paraId="6E4704CD" w14:textId="77777777" w:rsidR="008E6AC3" w:rsidRPr="008E6AC3" w:rsidRDefault="008E6AC3" w:rsidP="008E6AC3">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E6AC3">
        <w:rPr>
          <w:rFonts w:ascii="Times New Roman" w:eastAsia="Times New Roman" w:hAnsi="Times New Roman" w:cs="Times New Roman"/>
          <w:b/>
          <w:bCs/>
          <w:sz w:val="36"/>
          <w:szCs w:val="36"/>
          <w:lang w:eastAsia="en-GB"/>
        </w:rPr>
        <w:t>The Future of Human Thinking in the Age of Artificial Intelligence: Psychological Implications of Cognitive Offloading</w:t>
      </w:r>
    </w:p>
    <w:p w14:paraId="359031EC"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77D7F18A"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Abstract</w:t>
      </w:r>
    </w:p>
    <w:p w14:paraId="325A2DE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Artificial intelligence has moved quickly from a specialist tool to an everyday presence, changing how people gather, process, store, and recall information. At the heart of this shift lies a familiar psychological process now operating under new conditions: cognitive offloading, the practice of handing mental work to external tools, environments, or agents so as to lighten the load on one's own mind. People have always done this to some degree, but the reasoning and generative capacities of today's AI systems place pressures on human cognition that older theories of tool use never had to account for. This critical review draws together empirical and theoretical work from cognitive psychology, human factors research, educational science, and AI ethics to examine what AI-assisted cognitive offloading is doing to the mind across five interrelated areas: memory and information retrieval, attentional control, metacognition, decision-making, and psychological wellbeing. The picture that emerges is mixed. There is evidence of weakened memory consolidation, increased automation bias, shifts in how people judge their own competence, and patterns resembling digital dependency, alongside genuine gains in productivity and reduced cognitive strain under the right conditions. None of these effects appears uniform; they vary with age, expertise, digital literacy, and a person's habits of self-monitoring. Drawing on cognitive load theory, the extended mind hypothesis, and self-determination theory, the review argues that AI assistance is neither simply good nor simply bad for human thinking — its effects depend on how AI systems are designed, the circumstances in which they are used, and how deliberately people manage their place in everyday cognitive life. The discussion closes with implications for education, professional training, clinical psychology, and AI governance, and identifies where future research is most needed.</w:t>
      </w:r>
    </w:p>
    <w:p w14:paraId="48A09B1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Keywords:</w:t>
      </w:r>
      <w:r w:rsidRPr="008E6AC3">
        <w:rPr>
          <w:rFonts w:ascii="Times New Roman" w:eastAsia="Times New Roman" w:hAnsi="Times New Roman" w:cs="Times New Roman"/>
          <w:sz w:val="24"/>
          <w:szCs w:val="24"/>
          <w:lang w:eastAsia="en-GB"/>
        </w:rPr>
        <w:t xml:space="preserve"> cognitive offloading, artificial intelligence, metacognition, automation bias, extended mind, digital cognition, psychological wellbeing, human–AI interaction</w:t>
      </w:r>
    </w:p>
    <w:p w14:paraId="546996F8"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71D17FFB"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1. Introduction</w:t>
      </w:r>
    </w:p>
    <w:p w14:paraId="0D27C2DD"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1.1 Background and Conceptual Context</w:t>
      </w:r>
    </w:p>
    <w:p w14:paraId="496B435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People have leaned on external tools to think since long before anyone called it cognitive offloading. Clay tablets, abacuses, printing presses, pocket calculators — each, in its time, took some piece of mental work off the user's hands and placed it in the world outside the skull. What makes the present moment different is not that this is happening, nor even how often it happens, but what kind of tool is now doing the work. Today's AI systems can hold a natural-language conversation, synthesise information in real time, support decisions with </w:t>
      </w:r>
      <w:r w:rsidRPr="008E6AC3">
        <w:rPr>
          <w:rFonts w:ascii="Times New Roman" w:eastAsia="Times New Roman" w:hAnsi="Times New Roman" w:cs="Times New Roman"/>
          <w:sz w:val="24"/>
          <w:szCs w:val="24"/>
          <w:lang w:eastAsia="en-GB"/>
        </w:rPr>
        <w:lastRenderedPageBreak/>
        <w:t>little human input, and generate content tailored to the individual user. This puts them in a different category from earlier aids. A calculator stores nothing and decides nothing; it simply executes an operation a person specifies. An AI system, by contrast, generates an answer, evaluates competing possibilities, and presents a conclusion as though it were settled — and in doing so, it reaches into, and potentially substitutes for, the higher-order cognitive work long regarded as distinctively human.</w:t>
      </w:r>
    </w:p>
    <w:p w14:paraId="330457FF"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delegation of mental tasks to external resources is precisely what cognitive offloading research is concerned with (Risko &amp; Gilbert, 2016). The idea that cognition need not stop at the skull is not new to the AI era. Clark and Chalmers (1998), in their account of the extended mind, argued that an external component becomes part of one's cognitive system once it performs a role functionally equivalent to an internal mental state — reliably available, automatically trusted, much as memory itself is trusted. On this view, looking up a phone number on a smartphone is not categorically different from recalling it from biological memory; the relevant cognitive process has simply moved outside the head. Kirsh and Maglio (1994) made a related but distinct point in their distinction between pragmatic actions, which move the world toward a goal directly, and epistemic actions, which instead reshape the information environment to make thinking easier. Their broader claim was that this second kind of action is everywhere in ordinary cognition, and for good reason: consulting an external source is frequently less effortful than working something out internally.</w:t>
      </w:r>
    </w:p>
    <w:p w14:paraId="48B0AC3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AI-powered tools complicate this picture in ways that neither the philosophical literature on the extended mind nor earlier offloading research was built to address. Once a system does more than store information — once it generates conclusions, weighs alternatives, and offers advice — the line between assisting cognition and replacing it starts to blur. The widespread use of large language models for writing, problem-solving, and everyday information-seeking has, understandably, generated genuine scholarly disagreement about whether these tools sharpen human thinking or quietly wear it down (Firth et al., 2019; Noy &amp; Zhang, 2023). Making sense of this disagreement calls for bringing together theoretical frameworks from cognitive psychology with experimental findings and the growing body of observational evidence on how people actually use AI in everyday settings.</w:t>
      </w:r>
    </w:p>
    <w:p w14:paraId="3CCBF7B3"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1.2 The Rise of AI in Everyday Cognition</w:t>
      </w:r>
    </w:p>
    <w:p w14:paraId="77EA649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pace at which AI tools have entered daily routines has been striking. Recommendation systems now quietly shape what people read, watch, and buy. Navigation apps plan routes and reroute travellers on the fly, leaving little reason to build a mental map of one's surroundings. Generative AI platforms turn out drafts, summaries, translations, code, and creative material at a user's request. Voice assistants answer questions that would once have demanded a deliberate search through memory or a few minutes of working something out. In professional life, AI tools now sit alongside clinicians making diagnoses, lawyers conducting research, analysts assessing risk, and scientists pursuing discovery. Different as these settings are, they share a common thread: cognitive labour that used to sit with the human is, increasingly, being passed to the machine.</w:t>
      </w:r>
    </w:p>
    <w:p w14:paraId="7621070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This transfer is not psychologically neutral. Even earlier digital technology shows that easy access to information changes how people encode and later retrieve it (Sparrow et al., 2011). Simply having a silenced smartphone nearby has been found to reduce the cognitive resources a person has available, regardless of whether the device is being used at all (Ward et al., 2017). Photographing an experience rather than simply attending to it leaves a weaker </w:t>
      </w:r>
      <w:r w:rsidRPr="008E6AC3">
        <w:rPr>
          <w:rFonts w:ascii="Times New Roman" w:eastAsia="Times New Roman" w:hAnsi="Times New Roman" w:cs="Times New Roman"/>
          <w:sz w:val="24"/>
          <w:szCs w:val="24"/>
          <w:lang w:eastAsia="en-GB"/>
        </w:rPr>
        <w:lastRenderedPageBreak/>
        <w:t>memory trace, apparently because less attentional and elaborative work goes into encoding the moment in the first place (Henkel, 2014). If tools this modest can leave a measurable mark on cognition, it is reasonable to expect that systems with far greater capability will leave a larger one — which is precisely why the topic deserves careful, sustained attention.</w:t>
      </w:r>
    </w:p>
    <w:p w14:paraId="6C16CD2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It would be a mistake, though, to assume the story is entirely one of loss. Cognitive load theory holds that relieving working memory of routine demands frees it to do more demanding work elsewhere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1988). If an AI system takes over the burden of retrieving information or performing routine computation, the resources that would have gone into that task are, in principle, available for creative, evaluative, or interpersonal work instead. There is empirical support for this more optimistic reading: generative AI assistance has produced measurable productivity gains across a range of knowledge-work tasks (Noy &amp; Zhang, 2023), which suggests that offloading to AI can sometimes lift human output rather than diminish it. The harder question — and the one this review keeps returning to — is when and for whom this holds, and at what point the same act of offloading starts to do more harm than good.</w:t>
      </w:r>
    </w:p>
    <w:p w14:paraId="41C8A9D5"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1.3 Scope and Objectives</w:t>
      </w:r>
    </w:p>
    <w:p w14:paraId="4A281C6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review focuses on five interrelated areas in which AI-assisted cognitive offloading appears to be reshaping human thinking: memory and information retrieval; attentional control and multitasking; metacognition and self-assessment; decision-making and reliance on algorithms; and psychological wellbeing, including digital dependency and anxiety. By bringing together theory, experimental evidence, and observational research on AI use in real settings, it aims to give as complete a picture as the current literature allows. It also examines who is most affected and why — age, expertise, and digital literacy all turn out to matter — before turning to the broader ethical and societal stakes for autonomy, epistemic equity, and the future of education and professional practice. The review closes by identifying where the evidence base is thinnest and where future empirical work is most needed.</w:t>
      </w:r>
    </w:p>
    <w:p w14:paraId="7FD78FCF"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BB4EEF7"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2. Methods for Literature Selection</w:t>
      </w:r>
    </w:p>
    <w:p w14:paraId="3740297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review takes a narrative synthesis approach, drawing together a broad and varied body of evidence from cognitive psychology, human–computer interaction, AI ethics, educational science, and adjacent fields. A narrative rather than systematic methodology was chosen because the literature on AI-assisted cognitive offloading is theoretically diverse and methodologically pluralistic, spanning traditions that do not aggregate comfortably into a single quantitative synthesis (Snyder, 2019). The intention here is to trace patterns, tensions, and gaps across this literature, not to produce a pooled estimate of effect size.</w:t>
      </w:r>
    </w:p>
    <w:p w14:paraId="3383626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Databases and search strategy.</w:t>
      </w:r>
      <w:r w:rsidRPr="008E6AC3">
        <w:rPr>
          <w:rFonts w:ascii="Times New Roman" w:eastAsia="Times New Roman" w:hAnsi="Times New Roman" w:cs="Times New Roman"/>
          <w:sz w:val="24"/>
          <w:szCs w:val="24"/>
          <w:lang w:eastAsia="en-GB"/>
        </w:rPr>
        <w:t xml:space="preserve"> Searches covered four general bibliographic databases — Web of Science, Scopus, Google Scholar, and PubMed — supplemented by five field-specific databases chosen to match the interdisciplinary scope of the topic: PsycINFO for psychological and neuroscientific work, IEEE Xplore for human–computer interaction and AI engineering, ERIC for educational technology and learning science, </w:t>
      </w:r>
      <w:proofErr w:type="spellStart"/>
      <w:r w:rsidRPr="008E6AC3">
        <w:rPr>
          <w:rFonts w:ascii="Times New Roman" w:eastAsia="Times New Roman" w:hAnsi="Times New Roman" w:cs="Times New Roman"/>
          <w:sz w:val="24"/>
          <w:szCs w:val="24"/>
          <w:lang w:eastAsia="en-GB"/>
        </w:rPr>
        <w:t>PhilPapers</w:t>
      </w:r>
      <w:proofErr w:type="spellEnd"/>
      <w:r w:rsidRPr="008E6AC3">
        <w:rPr>
          <w:rFonts w:ascii="Times New Roman" w:eastAsia="Times New Roman" w:hAnsi="Times New Roman" w:cs="Times New Roman"/>
          <w:sz w:val="24"/>
          <w:szCs w:val="24"/>
          <w:lang w:eastAsia="en-GB"/>
        </w:rPr>
        <w:t xml:space="preserve"> for philosophical work on extended cognition and AI ethics, and </w:t>
      </w:r>
      <w:proofErr w:type="spellStart"/>
      <w:r w:rsidRPr="008E6AC3">
        <w:rPr>
          <w:rFonts w:ascii="Times New Roman" w:eastAsia="Times New Roman" w:hAnsi="Times New Roman" w:cs="Times New Roman"/>
          <w:sz w:val="24"/>
          <w:szCs w:val="24"/>
          <w:lang w:eastAsia="en-GB"/>
        </w:rPr>
        <w:t>EconLit</w:t>
      </w:r>
      <w:proofErr w:type="spellEnd"/>
      <w:r w:rsidRPr="008E6AC3">
        <w:rPr>
          <w:rFonts w:ascii="Times New Roman" w:eastAsia="Times New Roman" w:hAnsi="Times New Roman" w:cs="Times New Roman"/>
          <w:sz w:val="24"/>
          <w:szCs w:val="24"/>
          <w:lang w:eastAsia="en-GB"/>
        </w:rPr>
        <w:t xml:space="preserve"> for labour market and automation economics.</w:t>
      </w:r>
    </w:p>
    <w:p w14:paraId="52627DF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Search strings combined Boolean operators across two clusters of terms. The first cluster covered cognitive offloading and its theoretical correlates: "cognitive offloading", "extended mind", "transactive memory", "epistemic action", "cognitive load", "automation bias", "algorithmic reliance", "digital amnesia", and "metacognition AND technology". The second covered artificial intelligence and its cognitive and psychological dimensions: "artificial intelligence AND cognition", "AI AND human thinking", "large language models AND cognition", "generative AI AND learning", "machine learning AND decision-making", and "human-AI interaction AND psychology". These strings were adapted as needed to fit the syntax conventions of each database.</w:t>
      </w:r>
    </w:p>
    <w:p w14:paraId="2786DB8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Date range and supplementary literature.</w:t>
      </w:r>
      <w:r w:rsidRPr="008E6AC3">
        <w:rPr>
          <w:rFonts w:ascii="Times New Roman" w:eastAsia="Times New Roman" w:hAnsi="Times New Roman" w:cs="Times New Roman"/>
          <w:sz w:val="24"/>
          <w:szCs w:val="24"/>
          <w:lang w:eastAsia="en-GB"/>
        </w:rPr>
        <w:t xml:space="preserve"> The primary search window ran from</w:t>
      </w:r>
      <w:r w:rsidR="009D291A">
        <w:rPr>
          <w:rFonts w:ascii="Times New Roman" w:eastAsia="Times New Roman" w:hAnsi="Times New Roman" w:cs="Times New Roman"/>
          <w:sz w:val="24"/>
          <w:szCs w:val="24"/>
          <w:lang w:eastAsia="en-GB"/>
        </w:rPr>
        <w:t xml:space="preserve"> 1 January</w:t>
      </w:r>
      <w:r w:rsidRPr="008E6AC3">
        <w:rPr>
          <w:rFonts w:ascii="Times New Roman" w:eastAsia="Times New Roman" w:hAnsi="Times New Roman" w:cs="Times New Roman"/>
          <w:sz w:val="24"/>
          <w:szCs w:val="24"/>
          <w:lang w:eastAsia="en-GB"/>
        </w:rPr>
        <w:t xml:space="preserve"> 2016 to 1 </w:t>
      </w:r>
      <w:r w:rsidR="009D291A">
        <w:rPr>
          <w:rFonts w:ascii="Times New Roman" w:eastAsia="Times New Roman" w:hAnsi="Times New Roman" w:cs="Times New Roman"/>
          <w:sz w:val="24"/>
          <w:szCs w:val="24"/>
          <w:lang w:eastAsia="en-GB"/>
        </w:rPr>
        <w:t>May</w:t>
      </w:r>
      <w:r w:rsidRPr="008E6AC3">
        <w:rPr>
          <w:rFonts w:ascii="Times New Roman" w:eastAsia="Times New Roman" w:hAnsi="Times New Roman" w:cs="Times New Roman"/>
          <w:sz w:val="24"/>
          <w:szCs w:val="24"/>
          <w:lang w:eastAsia="en-GB"/>
        </w:rPr>
        <w:t xml:space="preserve"> 2026. The starting point of 2016 was chosen deliberately: it is the year Risko and Gilbert (2016) published the empirical framework for cognitive offloading that underpins much of this review's conceptual scaffolding. A small number of classic papers predating 2016 — foundational contributions to cognitive load theory, extended mind philosophy, transactive memory research, and automation bias — were retained as supplementary references for theoretical grounding and historical context, rather than to expand the primary evidence base itself.</w:t>
      </w:r>
    </w:p>
    <w:p w14:paraId="7B9F798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Inclusion and exclusion criteria.</w:t>
      </w:r>
      <w:r w:rsidRPr="008E6AC3">
        <w:rPr>
          <w:rFonts w:ascii="Times New Roman" w:eastAsia="Times New Roman" w:hAnsi="Times New Roman" w:cs="Times New Roman"/>
          <w:sz w:val="24"/>
          <w:szCs w:val="24"/>
          <w:lang w:eastAsia="en-GB"/>
        </w:rPr>
        <w:t xml:space="preserve"> To be included, a study had to be published in a peer-reviewed journal, written in English, address some cognitive, psychological, or behavioural dimension of technology use, AI adoption, or cognitive offloading, and make a substantive empirical or theoretical contribution. Authoritative institutional reports were admitted where no comparable peer-reviewed source existed on a given point. Books, book chapters, grey literature, conference proceedings, patents, non-peer-reviewed commentary, trade publications, and pre-prints without a subsequent peer-reviewed version were all excluded, as were papers concerned purely with the technical design of AI systems and lacking any psychological or behavioural content.</w:t>
      </w:r>
    </w:p>
    <w:p w14:paraId="3005A9C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Screening workflow and duplicate handling.</w:t>
      </w:r>
      <w:r w:rsidRPr="008E6AC3">
        <w:rPr>
          <w:rFonts w:ascii="Times New Roman" w:eastAsia="Times New Roman" w:hAnsi="Times New Roman" w:cs="Times New Roman"/>
          <w:sz w:val="24"/>
          <w:szCs w:val="24"/>
          <w:lang w:eastAsia="en-GB"/>
        </w:rPr>
        <w:t xml:space="preserve"> Titles and abstracts were screened against these criteria, with duplicates arising from overlapping database coverage removed at this stage. Full texts were then reviewed for every paper that passed abstract screening. The final selection weighed relevance to the review's five thematic domains against methodological quality and the paper's evident influence within its field.</w:t>
      </w:r>
    </w:p>
    <w:p w14:paraId="644DFAB2"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1E97779A"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3. Theoretical Foundations of Cognitive Offloading</w:t>
      </w:r>
    </w:p>
    <w:p w14:paraId="33D408DE"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3.1 Cognitive Load Theory</w:t>
      </w:r>
    </w:p>
    <w:p w14:paraId="6864EFC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One of the most influential explanations for why people externalise cognitive work comes from cognitive load theory, first set out by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Working memory — the mental workspace where reasoning, comprehension, and problem-solving actually happen — is, on this account, severely limited in capacity. Once the combined demands of a task's intrinsic complexity and its surrounding environment exceed that capacity, performance suffers. Offloading parts of a task onto external tools, whether a calculator, a diagram, a written note, or a digital system, lightens the load on working memory and leaves more capacity for whatever remains to be done internally. Paas and colleagues (2003) took this framework into </w:t>
      </w:r>
      <w:r w:rsidRPr="008E6AC3">
        <w:rPr>
          <w:rFonts w:ascii="Times New Roman" w:eastAsia="Times New Roman" w:hAnsi="Times New Roman" w:cs="Times New Roman"/>
          <w:sz w:val="24"/>
          <w:szCs w:val="24"/>
          <w:lang w:eastAsia="en-GB"/>
        </w:rPr>
        <w:lastRenderedPageBreak/>
        <w:t>educational design and showed that instructional environments built to manage extraneous load can produce substantial gains in learning.</w:t>
      </w:r>
    </w:p>
    <w:p w14:paraId="034FC24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Applied to AI, this logic at first looks encouraging. If an AI system handles the retrieval, organisation, and preliminary sorting of information, the cognitive resources freed up could go toward evaluation, synthesis, and the kind of creative elaboration that calculators were never asked to do. Noy and Zhang (2023) offer experimental support for exactly this: generative AI assistance in professional writing tasks improved both speed and quality, with the largest gains among workers whose prior performance had been below average — consistent with the idea that taking routine cognitive work off someone's plate leaves more room for the harder parts of the job. What cognitive load theory cannot tell us, on its own, is what happens over the longer run — whether offloading task after task gradually erodes the very skills that internalised reasoning depends on.</w:t>
      </w:r>
    </w:p>
    <w:p w14:paraId="25DC9926"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3.2 The Extended Mind Hypothesis</w:t>
      </w:r>
    </w:p>
    <w:p w14:paraId="1AEC169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Clark and Chalmers (1998) challenged the commonsense view that cognition stops at the edge of the skull. Their extended mind hypothesis holds that an external component becomes a genuine part of one's cognitive system once it does the work an internal process would otherwise do — provided it is reliably available, habitually consulted, and trusted without question, much as memory itself is trusted. The example they made famous involves a character with early-stage Alzheimer's disease whose notebook plays the same functional role biological memory normally would; on their account, this is not a memory aid sitting alongside the mind but a genuine extension of it.</w:t>
      </w:r>
    </w:p>
    <w:p w14:paraId="6E2C13F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framework has turned out to be a productive lens for thinking about AI. A user who routinely turns to an AI assistant to retrieve facts, draft messages, or weigh up options, and who consistently accepts what it produces, has — by Clark and Chalmers's (1998) own criteria — incorporated that system into their cognitive apparatus. The implication is not a small one: any change to the AI itself, in accuracy, availability, or underlying design, becomes in effect a change to the user's own cognition. How vulnerable these extended systems are to technical failure or to bias baked into their design has received surprisingly little empirical attention, despite the genuine concerns it raises about epistemic dependency on a societal scale (Jobin et al., 2019).</w:t>
      </w:r>
    </w:p>
    <w:p w14:paraId="2C060A60"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3.3 Transactive Memory Systems</w:t>
      </w:r>
    </w:p>
    <w:p w14:paraId="7EC8C83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related idea, transactive memory, describes how memory functions get distributed across the members of a social group rather than residing entirely within any one person. Hollingshead (1998) showed that pairs and groups build up a kind of memory about memory — knowing who knows what — that lets the group work more efficiently than its members would alone. The catch is that people tend to encode less of the information themselves once they believe someone else in the system is holding onto it. Sparrow and colleagues (2011) took this same logic and applied it to digital technology, finding that people who expected to be able to look something up later encoded less of the content itself but more of where to find it — what they called a "Google effect" on memory. The concern this raises for AI-mediated cognition, at much larger scale, was already visible in that finding.</w:t>
      </w:r>
    </w:p>
    <w:p w14:paraId="77B68AF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As people come to rely on AI systems in much the same way they once relied on a knowledgeable colleague — to hold and retrieve factual, procedural, and evaluative </w:t>
      </w:r>
      <w:r w:rsidRPr="008E6AC3">
        <w:rPr>
          <w:rFonts w:ascii="Times New Roman" w:eastAsia="Times New Roman" w:hAnsi="Times New Roman" w:cs="Times New Roman"/>
          <w:sz w:val="24"/>
          <w:szCs w:val="24"/>
          <w:lang w:eastAsia="en-GB"/>
        </w:rPr>
        <w:lastRenderedPageBreak/>
        <w:t>information — the same shift in cognitive labour seems likely to occur, with internal encoding declining most for information that feels readily recoverable on demand. Whether this amounts to a sensible cognitive adaptation or a worrying erosion of personal knowledge is not a question the field has settled (Firth et al., 2019; Risko &amp; Gilbert, 2016).</w:t>
      </w:r>
    </w:p>
    <w:p w14:paraId="30FD6E8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1 brings these three frameworks together alongside their respective predictions for AI-assisted offloading. Read as a set, they paint a picture that is theoretically rich rather than simple: offloading to AI may simultaneously ease the demands on working memory, fold the AI functionally into the user's own cognitive system, and shift memory encoding toward knowing where information sits rather than what it contains. Each of these three processes carries its own implications for cognitive functioning over the long run, and each is examined in more empirical detail in the sections that follow.</w:t>
      </w:r>
    </w:p>
    <w:p w14:paraId="0585502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6661140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1.</w:t>
      </w:r>
      <w:r w:rsidRPr="008E6AC3">
        <w:rPr>
          <w:rFonts w:ascii="Times New Roman" w:eastAsia="Times New Roman" w:hAnsi="Times New Roman" w:cs="Times New Roman"/>
          <w:sz w:val="24"/>
          <w:szCs w:val="24"/>
          <w:lang w:eastAsia="en-GB"/>
        </w:rPr>
        <w:t xml:space="preserve"> Core Theoretical Frameworks for Understanding Cognitive Offloading in the AI Context</w:t>
      </w:r>
    </w:p>
    <w:tbl>
      <w:tblPr>
        <w:tblStyle w:val="TableGrid"/>
        <w:tblW w:w="0" w:type="auto"/>
        <w:tblLook w:val="04A0" w:firstRow="1" w:lastRow="0" w:firstColumn="1" w:lastColumn="0" w:noHBand="0" w:noVBand="1"/>
      </w:tblPr>
      <w:tblGrid>
        <w:gridCol w:w="1592"/>
        <w:gridCol w:w="2605"/>
        <w:gridCol w:w="2387"/>
        <w:gridCol w:w="2658"/>
      </w:tblGrid>
      <w:tr w:rsidR="008E6AC3" w:rsidRPr="008E6AC3" w14:paraId="402D3769" w14:textId="77777777" w:rsidTr="009D291A">
        <w:tc>
          <w:tcPr>
            <w:tcW w:w="0" w:type="auto"/>
            <w:hideMark/>
          </w:tcPr>
          <w:p w14:paraId="354B2ACA"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Framework</w:t>
            </w:r>
          </w:p>
        </w:tc>
        <w:tc>
          <w:tcPr>
            <w:tcW w:w="0" w:type="auto"/>
            <w:hideMark/>
          </w:tcPr>
          <w:p w14:paraId="1FB548B9"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Propositions</w:t>
            </w:r>
          </w:p>
        </w:tc>
        <w:tc>
          <w:tcPr>
            <w:tcW w:w="0" w:type="auto"/>
            <w:hideMark/>
          </w:tcPr>
          <w:p w14:paraId="08B3A3A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Prediction for AI-Assisted Offloading</w:t>
            </w:r>
          </w:p>
        </w:tc>
        <w:tc>
          <w:tcPr>
            <w:tcW w:w="0" w:type="auto"/>
            <w:hideMark/>
          </w:tcPr>
          <w:p w14:paraId="6E9AB561"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Primary Implication</w:t>
            </w:r>
          </w:p>
        </w:tc>
      </w:tr>
      <w:tr w:rsidR="008E6AC3" w:rsidRPr="008E6AC3" w14:paraId="04F030A0" w14:textId="77777777" w:rsidTr="009D291A">
        <w:tc>
          <w:tcPr>
            <w:tcW w:w="0" w:type="auto"/>
            <w:hideMark/>
          </w:tcPr>
          <w:p w14:paraId="21B383A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Load Theory</w:t>
            </w:r>
          </w:p>
        </w:tc>
        <w:tc>
          <w:tcPr>
            <w:tcW w:w="0" w:type="auto"/>
            <w:hideMark/>
          </w:tcPr>
          <w:p w14:paraId="7ECE3C3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Working memory is limited in capacity; offloading reduces extraneous load and frees resources for higher-order processing</w:t>
            </w:r>
          </w:p>
        </w:tc>
        <w:tc>
          <w:tcPr>
            <w:tcW w:w="0" w:type="auto"/>
            <w:hideMark/>
          </w:tcPr>
          <w:p w14:paraId="48E9CE3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can free cognitive resources for evaluative and creative tasks</w:t>
            </w:r>
          </w:p>
        </w:tc>
        <w:tc>
          <w:tcPr>
            <w:tcW w:w="0" w:type="auto"/>
            <w:hideMark/>
          </w:tcPr>
          <w:p w14:paraId="4C982C8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May improve performance on retained tasks but risks reducing skill development if relied upon excessively</w:t>
            </w:r>
          </w:p>
        </w:tc>
      </w:tr>
      <w:tr w:rsidR="008E6AC3" w:rsidRPr="008E6AC3" w14:paraId="60F93320" w14:textId="77777777" w:rsidTr="009D291A">
        <w:tc>
          <w:tcPr>
            <w:tcW w:w="0" w:type="auto"/>
            <w:hideMark/>
          </w:tcPr>
          <w:p w14:paraId="0D8622D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Extended Mind Hypothesis</w:t>
            </w:r>
          </w:p>
        </w:tc>
        <w:tc>
          <w:tcPr>
            <w:tcW w:w="0" w:type="auto"/>
            <w:hideMark/>
          </w:tcPr>
          <w:p w14:paraId="6DF3A59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Cognition legitimately extends to reliable, accessible external tools that perform functional cognitive roles</w:t>
            </w:r>
          </w:p>
        </w:tc>
        <w:tc>
          <w:tcPr>
            <w:tcW w:w="0" w:type="auto"/>
            <w:hideMark/>
          </w:tcPr>
          <w:p w14:paraId="3723712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systems become part of the user's cognitive system when habitually and automatically consulted</w:t>
            </w:r>
          </w:p>
        </w:tc>
        <w:tc>
          <w:tcPr>
            <w:tcW w:w="0" w:type="auto"/>
            <w:hideMark/>
          </w:tcPr>
          <w:p w14:paraId="65B80DE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Creates epistemic dependency; changes in AI directly alter user cognitive functioning</w:t>
            </w:r>
          </w:p>
        </w:tc>
      </w:tr>
      <w:tr w:rsidR="008E6AC3" w:rsidRPr="008E6AC3" w14:paraId="767AE24D" w14:textId="77777777" w:rsidTr="009D291A">
        <w:tc>
          <w:tcPr>
            <w:tcW w:w="0" w:type="auto"/>
            <w:hideMark/>
          </w:tcPr>
          <w:p w14:paraId="532B29E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Transactive Memory Theory</w:t>
            </w:r>
          </w:p>
        </w:tc>
        <w:tc>
          <w:tcPr>
            <w:tcW w:w="0" w:type="auto"/>
            <w:hideMark/>
          </w:tcPr>
          <w:p w14:paraId="39F3E74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 is distributed across agents; individuals reduce encoding of information they expect others to hold</w:t>
            </w:r>
          </w:p>
        </w:tc>
        <w:tc>
          <w:tcPr>
            <w:tcW w:w="0" w:type="auto"/>
            <w:hideMark/>
          </w:tcPr>
          <w:p w14:paraId="5CFD410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Users reduce internal encoding of information expected to be retrievable from AI</w:t>
            </w:r>
          </w:p>
        </w:tc>
        <w:tc>
          <w:tcPr>
            <w:tcW w:w="0" w:type="auto"/>
            <w:hideMark/>
          </w:tcPr>
          <w:p w14:paraId="7AB46B0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Reduces personal knowledge retention; shifts epistemological authority to AI systems</w:t>
            </w:r>
          </w:p>
        </w:tc>
      </w:tr>
    </w:tbl>
    <w:p w14:paraId="6348A06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Clark and Chalmers (1998); Hollingshead (1998); Risko and Gilbert (2016); Sparrow et al. (2011).</w:t>
      </w:r>
    </w:p>
    <w:p w14:paraId="743F6A8F"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3FE7DE8B"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4. Mechanisms of Cognitive Offloading in the AI Era</w:t>
      </w:r>
    </w:p>
    <w:p w14:paraId="3D51583B"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4.1 Memory and Information Retrieval</w:t>
      </w:r>
    </w:p>
    <w:p w14:paraId="74B2B23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Memory is probably the most thoroughly studied casualty — or beneficiary, depending on one's reading — of AI-assisted offloading, though most of the relevant research predates </w:t>
      </w:r>
      <w:r w:rsidRPr="008E6AC3">
        <w:rPr>
          <w:rFonts w:ascii="Times New Roman" w:eastAsia="Times New Roman" w:hAnsi="Times New Roman" w:cs="Times New Roman"/>
          <w:sz w:val="24"/>
          <w:szCs w:val="24"/>
          <w:lang w:eastAsia="en-GB"/>
        </w:rPr>
        <w:lastRenderedPageBreak/>
        <w:t>generative AI and concerns earlier digital technologies instead. Sparrow and colleagues (2011) showed that internet access changes not just what people remember but how they go about encoding it in the first place: those who expected to be able to look something up later tended to encode where to find it rather than the information itself. This is best understood as a sensible adaptation rather than a deficit, but it leaves an open question that matters more in the AI era. What happens when even that locational knowledge — knowing where to look — is handed over to the system, leaving the user with neither the content nor the map to find it?</w:t>
      </w:r>
    </w:p>
    <w:p w14:paraId="066AC4B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related effect appeared in Henkel's (2014) naturalistic study of museum visitors: those who photographed an exhibit recalled fewer details about it afterwards than those who simply looked, apparently because making the external record reduced the attentional and elaborative work needed to consolidate the memory in the first place. Storm and Stone (2015) found something that looks, at first glance, like the opposite effect but actually fits the same pattern: participants who saved information they had already encountered went on to encode subsequent new material better, as though offloading the old material had freed up resources for the new. Taken together, these studies point to a single underlying principle. Once the mind registers that something has been externally stored, it shifts its own encoding effort elsewhere — a sensible enough strategy in itself, but one that backfires the moment the external store turns out to be unreliable, unavailable, or simply wrong.</w:t>
      </w:r>
    </w:p>
    <w:p w14:paraId="49095BE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Spatial memory shows the same pattern. </w:t>
      </w: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and colleagues (2019) found that people who relied on GPS while navigating a route subsequently built a noticeably weaker mental map of the area than those who found their own way, suggesting that handing navigation over to a digital system — even a fairly simple one — gets in the way of building the cognitive maps that independent spatial reasoning depends on.</w:t>
      </w:r>
    </w:p>
    <w:p w14:paraId="071761F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AI-generated responses raise the stakes further, simply because of how they are presented. A search engine returns a list of sources that still have to be read, weighed, and pieced together; a conversational AI system, by contrast, hands over a single, fluent answer with the synthesis already done. That format likely makes users even less inclined to evaluate the content critically or to internalise it themselves, since the hard part of the job has visibly already happened somewhere else. Firth and colleagues (2019), reviewing neuroimaging and behavioural evidence, suggested that sustained internet use may bring about functional changes in the neural systems underpinning attention and memory consolidation — including reduced sustained attention and altered engagement of working memory. If anything, the fluency and ease of AI-mediated information access seem more likely to intensify these effects than soften them.</w:t>
      </w:r>
    </w:p>
    <w:p w14:paraId="271631A6"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4.2 Attention and Multitasking</w:t>
      </w:r>
    </w:p>
    <w:p w14:paraId="197B7CE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Attentional control — the ability to direct and hold cognitive resources on something one has chosen to focus on — is one of the capacities most clearly affected by heavy digital technology use. Ophir and colleagues (2009) found that people who habitually multitasked across media were worse, not better, at filtering out irrelevant information and switching between tasks than light multitaskers, which suggests that habitual multitasking reshapes attentional architecture for the worse rather than training it for the better. Ward and colleagues (2017) found something even more striking: simply having a silenced smartphone sitting on the desk reduced the cognitive capacity participants could bring to working memory and fluid intelligence tasks, even among those who reported not thinking about the </w:t>
      </w:r>
      <w:r w:rsidRPr="008E6AC3">
        <w:rPr>
          <w:rFonts w:ascii="Times New Roman" w:eastAsia="Times New Roman" w:hAnsi="Times New Roman" w:cs="Times New Roman"/>
          <w:sz w:val="24"/>
          <w:szCs w:val="24"/>
          <w:lang w:eastAsia="en-GB"/>
        </w:rPr>
        <w:lastRenderedPageBreak/>
        <w:t>device at all. The implication for AI-embedded devices, which are persistently and actively present in a way an inert phone is not, is fairly direct.</w:t>
      </w:r>
    </w:p>
    <w:p w14:paraId="317299D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Wilmer and colleagues (2017), reviewing both laboratory and naturalistic studies, concluded that the link between heavy smartphone use and reduced working memory, attention, and impulse control holds up reasonably well across the literature — though, as with most cross-sectional work, establishing which way the causal arrow points remains genuinely difficult. Small and colleagues (2020) looked at the neurological side of the question and reported changes in prefrontal cortex activity associated with prolonged screen engagement, which they interpreted as possible adaptations in the brain's attentional regulatory systems. The neurological picture is still preliminary, but the behavioural evidence is more consistent: persistent offloading to digital tools appears to reshape attentional habits in ways that leave less capacity for sustained, uninterrupted focus.</w:t>
      </w:r>
    </w:p>
    <w:p w14:paraId="14844EE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 matters here for more than performance scores; it underlies memory consolidation, creative incubation, and the kind of deep comprehension that takes time to settle. Baird and colleagues (2012) showed that periods of mind wandering — which constant device engagement leaves little room for — actually support creative problem-solving, by allowing associative processes to run that focused attention tends to suppress. The broader shift toward near-permanent connectivity, much of it driven by AI systems designed to hold attention rather than release it, may therefore have knock-on effects for creativity and insight that experimental studies narrowly focused on attentional performance have not yet fully captured.</w:t>
      </w:r>
    </w:p>
    <w:p w14:paraId="32D3DB8C"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4.3 Decision-Making and Algorithmic Reliance</w:t>
      </w:r>
    </w:p>
    <w:p w14:paraId="049A455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 is perhaps the domain where AI-assisted offloading carries the highest stakes, and also the one where the psychology is most tangled. Human judgement is well known to rely on heuristics and biases that often lead to suboptimal choices (Kruger &amp; Dunning, 1999), and AI systems trained on large datasets and optimised for predictive accuracy can, in structured domains at least, outperform human intuition. What complicates matters is that people do not respond to algorithmic advice in any single, predictable way — neither uniform deference nor uniform suspicion describes how most people actually behave.</w:t>
      </w:r>
    </w:p>
    <w:p w14:paraId="2D63701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and colleagues (2015) gave one half of this picture a name: algorithm aversion, the tendency to abandon an algorithm's predictions the moment it gets something wrong, even when it has been outperforming human forecasters all along. Logg and colleagues (2019) described what looks like its mirror image, algorithm appreciation, in which people — especially those without much expertise in the relevant domain — actually prefer algorithmic advice to human recommendations. That both tendencies show up in the literature, sometimes in the same population under different conditions, suggests reliance on AI for decision support is genuinely variable rather than reducible to a single rule of thumb about trust.</w:t>
      </w:r>
    </w:p>
    <w:p w14:paraId="5ACF75B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more systematic worry is automation bias: the tendency to over-rely on an automated system's output, accepting it readily while missing errors that conflict with other, non-automated information sitting right in front of the decision-maker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drawing on decades of human factors research, found this to be a robust and recurring pattern across domains as different as aviation, nuclear power management, and medical diagnosis. As AI systems move into more high-stakes decisions, this becomes a genuine psychological risk — and one likely made worse by how confidently </w:t>
      </w:r>
      <w:r w:rsidRPr="008E6AC3">
        <w:rPr>
          <w:rFonts w:ascii="Times New Roman" w:eastAsia="Times New Roman" w:hAnsi="Times New Roman" w:cs="Times New Roman"/>
          <w:sz w:val="24"/>
          <w:szCs w:val="24"/>
          <w:lang w:eastAsia="en-GB"/>
        </w:rPr>
        <w:lastRenderedPageBreak/>
        <w:t>AI outputs tend to be phrased, which can lend them an authority they have not necessarily earned. The well-documented human tendency to attribute minds to non-human agents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 compounds the problem further, inflating how trustworthy a system seems and, with it, how readily people defer to it.</w:t>
      </w:r>
    </w:p>
    <w:p w14:paraId="63E323F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2 pulls together the major cognitive mechanisms discussed so far, along with the evidence behind each. A pattern runs through all of them: the more completely a function is handed over, and the more fluently the external system performs it, the less internal engagement the user tends to invest — and with that comes a corresponding rise in the risk of dependency, skill atrophy, and uncritical acceptance of whatever the system produces.</w:t>
      </w:r>
    </w:p>
    <w:p w14:paraId="1BE80065"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2E63DC9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2.</w:t>
      </w:r>
      <w:r w:rsidRPr="008E6AC3">
        <w:rPr>
          <w:rFonts w:ascii="Times New Roman" w:eastAsia="Times New Roman" w:hAnsi="Times New Roman" w:cs="Times New Roman"/>
          <w:sz w:val="24"/>
          <w:szCs w:val="24"/>
          <w:lang w:eastAsia="en-GB"/>
        </w:rPr>
        <w:t xml:space="preserve"> Major Cognitive Mechanisms of AI-Assisted Offloading and Associated Empirical Evidence</w:t>
      </w:r>
    </w:p>
    <w:tbl>
      <w:tblPr>
        <w:tblStyle w:val="TableGrid"/>
        <w:tblW w:w="0" w:type="auto"/>
        <w:tblLook w:val="04A0" w:firstRow="1" w:lastRow="0" w:firstColumn="1" w:lastColumn="0" w:noHBand="0" w:noVBand="1"/>
      </w:tblPr>
      <w:tblGrid>
        <w:gridCol w:w="1440"/>
        <w:gridCol w:w="2159"/>
        <w:gridCol w:w="3173"/>
        <w:gridCol w:w="2470"/>
      </w:tblGrid>
      <w:tr w:rsidR="008E6AC3" w:rsidRPr="008E6AC3" w14:paraId="6FA548C4" w14:textId="77777777" w:rsidTr="009D291A">
        <w:tc>
          <w:tcPr>
            <w:tcW w:w="0" w:type="auto"/>
            <w:hideMark/>
          </w:tcPr>
          <w:p w14:paraId="4813362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Cognitive Domain</w:t>
            </w:r>
          </w:p>
        </w:tc>
        <w:tc>
          <w:tcPr>
            <w:tcW w:w="0" w:type="auto"/>
            <w:hideMark/>
          </w:tcPr>
          <w:p w14:paraId="2412063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Mechanism</w:t>
            </w:r>
          </w:p>
        </w:tc>
        <w:tc>
          <w:tcPr>
            <w:tcW w:w="0" w:type="auto"/>
            <w:hideMark/>
          </w:tcPr>
          <w:p w14:paraId="6285F3E0"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Observed Effect</w:t>
            </w:r>
          </w:p>
        </w:tc>
        <w:tc>
          <w:tcPr>
            <w:tcW w:w="0" w:type="auto"/>
            <w:hideMark/>
          </w:tcPr>
          <w:p w14:paraId="47E9CE89"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3CF52A34" w14:textId="77777777" w:rsidTr="009D291A">
        <w:tc>
          <w:tcPr>
            <w:tcW w:w="0" w:type="auto"/>
            <w:hideMark/>
          </w:tcPr>
          <w:p w14:paraId="32E56FB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26FC1B6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Encoding reduction</w:t>
            </w:r>
          </w:p>
        </w:tc>
        <w:tc>
          <w:tcPr>
            <w:tcW w:w="0" w:type="auto"/>
            <w:hideMark/>
          </w:tcPr>
          <w:p w14:paraId="30B3CFF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consolidation when external storage is available</w:t>
            </w:r>
          </w:p>
        </w:tc>
        <w:tc>
          <w:tcPr>
            <w:tcW w:w="0" w:type="auto"/>
            <w:hideMark/>
          </w:tcPr>
          <w:p w14:paraId="7D3D8A7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Sparrow et al. (2011); Henkel (2014)</w:t>
            </w:r>
          </w:p>
        </w:tc>
      </w:tr>
      <w:tr w:rsidR="008E6AC3" w:rsidRPr="008E6AC3" w14:paraId="2D1BB207" w14:textId="77777777" w:rsidTr="009D291A">
        <w:tc>
          <w:tcPr>
            <w:tcW w:w="0" w:type="auto"/>
            <w:hideMark/>
          </w:tcPr>
          <w:p w14:paraId="2460F13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3612D38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Locational meta-memory shift</w:t>
            </w:r>
          </w:p>
        </w:tc>
        <w:tc>
          <w:tcPr>
            <w:tcW w:w="0" w:type="auto"/>
            <w:hideMark/>
          </w:tcPr>
          <w:p w14:paraId="0B48AD6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Location of information encoded in preference to its content</w:t>
            </w:r>
          </w:p>
        </w:tc>
        <w:tc>
          <w:tcPr>
            <w:tcW w:w="0" w:type="auto"/>
            <w:hideMark/>
          </w:tcPr>
          <w:p w14:paraId="7E30B1A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Sparrow et al. (2011)</w:t>
            </w:r>
          </w:p>
        </w:tc>
      </w:tr>
      <w:tr w:rsidR="008E6AC3" w:rsidRPr="008E6AC3" w14:paraId="368BAFE9" w14:textId="77777777" w:rsidTr="009D291A">
        <w:tc>
          <w:tcPr>
            <w:tcW w:w="0" w:type="auto"/>
            <w:hideMark/>
          </w:tcPr>
          <w:p w14:paraId="1A897B1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Memory</w:t>
            </w:r>
          </w:p>
        </w:tc>
        <w:tc>
          <w:tcPr>
            <w:tcW w:w="0" w:type="auto"/>
            <w:hideMark/>
          </w:tcPr>
          <w:p w14:paraId="2744760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Saving-enhanced memory</w:t>
            </w:r>
          </w:p>
        </w:tc>
        <w:tc>
          <w:tcPr>
            <w:tcW w:w="0" w:type="auto"/>
            <w:hideMark/>
          </w:tcPr>
          <w:p w14:paraId="086FCAE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Saving frees resources, improving encoding of new subsequent information</w:t>
            </w:r>
          </w:p>
        </w:tc>
        <w:tc>
          <w:tcPr>
            <w:tcW w:w="0" w:type="auto"/>
            <w:hideMark/>
          </w:tcPr>
          <w:p w14:paraId="43C6A3E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Storm &amp; Stone (2015)</w:t>
            </w:r>
          </w:p>
        </w:tc>
      </w:tr>
      <w:tr w:rsidR="008E6AC3" w:rsidRPr="008E6AC3" w14:paraId="58E32D82" w14:textId="77777777" w:rsidTr="009D291A">
        <w:tc>
          <w:tcPr>
            <w:tcW w:w="0" w:type="auto"/>
            <w:hideMark/>
          </w:tcPr>
          <w:p w14:paraId="27E85E4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Spatial memory</w:t>
            </w:r>
          </w:p>
        </w:tc>
        <w:tc>
          <w:tcPr>
            <w:tcW w:w="0" w:type="auto"/>
            <w:hideMark/>
          </w:tcPr>
          <w:p w14:paraId="187695F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Environmental encoding reduction</w:t>
            </w:r>
          </w:p>
        </w:tc>
        <w:tc>
          <w:tcPr>
            <w:tcW w:w="0" w:type="auto"/>
            <w:hideMark/>
          </w:tcPr>
          <w:p w14:paraId="18636D4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GPS reliance impairs spatial knowledge acquisition</w:t>
            </w:r>
          </w:p>
        </w:tc>
        <w:tc>
          <w:tcPr>
            <w:tcW w:w="0" w:type="auto"/>
            <w:hideMark/>
          </w:tcPr>
          <w:p w14:paraId="39645379"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et al. (2019)</w:t>
            </w:r>
          </w:p>
        </w:tc>
      </w:tr>
      <w:tr w:rsidR="008E6AC3" w:rsidRPr="008E6AC3" w14:paraId="58F85B7C" w14:textId="77777777" w:rsidTr="009D291A">
        <w:tc>
          <w:tcPr>
            <w:tcW w:w="0" w:type="auto"/>
            <w:hideMark/>
          </w:tcPr>
          <w:p w14:paraId="1E55CB4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w:t>
            </w:r>
          </w:p>
        </w:tc>
        <w:tc>
          <w:tcPr>
            <w:tcW w:w="0" w:type="auto"/>
            <w:hideMark/>
          </w:tcPr>
          <w:p w14:paraId="5C64A16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Passive attentional capture</w:t>
            </w:r>
          </w:p>
        </w:tc>
        <w:tc>
          <w:tcPr>
            <w:tcW w:w="0" w:type="auto"/>
            <w:hideMark/>
          </w:tcPr>
          <w:p w14:paraId="1B91169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Proximate devices reduce cognitive capacity even when inactive</w:t>
            </w:r>
          </w:p>
        </w:tc>
        <w:tc>
          <w:tcPr>
            <w:tcW w:w="0" w:type="auto"/>
            <w:hideMark/>
          </w:tcPr>
          <w:p w14:paraId="281C190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Ward et al. (2017); Wilmer et al. (2017)</w:t>
            </w:r>
          </w:p>
        </w:tc>
      </w:tr>
      <w:tr w:rsidR="008E6AC3" w:rsidRPr="008E6AC3" w14:paraId="4EA2EC63" w14:textId="77777777" w:rsidTr="009D291A">
        <w:tc>
          <w:tcPr>
            <w:tcW w:w="0" w:type="auto"/>
            <w:hideMark/>
          </w:tcPr>
          <w:p w14:paraId="4ADA844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w:t>
            </w:r>
          </w:p>
        </w:tc>
        <w:tc>
          <w:tcPr>
            <w:tcW w:w="0" w:type="auto"/>
            <w:hideMark/>
          </w:tcPr>
          <w:p w14:paraId="3C10942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Multitasking decrement</w:t>
            </w:r>
          </w:p>
        </w:tc>
        <w:tc>
          <w:tcPr>
            <w:tcW w:w="0" w:type="auto"/>
            <w:hideMark/>
          </w:tcPr>
          <w:p w14:paraId="631023C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Heavy multitaskers show reduced filtering and task-switching</w:t>
            </w:r>
          </w:p>
        </w:tc>
        <w:tc>
          <w:tcPr>
            <w:tcW w:w="0" w:type="auto"/>
            <w:hideMark/>
          </w:tcPr>
          <w:p w14:paraId="7D3AAA4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Ophir et al. (2009)</w:t>
            </w:r>
          </w:p>
        </w:tc>
      </w:tr>
      <w:tr w:rsidR="008E6AC3" w:rsidRPr="008E6AC3" w14:paraId="3B8878ED" w14:textId="77777777" w:rsidTr="009D291A">
        <w:tc>
          <w:tcPr>
            <w:tcW w:w="0" w:type="auto"/>
            <w:hideMark/>
          </w:tcPr>
          <w:p w14:paraId="5B536B3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2A44908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bias</w:t>
            </w:r>
          </w:p>
        </w:tc>
        <w:tc>
          <w:tcPr>
            <w:tcW w:w="0" w:type="auto"/>
            <w:hideMark/>
          </w:tcPr>
          <w:p w14:paraId="2369F87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Over-reliance on algorithmic outputs; failure to detect errors</w:t>
            </w:r>
          </w:p>
        </w:tc>
        <w:tc>
          <w:tcPr>
            <w:tcW w:w="0" w:type="auto"/>
            <w:hideMark/>
          </w:tcPr>
          <w:p w14:paraId="336EC501"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w:t>
            </w:r>
          </w:p>
        </w:tc>
      </w:tr>
      <w:tr w:rsidR="008E6AC3" w:rsidRPr="008E6AC3" w14:paraId="779E4E59" w14:textId="77777777" w:rsidTr="009D291A">
        <w:tc>
          <w:tcPr>
            <w:tcW w:w="0" w:type="auto"/>
            <w:hideMark/>
          </w:tcPr>
          <w:p w14:paraId="7D93F37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2FEFEE2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Algorithm aversion</w:t>
            </w:r>
          </w:p>
        </w:tc>
        <w:tc>
          <w:tcPr>
            <w:tcW w:w="0" w:type="auto"/>
            <w:hideMark/>
          </w:tcPr>
          <w:p w14:paraId="228F2F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Abandonment of algorithms following a single observed error</w:t>
            </w:r>
          </w:p>
        </w:tc>
        <w:tc>
          <w:tcPr>
            <w:tcW w:w="0" w:type="auto"/>
            <w:hideMark/>
          </w:tcPr>
          <w:p w14:paraId="6A311277"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w:t>
            </w:r>
          </w:p>
        </w:tc>
      </w:tr>
      <w:tr w:rsidR="008E6AC3" w:rsidRPr="008E6AC3" w14:paraId="0106DC82" w14:textId="77777777" w:rsidTr="009D291A">
        <w:tc>
          <w:tcPr>
            <w:tcW w:w="0" w:type="auto"/>
            <w:hideMark/>
          </w:tcPr>
          <w:p w14:paraId="0F30947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Decision-making</w:t>
            </w:r>
          </w:p>
        </w:tc>
        <w:tc>
          <w:tcPr>
            <w:tcW w:w="0" w:type="auto"/>
            <w:hideMark/>
          </w:tcPr>
          <w:p w14:paraId="55BD1F1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Algorithm appreciation</w:t>
            </w:r>
          </w:p>
        </w:tc>
        <w:tc>
          <w:tcPr>
            <w:tcW w:w="0" w:type="auto"/>
            <w:hideMark/>
          </w:tcPr>
          <w:p w14:paraId="535F224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Preference for algorithmic advice among less expert users</w:t>
            </w:r>
          </w:p>
        </w:tc>
        <w:tc>
          <w:tcPr>
            <w:tcW w:w="0" w:type="auto"/>
            <w:hideMark/>
          </w:tcPr>
          <w:p w14:paraId="03B2E4F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Logg et al. (2019)</w:t>
            </w:r>
          </w:p>
        </w:tc>
      </w:tr>
    </w:tbl>
    <w:p w14:paraId="7F46159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Sparrow et al. (2011); Henkel (2014); Storm and Stone (2015); </w:t>
      </w:r>
      <w:proofErr w:type="spellStart"/>
      <w:r w:rsidRPr="008E6AC3">
        <w:rPr>
          <w:rFonts w:ascii="Times New Roman" w:eastAsia="Times New Roman" w:hAnsi="Times New Roman" w:cs="Times New Roman"/>
          <w:sz w:val="24"/>
          <w:szCs w:val="24"/>
          <w:lang w:eastAsia="en-GB"/>
        </w:rPr>
        <w:t>Ruginski</w:t>
      </w:r>
      <w:proofErr w:type="spellEnd"/>
      <w:r w:rsidRPr="008E6AC3">
        <w:rPr>
          <w:rFonts w:ascii="Times New Roman" w:eastAsia="Times New Roman" w:hAnsi="Times New Roman" w:cs="Times New Roman"/>
          <w:sz w:val="24"/>
          <w:szCs w:val="24"/>
          <w:lang w:eastAsia="en-GB"/>
        </w:rPr>
        <w:t xml:space="preserve"> et al. (2019); Ward et al. (2017); Wilmer et al. (2017); Ophir et al. (2009);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 Logg et al. (2019).</w:t>
      </w:r>
    </w:p>
    <w:p w14:paraId="3EB7C5DC"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2B2E532D"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lastRenderedPageBreak/>
        <w:t>5. Psychological Implications of AI-Assisted Cognitive Offloading</w:t>
      </w:r>
    </w:p>
    <w:p w14:paraId="2B39BF6A"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5.1 Metacognitive Changes</w:t>
      </w:r>
    </w:p>
    <w:p w14:paraId="617105B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Metacognition — the ability to monitor, evaluate, and regulate one's own thinking — is widely regarded as central to effective learning, problem-solving, and good decision-making (Flavell, 1979). Because it sits at the centre of intellectual functioning more broadly, it is a particularly important place to look when asking how AI-assisted offloading is shaping the mind. If an AI system absorbs the evaluative and monitoring work that metacognition involves, two things could plausibly follow: the skill itself may weaken through disuse, or, more subtly, users may end up with a distorted sense of their own ability.</w:t>
      </w:r>
    </w:p>
    <w:p w14:paraId="47F5573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second possibility has an obvious precedent in the Dunning-Kruger effect, the well-replicated finding that people with limited skill in a domain tend to overrate their own competence — partly because recognising one's own gaps requires a degree of expertise that, by definition, the person lacks (Kruger &amp; Dunning, 1999). AI assistance could plausibly produce a similar distortion. Someone who routinely relies on AI-generated text, analysis, or decisions may come to feel more capable than they actually are, mistaking the fluency of the machine's output for evidence of their own thinking. A related risk is what might be called metacognitive outsourcing — not just handing off a task, but handing off the monitoring and evaluation of that task as well. Mueller and Oppenheimer (2014) found exactly this pattern with laptop note-taking: students who typed produced more extensive notes than those who wrote by hand, yet retained and understood less, because typing encourages verbatim transcription rather than the selective, effortful processing that actually builds understanding. AI-assisted note-taking or summarising risks the same trap — a tidy external record, with none of the mental work that would have made it stick.</w:t>
      </w:r>
    </w:p>
    <w:p w14:paraId="2A20682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broader metacognitive concern can be summed up as epistemic complacency: a willingness to skip critical evaluation because an AI system seems to have already done that work. Ecker and colleagues (2022), reviewing the psychology of misinformation, found that information which reads fluently — and information from sources that merely sound authoritative — tends to be accepted with less scrutiny than its actual reliability warrants. AI-generated text is, almost by design, fluent, confident, and well-formed, which is exactly the combination of features likely to raise its perceived credibility while lowering the effort users put into checking it.</w:t>
      </w:r>
    </w:p>
    <w:p w14:paraId="38483AFE"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5.2 Automation Bias and Complacency</w:t>
      </w:r>
    </w:p>
    <w:p w14:paraId="460BFD2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Automation bias is not confined to decision-making narrowly defined; it reflects a more general motivational shift toward less effortful monitoring whenever people believe an automated system has oversight covered (Parasuraman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2010). Parasuraman and colleagues (2000) set out a taxonomy of automation that distinguishes four functions — information acquisition, information analysis, decision selection, and action implementation — and found that vigilance drops most sharply, and complacency risk rises most, at the highest levels of automation, where the system both chooses and carries out actions with little human input.</w:t>
      </w:r>
    </w:p>
    <w:p w14:paraId="54FBF46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Many of today's AI systems sit precisely at these higher levels. An assistant that retrieves information, synthesises it, weighs the options, and recommends a course of action is operating at a level the human factors literature would predict to carry real complacency risk. </w:t>
      </w:r>
      <w:r w:rsidRPr="008E6AC3">
        <w:rPr>
          <w:rFonts w:ascii="Times New Roman" w:eastAsia="Times New Roman" w:hAnsi="Times New Roman" w:cs="Times New Roman"/>
          <w:sz w:val="24"/>
          <w:szCs w:val="24"/>
          <w:lang w:eastAsia="en-GB"/>
        </w:rPr>
        <w:lastRenderedPageBreak/>
        <w:t xml:space="preserve">In aviation, medicine, and nuclear safety, complacency-related failures — operators missing system errors or failing to override a bad automated call — have featured in serious incidents (Parasuraman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2010). As comparable levels of automation move into clinical diagnosis, legal analysis, and financial advice, the same psychological risk follows them in.</w:t>
      </w:r>
    </w:p>
    <w:p w14:paraId="60DBB31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and colleagues (1999) gave a name to a particularly worrying version of this: commission errors, where the operator acts entirely in line with an incorrect automated recommendation, overlooking information that, had it been noticed, would have called for a different response. In their study, participants monitoring a simulated aviation scenario kept following automated advice even when it clearly contradicted information they had direct access to. The professional analogue is not hard to imagine — users following AI recommendations without bringing in the contextual, experiential, or interpersonal knowledge they actually have, but that the AI has no way of accessing.</w:t>
      </w:r>
    </w:p>
    <w:p w14:paraId="6773330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5.3 Affective Dimensions: Dependency, Anxiety, and Wellbeing</w:t>
      </w:r>
    </w:p>
    <w:p w14:paraId="4978948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implications of AI-assisted offloading are not purely cognitive; there is an affective and motivational dimension as well. A growing concern is digital dependency — an escalating reliance on digital tools severe enough that their temporary absence produces anxiety, cognitive disruption, or a real drop in functioning. Clayton and colleagues (2015) studied exactly this in the context of smartphone separation, finding that habitual users asked to complete cognitive tasks without their phones showed heightened anxiety, faster heart rates, and worse performance on tasks demanding working memory and sustained attention. The researchers read this as evidence that the smartphone had effectively become part of the self, so that being without it felt less like an inconvenience and more like a kind of estrangement.</w:t>
      </w:r>
    </w:p>
    <w:p w14:paraId="31E7508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On the wellbeing question more broadly, Orben and Przybylski (2019) conducted a large specification-curve analysis testing the robustness of the link between adolescent wellbeing and digital technology use across thousands of possible analytical choices. What they found was a real but modest association — comparable, by their own framing, to the relationship between wellbeing and wearing glasses. This finding does useful work in tempering the debate: it pushes back against both the alarmist narrative that digital technology is quietly devastating a generation and the dismissive one that nothing meaningful is going on, and it points instead toward moderation, context, and individual differences as the variables that actually matter (Haidt &amp; Allen, 2020).</w:t>
      </w:r>
    </w:p>
    <w:p w14:paraId="1209B93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AI-assisted conversational agents for mental health support add yet another layer of complexity to this picture. Fitzpatrick and colleagues (2017) ran a randomised controlled trial of </w:t>
      </w:r>
      <w:proofErr w:type="spellStart"/>
      <w:r w:rsidRPr="008E6AC3">
        <w:rPr>
          <w:rFonts w:ascii="Times New Roman" w:eastAsia="Times New Roman" w:hAnsi="Times New Roman" w:cs="Times New Roman"/>
          <w:sz w:val="24"/>
          <w:szCs w:val="24"/>
          <w:lang w:eastAsia="en-GB"/>
        </w:rPr>
        <w:t>Woebot</w:t>
      </w:r>
      <w:proofErr w:type="spellEnd"/>
      <w:r w:rsidRPr="008E6AC3">
        <w:rPr>
          <w:rFonts w:ascii="Times New Roman" w:eastAsia="Times New Roman" w:hAnsi="Times New Roman" w:cs="Times New Roman"/>
          <w:sz w:val="24"/>
          <w:szCs w:val="24"/>
          <w:lang w:eastAsia="en-GB"/>
        </w:rPr>
        <w:t>, a fully automated agent delivering cognitive behavioural techniques to university students reporting symptoms of depression and anxiety, and found significantly reduced depression scores at two-week follow-up compared with controls — a genuinely encouraging result. But it leaves open a harder question that applies to the whole category of AI-delivered therapeutic tools: when emotional processing and self-reflection are delegated to a computational agent, is the user building real psychological capacity, or simply learning to comply fluently with a scripted pattern that lacks the relational depth and metacognitive engagement that seem to matter in effective psychotherapy?</w:t>
      </w:r>
    </w:p>
    <w:p w14:paraId="1A1443B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Self-determination theory offers a useful lens for thinking through the motivational side of all this. Deci and Ryan (2000) argued that psychological wellbeing rests on three basic needs being met: autonomy, the sense that one's actions are self-directed; competence, the sense of </w:t>
      </w:r>
      <w:r w:rsidRPr="008E6AC3">
        <w:rPr>
          <w:rFonts w:ascii="Times New Roman" w:eastAsia="Times New Roman" w:hAnsi="Times New Roman" w:cs="Times New Roman"/>
          <w:sz w:val="24"/>
          <w:szCs w:val="24"/>
          <w:lang w:eastAsia="en-GB"/>
        </w:rPr>
        <w:lastRenderedPageBreak/>
        <w:t>mastery and effectiveness; and relatedness, meaningful connection to others. AI-assisted offloading can satisfy the need for competence in the moment — a task gets done quickly and well — while undermining it over time, since the genuine skill that would have produced lasting competence never quite gets built. Autonomy is harder to pin down but no less at risk, particularly when AI systems guide, constrain, or quietly pre-empt choices in ways users do not fully notice. How this tension between short-term satisfaction and longer-term wellbeing actually resolves is not yet clear from the evidence available, and it remains one of the more pressing open questions in this field. The wider promise and ethical complexity of technological cognitive enhancement has been recognised before (Bostrom &amp; Sandberg, 2009), though exactly how AI-assisted enhancement affects autonomy over the long term is still not well specified.</w:t>
      </w:r>
    </w:p>
    <w:p w14:paraId="16765BD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3 draws together the psychological implications discussed in this section, with the supporting evidence and the likely direction of each effect. What stands out across the table is how mixed the picture remains: real adaptive potential sits alongside real risk, and which one wins out in practice seems to depend less on what an AI system is capable of than on the conditions under which it gets used.</w:t>
      </w:r>
    </w:p>
    <w:p w14:paraId="55ADD57E"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8E417D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3.</w:t>
      </w:r>
      <w:r w:rsidRPr="008E6AC3">
        <w:rPr>
          <w:rFonts w:ascii="Times New Roman" w:eastAsia="Times New Roman" w:hAnsi="Times New Roman" w:cs="Times New Roman"/>
          <w:sz w:val="24"/>
          <w:szCs w:val="24"/>
          <w:lang w:eastAsia="en-GB"/>
        </w:rPr>
        <w:t xml:space="preserve"> Summary of Psychological Implications of AI-Assisted Cognitive Offloading</w:t>
      </w:r>
    </w:p>
    <w:tbl>
      <w:tblPr>
        <w:tblStyle w:val="TableGrid"/>
        <w:tblW w:w="0" w:type="auto"/>
        <w:tblLook w:val="04A0" w:firstRow="1" w:lastRow="0" w:firstColumn="1" w:lastColumn="0" w:noHBand="0" w:noVBand="1"/>
      </w:tblPr>
      <w:tblGrid>
        <w:gridCol w:w="1874"/>
        <w:gridCol w:w="2814"/>
        <w:gridCol w:w="1803"/>
        <w:gridCol w:w="2751"/>
      </w:tblGrid>
      <w:tr w:rsidR="008E6AC3" w:rsidRPr="008E6AC3" w14:paraId="53B30457" w14:textId="77777777" w:rsidTr="009D291A">
        <w:tc>
          <w:tcPr>
            <w:tcW w:w="0" w:type="auto"/>
            <w:hideMark/>
          </w:tcPr>
          <w:p w14:paraId="31728CFC"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Dimension</w:t>
            </w:r>
          </w:p>
        </w:tc>
        <w:tc>
          <w:tcPr>
            <w:tcW w:w="0" w:type="auto"/>
            <w:hideMark/>
          </w:tcPr>
          <w:p w14:paraId="12977425"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Psychological Implication</w:t>
            </w:r>
          </w:p>
        </w:tc>
        <w:tc>
          <w:tcPr>
            <w:tcW w:w="0" w:type="auto"/>
            <w:hideMark/>
          </w:tcPr>
          <w:p w14:paraId="574F65B0"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Likely Direction of Effect</w:t>
            </w:r>
          </w:p>
        </w:tc>
        <w:tc>
          <w:tcPr>
            <w:tcW w:w="0" w:type="auto"/>
            <w:hideMark/>
          </w:tcPr>
          <w:p w14:paraId="1BFCFE43"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74BDCDD6" w14:textId="77777777" w:rsidTr="009D291A">
        <w:tc>
          <w:tcPr>
            <w:tcW w:w="0" w:type="auto"/>
            <w:hideMark/>
          </w:tcPr>
          <w:p w14:paraId="15BA59B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Metacognition</w:t>
            </w:r>
          </w:p>
        </w:tc>
        <w:tc>
          <w:tcPr>
            <w:tcW w:w="0" w:type="auto"/>
            <w:hideMark/>
          </w:tcPr>
          <w:p w14:paraId="290FBE3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metacognitive monitoring; inflated self-assessment</w:t>
            </w:r>
          </w:p>
        </w:tc>
        <w:tc>
          <w:tcPr>
            <w:tcW w:w="0" w:type="auto"/>
            <w:hideMark/>
          </w:tcPr>
          <w:p w14:paraId="5C00C81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250966E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Flavell (1979); Kruger &amp; Dunning (1999); Mueller &amp; Oppenheimer (2014)</w:t>
            </w:r>
          </w:p>
        </w:tc>
      </w:tr>
      <w:tr w:rsidR="008E6AC3" w:rsidRPr="008E6AC3" w14:paraId="5B2EAD9A" w14:textId="77777777" w:rsidTr="009D291A">
        <w:tc>
          <w:tcPr>
            <w:tcW w:w="0" w:type="auto"/>
            <w:hideMark/>
          </w:tcPr>
          <w:p w14:paraId="308E78B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Epistemic evaluation</w:t>
            </w:r>
          </w:p>
        </w:tc>
        <w:tc>
          <w:tcPr>
            <w:tcW w:w="0" w:type="auto"/>
            <w:hideMark/>
          </w:tcPr>
          <w:p w14:paraId="64BAB70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critical appraisal of AI-generated content; epistemic complacency</w:t>
            </w:r>
          </w:p>
        </w:tc>
        <w:tc>
          <w:tcPr>
            <w:tcW w:w="0" w:type="auto"/>
            <w:hideMark/>
          </w:tcPr>
          <w:p w14:paraId="6A0BCB7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6188E10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Ecker et al. (2022); Lazer et al. (2018)</w:t>
            </w:r>
          </w:p>
        </w:tc>
      </w:tr>
      <w:tr w:rsidR="008E6AC3" w:rsidRPr="008E6AC3" w14:paraId="0C7DA530" w14:textId="77777777" w:rsidTr="009D291A">
        <w:tc>
          <w:tcPr>
            <w:tcW w:w="0" w:type="auto"/>
            <w:hideMark/>
          </w:tcPr>
          <w:p w14:paraId="28C6CCC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complacency</w:t>
            </w:r>
          </w:p>
        </w:tc>
        <w:tc>
          <w:tcPr>
            <w:tcW w:w="0" w:type="auto"/>
            <w:hideMark/>
          </w:tcPr>
          <w:p w14:paraId="6DAAD45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vigilance; commission errors in high-stakes settings</w:t>
            </w:r>
          </w:p>
        </w:tc>
        <w:tc>
          <w:tcPr>
            <w:tcW w:w="0" w:type="auto"/>
            <w:hideMark/>
          </w:tcPr>
          <w:p w14:paraId="4DA11CF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38E035D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w:t>
            </w:r>
          </w:p>
        </w:tc>
      </w:tr>
      <w:tr w:rsidR="008E6AC3" w:rsidRPr="008E6AC3" w14:paraId="2F5C6302" w14:textId="77777777" w:rsidTr="009D291A">
        <w:tc>
          <w:tcPr>
            <w:tcW w:w="0" w:type="auto"/>
            <w:hideMark/>
          </w:tcPr>
          <w:p w14:paraId="4B36EB7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capacity</w:t>
            </w:r>
          </w:p>
        </w:tc>
        <w:tc>
          <w:tcPr>
            <w:tcW w:w="0" w:type="auto"/>
            <w:hideMark/>
          </w:tcPr>
          <w:p w14:paraId="14F51E7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Short-term capacity freed for higher-order tasks</w:t>
            </w:r>
          </w:p>
        </w:tc>
        <w:tc>
          <w:tcPr>
            <w:tcW w:w="0" w:type="auto"/>
            <w:hideMark/>
          </w:tcPr>
          <w:p w14:paraId="1A9D641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Conditionally positive</w:t>
            </w:r>
          </w:p>
        </w:tc>
        <w:tc>
          <w:tcPr>
            <w:tcW w:w="0" w:type="auto"/>
            <w:hideMark/>
          </w:tcPr>
          <w:p w14:paraId="23167392" w14:textId="77777777" w:rsidR="008E6AC3" w:rsidRPr="008E6AC3" w:rsidRDefault="008E6AC3" w:rsidP="008E6AC3">
            <w:pPr>
              <w:rPr>
                <w:rFonts w:ascii="Times New Roman" w:eastAsia="Times New Roman" w:hAnsi="Times New Roman" w:cs="Times New Roman"/>
                <w:sz w:val="24"/>
                <w:szCs w:val="24"/>
                <w:lang w:eastAsia="en-GB"/>
              </w:rPr>
            </w:pP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Noy &amp; Zhang (2023)</w:t>
            </w:r>
          </w:p>
        </w:tc>
      </w:tr>
      <w:tr w:rsidR="008E6AC3" w:rsidRPr="008E6AC3" w14:paraId="08BBC0DB" w14:textId="77777777" w:rsidTr="009D291A">
        <w:tc>
          <w:tcPr>
            <w:tcW w:w="0" w:type="auto"/>
            <w:hideMark/>
          </w:tcPr>
          <w:p w14:paraId="064F1BB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dependency</w:t>
            </w:r>
          </w:p>
        </w:tc>
        <w:tc>
          <w:tcPr>
            <w:tcW w:w="0" w:type="auto"/>
            <w:hideMark/>
          </w:tcPr>
          <w:p w14:paraId="23E6389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Anxiety and performance decrements upon tool unavailability</w:t>
            </w:r>
          </w:p>
        </w:tc>
        <w:tc>
          <w:tcPr>
            <w:tcW w:w="0" w:type="auto"/>
            <w:hideMark/>
          </w:tcPr>
          <w:p w14:paraId="5215797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Negative</w:t>
            </w:r>
          </w:p>
        </w:tc>
        <w:tc>
          <w:tcPr>
            <w:tcW w:w="0" w:type="auto"/>
            <w:hideMark/>
          </w:tcPr>
          <w:p w14:paraId="1CE1425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Clayton et al. (2015); Ward et al. (2017)</w:t>
            </w:r>
          </w:p>
        </w:tc>
      </w:tr>
      <w:tr w:rsidR="008E6AC3" w:rsidRPr="008E6AC3" w14:paraId="76D4C489" w14:textId="77777777" w:rsidTr="009D291A">
        <w:tc>
          <w:tcPr>
            <w:tcW w:w="0" w:type="auto"/>
            <w:hideMark/>
          </w:tcPr>
          <w:p w14:paraId="25E2479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Wellbeing</w:t>
            </w:r>
          </w:p>
        </w:tc>
        <w:tc>
          <w:tcPr>
            <w:tcW w:w="0" w:type="auto"/>
            <w:hideMark/>
          </w:tcPr>
          <w:p w14:paraId="74E0F78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Modest negative association at high use levels</w:t>
            </w:r>
          </w:p>
        </w:tc>
        <w:tc>
          <w:tcPr>
            <w:tcW w:w="0" w:type="auto"/>
            <w:hideMark/>
          </w:tcPr>
          <w:p w14:paraId="7585763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Modestly negative</w:t>
            </w:r>
          </w:p>
        </w:tc>
        <w:tc>
          <w:tcPr>
            <w:tcW w:w="0" w:type="auto"/>
            <w:hideMark/>
          </w:tcPr>
          <w:p w14:paraId="1C1543B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Orben &amp; Przybylski (2019); Haidt &amp; Allen (2020)</w:t>
            </w:r>
          </w:p>
        </w:tc>
      </w:tr>
      <w:tr w:rsidR="008E6AC3" w:rsidRPr="008E6AC3" w14:paraId="52FF2DB3" w14:textId="77777777" w:rsidTr="009D291A">
        <w:tc>
          <w:tcPr>
            <w:tcW w:w="0" w:type="auto"/>
            <w:hideMark/>
          </w:tcPr>
          <w:p w14:paraId="5B84A6E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Autonomy and competence</w:t>
            </w:r>
          </w:p>
        </w:tc>
        <w:tc>
          <w:tcPr>
            <w:tcW w:w="0" w:type="auto"/>
            <w:hideMark/>
          </w:tcPr>
          <w:p w14:paraId="0B04559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Short-term competence gains; potential long-term autonomy reduction</w:t>
            </w:r>
          </w:p>
        </w:tc>
        <w:tc>
          <w:tcPr>
            <w:tcW w:w="0" w:type="auto"/>
            <w:hideMark/>
          </w:tcPr>
          <w:p w14:paraId="40557CD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Mixed</w:t>
            </w:r>
          </w:p>
        </w:tc>
        <w:tc>
          <w:tcPr>
            <w:tcW w:w="0" w:type="auto"/>
            <w:hideMark/>
          </w:tcPr>
          <w:p w14:paraId="2AA33A4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 &amp; Ryan (2000); Bostrom &amp; Sandberg (2009)</w:t>
            </w:r>
          </w:p>
        </w:tc>
      </w:tr>
    </w:tbl>
    <w:p w14:paraId="2289148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Flavell (1979); Kruger and Dunning (1999); Mueller and Oppenheimer (2014); Ecker et al. (2022); Lazer et al. (2018);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w:t>
      </w:r>
      <w:proofErr w:type="spellStart"/>
      <w:r w:rsidRPr="008E6AC3">
        <w:rPr>
          <w:rFonts w:ascii="Times New Roman" w:eastAsia="Times New Roman" w:hAnsi="Times New Roman" w:cs="Times New Roman"/>
          <w:sz w:val="24"/>
          <w:szCs w:val="24"/>
          <w:lang w:eastAsia="en-GB"/>
        </w:rPr>
        <w:t>Skitka</w:t>
      </w:r>
      <w:proofErr w:type="spellEnd"/>
      <w:r w:rsidRPr="008E6AC3">
        <w:rPr>
          <w:rFonts w:ascii="Times New Roman" w:eastAsia="Times New Roman" w:hAnsi="Times New Roman" w:cs="Times New Roman"/>
          <w:sz w:val="24"/>
          <w:szCs w:val="24"/>
          <w:lang w:eastAsia="en-GB"/>
        </w:rPr>
        <w:t xml:space="preserve"> et al. (1999); </w:t>
      </w:r>
      <w:proofErr w:type="spellStart"/>
      <w:r w:rsidRPr="008E6AC3">
        <w:rPr>
          <w:rFonts w:ascii="Times New Roman" w:eastAsia="Times New Roman" w:hAnsi="Times New Roman" w:cs="Times New Roman"/>
          <w:sz w:val="24"/>
          <w:szCs w:val="24"/>
          <w:lang w:eastAsia="en-GB"/>
        </w:rPr>
        <w:t>Sweller</w:t>
      </w:r>
      <w:proofErr w:type="spellEnd"/>
      <w:r w:rsidRPr="008E6AC3">
        <w:rPr>
          <w:rFonts w:ascii="Times New Roman" w:eastAsia="Times New Roman" w:hAnsi="Times New Roman" w:cs="Times New Roman"/>
          <w:sz w:val="24"/>
          <w:szCs w:val="24"/>
          <w:lang w:eastAsia="en-GB"/>
        </w:rPr>
        <w:t xml:space="preserve"> (1988); Noy and Zhang (2023); Clayton et al. (2015); Ward et al. (2017); Orben and </w:t>
      </w:r>
      <w:r w:rsidRPr="008E6AC3">
        <w:rPr>
          <w:rFonts w:ascii="Times New Roman" w:eastAsia="Times New Roman" w:hAnsi="Times New Roman" w:cs="Times New Roman"/>
          <w:sz w:val="24"/>
          <w:szCs w:val="24"/>
          <w:lang w:eastAsia="en-GB"/>
        </w:rPr>
        <w:lastRenderedPageBreak/>
        <w:t>Przybylski (2019); Haidt and Allen (2020); Deci and Ryan (2000); Bostrom and Sandberg (2009).</w:t>
      </w:r>
    </w:p>
    <w:p w14:paraId="7FE64DF8"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14A20C0"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6. Impact on Critical Thinking, Learning, and Creativity</w:t>
      </w:r>
    </w:p>
    <w:p w14:paraId="53D730C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6.1 Educational Implications</w:t>
      </w:r>
    </w:p>
    <w:p w14:paraId="01762F2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Education is probably where the stakes of AI-assisted offloading feel most immediate, and the debate is correspondingly active. The cognitive demands that learning makes — encoding new material, building conceptual understanding, working through problems without a scaffold, monitoring one's own comprehension — are not incidental overhead that AI tools could tidily take off a student's hands. They are, in a real sense, what education is actually for. If an AI system routinely performs this work on a student's behalf, the risk goes well beyond the student simply absorbing less content; it is that the student develops weaker capacity for the work of learning itself.</w:t>
      </w:r>
    </w:p>
    <w:p w14:paraId="2DFB0F1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This is essentially what Mueller and Oppenheimer (2014) already found with note-taking medium: longhand notes, which demand selective and generative processing, produced better retention and comprehension than laptop notes, even though the laptop notes were longer and more complete. The underlying mechanism seems to be depth of engagement during encoding — effortful elaboration leaves a stronger trace than passive transcription does. The lesson transfers directly to AI-assisted learning. Generating a summary with AI help requires far less elaborative work than building one through active recall and reorganisation, and the material is likely to be retained correspondingly less well.</w:t>
      </w:r>
    </w:p>
    <w:p w14:paraId="137E6968"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Chen and colleagues (2020), reviewing the growing range of AI applications in education, found real opportunities here — personalised learning pathways, automated feedback, adaptive assessment — alongside real risks: reduced cognitive challenge, more passive students, and a potential erosion of the social and relational side of learning that AI cannot easily replace. None of this is inevitable; it follows from specific design choices rather than from AI itself. A system optimised to maximise student comfort and task completion can end up systematically stripping out the desirable difficulties — spaced practice, retrieval challenge, interleaved learning — that cognitive science has shown to matter most for retention and transfer.</w:t>
      </w:r>
    </w:p>
    <w:p w14:paraId="739E726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There is a further complication in the information environment students now navigate. Lazer and colleagues (2018) documented how the same cognitive heuristics that normally serve people well — processing fluency, deference to apparent authority — also leave them vulnerable to misinformation, especially when it arrives polished and confidently stated. AI-generated content is notably prone to sounding plausible while being factually wrong, which puts educators in a difficult position: they need to build students' critical evaluation skills at precisely the moment when AI output is becoming harder to distinguish, on the surface at least, from accurate and authoritative information.</w:t>
      </w:r>
    </w:p>
    <w:p w14:paraId="20983479"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6.2 Creativity and Problem-Solving</w:t>
      </w:r>
    </w:p>
    <w:p w14:paraId="0A21CDA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Creativity is where this whole debate gets genuinely nuanced, and broad generalisations do not hold up well here. Creative thought depends on recombining existing knowledge and </w:t>
      </w:r>
      <w:r w:rsidRPr="008E6AC3">
        <w:rPr>
          <w:rFonts w:ascii="Times New Roman" w:eastAsia="Times New Roman" w:hAnsi="Times New Roman" w:cs="Times New Roman"/>
          <w:sz w:val="24"/>
          <w:szCs w:val="24"/>
          <w:lang w:eastAsia="en-GB"/>
        </w:rPr>
        <w:lastRenderedPageBreak/>
        <w:t>exploring possibility spaces in ways that constant external assistance can actually get in the way of. Baird and colleagues (2012) showed that mind wandering — the kind of undirected mental drift that happens when nothing external is demanding attention — supports creative incubation by letting weakly activated associations rise into conscious awareness. If AI-mediated engagement keeps attentional resources continuously occupied, there is simply less room for the mind wandering that creative insight seems to depend on.</w:t>
      </w:r>
    </w:p>
    <w:p w14:paraId="4DDBC61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Against this, there is a more hopeful line of argument. Bostrom and Sandberg (2009) suggested that cognitive enhancement of any kind — pharmacological, technological, or AI-assisted — could widen the scope of human creative achievement simply by extending the range of problems a person can engage with effectively. If AI systems absorb the combinatorial work of retrieving information and generating options, the resources that frees up could go toward the evaluative, aesthetic, and integrative judgement that creative work ultimately depends on, and that machines are not well placed to replace. Noy and Zhang (2023) offer some support for this: generative AI assistance improved the quality of professional writing, with the biggest gains seen among workers who started out with lower ability — a levelling effect that, if it generalises, could narrow rather than widen existing gaps in creative output.</w:t>
      </w:r>
    </w:p>
    <w:p w14:paraId="034AC68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That said, a more theoretical worry remains, one that arguments about short-term output quality do not really address. Cognitive and educational psychology has consistently found that productive struggle — working through difficulty without immediate help — does more for learning and skill development than quick error correction or having the solution handed over. An AI system that resolves cognitive difficulty too readily could, somewhat paradoxically, end up weakening the very capacities it is meant to support. Whether this actually happens, and how badly, especially for younger learners growing up with constant AI assistance, is a question the published literature has not yet really investigated.</w:t>
      </w:r>
    </w:p>
    <w:p w14:paraId="66AE2983"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27B80F3"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7. Individual Differences and Moderating Factors</w:t>
      </w:r>
    </w:p>
    <w:p w14:paraId="170ECC83"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7.1 Age, Expertise, and Cognitive Reserve</w:t>
      </w:r>
    </w:p>
    <w:p w14:paraId="2DC8761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None of the effects discussed so far apply uniformly; they vary substantially across individuals, and age is one of the clearest sources of that variation. Older adults sit in a genuinely difficult position. Declining working memory and slower processing speed mean AI assistance could be particularly useful for managing complex information loads, yet reduced metacognitive monitoring and lower digital literacy can simultaneously make this group more vulnerable to automation bias and to missing errors they should be catching. Stern (2009), reviewing and consolidating the concept of cognitive reserve — the brain's capacity to cope with age-related and pathological decline by recruiting alternative neural strategies — argued that staying cognitively challenged helps maintain this reserve across the lifespan. If AI tools substantially reduce the cognitive demands older adults face day to day, they may end up removing exactly the kind of challenge that sustains reserve, with knock-on consequences for resilience against age-related decline.</w:t>
      </w:r>
    </w:p>
    <w:p w14:paraId="7E67022E"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Children and adolescents raise a different set of concerns entirely. Cognitive development at this stage depends on effortful engagement with difficult tasks, the gradual internalisation of regulatory strategies, and the steady build-up of metacognitive skill — all of which take time </w:t>
      </w:r>
      <w:r w:rsidRPr="008E6AC3">
        <w:rPr>
          <w:rFonts w:ascii="Times New Roman" w:eastAsia="Times New Roman" w:hAnsi="Times New Roman" w:cs="Times New Roman"/>
          <w:sz w:val="24"/>
          <w:szCs w:val="24"/>
          <w:lang w:eastAsia="en-GB"/>
        </w:rPr>
        <w:lastRenderedPageBreak/>
        <w:t>and friction to develop. AI tools that pre-empt or bypass this work raise real questions about what cognitive development looks like for a generation growing up with constant AI assistance on hand. Firth and colleagues (2019) raised the possibility that prolonged internet use during these sensitive developmental windows could alter how attentional and memory systems typically get organised, though they were careful to note that the longitudinal evidence needed to establish causal pathways in human populations is still limited. Small and colleagues (2020) similarly found that the neurological effects of sustained digital technology use look more pronounced in younger samples, which points to a developmental sensitivity that deserves closer study.</w:t>
      </w:r>
    </w:p>
    <w:p w14:paraId="50CB96E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Expertise is the second major moderator. Logg and colleagues (2019) found that algorithm appreciation runs stronger among non-experts than among domain experts, who were more willing to override an algorithm's recommendation when their own contextual knowledge told them something different. This points toward a fairly intuitive conclusion: automation bias risk is lower for expert users who have the knowledge to critically evaluate AI outputs, and higher for novices who simply do not have the background to spot when the AI has got something wrong. The implication for professional training is worth taking seriously — introducing AI tools early in someone's career, before they have built up domain expertise, may produce more entrenched automation bias than introducing the same tools once expertise is already in place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w:t>
      </w:r>
    </w:p>
    <w:p w14:paraId="2D68B685"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7.2 Digital Literacy and Metacognitive Awareness</w:t>
      </w:r>
    </w:p>
    <w:p w14:paraId="252ED24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 — being able to locate, evaluate, and effectively use digital information and tools — is increasingly recognised as a key variable mediating the relationship between technology use and cognitive outcomes. Van Laar and colleagues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in a large survey of working professionals, identified core dimensions of twenty-first-century digital skill, including technical competence, information and data literacy, communication, content creation, safety awareness, and problem-solving. People scoring higher on these dimensions used digital tools more effectively while also remaining more critically aware of their limitations — which is, in essence, exactly the metacognitive stance that adaptive AI use requires.</w:t>
      </w:r>
    </w:p>
    <w:p w14:paraId="1046A07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Metacognitive awareness — monitoring and regulating one's own use of cognitive tools, AI included — may be particularly protective against epistemic complacency. People who habitually reflect on their own thinking are more likely to notice when they are accepting an AI's output too readily, to stay alert to its limitations, and to seek independent confirmation when something important is at stake. This kind of awareness, though, does not simply appear; it is built through educational investment and deliberate practice. Van Laar and colleagues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found that structured training in critical information evaluation meaningfully improved workers' ability to judge the reliability of digital content, which is encouraging in a practical sense — it suggests this kind of metacognitive literacy can be taught rather than treated as a fixed trait some people simply have and others lack.</w:t>
      </w:r>
    </w:p>
    <w:p w14:paraId="00872D4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Information overload is a further moderating factor, and one that operates somewhat independently of literacy and expertise. Eppler and Mengis (2004), reviewing evidence on information overload across several disciplines, found it has a double effect: it degrades decision-making quality directly, and it pushes people toward cognitive shortcuts, shallower analysis, and greater deference to whoever or whatever seems to carry authority. AI systems sit in an awkward position here, since they can both create and relieve information overload </w:t>
      </w:r>
      <w:r w:rsidRPr="008E6AC3">
        <w:rPr>
          <w:rFonts w:ascii="Times New Roman" w:eastAsia="Times New Roman" w:hAnsi="Times New Roman" w:cs="Times New Roman"/>
          <w:sz w:val="24"/>
          <w:szCs w:val="24"/>
          <w:lang w:eastAsia="en-GB"/>
        </w:rPr>
        <w:lastRenderedPageBreak/>
        <w:t>at the same time — and in environments where overload is high, the pull toward delegating evaluative work to AI grows correspondingly stronger. That leaves a real paradox: the moments when AI assistance feels most tempting are often exactly the moments when uncritical reliance on it is most risky. This is as much a design and policy problem as a psychological one.</w:t>
      </w:r>
    </w:p>
    <w:p w14:paraId="5CDFF4A6"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4 brings these moderating factors together, alongside how each is likely to shape the psychological impact of AI-assisted cognitive offloading.</w:t>
      </w:r>
    </w:p>
    <w:p w14:paraId="16B95C93"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6021314B"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4.</w:t>
      </w:r>
      <w:r w:rsidRPr="008E6AC3">
        <w:rPr>
          <w:rFonts w:ascii="Times New Roman" w:eastAsia="Times New Roman" w:hAnsi="Times New Roman" w:cs="Times New Roman"/>
          <w:sz w:val="24"/>
          <w:szCs w:val="24"/>
          <w:lang w:eastAsia="en-GB"/>
        </w:rPr>
        <w:t xml:space="preserve"> Key Moderating Factors in the Psychological Impact of AI-Assisted Cognitive Offloading</w:t>
      </w:r>
    </w:p>
    <w:tbl>
      <w:tblPr>
        <w:tblStyle w:val="TableGrid"/>
        <w:tblW w:w="0" w:type="auto"/>
        <w:tblLook w:val="04A0" w:firstRow="1" w:lastRow="0" w:firstColumn="1" w:lastColumn="0" w:noHBand="0" w:noVBand="1"/>
      </w:tblPr>
      <w:tblGrid>
        <w:gridCol w:w="1961"/>
        <w:gridCol w:w="2951"/>
        <w:gridCol w:w="2482"/>
        <w:gridCol w:w="1848"/>
      </w:tblGrid>
      <w:tr w:rsidR="008E6AC3" w:rsidRPr="008E6AC3" w14:paraId="120E8374" w14:textId="77777777" w:rsidTr="009D291A">
        <w:tc>
          <w:tcPr>
            <w:tcW w:w="0" w:type="auto"/>
            <w:hideMark/>
          </w:tcPr>
          <w:p w14:paraId="746CE56E"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Moderating Factor</w:t>
            </w:r>
          </w:p>
        </w:tc>
        <w:tc>
          <w:tcPr>
            <w:tcW w:w="0" w:type="auto"/>
            <w:hideMark/>
          </w:tcPr>
          <w:p w14:paraId="10AAAF57"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Nature of Influence</w:t>
            </w:r>
          </w:p>
        </w:tc>
        <w:tc>
          <w:tcPr>
            <w:tcW w:w="0" w:type="auto"/>
            <w:hideMark/>
          </w:tcPr>
          <w:p w14:paraId="7F15522D"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Direction of Moderation</w:t>
            </w:r>
          </w:p>
        </w:tc>
        <w:tc>
          <w:tcPr>
            <w:tcW w:w="0" w:type="auto"/>
            <w:hideMark/>
          </w:tcPr>
          <w:p w14:paraId="6FFE83AD"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0F0A8129" w14:textId="77777777" w:rsidTr="009D291A">
        <w:tc>
          <w:tcPr>
            <w:tcW w:w="0" w:type="auto"/>
            <w:hideMark/>
          </w:tcPr>
          <w:p w14:paraId="51D5B98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Developmental age (young)</w:t>
            </w:r>
          </w:p>
        </w:tc>
        <w:tc>
          <w:tcPr>
            <w:tcW w:w="0" w:type="auto"/>
            <w:hideMark/>
          </w:tcPr>
          <w:p w14:paraId="0F3A64D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Sensitive period for cognitive skill acquisition and regulatory internalisation</w:t>
            </w:r>
          </w:p>
        </w:tc>
        <w:tc>
          <w:tcPr>
            <w:tcW w:w="0" w:type="auto"/>
            <w:hideMark/>
          </w:tcPr>
          <w:p w14:paraId="4E3AE01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Risk of developmental impact</w:t>
            </w:r>
          </w:p>
        </w:tc>
        <w:tc>
          <w:tcPr>
            <w:tcW w:w="0" w:type="auto"/>
            <w:hideMark/>
          </w:tcPr>
          <w:p w14:paraId="43B4ED9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Firth et al. (2019); Small et al. (2020)</w:t>
            </w:r>
          </w:p>
        </w:tc>
      </w:tr>
      <w:tr w:rsidR="008E6AC3" w:rsidRPr="008E6AC3" w14:paraId="28E8CF99" w14:textId="77777777" w:rsidTr="009D291A">
        <w:tc>
          <w:tcPr>
            <w:tcW w:w="0" w:type="auto"/>
            <w:hideMark/>
          </w:tcPr>
          <w:p w14:paraId="2109BF3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Older age</w:t>
            </w:r>
          </w:p>
        </w:tc>
        <w:tc>
          <w:tcPr>
            <w:tcW w:w="0" w:type="auto"/>
            <w:hideMark/>
          </w:tcPr>
          <w:p w14:paraId="0DF85E3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working memory; implications for cognitive reserve maintenance</w:t>
            </w:r>
          </w:p>
        </w:tc>
        <w:tc>
          <w:tcPr>
            <w:tcW w:w="0" w:type="auto"/>
            <w:hideMark/>
          </w:tcPr>
          <w:p w14:paraId="0C44472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Risk of dependency and diminished reserve</w:t>
            </w:r>
          </w:p>
        </w:tc>
        <w:tc>
          <w:tcPr>
            <w:tcW w:w="0" w:type="auto"/>
            <w:hideMark/>
          </w:tcPr>
          <w:p w14:paraId="326A090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Stern (2009)</w:t>
            </w:r>
          </w:p>
        </w:tc>
      </w:tr>
      <w:tr w:rsidR="008E6AC3" w:rsidRPr="008E6AC3" w14:paraId="665AEE57" w14:textId="77777777" w:rsidTr="009D291A">
        <w:tc>
          <w:tcPr>
            <w:tcW w:w="0" w:type="auto"/>
            <w:hideMark/>
          </w:tcPr>
          <w:p w14:paraId="0670DEB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Domain expertise</w:t>
            </w:r>
          </w:p>
        </w:tc>
        <w:tc>
          <w:tcPr>
            <w:tcW w:w="0" w:type="auto"/>
            <w:hideMark/>
          </w:tcPr>
          <w:p w14:paraId="331C42C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Determines capacity to critically evaluate and override AI outputs</w:t>
            </w:r>
          </w:p>
        </w:tc>
        <w:tc>
          <w:tcPr>
            <w:tcW w:w="0" w:type="auto"/>
            <w:hideMark/>
          </w:tcPr>
          <w:p w14:paraId="5E39DC2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Lower expertise → greater automation bias risk</w:t>
            </w:r>
          </w:p>
        </w:tc>
        <w:tc>
          <w:tcPr>
            <w:tcW w:w="0" w:type="auto"/>
            <w:hideMark/>
          </w:tcPr>
          <w:p w14:paraId="6CBE94A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Logg et al. (2019);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w:t>
            </w:r>
          </w:p>
        </w:tc>
      </w:tr>
      <w:tr w:rsidR="008E6AC3" w:rsidRPr="008E6AC3" w14:paraId="3A900AE1" w14:textId="77777777" w:rsidTr="009D291A">
        <w:tc>
          <w:tcPr>
            <w:tcW w:w="0" w:type="auto"/>
            <w:hideMark/>
          </w:tcPr>
          <w:p w14:paraId="497667AE"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w:t>
            </w:r>
          </w:p>
        </w:tc>
        <w:tc>
          <w:tcPr>
            <w:tcW w:w="0" w:type="auto"/>
            <w:hideMark/>
          </w:tcPr>
          <w:p w14:paraId="5E74638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Critical evaluation skills and awareness of tool limitations</w:t>
            </w:r>
          </w:p>
        </w:tc>
        <w:tc>
          <w:tcPr>
            <w:tcW w:w="0" w:type="auto"/>
            <w:hideMark/>
          </w:tcPr>
          <w:p w14:paraId="321A889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Higher literacy → more adaptive, vigilant offloading</w:t>
            </w:r>
          </w:p>
        </w:tc>
        <w:tc>
          <w:tcPr>
            <w:tcW w:w="0" w:type="auto"/>
            <w:hideMark/>
          </w:tcPr>
          <w:p w14:paraId="3EF7915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van Laar et al.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w:t>
            </w:r>
          </w:p>
        </w:tc>
      </w:tr>
      <w:tr w:rsidR="008E6AC3" w:rsidRPr="008E6AC3" w14:paraId="3E8B73AB" w14:textId="77777777" w:rsidTr="009D291A">
        <w:tc>
          <w:tcPr>
            <w:tcW w:w="0" w:type="auto"/>
            <w:hideMark/>
          </w:tcPr>
          <w:p w14:paraId="42FE23C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Metacognitive awareness</w:t>
            </w:r>
          </w:p>
        </w:tc>
        <w:tc>
          <w:tcPr>
            <w:tcW w:w="0" w:type="auto"/>
            <w:hideMark/>
          </w:tcPr>
          <w:p w14:paraId="2AAF01B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Monitoring and regulation of one's own reliance on AI</w:t>
            </w:r>
          </w:p>
        </w:tc>
        <w:tc>
          <w:tcPr>
            <w:tcW w:w="0" w:type="auto"/>
            <w:hideMark/>
          </w:tcPr>
          <w:p w14:paraId="16E2092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Higher awareness → reduced epistemic complacency</w:t>
            </w:r>
          </w:p>
        </w:tc>
        <w:tc>
          <w:tcPr>
            <w:tcW w:w="0" w:type="auto"/>
            <w:hideMark/>
          </w:tcPr>
          <w:p w14:paraId="7885C2B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Flavell (1979); Ecker et al. (2022)</w:t>
            </w:r>
          </w:p>
        </w:tc>
      </w:tr>
      <w:tr w:rsidR="008E6AC3" w:rsidRPr="008E6AC3" w14:paraId="1F0FDBA2" w14:textId="77777777" w:rsidTr="009D291A">
        <w:tc>
          <w:tcPr>
            <w:tcW w:w="0" w:type="auto"/>
            <w:hideMark/>
          </w:tcPr>
          <w:p w14:paraId="06E13FC4"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Information overload</w:t>
            </w:r>
          </w:p>
        </w:tc>
        <w:tc>
          <w:tcPr>
            <w:tcW w:w="0" w:type="auto"/>
            <w:hideMark/>
          </w:tcPr>
          <w:p w14:paraId="0A57F11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Increases reliance on cognitive shortcuts and authority cues</w:t>
            </w:r>
          </w:p>
        </w:tc>
        <w:tc>
          <w:tcPr>
            <w:tcW w:w="0" w:type="auto"/>
            <w:hideMark/>
          </w:tcPr>
          <w:p w14:paraId="6AC98DC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Greater overload → greater offloading risk</w:t>
            </w:r>
          </w:p>
        </w:tc>
        <w:tc>
          <w:tcPr>
            <w:tcW w:w="0" w:type="auto"/>
            <w:hideMark/>
          </w:tcPr>
          <w:p w14:paraId="5150AD2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Eppler &amp; Mengis (2004)</w:t>
            </w:r>
          </w:p>
        </w:tc>
      </w:tr>
      <w:tr w:rsidR="008E6AC3" w:rsidRPr="008E6AC3" w14:paraId="5402552F" w14:textId="77777777" w:rsidTr="009D291A">
        <w:tc>
          <w:tcPr>
            <w:tcW w:w="0" w:type="auto"/>
            <w:hideMark/>
          </w:tcPr>
          <w:p w14:paraId="3E69923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reserve</w:t>
            </w:r>
          </w:p>
        </w:tc>
        <w:tc>
          <w:tcPr>
            <w:tcW w:w="0" w:type="auto"/>
            <w:hideMark/>
          </w:tcPr>
          <w:p w14:paraId="731C3DC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Buffer against age-related and pathological cognitive changes</w:t>
            </w:r>
          </w:p>
        </w:tc>
        <w:tc>
          <w:tcPr>
            <w:tcW w:w="0" w:type="auto"/>
            <w:hideMark/>
          </w:tcPr>
          <w:p w14:paraId="1D7B9CD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Reduced cognitive challenge may reduce reserve</w:t>
            </w:r>
          </w:p>
        </w:tc>
        <w:tc>
          <w:tcPr>
            <w:tcW w:w="0" w:type="auto"/>
            <w:hideMark/>
          </w:tcPr>
          <w:p w14:paraId="2A3BD25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Stern (2009)</w:t>
            </w:r>
          </w:p>
        </w:tc>
      </w:tr>
    </w:tbl>
    <w:p w14:paraId="788AE1A2"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Firth et al. (2019); Small et al. (2020); Stern (2009); Logg et al. (2019); </w:t>
      </w:r>
      <w:proofErr w:type="spellStart"/>
      <w:r w:rsidRPr="008E6AC3">
        <w:rPr>
          <w:rFonts w:ascii="Times New Roman" w:eastAsia="Times New Roman" w:hAnsi="Times New Roman" w:cs="Times New Roman"/>
          <w:sz w:val="24"/>
          <w:szCs w:val="24"/>
          <w:lang w:eastAsia="en-GB"/>
        </w:rPr>
        <w:t>Dietvorst</w:t>
      </w:r>
      <w:proofErr w:type="spellEnd"/>
      <w:r w:rsidRPr="008E6AC3">
        <w:rPr>
          <w:rFonts w:ascii="Times New Roman" w:eastAsia="Times New Roman" w:hAnsi="Times New Roman" w:cs="Times New Roman"/>
          <w:sz w:val="24"/>
          <w:szCs w:val="24"/>
          <w:lang w:eastAsia="en-GB"/>
        </w:rPr>
        <w:t xml:space="preserve"> et al. (2015); van Laar et al.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Flavell (1979); Ecker et al. (2022); Eppler and Mengis (2004).</w:t>
      </w:r>
    </w:p>
    <w:p w14:paraId="02FF03D5"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0C42BF26"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8. Ethical and Societal Considerations</w:t>
      </w:r>
    </w:p>
    <w:p w14:paraId="77ABD431"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8.1 Autonomy, Cognitive Sovereignty, and AI Design</w:t>
      </w:r>
    </w:p>
    <w:p w14:paraId="15F86643"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The ethical questions raised by AI-assisted cognitive offloading go beyond individual psychology into something closer to what might be called cognitive sovereignty — a person's right to form their own beliefs, reason for themselves, and make their own cognitive choices without undue technological mediation. Jobin and colleagues (2019), in a comprehensive mapping of AI ethics guidelines worldwide, found autonomy, human oversight, and non-manipulation among the most frequently cited principles in institutional frameworks — though, as they noted, these principles are often defined loosely and applied inconsistently once it comes to actual practice.</w:t>
      </w:r>
    </w:p>
    <w:p w14:paraId="7577D67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Deci and Ryan's (2000) self-determination theory gives a psychological grounding for why autonomy matters beyond its philosophical appeal. People who experience their cognitive activity as self-directed — who author their own reasoning rather than simply ratifying whatever an AI has concluded — tend to report greater personal efficacy, sustain stronger intrinsic motivation, and build genuine competence over time. The flip side is that when AI systems steer choices in ways users cannot see, autonomy can erode quietly, without the person ever noticing it is happening. Personalisation algorithms are a good example of where this concern bites hardest: by pre-emptively narrowing the information environment around a user, they can shrink rather than expand the range of cognitive inputs a person encounters — and intellectual autonomy depends on that range staying open.</w:t>
      </w:r>
    </w:p>
    <w:p w14:paraId="116B103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Shank and DeSanti (2018) looked at how people attribute moral responsibility and agency to AI systems after a morally significant error, and found that these attributions shifted depending on the context and severity of what had gone wrong — evidence, the authors suggested, that people are actively constructing a moral frame for AI agents rather than simply absorbing whatever influence comes their way. Even so, the deep-seated human tendency to see minds in non-human agents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 likely biases this construction toward overestimating an AI's intentionality and competence, with knock-on effects for how much cognitive deference people extend to it. As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pointed out, this is not purely a matter of individual psychology — it is also a matter of system design. Architectures that ask for frequent human input tend to keep people engaged and vigilant; those that run autonomously and simply present outputs for approval tend to encourage passivity instead. That design choice carries real ethical weight, since it amounts to a decision about how cognitive authority should be split between human and machine.</w:t>
      </w:r>
    </w:p>
    <w:p w14:paraId="535A9D72" w14:textId="77777777" w:rsidR="008E6AC3" w:rsidRPr="008E6AC3" w:rsidRDefault="008E6AC3" w:rsidP="008E6AC3">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8.2 Bias, Epistemic Inequality, and the Attention Economy</w:t>
      </w:r>
    </w:p>
    <w:p w14:paraId="5656FB7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 separate cluster of ethical concerns has to do with how unevenly the risks and benefits of AI-assisted offloading fall across different groups of people. Caliskan and colleagues (2017) showed that word embedding models trained on natural language corpora reliably pick up and amplify the biases already present in that language, including racial, gender, and socioeconomic associations embedded in ordinary usage. When a user hands information synthesis, decision support, or content generation over to an AI system carrying these inherited biases, the biases come along too — and arguably more dangerously, since the fluency of AI output can make them harder to spot than the same biases stated plainly by a human source.</w:t>
      </w:r>
    </w:p>
    <w:p w14:paraId="61FA41B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Epistemic inequality — uneven access to the tools, skills, and social resources needed to evaluate information critically — looks set to shape who actually benefits from AI-assisted offloading and who is harmed by it. People with more education, stronger digital literacy, and </w:t>
      </w:r>
      <w:r w:rsidRPr="008E6AC3">
        <w:rPr>
          <w:rFonts w:ascii="Times New Roman" w:eastAsia="Times New Roman" w:hAnsi="Times New Roman" w:cs="Times New Roman"/>
          <w:sz w:val="24"/>
          <w:szCs w:val="24"/>
          <w:lang w:eastAsia="en-GB"/>
        </w:rPr>
        <w:lastRenderedPageBreak/>
        <w:t>well-developed metacognitive skill are better placed to use AI tools as genuine instruments of augmentation, staying alert to their limits along the way. People without these advantages, or who are more susceptible to authority cues generally, are more exposed to misinformation, automation bias, and the cognitive passivity that poorly designed AI tools can encourage. Ecker and colleagues (2022) documented real differences in susceptibility to misinformation tied to educational, cognitive, and motivational variables, and there is good reason to think these gaps widen further with AI-generated content, which is unusually good at presenting the surface markers of credibility regardless of whether the underlying claims hold up.</w:t>
      </w:r>
    </w:p>
    <w:p w14:paraId="58B83E3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Underlying much of this is the attention economy — the commercial ecosystem in which AI-powered platforms compete for user attention as something that can be monetised — which adds structural incentives that make these risks worse at a societal level. Platforms built to maximise time spent have a commercial reason to favour content that is cognitively stimulating but epistemically undemanding: material that grabs attention without asking the viewer to think very hard about it. Lazer and colleagues (2018) traced exactly this dynamic in the spread of misinformation, finding that false stories travel faster through digital networks than accurate ones, in part because they tend to carry stronger emotional charge. Eppler and Mengis (2004) had already established that information overload, which attention-economy environments produce almost by design, pushes people toward heuristics and authority cues instead of careful evaluation. And at a broader, economic level, Autor (2015) found that routine cognitive tasks are most exposed to automation, while non-routine evaluative and interpersonal tasks hold up better — which leaves a genuine paradox: a workforce growing more dependent on AI for cognitive work at precisely the moment when independent, critical reasoning matters most, economically and socially.</w:t>
      </w:r>
    </w:p>
    <w:p w14:paraId="2F37559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Seeber and colleagues (2020) make a strong case that good human-AI collaboration does not happen by accident; it requires deliberately designing the social and cognitive conditions under which AI takes part in collective work, so that human engagement is maintained, epistemic authority is distributed sensibly, and there remains a meaningful way for humans to override the system when their contextual knowledge says something different. These are not just technical recommendations. They amount to an ethical commitment to keeping open the conditions under which human cognitive capacities can be used, developed, and passed on to the next generation.</w:t>
      </w:r>
    </w:p>
    <w:p w14:paraId="78DB4FA1"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Table 5 sets out the major ethical and societal considerations covered in this section, offering a structured overview of where regulatory attention and further empirical work seem most needed.</w:t>
      </w:r>
    </w:p>
    <w:p w14:paraId="108AC229"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36475D5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b/>
          <w:bCs/>
          <w:sz w:val="24"/>
          <w:szCs w:val="24"/>
          <w:lang w:eastAsia="en-GB"/>
        </w:rPr>
        <w:t>Table 5.</w:t>
      </w:r>
      <w:r w:rsidRPr="008E6AC3">
        <w:rPr>
          <w:rFonts w:ascii="Times New Roman" w:eastAsia="Times New Roman" w:hAnsi="Times New Roman" w:cs="Times New Roman"/>
          <w:sz w:val="24"/>
          <w:szCs w:val="24"/>
          <w:lang w:eastAsia="en-GB"/>
        </w:rPr>
        <w:t xml:space="preserve"> Ethical and Societal Considerations in AI-Assisted Cognitive Offloading</w:t>
      </w:r>
    </w:p>
    <w:tbl>
      <w:tblPr>
        <w:tblStyle w:val="TableGrid"/>
        <w:tblW w:w="0" w:type="auto"/>
        <w:tblLook w:val="04A0" w:firstRow="1" w:lastRow="0" w:firstColumn="1" w:lastColumn="0" w:noHBand="0" w:noVBand="1"/>
      </w:tblPr>
      <w:tblGrid>
        <w:gridCol w:w="2041"/>
        <w:gridCol w:w="2924"/>
        <w:gridCol w:w="2096"/>
        <w:gridCol w:w="2181"/>
      </w:tblGrid>
      <w:tr w:rsidR="008E6AC3" w:rsidRPr="008E6AC3" w14:paraId="520B8D2F" w14:textId="77777777" w:rsidTr="009D291A">
        <w:tc>
          <w:tcPr>
            <w:tcW w:w="0" w:type="auto"/>
            <w:hideMark/>
          </w:tcPr>
          <w:p w14:paraId="6AD3854D"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Ethical Dimension</w:t>
            </w:r>
          </w:p>
        </w:tc>
        <w:tc>
          <w:tcPr>
            <w:tcW w:w="0" w:type="auto"/>
            <w:hideMark/>
          </w:tcPr>
          <w:p w14:paraId="4FADC080"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Concern</w:t>
            </w:r>
          </w:p>
        </w:tc>
        <w:tc>
          <w:tcPr>
            <w:tcW w:w="0" w:type="auto"/>
            <w:hideMark/>
          </w:tcPr>
          <w:p w14:paraId="57BECD22"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Relevant Principle</w:t>
            </w:r>
          </w:p>
        </w:tc>
        <w:tc>
          <w:tcPr>
            <w:tcW w:w="0" w:type="auto"/>
            <w:hideMark/>
          </w:tcPr>
          <w:p w14:paraId="4DD07B00" w14:textId="77777777" w:rsidR="008E6AC3" w:rsidRPr="008E6AC3" w:rsidRDefault="008E6AC3" w:rsidP="008E6AC3">
            <w:pPr>
              <w:jc w:val="center"/>
              <w:rPr>
                <w:rFonts w:ascii="Times New Roman" w:eastAsia="Times New Roman" w:hAnsi="Times New Roman" w:cs="Times New Roman"/>
                <w:b/>
                <w:bCs/>
                <w:sz w:val="24"/>
                <w:szCs w:val="24"/>
                <w:lang w:eastAsia="en-GB"/>
              </w:rPr>
            </w:pPr>
            <w:r w:rsidRPr="008E6AC3">
              <w:rPr>
                <w:rFonts w:ascii="Times New Roman" w:eastAsia="Times New Roman" w:hAnsi="Times New Roman" w:cs="Times New Roman"/>
                <w:b/>
                <w:bCs/>
                <w:sz w:val="24"/>
                <w:szCs w:val="24"/>
                <w:lang w:eastAsia="en-GB"/>
              </w:rPr>
              <w:t>Key Evidence</w:t>
            </w:r>
          </w:p>
        </w:tc>
      </w:tr>
      <w:tr w:rsidR="008E6AC3" w:rsidRPr="008E6AC3" w14:paraId="4AD4B09F" w14:textId="77777777" w:rsidTr="009D291A">
        <w:tc>
          <w:tcPr>
            <w:tcW w:w="0" w:type="auto"/>
            <w:hideMark/>
          </w:tcPr>
          <w:p w14:paraId="20342A4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autonomy</w:t>
            </w:r>
          </w:p>
        </w:tc>
        <w:tc>
          <w:tcPr>
            <w:tcW w:w="0" w:type="auto"/>
            <w:hideMark/>
          </w:tcPr>
          <w:p w14:paraId="0C46B65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pre-empting user reasoning reduces self-directed thought</w:t>
            </w:r>
          </w:p>
        </w:tc>
        <w:tc>
          <w:tcPr>
            <w:tcW w:w="0" w:type="auto"/>
            <w:hideMark/>
          </w:tcPr>
          <w:p w14:paraId="0FCE0B9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Respect for human autonomy</w:t>
            </w:r>
          </w:p>
        </w:tc>
        <w:tc>
          <w:tcPr>
            <w:tcW w:w="0" w:type="auto"/>
            <w:hideMark/>
          </w:tcPr>
          <w:p w14:paraId="6E9E52A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Jobin et al. (2019); Deci &amp; Ryan (2000)</w:t>
            </w:r>
          </w:p>
        </w:tc>
      </w:tr>
      <w:tr w:rsidR="008E6AC3" w:rsidRPr="008E6AC3" w14:paraId="488CB8C3" w14:textId="77777777" w:rsidTr="009D291A">
        <w:tc>
          <w:tcPr>
            <w:tcW w:w="0" w:type="auto"/>
            <w:hideMark/>
          </w:tcPr>
          <w:p w14:paraId="5C889E3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Transparency</w:t>
            </w:r>
          </w:p>
        </w:tc>
        <w:tc>
          <w:tcPr>
            <w:tcW w:w="0" w:type="auto"/>
            <w:hideMark/>
          </w:tcPr>
          <w:p w14:paraId="0029ED96"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Users often unaware of the extent of AI influence on their cognition</w:t>
            </w:r>
          </w:p>
        </w:tc>
        <w:tc>
          <w:tcPr>
            <w:tcW w:w="0" w:type="auto"/>
            <w:hideMark/>
          </w:tcPr>
          <w:p w14:paraId="638C4BE9"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Informed consent</w:t>
            </w:r>
          </w:p>
        </w:tc>
        <w:tc>
          <w:tcPr>
            <w:tcW w:w="0" w:type="auto"/>
            <w:hideMark/>
          </w:tcPr>
          <w:p w14:paraId="1849213C"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Jobin et al. (2019); Shank &amp; DeSanti (2018)</w:t>
            </w:r>
          </w:p>
        </w:tc>
      </w:tr>
      <w:tr w:rsidR="008E6AC3" w:rsidRPr="008E6AC3" w14:paraId="29154AB6" w14:textId="77777777" w:rsidTr="009D291A">
        <w:tc>
          <w:tcPr>
            <w:tcW w:w="0" w:type="auto"/>
            <w:hideMark/>
          </w:tcPr>
          <w:p w14:paraId="5998F2FF"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lastRenderedPageBreak/>
              <w:t>Algorithmic bias</w:t>
            </w:r>
          </w:p>
        </w:tc>
        <w:tc>
          <w:tcPr>
            <w:tcW w:w="0" w:type="auto"/>
            <w:hideMark/>
          </w:tcPr>
          <w:p w14:paraId="5BAEF887"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reproduces and amplifies social biases in cognitive outputs</w:t>
            </w:r>
          </w:p>
        </w:tc>
        <w:tc>
          <w:tcPr>
            <w:tcW w:w="0" w:type="auto"/>
            <w:hideMark/>
          </w:tcPr>
          <w:p w14:paraId="62812F5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Fairness and non-discrimination</w:t>
            </w:r>
          </w:p>
        </w:tc>
        <w:tc>
          <w:tcPr>
            <w:tcW w:w="0" w:type="auto"/>
            <w:hideMark/>
          </w:tcPr>
          <w:p w14:paraId="1102878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Caliskan et al. (2017); Ecker et al. (2022)</w:t>
            </w:r>
          </w:p>
        </w:tc>
      </w:tr>
      <w:tr w:rsidR="008E6AC3" w:rsidRPr="008E6AC3" w14:paraId="1B67E469" w14:textId="77777777" w:rsidTr="009D291A">
        <w:tc>
          <w:tcPr>
            <w:tcW w:w="0" w:type="auto"/>
            <w:hideMark/>
          </w:tcPr>
          <w:p w14:paraId="30E002B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Epistemic inequality</w:t>
            </w:r>
          </w:p>
        </w:tc>
        <w:tc>
          <w:tcPr>
            <w:tcW w:w="0" w:type="auto"/>
            <w:hideMark/>
          </w:tcPr>
          <w:p w14:paraId="1CD4A463"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Digital literacy gaps create disparate cognitive risk distribution</w:t>
            </w:r>
          </w:p>
        </w:tc>
        <w:tc>
          <w:tcPr>
            <w:tcW w:w="0" w:type="auto"/>
            <w:hideMark/>
          </w:tcPr>
          <w:p w14:paraId="24B31A25"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Equity and access</w:t>
            </w:r>
          </w:p>
        </w:tc>
        <w:tc>
          <w:tcPr>
            <w:tcW w:w="0" w:type="auto"/>
            <w:hideMark/>
          </w:tcPr>
          <w:p w14:paraId="05FECF6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van Laar et al.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Autor (2015)</w:t>
            </w:r>
          </w:p>
        </w:tc>
      </w:tr>
      <w:tr w:rsidR="008E6AC3" w:rsidRPr="008E6AC3" w14:paraId="7BCC3EF3" w14:textId="77777777" w:rsidTr="009D291A">
        <w:tc>
          <w:tcPr>
            <w:tcW w:w="0" w:type="auto"/>
            <w:hideMark/>
          </w:tcPr>
          <w:p w14:paraId="7BB24DE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Attention commodification</w:t>
            </w:r>
          </w:p>
        </w:tc>
        <w:tc>
          <w:tcPr>
            <w:tcW w:w="0" w:type="auto"/>
            <w:hideMark/>
          </w:tcPr>
          <w:p w14:paraId="0262CAB8"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Engagement-maximising design incentivises epistemically low-effort content consumption</w:t>
            </w:r>
          </w:p>
        </w:tc>
        <w:tc>
          <w:tcPr>
            <w:tcW w:w="0" w:type="auto"/>
            <w:hideMark/>
          </w:tcPr>
          <w:p w14:paraId="2307B2D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Wellbeing over commercial gain</w:t>
            </w:r>
          </w:p>
        </w:tc>
        <w:tc>
          <w:tcPr>
            <w:tcW w:w="0" w:type="auto"/>
            <w:hideMark/>
          </w:tcPr>
          <w:p w14:paraId="7963915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Lazer et al. (2018); Eppler &amp; Mengis (2004)</w:t>
            </w:r>
          </w:p>
        </w:tc>
      </w:tr>
      <w:tr w:rsidR="008E6AC3" w:rsidRPr="008E6AC3" w14:paraId="440367D9" w14:textId="77777777" w:rsidTr="009D291A">
        <w:tc>
          <w:tcPr>
            <w:tcW w:w="0" w:type="auto"/>
            <w:hideMark/>
          </w:tcPr>
          <w:p w14:paraId="6597E9E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AI design accountability</w:t>
            </w:r>
          </w:p>
        </w:tc>
        <w:tc>
          <w:tcPr>
            <w:tcW w:w="0" w:type="auto"/>
            <w:hideMark/>
          </w:tcPr>
          <w:p w14:paraId="0FF47BD0"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Automation levels determine extent of complacency and oversight risk</w:t>
            </w:r>
          </w:p>
        </w:tc>
        <w:tc>
          <w:tcPr>
            <w:tcW w:w="0" w:type="auto"/>
            <w:hideMark/>
          </w:tcPr>
          <w:p w14:paraId="313EA5F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Human oversight and meaningful control</w:t>
            </w:r>
          </w:p>
        </w:tc>
        <w:tc>
          <w:tcPr>
            <w:tcW w:w="0" w:type="auto"/>
            <w:hideMark/>
          </w:tcPr>
          <w:p w14:paraId="4B70DE0D"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Parasuraman &amp;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Seeber et al. (2020)</w:t>
            </w:r>
          </w:p>
        </w:tc>
      </w:tr>
      <w:tr w:rsidR="008E6AC3" w:rsidRPr="008E6AC3" w14:paraId="59724491" w14:textId="77777777" w:rsidTr="009D291A">
        <w:tc>
          <w:tcPr>
            <w:tcW w:w="0" w:type="auto"/>
            <w:hideMark/>
          </w:tcPr>
          <w:p w14:paraId="51B3C27A"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Cognitive sovereignty</w:t>
            </w:r>
          </w:p>
        </w:tc>
        <w:tc>
          <w:tcPr>
            <w:tcW w:w="0" w:type="auto"/>
            <w:hideMark/>
          </w:tcPr>
          <w:p w14:paraId="7838A992"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Right to unmediated reasoning in high-stakes domains</w:t>
            </w:r>
          </w:p>
        </w:tc>
        <w:tc>
          <w:tcPr>
            <w:tcW w:w="0" w:type="auto"/>
            <w:hideMark/>
          </w:tcPr>
          <w:p w14:paraId="30CE2B6B"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Non-manipulation; human dignity</w:t>
            </w:r>
          </w:p>
        </w:tc>
        <w:tc>
          <w:tcPr>
            <w:tcW w:w="0" w:type="auto"/>
            <w:hideMark/>
          </w:tcPr>
          <w:p w14:paraId="70647891" w14:textId="77777777" w:rsidR="008E6AC3" w:rsidRPr="008E6AC3" w:rsidRDefault="008E6AC3" w:rsidP="008E6AC3">
            <w:pPr>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Jobin et al. (2019);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w:t>
            </w:r>
          </w:p>
        </w:tc>
      </w:tr>
    </w:tbl>
    <w:p w14:paraId="0FBD4C1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i/>
          <w:iCs/>
          <w:sz w:val="24"/>
          <w:szCs w:val="24"/>
          <w:lang w:eastAsia="en-GB"/>
        </w:rPr>
        <w:t>Sources:</w:t>
      </w:r>
      <w:r w:rsidRPr="008E6AC3">
        <w:rPr>
          <w:rFonts w:ascii="Times New Roman" w:eastAsia="Times New Roman" w:hAnsi="Times New Roman" w:cs="Times New Roman"/>
          <w:sz w:val="24"/>
          <w:szCs w:val="24"/>
          <w:lang w:eastAsia="en-GB"/>
        </w:rPr>
        <w:t xml:space="preserve"> Jobin et al. (2019); Deci and Ryan (2000); Shank and DeSanti (2018); Caliskan et al. (2017); Ecker et al. (2022); van Laar et al. (</w:t>
      </w:r>
      <w:r w:rsidR="009D291A">
        <w:rPr>
          <w:rFonts w:ascii="Times New Roman" w:eastAsia="Times New Roman" w:hAnsi="Times New Roman" w:cs="Times New Roman"/>
          <w:sz w:val="24"/>
          <w:szCs w:val="24"/>
          <w:lang w:eastAsia="en-GB"/>
        </w:rPr>
        <w:t>2019</w:t>
      </w:r>
      <w:r w:rsidRPr="008E6AC3">
        <w:rPr>
          <w:rFonts w:ascii="Times New Roman" w:eastAsia="Times New Roman" w:hAnsi="Times New Roman" w:cs="Times New Roman"/>
          <w:sz w:val="24"/>
          <w:szCs w:val="24"/>
          <w:lang w:eastAsia="en-GB"/>
        </w:rPr>
        <w:t xml:space="preserve">); Autor (2015); Lazer et al. (2018); Eppler and Mengis (2004); Parasuraman and </w:t>
      </w:r>
      <w:proofErr w:type="spellStart"/>
      <w:r w:rsidRPr="008E6AC3">
        <w:rPr>
          <w:rFonts w:ascii="Times New Roman" w:eastAsia="Times New Roman" w:hAnsi="Times New Roman" w:cs="Times New Roman"/>
          <w:sz w:val="24"/>
          <w:szCs w:val="24"/>
          <w:lang w:eastAsia="en-GB"/>
        </w:rPr>
        <w:t>Manzey</w:t>
      </w:r>
      <w:proofErr w:type="spellEnd"/>
      <w:r w:rsidRPr="008E6AC3">
        <w:rPr>
          <w:rFonts w:ascii="Times New Roman" w:eastAsia="Times New Roman" w:hAnsi="Times New Roman" w:cs="Times New Roman"/>
          <w:sz w:val="24"/>
          <w:szCs w:val="24"/>
          <w:lang w:eastAsia="en-GB"/>
        </w:rPr>
        <w:t xml:space="preserve"> (2010); Seeber et al. (2020); </w:t>
      </w:r>
      <w:proofErr w:type="spellStart"/>
      <w:r w:rsidRPr="008E6AC3">
        <w:rPr>
          <w:rFonts w:ascii="Times New Roman" w:eastAsia="Times New Roman" w:hAnsi="Times New Roman" w:cs="Times New Roman"/>
          <w:sz w:val="24"/>
          <w:szCs w:val="24"/>
          <w:lang w:eastAsia="en-GB"/>
        </w:rPr>
        <w:t>Waytz</w:t>
      </w:r>
      <w:proofErr w:type="spellEnd"/>
      <w:r w:rsidRPr="008E6AC3">
        <w:rPr>
          <w:rFonts w:ascii="Times New Roman" w:eastAsia="Times New Roman" w:hAnsi="Times New Roman" w:cs="Times New Roman"/>
          <w:sz w:val="24"/>
          <w:szCs w:val="24"/>
          <w:lang w:eastAsia="en-GB"/>
        </w:rPr>
        <w:t xml:space="preserve"> et al. (2010).</w:t>
      </w:r>
    </w:p>
    <w:p w14:paraId="6C1DBB6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BABCB44"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9. Conclusions</w:t>
      </w:r>
    </w:p>
    <w:p w14:paraId="18A1CFF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Taken as a whole, the evidence reviewed here resists any tidy verdict on AI-assisted cognitive offloading as either harmful or beneficial. The three theoretical frameworks at the centre of this review — cognitive load theory, the extended mind hypothesis, and transactive memory theory — together point toward a mixture of short-term gains and longer-term risks, and which side of that mixture dominates depends on the task being offloaded, the design of the AI system involved, the characteristics of the individual user, and the social and institutional setting in which all of this is happening.</w:t>
      </w:r>
    </w:p>
    <w:p w14:paraId="12B4E00D"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clearest finding to emerge across the literature is that cognitive offloading — to earlier digital technologies as much as to today's AI tools — consistently changes how the offloaded information gets encoded and consolidated internally. This is not a failure of cognition but a reasonable response to perceived external availability. The real difficulty arises when that availability is treated as permanent, reliable, and complete, when in fact AI systems are imperfect, can become unavailable, and can err in ways a user has no way of catching without some internal knowledge of their own to fall back on. Automation bias is a well-established risk on top of this, and one likely to grow as AI systems become more capable and present their outputs with greater confidence. The psychological mechanisms behind it — complacency, anthropomorphism, deference to apparent authority — do not go away simply because a person is aware they exist.</w:t>
      </w:r>
    </w:p>
    <w:p w14:paraId="4003FC9C"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None of this, though, adds up to a case that AI assistance is simply bad for thinking. When AI tools take on routine work and leave the substantive cognitive demands of a task to the human — assisting rather than replacing — they can improve the quality of output, ease </w:t>
      </w:r>
      <w:r w:rsidRPr="008E6AC3">
        <w:rPr>
          <w:rFonts w:ascii="Times New Roman" w:eastAsia="Times New Roman" w:hAnsi="Times New Roman" w:cs="Times New Roman"/>
          <w:sz w:val="24"/>
          <w:szCs w:val="24"/>
          <w:lang w:eastAsia="en-GB"/>
        </w:rPr>
        <w:lastRenderedPageBreak/>
        <w:t>cognitive overload, and support analytical and creative work at a level that may genuinely exceed what a person would manage unaided. The conditions under which this holds are reasonably well specified by the frameworks reviewed here: the human has to stay cognitively engaged, metacognitive monitoring has to stay active, and the AI tool has to be built in a way that supports those conditions rather than working against them.</w:t>
      </w:r>
    </w:p>
    <w:p w14:paraId="73FEB4C0"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The clearest practical implication is that AI systems, educational curricula, and professional environments all need to be designed with an eye to protecting the human cognitive capacities that AI assistance could otherwise quietly erode. Educational AI should be built to add productive challenge, not remove it. Digital literacy and critical evaluation deserve to sit alongside content knowledge as a core educational outcome, not an afterthought. Professional AI systems need to preserve meaningful human oversight, especially in high-stakes settings. And AI design more broadly needs some form of regulatory check against engagement-maximising practices that treat attention capture as more important than epistemic quality. Ultimately, what human thinking looks like in the age of AI will be determined less by what these systems are capable of than by how thoughtfully societies choose to weave them into everyday cognitive life — and by how consistently the conditions for genuine, autonomous human reasoning are protected along the way.</w:t>
      </w:r>
    </w:p>
    <w:p w14:paraId="0D691FE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14FA18B8" w14:textId="77777777" w:rsidR="008E6AC3" w:rsidRP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10. Limitations</w:t>
      </w:r>
    </w:p>
    <w:p w14:paraId="599313F9"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Several limitations of this review deserve to be stated plainly. The first is methodological: as a narrative rather than systematic review, the synthesis reflects judgement calls about which evidence carries the most weight, made by a single interpreting author. Given the breadth of the topic — spanning cognitive psychology, human factors, educational science, and AI ethics, among others — coverage of any one subdomain is necessarily less exhaustive than a systematic review focused on that subdomain alone would achieve.</w:t>
      </w:r>
    </w:p>
    <w:p w14:paraId="7A721C15"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Second, the empirical literature on contemporary generative AI specifically is still quite young. Much of the evidence drawn on here comes from earlier digital technologies — search engines, smartphones, calculators, navigation systems — that differ from today's large language models and AI assistants in ways that matter. Whether findings from those earlier contexts hold up for the more capable, conversationally interactive systems now in widespread use is genuinely uncertain, and closing that gap should be a priority for future research.</w:t>
      </w:r>
    </w:p>
    <w:p w14:paraId="06AC4FAA"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Third, most of the experimental work reviewed here used student or laboratory samples that may not represent the broader population of AI users well, particularly older adults, working professionals, and people with less education or digital literacy. Longitudinal research is also notably thin on the ground, which matters for establishing causal direction: a cross-sectional link between technology use and some cognitive outcome is suggestive, but it cannot rule out the possibility that people with a particular cognitive profile are simply more drawn to AI tools in the first place, rather than AI use producing that profile.</w:t>
      </w:r>
    </w:p>
    <w:p w14:paraId="1B78CDF4"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 xml:space="preserve">Fourth, this review draws almost entirely on English-language literature, which limits how far its conclusions can be generalised across cultures. The psychological and social consequences of AI-assisted offloading are plausibly shaped by cultural differences in attitudes toward </w:t>
      </w:r>
      <w:r w:rsidRPr="008E6AC3">
        <w:rPr>
          <w:rFonts w:ascii="Times New Roman" w:eastAsia="Times New Roman" w:hAnsi="Times New Roman" w:cs="Times New Roman"/>
          <w:sz w:val="24"/>
          <w:szCs w:val="24"/>
          <w:lang w:eastAsia="en-GB"/>
        </w:rPr>
        <w:lastRenderedPageBreak/>
        <w:t>technological authority, educational tradition, and how knowledge production is organised socially — none of which the reviewed literature captures particularly well.</w:t>
      </w:r>
    </w:p>
    <w:p w14:paraId="0481CF07" w14:textId="77777777" w:rsidR="008E6AC3" w:rsidRPr="008E6AC3" w:rsidRDefault="008E6AC3" w:rsidP="008E6AC3">
      <w:pPr>
        <w:spacing w:before="100" w:beforeAutospacing="1" w:after="100" w:afterAutospacing="1" w:line="240" w:lineRule="auto"/>
        <w:rPr>
          <w:rFonts w:ascii="Times New Roman" w:eastAsia="Times New Roman" w:hAnsi="Times New Roman" w:cs="Times New Roman"/>
          <w:sz w:val="24"/>
          <w:szCs w:val="24"/>
          <w:lang w:eastAsia="en-GB"/>
        </w:rPr>
      </w:pPr>
      <w:r w:rsidRPr="008E6AC3">
        <w:rPr>
          <w:rFonts w:ascii="Times New Roman" w:eastAsia="Times New Roman" w:hAnsi="Times New Roman" w:cs="Times New Roman"/>
          <w:sz w:val="24"/>
          <w:szCs w:val="24"/>
          <w:lang w:eastAsia="en-GB"/>
        </w:rPr>
        <w:t>Finally, AI is moving quickly enough that specific findings and recommendations here may need revisiting as capabilities, deployment contexts, and regulatory frameworks continue to shift. The theoretical frameworks used throughout this review — cognitive load theory, the extended mind hypothesis, and self-determination theory — should remain useful across successive generations of AI technology even as their specific applications are updated in light of new evidence.</w:t>
      </w:r>
    </w:p>
    <w:p w14:paraId="02EFFAAA" w14:textId="77777777" w:rsidR="008E6AC3" w:rsidRPr="008E6AC3" w:rsidRDefault="008E6AC3" w:rsidP="008E6AC3">
      <w:pPr>
        <w:spacing w:after="0" w:line="240" w:lineRule="auto"/>
        <w:rPr>
          <w:rFonts w:ascii="Times New Roman" w:eastAsia="Times New Roman" w:hAnsi="Times New Roman" w:cs="Times New Roman"/>
          <w:sz w:val="24"/>
          <w:szCs w:val="24"/>
          <w:lang w:eastAsia="en-GB"/>
        </w:rPr>
      </w:pPr>
    </w:p>
    <w:p w14:paraId="4B700B4C" w14:textId="77777777" w:rsidR="008E6AC3" w:rsidRDefault="008E6AC3" w:rsidP="008E6AC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8E6AC3">
        <w:rPr>
          <w:rFonts w:ascii="Times New Roman" w:eastAsia="Times New Roman" w:hAnsi="Times New Roman" w:cs="Times New Roman"/>
          <w:b/>
          <w:bCs/>
          <w:sz w:val="27"/>
          <w:szCs w:val="27"/>
          <w:lang w:eastAsia="en-GB"/>
        </w:rPr>
        <w:t>References</w:t>
      </w:r>
    </w:p>
    <w:p w14:paraId="246E3DA7"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Autor, D. H. (2015). Why are there still so many jobs? The history and future of workplace automation. Journal of Economic Perspectives, 29(3), 3–30. https://doi.org/10.1257/jep.29.3.3</w:t>
      </w:r>
    </w:p>
    <w:p w14:paraId="343FEE62"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Baird, B., Smallwood, J., Mrazek, M. D., Kam, J. W. Y., Franklin, M. S., &amp; Schooler, J. W. (2012). Inspired by distraction: Mind wandering facilitates creative incubation. Psychological Science, 23(10), 1117–1122. https://doi.org/10.1177/0956797612446024</w:t>
      </w:r>
    </w:p>
    <w:p w14:paraId="13A900B8"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Bostrom, N., &amp; Sandberg, A. (2009). Cognitive enhancement: Methods, ethics, regulatory challenges. Science and Engineering Ethics, 15(3), 311–341. https://doi.org/10.1007/s11948-009-9142-5</w:t>
      </w:r>
    </w:p>
    <w:p w14:paraId="558D4186"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Caliskan, A., Bryson, J. J., &amp; Narayanan, A. (2017). Semantics derived automatically from language corpora contain human-like biases. Science, 356(6334), 183–186. https://doi.org/10.1126/science.aal4230</w:t>
      </w:r>
    </w:p>
    <w:p w14:paraId="271791BD"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Chen, L., Chen, P., &amp; Lin, Z. (2020). Artificial intelligence in education: A review. IEEE Access, 8, 75264–75278. https://doi.org/10.1109/ACCESS.2020.2988510</w:t>
      </w:r>
    </w:p>
    <w:p w14:paraId="4E3ED441"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Clark, A., &amp; Chalmers, D. (1998). The extended mind. Analysis, 58(1), 7–19. https://doi.org/10.1093/analys/58.1.7</w:t>
      </w:r>
    </w:p>
    <w:p w14:paraId="5B619E39"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Clayton, R. B., Leshner, G., &amp; Almond, A. (2015). The extended </w:t>
      </w:r>
      <w:proofErr w:type="spellStart"/>
      <w:r w:rsidRPr="009D291A">
        <w:rPr>
          <w:rFonts w:ascii="Times New Roman" w:eastAsia="Times New Roman" w:hAnsi="Times New Roman" w:cs="Times New Roman"/>
          <w:bCs/>
          <w:sz w:val="24"/>
          <w:szCs w:val="27"/>
          <w:lang w:eastAsia="en-GB"/>
        </w:rPr>
        <w:t>iSelf</w:t>
      </w:r>
      <w:proofErr w:type="spellEnd"/>
      <w:r w:rsidRPr="009D291A">
        <w:rPr>
          <w:rFonts w:ascii="Times New Roman" w:eastAsia="Times New Roman" w:hAnsi="Times New Roman" w:cs="Times New Roman"/>
          <w:bCs/>
          <w:sz w:val="24"/>
          <w:szCs w:val="27"/>
          <w:lang w:eastAsia="en-GB"/>
        </w:rPr>
        <w:t>: The impact of iPhone separation on cognition, emotion, and physiology. Journal of Computer-Mediated Communication, 20(2), 119–135. https://doi.org/10.1111/jcc4.12109</w:t>
      </w:r>
    </w:p>
    <w:p w14:paraId="4AFFDE07"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Deci, E. L., &amp; Ryan, R. M. (2000). The “what” and “why” of goal pursuits: Human needs and the self-determination of </w:t>
      </w:r>
      <w:proofErr w:type="spellStart"/>
      <w:r w:rsidRPr="009D291A">
        <w:rPr>
          <w:rFonts w:ascii="Times New Roman" w:eastAsia="Times New Roman" w:hAnsi="Times New Roman" w:cs="Times New Roman"/>
          <w:bCs/>
          <w:sz w:val="24"/>
          <w:szCs w:val="27"/>
          <w:lang w:eastAsia="en-GB"/>
        </w:rPr>
        <w:t>behavior</w:t>
      </w:r>
      <w:proofErr w:type="spellEnd"/>
      <w:r w:rsidRPr="009D291A">
        <w:rPr>
          <w:rFonts w:ascii="Times New Roman" w:eastAsia="Times New Roman" w:hAnsi="Times New Roman" w:cs="Times New Roman"/>
          <w:bCs/>
          <w:sz w:val="24"/>
          <w:szCs w:val="27"/>
          <w:lang w:eastAsia="en-GB"/>
        </w:rPr>
        <w:t>. Psychological Inquiry, 11(4), 227–268. https://doi.org/10.1207/S15327965PLI1104_01</w:t>
      </w:r>
    </w:p>
    <w:p w14:paraId="54F58CE8"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9D291A">
        <w:rPr>
          <w:rFonts w:ascii="Times New Roman" w:eastAsia="Times New Roman" w:hAnsi="Times New Roman" w:cs="Times New Roman"/>
          <w:bCs/>
          <w:sz w:val="24"/>
          <w:szCs w:val="27"/>
          <w:lang w:eastAsia="en-GB"/>
        </w:rPr>
        <w:t>Dietvorst</w:t>
      </w:r>
      <w:proofErr w:type="spellEnd"/>
      <w:r w:rsidRPr="009D291A">
        <w:rPr>
          <w:rFonts w:ascii="Times New Roman" w:eastAsia="Times New Roman" w:hAnsi="Times New Roman" w:cs="Times New Roman"/>
          <w:bCs/>
          <w:sz w:val="24"/>
          <w:szCs w:val="27"/>
          <w:lang w:eastAsia="en-GB"/>
        </w:rPr>
        <w:t>, B. J., Simmons, J. P., &amp; Massey, C. (2015). Algorithm aversion: People erroneously avoid algorithms after seeing them err. Journal of Experimental Psychology: General, 144(1), 114–126. https://doi.org/10.1037/xge0000033</w:t>
      </w:r>
    </w:p>
    <w:p w14:paraId="6B2B7C5E"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Ecker, U. K. H., Lewandowsky, S., Cook, J., Schmid, P., Fazio, L. K., Brashier, N., </w:t>
      </w:r>
      <w:proofErr w:type="spellStart"/>
      <w:r w:rsidRPr="009D291A">
        <w:rPr>
          <w:rFonts w:ascii="Times New Roman" w:eastAsia="Times New Roman" w:hAnsi="Times New Roman" w:cs="Times New Roman"/>
          <w:bCs/>
          <w:sz w:val="24"/>
          <w:szCs w:val="27"/>
          <w:lang w:eastAsia="en-GB"/>
        </w:rPr>
        <w:t>Kendeou</w:t>
      </w:r>
      <w:proofErr w:type="spellEnd"/>
      <w:r w:rsidRPr="009D291A">
        <w:rPr>
          <w:rFonts w:ascii="Times New Roman" w:eastAsia="Times New Roman" w:hAnsi="Times New Roman" w:cs="Times New Roman"/>
          <w:bCs/>
          <w:sz w:val="24"/>
          <w:szCs w:val="27"/>
          <w:lang w:eastAsia="en-GB"/>
        </w:rPr>
        <w:t xml:space="preserve">, P., </w:t>
      </w:r>
      <w:proofErr w:type="spellStart"/>
      <w:r w:rsidRPr="009D291A">
        <w:rPr>
          <w:rFonts w:ascii="Times New Roman" w:eastAsia="Times New Roman" w:hAnsi="Times New Roman" w:cs="Times New Roman"/>
          <w:bCs/>
          <w:sz w:val="24"/>
          <w:szCs w:val="27"/>
          <w:lang w:eastAsia="en-GB"/>
        </w:rPr>
        <w:t>Vraga</w:t>
      </w:r>
      <w:proofErr w:type="spellEnd"/>
      <w:r w:rsidRPr="009D291A">
        <w:rPr>
          <w:rFonts w:ascii="Times New Roman" w:eastAsia="Times New Roman" w:hAnsi="Times New Roman" w:cs="Times New Roman"/>
          <w:bCs/>
          <w:sz w:val="24"/>
          <w:szCs w:val="27"/>
          <w:lang w:eastAsia="en-GB"/>
        </w:rPr>
        <w:t xml:space="preserve">, E. K., &amp; Amazeen, M. A. (2022). The psychological drivers of misinformation </w:t>
      </w:r>
      <w:r w:rsidRPr="009D291A">
        <w:rPr>
          <w:rFonts w:ascii="Times New Roman" w:eastAsia="Times New Roman" w:hAnsi="Times New Roman" w:cs="Times New Roman"/>
          <w:bCs/>
          <w:sz w:val="24"/>
          <w:szCs w:val="27"/>
          <w:lang w:eastAsia="en-GB"/>
        </w:rPr>
        <w:lastRenderedPageBreak/>
        <w:t>belief and its resistance to correction. Nature Reviews Psychology, 1(1), 13–29. https://doi.org/10.1038/s44159-021-00006-y</w:t>
      </w:r>
    </w:p>
    <w:p w14:paraId="7E4F050D"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Eppler, M. J., &amp; Mengis, J. (2004). The concept of information overload: A review of literature from organization science, accounting, marketing, MIS, and related disciplines. The Information Society, 20(5), 325–344. https://doi.org/10.1080/01972240490507974</w:t>
      </w:r>
    </w:p>
    <w:p w14:paraId="3881BAEF"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Firth, J., </w:t>
      </w:r>
      <w:proofErr w:type="spellStart"/>
      <w:r w:rsidRPr="009D291A">
        <w:rPr>
          <w:rFonts w:ascii="Times New Roman" w:eastAsia="Times New Roman" w:hAnsi="Times New Roman" w:cs="Times New Roman"/>
          <w:bCs/>
          <w:sz w:val="24"/>
          <w:szCs w:val="27"/>
          <w:lang w:eastAsia="en-GB"/>
        </w:rPr>
        <w:t>Torous</w:t>
      </w:r>
      <w:proofErr w:type="spellEnd"/>
      <w:r w:rsidRPr="009D291A">
        <w:rPr>
          <w:rFonts w:ascii="Times New Roman" w:eastAsia="Times New Roman" w:hAnsi="Times New Roman" w:cs="Times New Roman"/>
          <w:bCs/>
          <w:sz w:val="24"/>
          <w:szCs w:val="27"/>
          <w:lang w:eastAsia="en-GB"/>
        </w:rPr>
        <w:t xml:space="preserve">, J., Stubbs, B., Firth, J. A., Steiner, G. Z., Smith, L., Alvarez-Jimenez, M., Gleeson, J., </w:t>
      </w:r>
      <w:proofErr w:type="spellStart"/>
      <w:r w:rsidRPr="009D291A">
        <w:rPr>
          <w:rFonts w:ascii="Times New Roman" w:eastAsia="Times New Roman" w:hAnsi="Times New Roman" w:cs="Times New Roman"/>
          <w:bCs/>
          <w:sz w:val="24"/>
          <w:szCs w:val="27"/>
          <w:lang w:eastAsia="en-GB"/>
        </w:rPr>
        <w:t>Vancampfort</w:t>
      </w:r>
      <w:proofErr w:type="spellEnd"/>
      <w:r w:rsidRPr="009D291A">
        <w:rPr>
          <w:rFonts w:ascii="Times New Roman" w:eastAsia="Times New Roman" w:hAnsi="Times New Roman" w:cs="Times New Roman"/>
          <w:bCs/>
          <w:sz w:val="24"/>
          <w:szCs w:val="27"/>
          <w:lang w:eastAsia="en-GB"/>
        </w:rPr>
        <w:t>, D., Armitage, C. J., &amp; Sarris, J. (2019). The “online brain”: How is the Internet changing cognition? World Psychiatry, 18(2), 119–129. https://doi.org/10.1002/wps.20617</w:t>
      </w:r>
    </w:p>
    <w:p w14:paraId="63ED3C5D"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Fitzpatrick, K. K., Darcy, A., &amp; </w:t>
      </w:r>
      <w:proofErr w:type="spellStart"/>
      <w:r w:rsidRPr="009D291A">
        <w:rPr>
          <w:rFonts w:ascii="Times New Roman" w:eastAsia="Times New Roman" w:hAnsi="Times New Roman" w:cs="Times New Roman"/>
          <w:bCs/>
          <w:sz w:val="24"/>
          <w:szCs w:val="27"/>
          <w:lang w:eastAsia="en-GB"/>
        </w:rPr>
        <w:t>Vierhile</w:t>
      </w:r>
      <w:proofErr w:type="spellEnd"/>
      <w:r w:rsidRPr="009D291A">
        <w:rPr>
          <w:rFonts w:ascii="Times New Roman" w:eastAsia="Times New Roman" w:hAnsi="Times New Roman" w:cs="Times New Roman"/>
          <w:bCs/>
          <w:sz w:val="24"/>
          <w:szCs w:val="27"/>
          <w:lang w:eastAsia="en-GB"/>
        </w:rPr>
        <w:t xml:space="preserve">, M. (2017). Delivering cognitive </w:t>
      </w:r>
      <w:proofErr w:type="spellStart"/>
      <w:r w:rsidRPr="009D291A">
        <w:rPr>
          <w:rFonts w:ascii="Times New Roman" w:eastAsia="Times New Roman" w:hAnsi="Times New Roman" w:cs="Times New Roman"/>
          <w:bCs/>
          <w:sz w:val="24"/>
          <w:szCs w:val="27"/>
          <w:lang w:eastAsia="en-GB"/>
        </w:rPr>
        <w:t>behavior</w:t>
      </w:r>
      <w:proofErr w:type="spellEnd"/>
      <w:r w:rsidRPr="009D291A">
        <w:rPr>
          <w:rFonts w:ascii="Times New Roman" w:eastAsia="Times New Roman" w:hAnsi="Times New Roman" w:cs="Times New Roman"/>
          <w:bCs/>
          <w:sz w:val="24"/>
          <w:szCs w:val="27"/>
          <w:lang w:eastAsia="en-GB"/>
        </w:rPr>
        <w:t xml:space="preserve"> therapy to young adults with symptoms of depression and anxiety using a fully automated conversational agent (</w:t>
      </w:r>
      <w:proofErr w:type="spellStart"/>
      <w:r w:rsidRPr="009D291A">
        <w:rPr>
          <w:rFonts w:ascii="Times New Roman" w:eastAsia="Times New Roman" w:hAnsi="Times New Roman" w:cs="Times New Roman"/>
          <w:bCs/>
          <w:sz w:val="24"/>
          <w:szCs w:val="27"/>
          <w:lang w:eastAsia="en-GB"/>
        </w:rPr>
        <w:t>Woebot</w:t>
      </w:r>
      <w:proofErr w:type="spellEnd"/>
      <w:r w:rsidRPr="009D291A">
        <w:rPr>
          <w:rFonts w:ascii="Times New Roman" w:eastAsia="Times New Roman" w:hAnsi="Times New Roman" w:cs="Times New Roman"/>
          <w:bCs/>
          <w:sz w:val="24"/>
          <w:szCs w:val="27"/>
          <w:lang w:eastAsia="en-GB"/>
        </w:rPr>
        <w:t>): A randomized controlled trial. JMIR Mental Health, 4(2), e19. https://doi.org/10.2196/mental.7785</w:t>
      </w:r>
    </w:p>
    <w:p w14:paraId="1F3197F3"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Flavell, J. H. (1979). Metacognition and cognitive monitoring: A new area of cognitive-developmental inquiry. American Psychologist, 34(10), 906–911. https://doi.org/10.1037/0003-066X.34.10.906</w:t>
      </w:r>
    </w:p>
    <w:p w14:paraId="4C9F08CA"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Haidt, J., &amp; Allen, N. (2020). Scrutinizing the effects of digital technology on mental health. Nature, 578(7794), 226–227. https://doi.org/10.1038/d41586-020-00296-x</w:t>
      </w:r>
    </w:p>
    <w:p w14:paraId="0C20FA1D"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Henkel, L. A. (2014). Point-and-shoot memories: The influence of taking photos on memory for a museum tour. Psychological Science, 25(2), 396–402. https://doi.org/10.1177/0956797613504438</w:t>
      </w:r>
    </w:p>
    <w:p w14:paraId="6827DE02"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Hollingshead, A. B. (1998). Retrieval processes in transactive memory systems. Journal of Personality and Social Psychology, 74(3), 659–671. https://doi.org/10.1037/0022-3514.74.3.659</w:t>
      </w:r>
    </w:p>
    <w:p w14:paraId="5C7CEAC3"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Jobin, A., Ienca, M., &amp; </w:t>
      </w:r>
      <w:proofErr w:type="spellStart"/>
      <w:r w:rsidRPr="009D291A">
        <w:rPr>
          <w:rFonts w:ascii="Times New Roman" w:eastAsia="Times New Roman" w:hAnsi="Times New Roman" w:cs="Times New Roman"/>
          <w:bCs/>
          <w:sz w:val="24"/>
          <w:szCs w:val="27"/>
          <w:lang w:eastAsia="en-GB"/>
        </w:rPr>
        <w:t>Vayena</w:t>
      </w:r>
      <w:proofErr w:type="spellEnd"/>
      <w:r w:rsidRPr="009D291A">
        <w:rPr>
          <w:rFonts w:ascii="Times New Roman" w:eastAsia="Times New Roman" w:hAnsi="Times New Roman" w:cs="Times New Roman"/>
          <w:bCs/>
          <w:sz w:val="24"/>
          <w:szCs w:val="27"/>
          <w:lang w:eastAsia="en-GB"/>
        </w:rPr>
        <w:t>, E. (2019). The global landscape of AI ethics guidelines. Nature Machine Intelligence, 1(9), 389–399. https://doi.org/10.1038/s42256-019-0088-2</w:t>
      </w:r>
    </w:p>
    <w:p w14:paraId="3F47143B"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Kirsh, D., &amp; Maglio, P. (1994). On distinguishing epistemic from pragmatic action. Cognitive Science, 18(4), 513–549. https://doi.org/10.1207/s15516709cog1804_1</w:t>
      </w:r>
    </w:p>
    <w:p w14:paraId="24DFE9A9"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Kruger, J., &amp; Dunning, D. (1999). Unskilled and unaware of it: How difficulties in recognizing one’s own incompetence lead to inflated self-assessments. Journal of Personality and Social Psychology, 77(6), 1121–1134. https://doi.org/10.1037/0022-3514.77.6.1121</w:t>
      </w:r>
    </w:p>
    <w:p w14:paraId="3D13C426"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Lazer, D. M. J., Baum, M. A., </w:t>
      </w:r>
      <w:proofErr w:type="spellStart"/>
      <w:r w:rsidRPr="009D291A">
        <w:rPr>
          <w:rFonts w:ascii="Times New Roman" w:eastAsia="Times New Roman" w:hAnsi="Times New Roman" w:cs="Times New Roman"/>
          <w:bCs/>
          <w:sz w:val="24"/>
          <w:szCs w:val="27"/>
          <w:lang w:eastAsia="en-GB"/>
        </w:rPr>
        <w:t>Benkler</w:t>
      </w:r>
      <w:proofErr w:type="spellEnd"/>
      <w:r w:rsidRPr="009D291A">
        <w:rPr>
          <w:rFonts w:ascii="Times New Roman" w:eastAsia="Times New Roman" w:hAnsi="Times New Roman" w:cs="Times New Roman"/>
          <w:bCs/>
          <w:sz w:val="24"/>
          <w:szCs w:val="27"/>
          <w:lang w:eastAsia="en-GB"/>
        </w:rPr>
        <w:t xml:space="preserve">, Y., Berinsky, A. J., Greenhill, K. M., Menczer, F., Metzger, M. J., Nyhan, B., Pennycook, G., Rothschild, D., </w:t>
      </w:r>
      <w:proofErr w:type="spellStart"/>
      <w:r w:rsidRPr="009D291A">
        <w:rPr>
          <w:rFonts w:ascii="Times New Roman" w:eastAsia="Times New Roman" w:hAnsi="Times New Roman" w:cs="Times New Roman"/>
          <w:bCs/>
          <w:sz w:val="24"/>
          <w:szCs w:val="27"/>
          <w:lang w:eastAsia="en-GB"/>
        </w:rPr>
        <w:t>Schudson</w:t>
      </w:r>
      <w:proofErr w:type="spellEnd"/>
      <w:r w:rsidRPr="009D291A">
        <w:rPr>
          <w:rFonts w:ascii="Times New Roman" w:eastAsia="Times New Roman" w:hAnsi="Times New Roman" w:cs="Times New Roman"/>
          <w:bCs/>
          <w:sz w:val="24"/>
          <w:szCs w:val="27"/>
          <w:lang w:eastAsia="en-GB"/>
        </w:rPr>
        <w:t xml:space="preserve">, M., Sloman, S. A., Sunstein, C. R., Thorson, E. A., Watts, D. J., &amp; </w:t>
      </w:r>
      <w:proofErr w:type="spellStart"/>
      <w:r w:rsidRPr="009D291A">
        <w:rPr>
          <w:rFonts w:ascii="Times New Roman" w:eastAsia="Times New Roman" w:hAnsi="Times New Roman" w:cs="Times New Roman"/>
          <w:bCs/>
          <w:sz w:val="24"/>
          <w:szCs w:val="27"/>
          <w:lang w:eastAsia="en-GB"/>
        </w:rPr>
        <w:t>Zittrain</w:t>
      </w:r>
      <w:proofErr w:type="spellEnd"/>
      <w:r w:rsidRPr="009D291A">
        <w:rPr>
          <w:rFonts w:ascii="Times New Roman" w:eastAsia="Times New Roman" w:hAnsi="Times New Roman" w:cs="Times New Roman"/>
          <w:bCs/>
          <w:sz w:val="24"/>
          <w:szCs w:val="27"/>
          <w:lang w:eastAsia="en-GB"/>
        </w:rPr>
        <w:t>, J. L. (2018). The science of fake news. Science, 359(6380), 1094–1096. https://doi.org/10.1126/science.aao2998</w:t>
      </w:r>
    </w:p>
    <w:p w14:paraId="3A58B1C8"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Logg, J. M., Minson, J. A., &amp; Moore, D. A. (2019). Algorithm appreciation: People prefer algorithmic to human judgment. Organizational </w:t>
      </w:r>
      <w:proofErr w:type="spellStart"/>
      <w:r w:rsidRPr="009D291A">
        <w:rPr>
          <w:rFonts w:ascii="Times New Roman" w:eastAsia="Times New Roman" w:hAnsi="Times New Roman" w:cs="Times New Roman"/>
          <w:bCs/>
          <w:sz w:val="24"/>
          <w:szCs w:val="27"/>
          <w:lang w:eastAsia="en-GB"/>
        </w:rPr>
        <w:t>Behavior</w:t>
      </w:r>
      <w:proofErr w:type="spellEnd"/>
      <w:r w:rsidRPr="009D291A">
        <w:rPr>
          <w:rFonts w:ascii="Times New Roman" w:eastAsia="Times New Roman" w:hAnsi="Times New Roman" w:cs="Times New Roman"/>
          <w:bCs/>
          <w:sz w:val="24"/>
          <w:szCs w:val="27"/>
          <w:lang w:eastAsia="en-GB"/>
        </w:rPr>
        <w:t xml:space="preserve"> and Human Decision Processes, 151, 90–103. https://doi.org/10.1016/j.obhdp.2018.12.005</w:t>
      </w:r>
    </w:p>
    <w:p w14:paraId="77A92689"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p>
    <w:p w14:paraId="2F3850A7"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Mueller, P. A., &amp; Oppenheimer, D. M. (2014). The pen is mightier than the keyboard: Advantages of longhand over laptop note taking. Psychological Science, 25(6), 1159–1168. https://doi.org/10.1177/0956797614524581</w:t>
      </w:r>
    </w:p>
    <w:p w14:paraId="1E7AEC50"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Noy, S., &amp; Zhang, W. (2023). Experimental evidence on the productivity effects of generative artificial intelligence. Science, 381(6654), 187–192. https://doi.org/10.1126/science.adh2586</w:t>
      </w:r>
    </w:p>
    <w:p w14:paraId="6CC88423"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Ophir, E., Nass, C., &amp; Wagner, A. D. (2009). Cognitive control in media multitaskers. Proceedings of the National Academy of Sciences, 106(37), 15583–15587. https://doi.org/10.1073/pnas.0903620106</w:t>
      </w:r>
    </w:p>
    <w:p w14:paraId="63823311"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Orben, A., &amp; Przybylski, A. K. (2019). The association between adolescent well-being and digital technology use. Nature Human Behaviour, 3(2), 173–182. https://doi.org/10.1038/s41562-018-0506-1</w:t>
      </w:r>
    </w:p>
    <w:p w14:paraId="14EDF2DD"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Paas, F., Renkl, A., &amp; </w:t>
      </w:r>
      <w:proofErr w:type="spellStart"/>
      <w:r w:rsidRPr="009D291A">
        <w:rPr>
          <w:rFonts w:ascii="Times New Roman" w:eastAsia="Times New Roman" w:hAnsi="Times New Roman" w:cs="Times New Roman"/>
          <w:bCs/>
          <w:sz w:val="24"/>
          <w:szCs w:val="27"/>
          <w:lang w:eastAsia="en-GB"/>
        </w:rPr>
        <w:t>Sweller</w:t>
      </w:r>
      <w:proofErr w:type="spellEnd"/>
      <w:r w:rsidRPr="009D291A">
        <w:rPr>
          <w:rFonts w:ascii="Times New Roman" w:eastAsia="Times New Roman" w:hAnsi="Times New Roman" w:cs="Times New Roman"/>
          <w:bCs/>
          <w:sz w:val="24"/>
          <w:szCs w:val="27"/>
          <w:lang w:eastAsia="en-GB"/>
        </w:rPr>
        <w:t>, J. (2003). Cognitive load theory and instructional design: Recent developments. Educational Psychologist, 38(1), 1–4. https://doi.org/10.1207/S15326985EP3801_1</w:t>
      </w:r>
    </w:p>
    <w:p w14:paraId="078ABA0B"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Parasuraman, R., &amp; </w:t>
      </w:r>
      <w:proofErr w:type="spellStart"/>
      <w:r w:rsidRPr="009D291A">
        <w:rPr>
          <w:rFonts w:ascii="Times New Roman" w:eastAsia="Times New Roman" w:hAnsi="Times New Roman" w:cs="Times New Roman"/>
          <w:bCs/>
          <w:sz w:val="24"/>
          <w:szCs w:val="27"/>
          <w:lang w:eastAsia="en-GB"/>
        </w:rPr>
        <w:t>Manzey</w:t>
      </w:r>
      <w:proofErr w:type="spellEnd"/>
      <w:r w:rsidRPr="009D291A">
        <w:rPr>
          <w:rFonts w:ascii="Times New Roman" w:eastAsia="Times New Roman" w:hAnsi="Times New Roman" w:cs="Times New Roman"/>
          <w:bCs/>
          <w:sz w:val="24"/>
          <w:szCs w:val="27"/>
          <w:lang w:eastAsia="en-GB"/>
        </w:rPr>
        <w:t>, D. H. (2010). Complacency and bias in human use of automation: An attentional integration. Human Factors, 52(3), 381–410. https://doi.org/10.1177/0018720810376055</w:t>
      </w:r>
    </w:p>
    <w:p w14:paraId="700FDC7C"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Parasuraman, R., Sheridan, T. B., &amp; Wickens, C. D. (2000). A model for types and levels of human interaction with automation. IEEE Transactions on Systems, Man, and Cybernetics–Part A: Systems and Humans, 30(3), 286–297. https://doi.org/10.1109/3468.844354</w:t>
      </w:r>
    </w:p>
    <w:p w14:paraId="2B8A6C7F"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Risko, E. F., &amp; Gilbert, S. J. (2016). Cognitive offloading. Trends in Cognitive Sciences, 20(9), 676–688. https://doi.org/10.1016/j.tics.2016.07.002</w:t>
      </w:r>
    </w:p>
    <w:p w14:paraId="787109E4"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Ruginski, I. T., Creem-Regehr, S. H., </w:t>
      </w:r>
      <w:proofErr w:type="spellStart"/>
      <w:r w:rsidRPr="009D291A">
        <w:rPr>
          <w:rFonts w:ascii="Times New Roman" w:eastAsia="Times New Roman" w:hAnsi="Times New Roman" w:cs="Times New Roman"/>
          <w:bCs/>
          <w:sz w:val="24"/>
          <w:szCs w:val="27"/>
          <w:lang w:eastAsia="en-GB"/>
        </w:rPr>
        <w:t>Stefanucci</w:t>
      </w:r>
      <w:proofErr w:type="spellEnd"/>
      <w:r w:rsidRPr="009D291A">
        <w:rPr>
          <w:rFonts w:ascii="Times New Roman" w:eastAsia="Times New Roman" w:hAnsi="Times New Roman" w:cs="Times New Roman"/>
          <w:bCs/>
          <w:sz w:val="24"/>
          <w:szCs w:val="27"/>
          <w:lang w:eastAsia="en-GB"/>
        </w:rPr>
        <w:t xml:space="preserve">, J. K., &amp; </w:t>
      </w:r>
      <w:proofErr w:type="spellStart"/>
      <w:r w:rsidRPr="009D291A">
        <w:rPr>
          <w:rFonts w:ascii="Times New Roman" w:eastAsia="Times New Roman" w:hAnsi="Times New Roman" w:cs="Times New Roman"/>
          <w:bCs/>
          <w:sz w:val="24"/>
          <w:szCs w:val="27"/>
          <w:lang w:eastAsia="en-GB"/>
        </w:rPr>
        <w:t>Cashdan</w:t>
      </w:r>
      <w:proofErr w:type="spellEnd"/>
      <w:r w:rsidRPr="009D291A">
        <w:rPr>
          <w:rFonts w:ascii="Times New Roman" w:eastAsia="Times New Roman" w:hAnsi="Times New Roman" w:cs="Times New Roman"/>
          <w:bCs/>
          <w:sz w:val="24"/>
          <w:szCs w:val="27"/>
          <w:lang w:eastAsia="en-GB"/>
        </w:rPr>
        <w:t xml:space="preserve">, E. (2019). GPS use negatively affects environmental learning through spatial transformation abilities. Journal of Environmental Psychology, 64, 12–20. https://doi.org/10.1016/j.jenvp.2019.05.001 </w:t>
      </w:r>
    </w:p>
    <w:p w14:paraId="23957427"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Seeber, I., Bittner, E., Briggs, R. O., de </w:t>
      </w:r>
      <w:proofErr w:type="spellStart"/>
      <w:r w:rsidRPr="009D291A">
        <w:rPr>
          <w:rFonts w:ascii="Times New Roman" w:eastAsia="Times New Roman" w:hAnsi="Times New Roman" w:cs="Times New Roman"/>
          <w:bCs/>
          <w:sz w:val="24"/>
          <w:szCs w:val="27"/>
          <w:lang w:eastAsia="en-GB"/>
        </w:rPr>
        <w:t>Vreede</w:t>
      </w:r>
      <w:proofErr w:type="spellEnd"/>
      <w:r w:rsidRPr="009D291A">
        <w:rPr>
          <w:rFonts w:ascii="Times New Roman" w:eastAsia="Times New Roman" w:hAnsi="Times New Roman" w:cs="Times New Roman"/>
          <w:bCs/>
          <w:sz w:val="24"/>
          <w:szCs w:val="27"/>
          <w:lang w:eastAsia="en-GB"/>
        </w:rPr>
        <w:t xml:space="preserve">, G.-J., de </w:t>
      </w:r>
      <w:proofErr w:type="spellStart"/>
      <w:r w:rsidRPr="009D291A">
        <w:rPr>
          <w:rFonts w:ascii="Times New Roman" w:eastAsia="Times New Roman" w:hAnsi="Times New Roman" w:cs="Times New Roman"/>
          <w:bCs/>
          <w:sz w:val="24"/>
          <w:szCs w:val="27"/>
          <w:lang w:eastAsia="en-GB"/>
        </w:rPr>
        <w:t>Vreede</w:t>
      </w:r>
      <w:proofErr w:type="spellEnd"/>
      <w:r w:rsidRPr="009D291A">
        <w:rPr>
          <w:rFonts w:ascii="Times New Roman" w:eastAsia="Times New Roman" w:hAnsi="Times New Roman" w:cs="Times New Roman"/>
          <w:bCs/>
          <w:sz w:val="24"/>
          <w:szCs w:val="27"/>
          <w:lang w:eastAsia="en-GB"/>
        </w:rPr>
        <w:t>, T., Elkins, A., Maier, R., Merz, A. B., Oeste-</w:t>
      </w:r>
      <w:proofErr w:type="spellStart"/>
      <w:r w:rsidRPr="009D291A">
        <w:rPr>
          <w:rFonts w:ascii="Times New Roman" w:eastAsia="Times New Roman" w:hAnsi="Times New Roman" w:cs="Times New Roman"/>
          <w:bCs/>
          <w:sz w:val="24"/>
          <w:szCs w:val="27"/>
          <w:lang w:eastAsia="en-GB"/>
        </w:rPr>
        <w:t>Reiß</w:t>
      </w:r>
      <w:proofErr w:type="spellEnd"/>
      <w:r w:rsidRPr="009D291A">
        <w:rPr>
          <w:rFonts w:ascii="Times New Roman" w:eastAsia="Times New Roman" w:hAnsi="Times New Roman" w:cs="Times New Roman"/>
          <w:bCs/>
          <w:sz w:val="24"/>
          <w:szCs w:val="27"/>
          <w:lang w:eastAsia="en-GB"/>
        </w:rPr>
        <w:t xml:space="preserve">, S., Randrup, N., Schwabe, G., &amp; </w:t>
      </w:r>
      <w:proofErr w:type="spellStart"/>
      <w:r w:rsidRPr="009D291A">
        <w:rPr>
          <w:rFonts w:ascii="Times New Roman" w:eastAsia="Times New Roman" w:hAnsi="Times New Roman" w:cs="Times New Roman"/>
          <w:bCs/>
          <w:sz w:val="24"/>
          <w:szCs w:val="27"/>
          <w:lang w:eastAsia="en-GB"/>
        </w:rPr>
        <w:t>Söllner</w:t>
      </w:r>
      <w:proofErr w:type="spellEnd"/>
      <w:r w:rsidRPr="009D291A">
        <w:rPr>
          <w:rFonts w:ascii="Times New Roman" w:eastAsia="Times New Roman" w:hAnsi="Times New Roman" w:cs="Times New Roman"/>
          <w:bCs/>
          <w:sz w:val="24"/>
          <w:szCs w:val="27"/>
          <w:lang w:eastAsia="en-GB"/>
        </w:rPr>
        <w:t>, M. (2020). Machines as teammates: A research agenda on AI in team collaboration. Information &amp; Management, 57(2), 103174. https://doi.org/10.1016/j.im.2019.103174</w:t>
      </w:r>
    </w:p>
    <w:p w14:paraId="3795CD9E"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Shank, D. B., &amp; DeSanti, A. (2018). Attributions of morality and mind to artificial intelligence after real-world moral violations. Computers in Human </w:t>
      </w:r>
      <w:proofErr w:type="spellStart"/>
      <w:r w:rsidRPr="009D291A">
        <w:rPr>
          <w:rFonts w:ascii="Times New Roman" w:eastAsia="Times New Roman" w:hAnsi="Times New Roman" w:cs="Times New Roman"/>
          <w:bCs/>
          <w:sz w:val="24"/>
          <w:szCs w:val="27"/>
          <w:lang w:eastAsia="en-GB"/>
        </w:rPr>
        <w:t>Behavior</w:t>
      </w:r>
      <w:proofErr w:type="spellEnd"/>
      <w:r w:rsidRPr="009D291A">
        <w:rPr>
          <w:rFonts w:ascii="Times New Roman" w:eastAsia="Times New Roman" w:hAnsi="Times New Roman" w:cs="Times New Roman"/>
          <w:bCs/>
          <w:sz w:val="24"/>
          <w:szCs w:val="27"/>
          <w:lang w:eastAsia="en-GB"/>
        </w:rPr>
        <w:t>, 86, 401–411. https://doi.org/10.1016/j.chb.2018.05.014</w:t>
      </w:r>
    </w:p>
    <w:p w14:paraId="08FDEAE3"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9D291A">
        <w:rPr>
          <w:rFonts w:ascii="Times New Roman" w:eastAsia="Times New Roman" w:hAnsi="Times New Roman" w:cs="Times New Roman"/>
          <w:bCs/>
          <w:sz w:val="24"/>
          <w:szCs w:val="27"/>
          <w:lang w:eastAsia="en-GB"/>
        </w:rPr>
        <w:t>Skitka</w:t>
      </w:r>
      <w:proofErr w:type="spellEnd"/>
      <w:r w:rsidRPr="009D291A">
        <w:rPr>
          <w:rFonts w:ascii="Times New Roman" w:eastAsia="Times New Roman" w:hAnsi="Times New Roman" w:cs="Times New Roman"/>
          <w:bCs/>
          <w:sz w:val="24"/>
          <w:szCs w:val="27"/>
          <w:lang w:eastAsia="en-GB"/>
        </w:rPr>
        <w:t>, L. J., Mosier, K. L., &amp; Burdick, M. (1999). Does automation bias decision-making? International Journal of Human-Computer Studies, 51(5), 991–1006. https://doi.org/10.1006/ijhc.1999.0252</w:t>
      </w:r>
    </w:p>
    <w:p w14:paraId="1028BAB1"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lastRenderedPageBreak/>
        <w:t>Small, G. W., Lee, J., Kaufman, A., Jalil, J., Siddarth, P., Gaddipati, H., Moody, T. D., &amp; Bookheimer, S. Y. (2020). Brain health consequences of digital technology use. Dialogues in Clinical Neuroscience, 22(2), 179–187. https://doi.org/10.31887/DCNS.2020.22.2/gsmall</w:t>
      </w:r>
    </w:p>
    <w:p w14:paraId="058EE2EF"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Snyder, H. (2019). Literature review as a research methodology: An overview and guidelines. Journal of Business Research, 104, 333–339. https://doi.org/10.1016/j.jbusres.2019.07.039</w:t>
      </w:r>
    </w:p>
    <w:p w14:paraId="55A49B01"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Sparrow, B., Liu, J., &amp; Wegner, D. M. (2011). Google effects on memory: Cognitive consequences of having information at our fingertips. Science, 333(6043), 776–778. https://doi.org/10.1126/science.1207745</w:t>
      </w:r>
    </w:p>
    <w:p w14:paraId="26DB4756"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Stern, Y. (2009). Cognitive reserve. </w:t>
      </w:r>
      <w:proofErr w:type="spellStart"/>
      <w:r w:rsidRPr="009D291A">
        <w:rPr>
          <w:rFonts w:ascii="Times New Roman" w:eastAsia="Times New Roman" w:hAnsi="Times New Roman" w:cs="Times New Roman"/>
          <w:bCs/>
          <w:sz w:val="24"/>
          <w:szCs w:val="27"/>
          <w:lang w:eastAsia="en-GB"/>
        </w:rPr>
        <w:t>Neuropsychologia</w:t>
      </w:r>
      <w:proofErr w:type="spellEnd"/>
      <w:r w:rsidRPr="009D291A">
        <w:rPr>
          <w:rFonts w:ascii="Times New Roman" w:eastAsia="Times New Roman" w:hAnsi="Times New Roman" w:cs="Times New Roman"/>
          <w:bCs/>
          <w:sz w:val="24"/>
          <w:szCs w:val="27"/>
          <w:lang w:eastAsia="en-GB"/>
        </w:rPr>
        <w:t>, 47(10), 2015–2028. https://doi.org/10.1016/j.neuropsychologia.2009.03.004</w:t>
      </w:r>
    </w:p>
    <w:p w14:paraId="454C7D24"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Storm, B. C., &amp; Stone, S. M. (2015). Saving-enhanced memory: The benefits of saving on the learning and remembering of new information. Psychological Science, 26(2), 182–188. https://doi.org/10.1177/0956797614559285</w:t>
      </w:r>
    </w:p>
    <w:p w14:paraId="2269B22F"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9D291A">
        <w:rPr>
          <w:rFonts w:ascii="Times New Roman" w:eastAsia="Times New Roman" w:hAnsi="Times New Roman" w:cs="Times New Roman"/>
          <w:bCs/>
          <w:sz w:val="24"/>
          <w:szCs w:val="27"/>
          <w:lang w:eastAsia="en-GB"/>
        </w:rPr>
        <w:t>Sweller</w:t>
      </w:r>
      <w:proofErr w:type="spellEnd"/>
      <w:r w:rsidRPr="009D291A">
        <w:rPr>
          <w:rFonts w:ascii="Times New Roman" w:eastAsia="Times New Roman" w:hAnsi="Times New Roman" w:cs="Times New Roman"/>
          <w:bCs/>
          <w:sz w:val="24"/>
          <w:szCs w:val="27"/>
          <w:lang w:eastAsia="en-GB"/>
        </w:rPr>
        <w:t>, J. (1988). Cognitive load during problem solving: Effects on learning. Cognitive Science, 12(2), 257–285. https://doi.org/10.1207/s15516709cog1202_4</w:t>
      </w:r>
    </w:p>
    <w:p w14:paraId="4BE58253"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 xml:space="preserve">van Laar, E., van Deursen, A. J. A. M., van Dijk, J. A. G. M., &amp; de Haan, J. (2019). Determinants of 21st-century digital skills: A large-scale survey among working professionals. Computers in Human </w:t>
      </w:r>
      <w:proofErr w:type="spellStart"/>
      <w:r w:rsidRPr="009D291A">
        <w:rPr>
          <w:rFonts w:ascii="Times New Roman" w:eastAsia="Times New Roman" w:hAnsi="Times New Roman" w:cs="Times New Roman"/>
          <w:bCs/>
          <w:sz w:val="24"/>
          <w:szCs w:val="27"/>
          <w:lang w:eastAsia="en-GB"/>
        </w:rPr>
        <w:t>Behavior</w:t>
      </w:r>
      <w:proofErr w:type="spellEnd"/>
      <w:r w:rsidRPr="009D291A">
        <w:rPr>
          <w:rFonts w:ascii="Times New Roman" w:eastAsia="Times New Roman" w:hAnsi="Times New Roman" w:cs="Times New Roman"/>
          <w:bCs/>
          <w:sz w:val="24"/>
          <w:szCs w:val="27"/>
          <w:lang w:eastAsia="en-GB"/>
        </w:rPr>
        <w:t xml:space="preserve">, 100, 93–104. https://doi.org/10.1016/j.chb.2019.06.017 </w:t>
      </w:r>
    </w:p>
    <w:p w14:paraId="3EC58E68"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Ward, A. F., Duke, K., Gneezy, A., &amp; Bos, M. W. (2017). Brain drain: The mere presence of one’s own smartphone reduces available cognitive capacity. Journal of the Association for Consumer Research, 2(2), 140–154. https://doi.org/10.1086/691462</w:t>
      </w:r>
    </w:p>
    <w:p w14:paraId="3BF506F8"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proofErr w:type="spellStart"/>
      <w:r w:rsidRPr="009D291A">
        <w:rPr>
          <w:rFonts w:ascii="Times New Roman" w:eastAsia="Times New Roman" w:hAnsi="Times New Roman" w:cs="Times New Roman"/>
          <w:bCs/>
          <w:sz w:val="24"/>
          <w:szCs w:val="27"/>
          <w:lang w:eastAsia="en-GB"/>
        </w:rPr>
        <w:t>Waytz</w:t>
      </w:r>
      <w:proofErr w:type="spellEnd"/>
      <w:r w:rsidRPr="009D291A">
        <w:rPr>
          <w:rFonts w:ascii="Times New Roman" w:eastAsia="Times New Roman" w:hAnsi="Times New Roman" w:cs="Times New Roman"/>
          <w:bCs/>
          <w:sz w:val="24"/>
          <w:szCs w:val="27"/>
          <w:lang w:eastAsia="en-GB"/>
        </w:rPr>
        <w:t>, A., Gray, K., Epley, N., &amp; Wegner, D. M. (2010). Causes and consequences of mind perception. Trends in Cognitive Sciences, 14(8), 383–388. https://doi.org/10.1016/j.tics.2010.05.006</w:t>
      </w:r>
    </w:p>
    <w:p w14:paraId="4219341B" w14:textId="77777777" w:rsidR="009D291A" w:rsidRPr="009D291A" w:rsidRDefault="009D291A" w:rsidP="009D291A">
      <w:pPr>
        <w:spacing w:before="100" w:beforeAutospacing="1" w:after="100" w:afterAutospacing="1" w:line="240" w:lineRule="auto"/>
        <w:outlineLvl w:val="2"/>
        <w:rPr>
          <w:rFonts w:ascii="Times New Roman" w:eastAsia="Times New Roman" w:hAnsi="Times New Roman" w:cs="Times New Roman"/>
          <w:bCs/>
          <w:sz w:val="24"/>
          <w:szCs w:val="27"/>
          <w:lang w:eastAsia="en-GB"/>
        </w:rPr>
      </w:pPr>
      <w:r w:rsidRPr="009D291A">
        <w:rPr>
          <w:rFonts w:ascii="Times New Roman" w:eastAsia="Times New Roman" w:hAnsi="Times New Roman" w:cs="Times New Roman"/>
          <w:bCs/>
          <w:sz w:val="24"/>
          <w:szCs w:val="27"/>
          <w:lang w:eastAsia="en-GB"/>
        </w:rPr>
        <w:t>Wilmer, H. H., Sherman, L. E., &amp; Chein, J. M. (2017). Smartphones and cognition: A review of research exploring the links between mobile technology habits and cognitive functioning. Frontiers in Psychology, 8, 605. https://doi.org/10.3389/fpsyg.2017.00605</w:t>
      </w:r>
    </w:p>
    <w:sectPr w:rsidR="009D291A" w:rsidRPr="009D291A"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D5A1E" w14:textId="77777777" w:rsidR="00C172FD" w:rsidRDefault="00C172FD" w:rsidP="0072465E">
      <w:pPr>
        <w:spacing w:after="0" w:line="240" w:lineRule="auto"/>
      </w:pPr>
      <w:r>
        <w:separator/>
      </w:r>
    </w:p>
  </w:endnote>
  <w:endnote w:type="continuationSeparator" w:id="0">
    <w:p w14:paraId="0C72871D" w14:textId="77777777" w:rsidR="00C172FD" w:rsidRDefault="00C172FD" w:rsidP="0072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C5BE" w14:textId="77777777" w:rsidR="0072465E" w:rsidRDefault="00724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564A" w14:textId="77777777" w:rsidR="0072465E" w:rsidRDefault="007246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8CD8" w14:textId="77777777" w:rsidR="0072465E" w:rsidRDefault="00724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B35E" w14:textId="77777777" w:rsidR="00C172FD" w:rsidRDefault="00C172FD" w:rsidP="0072465E">
      <w:pPr>
        <w:spacing w:after="0" w:line="240" w:lineRule="auto"/>
      </w:pPr>
      <w:r>
        <w:separator/>
      </w:r>
    </w:p>
  </w:footnote>
  <w:footnote w:type="continuationSeparator" w:id="0">
    <w:p w14:paraId="0E5B8020" w14:textId="77777777" w:rsidR="00C172FD" w:rsidRDefault="00C172FD" w:rsidP="00724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97E8" w14:textId="29140836" w:rsidR="0072465E" w:rsidRDefault="0072465E">
    <w:pPr>
      <w:pStyle w:val="Header"/>
    </w:pPr>
    <w:r>
      <w:rPr>
        <w:noProof/>
      </w:rPr>
      <w:pict w14:anchorId="55D00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8F07A" w14:textId="74E94E19" w:rsidR="0072465E" w:rsidRDefault="0072465E">
    <w:pPr>
      <w:pStyle w:val="Header"/>
    </w:pPr>
    <w:r>
      <w:rPr>
        <w:noProof/>
      </w:rPr>
      <w:pict w14:anchorId="7E8FF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ACB5" w14:textId="7BB56899" w:rsidR="0072465E" w:rsidRDefault="0072465E">
    <w:pPr>
      <w:pStyle w:val="Header"/>
    </w:pPr>
    <w:r>
      <w:rPr>
        <w:noProof/>
      </w:rPr>
      <w:pict w14:anchorId="31288C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450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F5E3D"/>
    <w:multiLevelType w:val="hybridMultilevel"/>
    <w:tmpl w:val="49386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5688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6AC3"/>
    <w:rsid w:val="004841B3"/>
    <w:rsid w:val="00554C2C"/>
    <w:rsid w:val="006E7C7D"/>
    <w:rsid w:val="006F3202"/>
    <w:rsid w:val="0072465E"/>
    <w:rsid w:val="008E6AC3"/>
    <w:rsid w:val="009D291A"/>
    <w:rsid w:val="009D5110"/>
    <w:rsid w:val="009E755F"/>
    <w:rsid w:val="00B240F5"/>
    <w:rsid w:val="00BE2CEA"/>
    <w:rsid w:val="00C17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5A186"/>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8E6A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E6A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E6A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6AC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E6AC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E6AC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8E6A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E6AC3"/>
    <w:rPr>
      <w:b/>
      <w:bCs/>
    </w:rPr>
  </w:style>
  <w:style w:type="character" w:styleId="Emphasis">
    <w:name w:val="Emphasis"/>
    <w:basedOn w:val="DefaultParagraphFont"/>
    <w:uiPriority w:val="20"/>
    <w:qFormat/>
    <w:rsid w:val="008E6AC3"/>
    <w:rPr>
      <w:i/>
      <w:iCs/>
    </w:rPr>
  </w:style>
  <w:style w:type="character" w:styleId="Hyperlink">
    <w:name w:val="Hyperlink"/>
    <w:basedOn w:val="DefaultParagraphFont"/>
    <w:uiPriority w:val="99"/>
    <w:semiHidden/>
    <w:unhideWhenUsed/>
    <w:rsid w:val="008E6AC3"/>
    <w:rPr>
      <w:color w:val="0000FF"/>
      <w:u w:val="single"/>
    </w:rPr>
  </w:style>
  <w:style w:type="paragraph" w:styleId="ListParagraph">
    <w:name w:val="List Paragraph"/>
    <w:basedOn w:val="Normal"/>
    <w:uiPriority w:val="34"/>
    <w:qFormat/>
    <w:rsid w:val="00B240F5"/>
    <w:pPr>
      <w:ind w:left="720"/>
      <w:contextualSpacing/>
    </w:pPr>
  </w:style>
  <w:style w:type="paragraph" w:styleId="NormalWeb">
    <w:name w:val="Normal (Web)"/>
    <w:basedOn w:val="Normal"/>
    <w:uiPriority w:val="99"/>
    <w:unhideWhenUsed/>
    <w:rsid w:val="00B24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B240F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B240F5"/>
    <w:rPr>
      <w:rFonts w:ascii="Arial" w:eastAsia="Times New Roman" w:hAnsi="Arial" w:cs="Arial"/>
      <w:vanish/>
      <w:sz w:val="16"/>
      <w:szCs w:val="16"/>
      <w:lang w:eastAsia="en-GB"/>
    </w:rPr>
  </w:style>
  <w:style w:type="paragraph" w:customStyle="1" w:styleId="placeholder">
    <w:name w:val="placeholder"/>
    <w:basedOn w:val="Normal"/>
    <w:rsid w:val="00B240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BottomofForm">
    <w:name w:val="HTML Bottom of Form"/>
    <w:basedOn w:val="Normal"/>
    <w:next w:val="Normal"/>
    <w:link w:val="z-BottomofFormChar"/>
    <w:hidden/>
    <w:uiPriority w:val="99"/>
    <w:semiHidden/>
    <w:unhideWhenUsed/>
    <w:rsid w:val="00B240F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B240F5"/>
    <w:rPr>
      <w:rFonts w:ascii="Arial" w:eastAsia="Times New Roman" w:hAnsi="Arial" w:cs="Arial"/>
      <w:vanish/>
      <w:sz w:val="16"/>
      <w:szCs w:val="16"/>
      <w:lang w:eastAsia="en-GB"/>
    </w:rPr>
  </w:style>
  <w:style w:type="table" w:styleId="TableGrid">
    <w:name w:val="Table Grid"/>
    <w:basedOn w:val="TableNormal"/>
    <w:uiPriority w:val="59"/>
    <w:rsid w:val="009D2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4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65E"/>
  </w:style>
  <w:style w:type="paragraph" w:styleId="Footer">
    <w:name w:val="footer"/>
    <w:basedOn w:val="Normal"/>
    <w:link w:val="FooterChar"/>
    <w:uiPriority w:val="99"/>
    <w:unhideWhenUsed/>
    <w:rsid w:val="00724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91364">
      <w:bodyDiv w:val="1"/>
      <w:marLeft w:val="0"/>
      <w:marRight w:val="0"/>
      <w:marTop w:val="0"/>
      <w:marBottom w:val="0"/>
      <w:divBdr>
        <w:top w:val="none" w:sz="0" w:space="0" w:color="auto"/>
        <w:left w:val="none" w:sz="0" w:space="0" w:color="auto"/>
        <w:bottom w:val="none" w:sz="0" w:space="0" w:color="auto"/>
        <w:right w:val="none" w:sz="0" w:space="0" w:color="auto"/>
      </w:divBdr>
      <w:divsChild>
        <w:div w:id="1505169770">
          <w:marLeft w:val="0"/>
          <w:marRight w:val="0"/>
          <w:marTop w:val="0"/>
          <w:marBottom w:val="0"/>
          <w:divBdr>
            <w:top w:val="none" w:sz="0" w:space="0" w:color="auto"/>
            <w:left w:val="none" w:sz="0" w:space="0" w:color="auto"/>
            <w:bottom w:val="none" w:sz="0" w:space="0" w:color="auto"/>
            <w:right w:val="none" w:sz="0" w:space="0" w:color="auto"/>
          </w:divBdr>
          <w:divsChild>
            <w:div w:id="673456620">
              <w:marLeft w:val="0"/>
              <w:marRight w:val="0"/>
              <w:marTop w:val="0"/>
              <w:marBottom w:val="0"/>
              <w:divBdr>
                <w:top w:val="none" w:sz="0" w:space="0" w:color="auto"/>
                <w:left w:val="none" w:sz="0" w:space="0" w:color="auto"/>
                <w:bottom w:val="none" w:sz="0" w:space="0" w:color="auto"/>
                <w:right w:val="none" w:sz="0" w:space="0" w:color="auto"/>
              </w:divBdr>
              <w:divsChild>
                <w:div w:id="1272014259">
                  <w:marLeft w:val="0"/>
                  <w:marRight w:val="0"/>
                  <w:marTop w:val="0"/>
                  <w:marBottom w:val="0"/>
                  <w:divBdr>
                    <w:top w:val="none" w:sz="0" w:space="0" w:color="auto"/>
                    <w:left w:val="none" w:sz="0" w:space="0" w:color="auto"/>
                    <w:bottom w:val="none" w:sz="0" w:space="0" w:color="auto"/>
                    <w:right w:val="none" w:sz="0" w:space="0" w:color="auto"/>
                  </w:divBdr>
                  <w:divsChild>
                    <w:div w:id="1002511324">
                      <w:marLeft w:val="0"/>
                      <w:marRight w:val="0"/>
                      <w:marTop w:val="0"/>
                      <w:marBottom w:val="0"/>
                      <w:divBdr>
                        <w:top w:val="none" w:sz="0" w:space="0" w:color="auto"/>
                        <w:left w:val="none" w:sz="0" w:space="0" w:color="auto"/>
                        <w:bottom w:val="none" w:sz="0" w:space="0" w:color="auto"/>
                        <w:right w:val="none" w:sz="0" w:space="0" w:color="auto"/>
                      </w:divBdr>
                      <w:divsChild>
                        <w:div w:id="581842462">
                          <w:marLeft w:val="0"/>
                          <w:marRight w:val="0"/>
                          <w:marTop w:val="0"/>
                          <w:marBottom w:val="0"/>
                          <w:divBdr>
                            <w:top w:val="none" w:sz="0" w:space="0" w:color="auto"/>
                            <w:left w:val="none" w:sz="0" w:space="0" w:color="auto"/>
                            <w:bottom w:val="none" w:sz="0" w:space="0" w:color="auto"/>
                            <w:right w:val="none" w:sz="0" w:space="0" w:color="auto"/>
                          </w:divBdr>
                          <w:divsChild>
                            <w:div w:id="206601529">
                              <w:marLeft w:val="0"/>
                              <w:marRight w:val="0"/>
                              <w:marTop w:val="0"/>
                              <w:marBottom w:val="0"/>
                              <w:divBdr>
                                <w:top w:val="none" w:sz="0" w:space="0" w:color="auto"/>
                                <w:left w:val="none" w:sz="0" w:space="0" w:color="auto"/>
                                <w:bottom w:val="none" w:sz="0" w:space="0" w:color="auto"/>
                                <w:right w:val="none" w:sz="0" w:space="0" w:color="auto"/>
                              </w:divBdr>
                              <w:divsChild>
                                <w:div w:id="1285891975">
                                  <w:marLeft w:val="0"/>
                                  <w:marRight w:val="0"/>
                                  <w:marTop w:val="0"/>
                                  <w:marBottom w:val="0"/>
                                  <w:divBdr>
                                    <w:top w:val="none" w:sz="0" w:space="0" w:color="auto"/>
                                    <w:left w:val="none" w:sz="0" w:space="0" w:color="auto"/>
                                    <w:bottom w:val="none" w:sz="0" w:space="0" w:color="auto"/>
                                    <w:right w:val="none" w:sz="0" w:space="0" w:color="auto"/>
                                  </w:divBdr>
                                  <w:divsChild>
                                    <w:div w:id="1639913409">
                                      <w:marLeft w:val="0"/>
                                      <w:marRight w:val="0"/>
                                      <w:marTop w:val="0"/>
                                      <w:marBottom w:val="0"/>
                                      <w:divBdr>
                                        <w:top w:val="none" w:sz="0" w:space="0" w:color="auto"/>
                                        <w:left w:val="none" w:sz="0" w:space="0" w:color="auto"/>
                                        <w:bottom w:val="none" w:sz="0" w:space="0" w:color="auto"/>
                                        <w:right w:val="none" w:sz="0" w:space="0" w:color="auto"/>
                                      </w:divBdr>
                                      <w:divsChild>
                                        <w:div w:id="370767022">
                                          <w:marLeft w:val="0"/>
                                          <w:marRight w:val="0"/>
                                          <w:marTop w:val="0"/>
                                          <w:marBottom w:val="0"/>
                                          <w:divBdr>
                                            <w:top w:val="none" w:sz="0" w:space="0" w:color="auto"/>
                                            <w:left w:val="none" w:sz="0" w:space="0" w:color="auto"/>
                                            <w:bottom w:val="none" w:sz="0" w:space="0" w:color="auto"/>
                                            <w:right w:val="none" w:sz="0" w:space="0" w:color="auto"/>
                                          </w:divBdr>
                                          <w:divsChild>
                                            <w:div w:id="807404896">
                                              <w:marLeft w:val="0"/>
                                              <w:marRight w:val="0"/>
                                              <w:marTop w:val="0"/>
                                              <w:marBottom w:val="0"/>
                                              <w:divBdr>
                                                <w:top w:val="none" w:sz="0" w:space="0" w:color="auto"/>
                                                <w:left w:val="none" w:sz="0" w:space="0" w:color="auto"/>
                                                <w:bottom w:val="none" w:sz="0" w:space="0" w:color="auto"/>
                                                <w:right w:val="none" w:sz="0" w:space="0" w:color="auto"/>
                                              </w:divBdr>
                                              <w:divsChild>
                                                <w:div w:id="930240896">
                                                  <w:marLeft w:val="0"/>
                                                  <w:marRight w:val="0"/>
                                                  <w:marTop w:val="0"/>
                                                  <w:marBottom w:val="0"/>
                                                  <w:divBdr>
                                                    <w:top w:val="none" w:sz="0" w:space="0" w:color="auto"/>
                                                    <w:left w:val="none" w:sz="0" w:space="0" w:color="auto"/>
                                                    <w:bottom w:val="none" w:sz="0" w:space="0" w:color="auto"/>
                                                    <w:right w:val="none" w:sz="0" w:space="0" w:color="auto"/>
                                                  </w:divBdr>
                                                  <w:divsChild>
                                                    <w:div w:id="1335718761">
                                                      <w:marLeft w:val="0"/>
                                                      <w:marRight w:val="0"/>
                                                      <w:marTop w:val="0"/>
                                                      <w:marBottom w:val="0"/>
                                                      <w:divBdr>
                                                        <w:top w:val="none" w:sz="0" w:space="0" w:color="auto"/>
                                                        <w:left w:val="none" w:sz="0" w:space="0" w:color="auto"/>
                                                        <w:bottom w:val="none" w:sz="0" w:space="0" w:color="auto"/>
                                                        <w:right w:val="none" w:sz="0" w:space="0" w:color="auto"/>
                                                      </w:divBdr>
                                                      <w:divsChild>
                                                        <w:div w:id="319240471">
                                                          <w:marLeft w:val="0"/>
                                                          <w:marRight w:val="0"/>
                                                          <w:marTop w:val="0"/>
                                                          <w:marBottom w:val="0"/>
                                                          <w:divBdr>
                                                            <w:top w:val="none" w:sz="0" w:space="0" w:color="auto"/>
                                                            <w:left w:val="none" w:sz="0" w:space="0" w:color="auto"/>
                                                            <w:bottom w:val="none" w:sz="0" w:space="0" w:color="auto"/>
                                                            <w:right w:val="none" w:sz="0" w:space="0" w:color="auto"/>
                                                          </w:divBdr>
                                                          <w:divsChild>
                                                            <w:div w:id="1540898931">
                                                              <w:marLeft w:val="0"/>
                                                              <w:marRight w:val="0"/>
                                                              <w:marTop w:val="0"/>
                                                              <w:marBottom w:val="0"/>
                                                              <w:divBdr>
                                                                <w:top w:val="none" w:sz="0" w:space="0" w:color="auto"/>
                                                                <w:left w:val="none" w:sz="0" w:space="0" w:color="auto"/>
                                                                <w:bottom w:val="none" w:sz="0" w:space="0" w:color="auto"/>
                                                                <w:right w:val="none" w:sz="0" w:space="0" w:color="auto"/>
                                                              </w:divBdr>
                                                              <w:divsChild>
                                                                <w:div w:id="1487471975">
                                                                  <w:marLeft w:val="0"/>
                                                                  <w:marRight w:val="0"/>
                                                                  <w:marTop w:val="0"/>
                                                                  <w:marBottom w:val="0"/>
                                                                  <w:divBdr>
                                                                    <w:top w:val="none" w:sz="0" w:space="0" w:color="auto"/>
                                                                    <w:left w:val="none" w:sz="0" w:space="0" w:color="auto"/>
                                                                    <w:bottom w:val="none" w:sz="0" w:space="0" w:color="auto"/>
                                                                    <w:right w:val="none" w:sz="0" w:space="0" w:color="auto"/>
                                                                  </w:divBdr>
                                                                  <w:divsChild>
                                                                    <w:div w:id="1134757947">
                                                                      <w:marLeft w:val="0"/>
                                                                      <w:marRight w:val="0"/>
                                                                      <w:marTop w:val="0"/>
                                                                      <w:marBottom w:val="0"/>
                                                                      <w:divBdr>
                                                                        <w:top w:val="none" w:sz="0" w:space="0" w:color="auto"/>
                                                                        <w:left w:val="none" w:sz="0" w:space="0" w:color="auto"/>
                                                                        <w:bottom w:val="none" w:sz="0" w:space="0" w:color="auto"/>
                                                                        <w:right w:val="none" w:sz="0" w:space="0" w:color="auto"/>
                                                                      </w:divBdr>
                                                                      <w:divsChild>
                                                                        <w:div w:id="1872954937">
                                                                          <w:marLeft w:val="0"/>
                                                                          <w:marRight w:val="0"/>
                                                                          <w:marTop w:val="0"/>
                                                                          <w:marBottom w:val="0"/>
                                                                          <w:divBdr>
                                                                            <w:top w:val="none" w:sz="0" w:space="0" w:color="auto"/>
                                                                            <w:left w:val="none" w:sz="0" w:space="0" w:color="auto"/>
                                                                            <w:bottom w:val="none" w:sz="0" w:space="0" w:color="auto"/>
                                                                            <w:right w:val="none" w:sz="0" w:space="0" w:color="auto"/>
                                                                          </w:divBdr>
                                                                          <w:divsChild>
                                                                            <w:div w:id="758525287">
                                                                              <w:marLeft w:val="0"/>
                                                                              <w:marRight w:val="0"/>
                                                                              <w:marTop w:val="0"/>
                                                                              <w:marBottom w:val="0"/>
                                                                              <w:divBdr>
                                                                                <w:top w:val="none" w:sz="0" w:space="0" w:color="auto"/>
                                                                                <w:left w:val="none" w:sz="0" w:space="0" w:color="auto"/>
                                                                                <w:bottom w:val="none" w:sz="0" w:space="0" w:color="auto"/>
                                                                                <w:right w:val="none" w:sz="0" w:space="0" w:color="auto"/>
                                                                              </w:divBdr>
                                                                              <w:divsChild>
                                                                                <w:div w:id="4777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71107">
                                              <w:marLeft w:val="0"/>
                                              <w:marRight w:val="0"/>
                                              <w:marTop w:val="0"/>
                                              <w:marBottom w:val="0"/>
                                              <w:divBdr>
                                                <w:top w:val="none" w:sz="0" w:space="0" w:color="auto"/>
                                                <w:left w:val="none" w:sz="0" w:space="0" w:color="auto"/>
                                                <w:bottom w:val="none" w:sz="0" w:space="0" w:color="auto"/>
                                                <w:right w:val="none" w:sz="0" w:space="0" w:color="auto"/>
                                              </w:divBdr>
                                              <w:divsChild>
                                                <w:div w:id="214436084">
                                                  <w:marLeft w:val="0"/>
                                                  <w:marRight w:val="0"/>
                                                  <w:marTop w:val="0"/>
                                                  <w:marBottom w:val="0"/>
                                                  <w:divBdr>
                                                    <w:top w:val="none" w:sz="0" w:space="0" w:color="auto"/>
                                                    <w:left w:val="none" w:sz="0" w:space="0" w:color="auto"/>
                                                    <w:bottom w:val="none" w:sz="0" w:space="0" w:color="auto"/>
                                                    <w:right w:val="none" w:sz="0" w:space="0" w:color="auto"/>
                                                  </w:divBdr>
                                                  <w:divsChild>
                                                    <w:div w:id="926184289">
                                                      <w:marLeft w:val="0"/>
                                                      <w:marRight w:val="0"/>
                                                      <w:marTop w:val="0"/>
                                                      <w:marBottom w:val="0"/>
                                                      <w:divBdr>
                                                        <w:top w:val="none" w:sz="0" w:space="0" w:color="auto"/>
                                                        <w:left w:val="none" w:sz="0" w:space="0" w:color="auto"/>
                                                        <w:bottom w:val="none" w:sz="0" w:space="0" w:color="auto"/>
                                                        <w:right w:val="none" w:sz="0" w:space="0" w:color="auto"/>
                                                      </w:divBdr>
                                                      <w:divsChild>
                                                        <w:div w:id="1679846606">
                                                          <w:marLeft w:val="0"/>
                                                          <w:marRight w:val="0"/>
                                                          <w:marTop w:val="0"/>
                                                          <w:marBottom w:val="0"/>
                                                          <w:divBdr>
                                                            <w:top w:val="none" w:sz="0" w:space="0" w:color="auto"/>
                                                            <w:left w:val="none" w:sz="0" w:space="0" w:color="auto"/>
                                                            <w:bottom w:val="none" w:sz="0" w:space="0" w:color="auto"/>
                                                            <w:right w:val="none" w:sz="0" w:space="0" w:color="auto"/>
                                                          </w:divBdr>
                                                          <w:divsChild>
                                                            <w:div w:id="268395366">
                                                              <w:marLeft w:val="0"/>
                                                              <w:marRight w:val="0"/>
                                                              <w:marTop w:val="0"/>
                                                              <w:marBottom w:val="0"/>
                                                              <w:divBdr>
                                                                <w:top w:val="none" w:sz="0" w:space="0" w:color="auto"/>
                                                                <w:left w:val="none" w:sz="0" w:space="0" w:color="auto"/>
                                                                <w:bottom w:val="none" w:sz="0" w:space="0" w:color="auto"/>
                                                                <w:right w:val="none" w:sz="0" w:space="0" w:color="auto"/>
                                                              </w:divBdr>
                                                              <w:divsChild>
                                                                <w:div w:id="1181816160">
                                                                  <w:marLeft w:val="0"/>
                                                                  <w:marRight w:val="0"/>
                                                                  <w:marTop w:val="0"/>
                                                                  <w:marBottom w:val="0"/>
                                                                  <w:divBdr>
                                                                    <w:top w:val="none" w:sz="0" w:space="0" w:color="auto"/>
                                                                    <w:left w:val="none" w:sz="0" w:space="0" w:color="auto"/>
                                                                    <w:bottom w:val="none" w:sz="0" w:space="0" w:color="auto"/>
                                                                    <w:right w:val="none" w:sz="0" w:space="0" w:color="auto"/>
                                                                  </w:divBdr>
                                                                  <w:divsChild>
                                                                    <w:div w:id="2073772752">
                                                                      <w:marLeft w:val="0"/>
                                                                      <w:marRight w:val="0"/>
                                                                      <w:marTop w:val="0"/>
                                                                      <w:marBottom w:val="0"/>
                                                                      <w:divBdr>
                                                                        <w:top w:val="none" w:sz="0" w:space="0" w:color="auto"/>
                                                                        <w:left w:val="none" w:sz="0" w:space="0" w:color="auto"/>
                                                                        <w:bottom w:val="none" w:sz="0" w:space="0" w:color="auto"/>
                                                                        <w:right w:val="none" w:sz="0" w:space="0" w:color="auto"/>
                                                                      </w:divBdr>
                                                                      <w:divsChild>
                                                                        <w:div w:id="1946307042">
                                                                          <w:marLeft w:val="0"/>
                                                                          <w:marRight w:val="0"/>
                                                                          <w:marTop w:val="0"/>
                                                                          <w:marBottom w:val="0"/>
                                                                          <w:divBdr>
                                                                            <w:top w:val="none" w:sz="0" w:space="0" w:color="auto"/>
                                                                            <w:left w:val="none" w:sz="0" w:space="0" w:color="auto"/>
                                                                            <w:bottom w:val="none" w:sz="0" w:space="0" w:color="auto"/>
                                                                            <w:right w:val="none" w:sz="0" w:space="0" w:color="auto"/>
                                                                          </w:divBdr>
                                                                          <w:divsChild>
                                                                            <w:div w:id="29109047">
                                                                              <w:marLeft w:val="0"/>
                                                                              <w:marRight w:val="0"/>
                                                                              <w:marTop w:val="0"/>
                                                                              <w:marBottom w:val="0"/>
                                                                              <w:divBdr>
                                                                                <w:top w:val="none" w:sz="0" w:space="0" w:color="auto"/>
                                                                                <w:left w:val="none" w:sz="0" w:space="0" w:color="auto"/>
                                                                                <w:bottom w:val="none" w:sz="0" w:space="0" w:color="auto"/>
                                                                                <w:right w:val="none" w:sz="0" w:space="0" w:color="auto"/>
                                                                              </w:divBdr>
                                                                              <w:divsChild>
                                                                                <w:div w:id="1494564538">
                                                                                  <w:marLeft w:val="0"/>
                                                                                  <w:marRight w:val="0"/>
                                                                                  <w:marTop w:val="0"/>
                                                                                  <w:marBottom w:val="0"/>
                                                                                  <w:divBdr>
                                                                                    <w:top w:val="none" w:sz="0" w:space="0" w:color="auto"/>
                                                                                    <w:left w:val="none" w:sz="0" w:space="0" w:color="auto"/>
                                                                                    <w:bottom w:val="none" w:sz="0" w:space="0" w:color="auto"/>
                                                                                    <w:right w:val="none" w:sz="0" w:space="0" w:color="auto"/>
                                                                                  </w:divBdr>
                                                                                  <w:divsChild>
                                                                                    <w:div w:id="2106730985">
                                                                                      <w:marLeft w:val="0"/>
                                                                                      <w:marRight w:val="0"/>
                                                                                      <w:marTop w:val="0"/>
                                                                                      <w:marBottom w:val="0"/>
                                                                                      <w:divBdr>
                                                                                        <w:top w:val="none" w:sz="0" w:space="0" w:color="auto"/>
                                                                                        <w:left w:val="none" w:sz="0" w:space="0" w:color="auto"/>
                                                                                        <w:bottom w:val="none" w:sz="0" w:space="0" w:color="auto"/>
                                                                                        <w:right w:val="none" w:sz="0" w:space="0" w:color="auto"/>
                                                                                      </w:divBdr>
                                                                                      <w:divsChild>
                                                                                        <w:div w:id="1165978271">
                                                                                          <w:marLeft w:val="0"/>
                                                                                          <w:marRight w:val="0"/>
                                                                                          <w:marTop w:val="0"/>
                                                                                          <w:marBottom w:val="0"/>
                                                                                          <w:divBdr>
                                                                                            <w:top w:val="none" w:sz="0" w:space="0" w:color="auto"/>
                                                                                            <w:left w:val="none" w:sz="0" w:space="0" w:color="auto"/>
                                                                                            <w:bottom w:val="none" w:sz="0" w:space="0" w:color="auto"/>
                                                                                            <w:right w:val="none" w:sz="0" w:space="0" w:color="auto"/>
                                                                                          </w:divBdr>
                                                                                          <w:divsChild>
                                                                                            <w:div w:id="7667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213574">
      <w:bodyDiv w:val="1"/>
      <w:marLeft w:val="0"/>
      <w:marRight w:val="0"/>
      <w:marTop w:val="0"/>
      <w:marBottom w:val="0"/>
      <w:divBdr>
        <w:top w:val="none" w:sz="0" w:space="0" w:color="auto"/>
        <w:left w:val="none" w:sz="0" w:space="0" w:color="auto"/>
        <w:bottom w:val="none" w:sz="0" w:space="0" w:color="auto"/>
        <w:right w:val="none" w:sz="0" w:space="0" w:color="auto"/>
      </w:divBdr>
      <w:divsChild>
        <w:div w:id="921262142">
          <w:marLeft w:val="0"/>
          <w:marRight w:val="0"/>
          <w:marTop w:val="0"/>
          <w:marBottom w:val="0"/>
          <w:divBdr>
            <w:top w:val="none" w:sz="0" w:space="0" w:color="auto"/>
            <w:left w:val="none" w:sz="0" w:space="0" w:color="auto"/>
            <w:bottom w:val="none" w:sz="0" w:space="0" w:color="auto"/>
            <w:right w:val="none" w:sz="0" w:space="0" w:color="auto"/>
          </w:divBdr>
          <w:divsChild>
            <w:div w:id="1103769558">
              <w:marLeft w:val="0"/>
              <w:marRight w:val="0"/>
              <w:marTop w:val="0"/>
              <w:marBottom w:val="0"/>
              <w:divBdr>
                <w:top w:val="none" w:sz="0" w:space="0" w:color="auto"/>
                <w:left w:val="none" w:sz="0" w:space="0" w:color="auto"/>
                <w:bottom w:val="none" w:sz="0" w:space="0" w:color="auto"/>
                <w:right w:val="none" w:sz="0" w:space="0" w:color="auto"/>
              </w:divBdr>
              <w:divsChild>
                <w:div w:id="1223298271">
                  <w:marLeft w:val="0"/>
                  <w:marRight w:val="0"/>
                  <w:marTop w:val="0"/>
                  <w:marBottom w:val="0"/>
                  <w:divBdr>
                    <w:top w:val="none" w:sz="0" w:space="0" w:color="auto"/>
                    <w:left w:val="none" w:sz="0" w:space="0" w:color="auto"/>
                    <w:bottom w:val="none" w:sz="0" w:space="0" w:color="auto"/>
                    <w:right w:val="none" w:sz="0" w:space="0" w:color="auto"/>
                  </w:divBdr>
                  <w:divsChild>
                    <w:div w:id="1898932690">
                      <w:marLeft w:val="0"/>
                      <w:marRight w:val="0"/>
                      <w:marTop w:val="0"/>
                      <w:marBottom w:val="0"/>
                      <w:divBdr>
                        <w:top w:val="none" w:sz="0" w:space="0" w:color="auto"/>
                        <w:left w:val="none" w:sz="0" w:space="0" w:color="auto"/>
                        <w:bottom w:val="none" w:sz="0" w:space="0" w:color="auto"/>
                        <w:right w:val="none" w:sz="0" w:space="0" w:color="auto"/>
                      </w:divBdr>
                      <w:divsChild>
                        <w:div w:id="2000383140">
                          <w:marLeft w:val="0"/>
                          <w:marRight w:val="0"/>
                          <w:marTop w:val="0"/>
                          <w:marBottom w:val="0"/>
                          <w:divBdr>
                            <w:top w:val="none" w:sz="0" w:space="0" w:color="auto"/>
                            <w:left w:val="none" w:sz="0" w:space="0" w:color="auto"/>
                            <w:bottom w:val="none" w:sz="0" w:space="0" w:color="auto"/>
                            <w:right w:val="none" w:sz="0" w:space="0" w:color="auto"/>
                          </w:divBdr>
                          <w:divsChild>
                            <w:div w:id="1905097620">
                              <w:marLeft w:val="0"/>
                              <w:marRight w:val="0"/>
                              <w:marTop w:val="0"/>
                              <w:marBottom w:val="0"/>
                              <w:divBdr>
                                <w:top w:val="none" w:sz="0" w:space="0" w:color="auto"/>
                                <w:left w:val="none" w:sz="0" w:space="0" w:color="auto"/>
                                <w:bottom w:val="none" w:sz="0" w:space="0" w:color="auto"/>
                                <w:right w:val="none" w:sz="0" w:space="0" w:color="auto"/>
                              </w:divBdr>
                              <w:divsChild>
                                <w:div w:id="528686285">
                                  <w:marLeft w:val="0"/>
                                  <w:marRight w:val="0"/>
                                  <w:marTop w:val="0"/>
                                  <w:marBottom w:val="0"/>
                                  <w:divBdr>
                                    <w:top w:val="none" w:sz="0" w:space="0" w:color="auto"/>
                                    <w:left w:val="none" w:sz="0" w:space="0" w:color="auto"/>
                                    <w:bottom w:val="none" w:sz="0" w:space="0" w:color="auto"/>
                                    <w:right w:val="none" w:sz="0" w:space="0" w:color="auto"/>
                                  </w:divBdr>
                                  <w:divsChild>
                                    <w:div w:id="18089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38465">
      <w:bodyDiv w:val="1"/>
      <w:marLeft w:val="0"/>
      <w:marRight w:val="0"/>
      <w:marTop w:val="0"/>
      <w:marBottom w:val="0"/>
      <w:divBdr>
        <w:top w:val="none" w:sz="0" w:space="0" w:color="auto"/>
        <w:left w:val="none" w:sz="0" w:space="0" w:color="auto"/>
        <w:bottom w:val="none" w:sz="0" w:space="0" w:color="auto"/>
        <w:right w:val="none" w:sz="0" w:space="0" w:color="auto"/>
      </w:divBdr>
      <w:divsChild>
        <w:div w:id="1067917146">
          <w:marLeft w:val="0"/>
          <w:marRight w:val="0"/>
          <w:marTop w:val="0"/>
          <w:marBottom w:val="0"/>
          <w:divBdr>
            <w:top w:val="none" w:sz="0" w:space="0" w:color="auto"/>
            <w:left w:val="none" w:sz="0" w:space="0" w:color="auto"/>
            <w:bottom w:val="none" w:sz="0" w:space="0" w:color="auto"/>
            <w:right w:val="none" w:sz="0" w:space="0" w:color="auto"/>
          </w:divBdr>
        </w:div>
        <w:div w:id="1575623622">
          <w:marLeft w:val="0"/>
          <w:marRight w:val="0"/>
          <w:marTop w:val="0"/>
          <w:marBottom w:val="0"/>
          <w:divBdr>
            <w:top w:val="none" w:sz="0" w:space="0" w:color="auto"/>
            <w:left w:val="none" w:sz="0" w:space="0" w:color="auto"/>
            <w:bottom w:val="none" w:sz="0" w:space="0" w:color="auto"/>
            <w:right w:val="none" w:sz="0" w:space="0" w:color="auto"/>
          </w:divBdr>
        </w:div>
        <w:div w:id="104228045">
          <w:marLeft w:val="0"/>
          <w:marRight w:val="0"/>
          <w:marTop w:val="0"/>
          <w:marBottom w:val="0"/>
          <w:divBdr>
            <w:top w:val="none" w:sz="0" w:space="0" w:color="auto"/>
            <w:left w:val="none" w:sz="0" w:space="0" w:color="auto"/>
            <w:bottom w:val="none" w:sz="0" w:space="0" w:color="auto"/>
            <w:right w:val="none" w:sz="0" w:space="0" w:color="auto"/>
          </w:divBdr>
        </w:div>
        <w:div w:id="997726296">
          <w:marLeft w:val="0"/>
          <w:marRight w:val="0"/>
          <w:marTop w:val="0"/>
          <w:marBottom w:val="0"/>
          <w:divBdr>
            <w:top w:val="none" w:sz="0" w:space="0" w:color="auto"/>
            <w:left w:val="none" w:sz="0" w:space="0" w:color="auto"/>
            <w:bottom w:val="none" w:sz="0" w:space="0" w:color="auto"/>
            <w:right w:val="none" w:sz="0" w:space="0" w:color="auto"/>
          </w:divBdr>
        </w:div>
        <w:div w:id="209481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24</Pages>
  <Words>11324</Words>
  <Characters>64551</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7</cp:revision>
  <dcterms:created xsi:type="dcterms:W3CDTF">2026-06-21T14:03:00Z</dcterms:created>
  <dcterms:modified xsi:type="dcterms:W3CDTF">2026-06-22T09:47:00Z</dcterms:modified>
</cp:coreProperties>
</file>