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8270" w14:textId="77777777" w:rsidR="00336B42" w:rsidRPr="00336B42" w:rsidRDefault="00336B42" w:rsidP="00336B4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336B42">
        <w:rPr>
          <w:rFonts w:ascii="Times New Roman" w:eastAsia="Times New Roman" w:hAnsi="Times New Roman" w:cs="Times New Roman"/>
          <w:b/>
          <w:bCs/>
          <w:sz w:val="36"/>
          <w:szCs w:val="36"/>
          <w:lang w:eastAsia="en-GB"/>
        </w:rPr>
        <w:t>Experimental Methodology for Antimicrobial Screening of Medicinal Plants: A Critical Review of Extraction, Phytochemical Characterisation and Susceptibility Testing Approaches</w:t>
      </w:r>
    </w:p>
    <w:p w14:paraId="3508E2E5"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Abstract</w:t>
      </w:r>
    </w:p>
    <w:p w14:paraId="30F54DB9"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The rise of antimicrobial resistance has renewed scientific interest in medicinal plants as a source of novel antimicrobial leads, yet the methodological rigour applied to their laboratory evaluation remains highly variable across the published literature. This review critically examines the experimental workflow used in antimicrobial screening of medicinal plants, from plant selection and extraction through to phytochemical characterisation, in vitro susceptibility testing, anti-virulence and synergy assessment, mechanistic elucidation and safety evaluation. Conventional extraction techniques such as maceration, Soxhlet extraction and </w:t>
      </w:r>
      <w:proofErr w:type="spellStart"/>
      <w:r w:rsidRPr="00336B42">
        <w:rPr>
          <w:rFonts w:ascii="Times New Roman" w:eastAsia="Times New Roman" w:hAnsi="Times New Roman" w:cs="Times New Roman"/>
          <w:sz w:val="24"/>
          <w:szCs w:val="24"/>
          <w:lang w:eastAsia="en-GB"/>
        </w:rPr>
        <w:t>hydrodistillation</w:t>
      </w:r>
      <w:proofErr w:type="spellEnd"/>
      <w:r w:rsidRPr="00336B42">
        <w:rPr>
          <w:rFonts w:ascii="Times New Roman" w:eastAsia="Times New Roman" w:hAnsi="Times New Roman" w:cs="Times New Roman"/>
          <w:sz w:val="24"/>
          <w:szCs w:val="24"/>
          <w:lang w:eastAsia="en-GB"/>
        </w:rPr>
        <w:t xml:space="preserve"> are compared against modern approaches, including ultrasound-assisted extraction and green solvent systems based on natural deep eutectic solvents, with attention to yield, selectivity and preservation of thermolabile constituents. Qualitative phytochemical assays and chromatographic identification methods are discussed alongside their limitations for confirming bioactivity. The review evaluates the principal bacterial susceptibility testing formats, including disc diffusion, broth microdilution, agar dilution and bioautography, before turning to the distinct methodological demands of antifungal and antibiofilm testing, where reference standards developed by different standard-setting bodies do not always agree. Approaches for quantifying synergy between plant extracts and antibiotics, inhibition of bacterial quorum sensing, mechanistic studies of antimicrobial action, and cytotoxicity screening are considered in turn, illustrated with case studies drawn from several plant families. Recurring weaknesses identified across the literature include inconsistent reporting of extract concentrations, poor standardisation of inoculum size and growth media, limited use of appropriate positive and negative controls, and insufficient attention to reproducibility and selectivity. Recommendations are offered for methodological harmonisation to strengthen the translational value of future research in this field.</w:t>
      </w:r>
    </w:p>
    <w:p w14:paraId="4DB3869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Keywords:</w:t>
      </w:r>
      <w:r w:rsidRPr="00336B42">
        <w:rPr>
          <w:rFonts w:ascii="Times New Roman" w:eastAsia="Times New Roman" w:hAnsi="Times New Roman" w:cs="Times New Roman"/>
          <w:sz w:val="24"/>
          <w:szCs w:val="24"/>
          <w:lang w:eastAsia="en-GB"/>
        </w:rPr>
        <w:t xml:space="preserve"> medicinal plants; antimicrobial screening; extraction methods; minimum inhibitory concentration; phytochemical analysis; quorum sensing; antibiotic resistance</w:t>
      </w:r>
    </w:p>
    <w:p w14:paraId="7B3EA378"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 Introduction</w:t>
      </w:r>
    </w:p>
    <w:p w14:paraId="2D122C47" w14:textId="77777777" w:rsidR="00336B42" w:rsidRPr="00336B42" w:rsidRDefault="00336B42" w:rsidP="00336B4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1.1 Background</w:t>
      </w:r>
    </w:p>
    <w:p w14:paraId="2D397909"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Plants have supplied humanity with therapeutic agents for millennia, and a substantial proportion of the modern pharmacopoeia can be traced, directly or indirectly, to phytochemical origins. Interest in the antimicrobial properties of medicinal plants has intensified in recent years as clinically important pathogens have acquired resistance to multiple classes of antibiotics, narrowing the therapeutic options available to clinicians. The World Health Organization has documented a continuing rise in resistance across numerous pathogen–antibiotic combinations monitored through its Global Antimicrobial Resistance and Use Surveillance System, with resistance increasing in a substantial proportion of the combinations tracked between 2018 and 2023 (World Health Organization, 2025). This trend has renewed scientific and commercial interest in botanical sources as reservoirs of </w:t>
      </w:r>
      <w:r w:rsidRPr="00336B42">
        <w:rPr>
          <w:rFonts w:ascii="Times New Roman" w:eastAsia="Times New Roman" w:hAnsi="Times New Roman" w:cs="Times New Roman"/>
          <w:sz w:val="24"/>
          <w:szCs w:val="24"/>
          <w:lang w:eastAsia="en-GB"/>
        </w:rPr>
        <w:lastRenderedPageBreak/>
        <w:t>structurally novel antimicrobial scaffolds, either as stand-alone agents, as adjuvants capable of restoring the efficacy of existing antibiotics, or as anti-virulence agents that disarm rather than kill the pathogen (Cushnie et al., 2020).</w:t>
      </w:r>
    </w:p>
    <w:p w14:paraId="10E50E90" w14:textId="77777777" w:rsidR="00336B42" w:rsidRPr="00336B42" w:rsidRDefault="00336B42" w:rsidP="00336B4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1.2 Rationale for Methodological Scrutiny</w:t>
      </w:r>
    </w:p>
    <w:p w14:paraId="3E6C57F2"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Despite the volume of published research on plant-derived antimicrobials, the field has long been criticised for methodological inconsistency. Studies frequently differ in the solvents and extraction conditions employed, the susceptibility testing format selected, the inoculum density and growth medium used, and the manner in which activity is expressed and interpreted. Klančnik et al. (2010) demonstrated that different diffusion and dilution methods can yield materially different estimates of antibacterial activity for the same plant extract, and cautioned that disc diffusion alone is unsuitable as a quantitative endpoint. Cushnie et al. (2020) extended this concern across the entire bioprospecting pipeline, arguing that mismatches between source material and screening strategy, inconsistent extract dissolution practice, and inattention to selectivity index calculation routinely undermine the translational credibility of otherwise promising findings. A critical appraisal of the experimental methodology underpinning this literature is therefore warranted.</w:t>
      </w:r>
    </w:p>
    <w:p w14:paraId="5D76AA24" w14:textId="77777777" w:rsidR="00336B42" w:rsidRPr="00336B42" w:rsidRDefault="00336B42" w:rsidP="00336B4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1.3 Scope, Research Gap and Objectives</w:t>
      </w:r>
    </w:p>
    <w:p w14:paraId="2C6A0F01"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This review focuses specifically on the experimental methods used to evaluate the antimicrobial properties of medicinal plants in vitro, spanning the sequence from raw material selection through extraction, phytochemical characterisation, bacterial and fungal susceptibility testing, anti-virulence and synergy assessment, mechanistic investigation and preliminary safety screening. It does not attempt to catalogue individual plant species or their reported activities in an exhaustive sense, nor does it address clinical or in vivo pharmacokinetic evidence, which lie outside the intended scope. The principal research gap addressed here concerns the absence of a single, widely cited synthesis that draws together methodological guidance across the full experimental pipeline, rather than treating extraction, bacterial testing, antifungal testing and mechanistic work as separate literatures. The objectives of the review are fourfold: first, to compare the technical basis, advantages and limitations of the principal extraction and testing methods currently in use, including modern green extraction chemistry; second, to examine the distinct methodological considerations that apply when the target organism is a fungus rather than a bacterium, or when the endpoint of interest is virulence attenuation rather than growth inhibition; third, to identify recurring sources of methodological weakness that compromise comparability between studies, illustrated with case studies from several plant families; and fourth, to propose practical recommendations that might improve the rigour and translational value of future experimental work in this area.</w:t>
      </w:r>
    </w:p>
    <w:p w14:paraId="7BCE70BA"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2. Methods for Literature Selection</w:t>
      </w:r>
    </w:p>
    <w:p w14:paraId="39C787D5" w14:textId="77777777" w:rsidR="00336B42" w:rsidRPr="00336B42" w:rsidRDefault="00336B42" w:rsidP="00336B4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2.1 Information Sources</w:t>
      </w:r>
    </w:p>
    <w:p w14:paraId="36B2BE6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Literature was identified through structured searches of Web of Science, Scopus, PubMed and Google Scholar, supplemented by field-specific indexing platforms selected for their coverage of natural product and microbiological research: CAB Abstracts, AGRICOLA, the Directory of Open Access Journals, and the Cochrane Library for methodological guidance </w:t>
      </w:r>
      <w:r w:rsidRPr="00336B42">
        <w:rPr>
          <w:rFonts w:ascii="Times New Roman" w:eastAsia="Times New Roman" w:hAnsi="Times New Roman" w:cs="Times New Roman"/>
          <w:sz w:val="24"/>
          <w:szCs w:val="24"/>
          <w:lang w:eastAsia="en-GB"/>
        </w:rPr>
        <w:lastRenderedPageBreak/>
        <w:t>on review conduct. Reference lists of retrieved articles were also screened manually to identify additional relevant studies not captured by the electronic search.</w:t>
      </w:r>
    </w:p>
    <w:p w14:paraId="023EA4CD" w14:textId="77777777" w:rsidR="00336B42" w:rsidRPr="00336B42" w:rsidRDefault="00336B42" w:rsidP="00336B4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2.2 Search Strategy and Date Range</w:t>
      </w:r>
    </w:p>
    <w:p w14:paraId="3844EEDE"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Search strings combined terms relating to plant material ("medicinal plant*" OR "plant extract*" OR "phytochemical*"), antimicrobial evaluation ("antimicrobial screening" OR "antibacterial activity" OR "antifungal activity" OR "minimum inhibitory concentration" OR "disc diffusion" OR "broth microdilution" OR "biofilm"), anti-virulence approaches ("quorum sensing inhibitor*" OR "anti-virulence"), and methodology ("extraction method*" OR "green extraction" OR "susceptibility testing" OR "bioautography" OR "synergy" OR "checkerboard" OR "selectivity index"). Boolean operators and truncation were applied consistently across databases, with search fields restricted to title, abstract and keywords. The literature search covered material published between 2005 and April 2026, a window selected to capture the period during which standardised Clinical and Laboratory Standards Institute protocols became widely adopted in natural product research, while classic methodological papers published prior to this window were retained where they remain the primary methodological reference for a given technique.</w:t>
      </w:r>
    </w:p>
    <w:p w14:paraId="478C7C70" w14:textId="77777777" w:rsidR="00336B42" w:rsidRPr="00336B42" w:rsidRDefault="00336B42" w:rsidP="00336B4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2.3 Inclusion and Exclusion Criteria</w:t>
      </w:r>
    </w:p>
    <w:p w14:paraId="738EB199"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Peer-reviewed original research articles and review articles published in indexed journals were eligible for inclusion where they addressed at least one stage of the experimental pipeline for antimicrobial screening of medicinal plants. Authoritative institutional reports were considered where no equivalent peer-reviewed source existed, provided a verifiable uniform resource locator was available. Books, unpublished theses, conference abstracts, trade publications, preprints, patents and non-peer-reviewed sources were excluded. Articles not available in English, and those for which full-text access could not be obtained, were also excluded.</w:t>
      </w:r>
    </w:p>
    <w:p w14:paraId="44401D6A" w14:textId="77777777" w:rsidR="00336B42" w:rsidRPr="00336B42" w:rsidRDefault="00336B42" w:rsidP="00336B4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2.4 Rationale for a Narrative Approach</w:t>
      </w:r>
    </w:p>
    <w:p w14:paraId="6AB53576"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 narrative rather than a systematic review design was adopted because the objective was to synthesise methodological principles and technical comparisons across a heterogeneous body of laboratory literature rather than to answer a single, narrowly defined clinical or effectiveness question amenable to quantitative pooling. Narrative reviews are recognised as a distinct and legitimate form of knowledge synthesis, particularly suited to topics where the aim is broad interpretation and critical appraisal of methods rather than aggregation of comparable outcome measures (Sukhera, 2022). This approach permitted flexible integration of technical, chemical and microbiological literature that would not readily conform to a single systematic review protocol.</w:t>
      </w:r>
    </w:p>
    <w:p w14:paraId="44D0D46C" w14:textId="77777777" w:rsidR="00336B42" w:rsidRPr="00336B42" w:rsidRDefault="00336B42" w:rsidP="00336B4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2.5 Screening Workflow and Selection of Influential Studies</w:t>
      </w:r>
    </w:p>
    <w:p w14:paraId="1A7203EF"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Titles and abstracts retrieved from each database were screened for topical relevance, and duplicate records identified across databases were removed prior to full-text assessment. Full texts were then examined against the inclusion criteria described above. Where multiple studies reported broadly similar methodological findings, preference was given to those most frequently cited within the field, those published in higher-impact microbiology or pharmacognosy journals, and those offering the clearest technical description of the method </w:t>
      </w:r>
      <w:r w:rsidRPr="00336B42">
        <w:rPr>
          <w:rFonts w:ascii="Times New Roman" w:eastAsia="Times New Roman" w:hAnsi="Times New Roman" w:cs="Times New Roman"/>
          <w:sz w:val="24"/>
          <w:szCs w:val="24"/>
          <w:lang w:eastAsia="en-GB"/>
        </w:rPr>
        <w:lastRenderedPageBreak/>
        <w:t>under discussion, or the clearest illustrative case study of a particular plant family. Non-English language records identified during screening were excluded at the title and abstract stage.</w:t>
      </w:r>
    </w:p>
    <w:p w14:paraId="230DB35B"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3. Selection and Preparation of Plant Material</w:t>
      </w:r>
    </w:p>
    <w:p w14:paraId="5FA66121"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The reliability of any subsequent antimicrobial assay depends substantially on the quality of the plant material used. Botanical authentication by a qualified taxonomist, with deposition of a voucher specimen in a recognised herbarium, is considered essential practice, since misidentification undermines the reproducibility of any reported activity. Plant part selection (leaf, bark, root, seed, flower or whole plant), collection season, geographical origin and post-harvest handling all influence the concentration of secondary metabolites and, consequently, the antimicrobial activity subsequently measured. Kebede et al. (2021) illustrated this dependence in their evaluation of seven Ethiopian medicinal plants, in which percentage extraction yield varied considerably between species collected from the same locality and processed under identical conditions. Cushnie et al. (2020) further note that legal and taxonomic due diligence surrounding source material, including compliance with access and benefit-sharing obligations, has become an unavoidable component of responsible bioprospecting and should be documented alongside the botanical methods section of any study.</w:t>
      </w:r>
    </w:p>
    <w:p w14:paraId="0CE91C3D"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4. Extraction Methodologies</w:t>
      </w:r>
    </w:p>
    <w:p w14:paraId="65ECFD31"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Extraction represents the critical interface between raw plant material and the pool of bioactive constituents available for testing, and the choice of solvent and technique materially shapes the phytochemical profile obtained. Conventional methods, including maceration, Soxhlet extraction and </w:t>
      </w:r>
      <w:proofErr w:type="spellStart"/>
      <w:r w:rsidRPr="00336B42">
        <w:rPr>
          <w:rFonts w:ascii="Times New Roman" w:eastAsia="Times New Roman" w:hAnsi="Times New Roman" w:cs="Times New Roman"/>
          <w:sz w:val="24"/>
          <w:szCs w:val="24"/>
          <w:lang w:eastAsia="en-GB"/>
        </w:rPr>
        <w:t>hydrodistillation</w:t>
      </w:r>
      <w:proofErr w:type="spellEnd"/>
      <w:r w:rsidRPr="00336B42">
        <w:rPr>
          <w:rFonts w:ascii="Times New Roman" w:eastAsia="Times New Roman" w:hAnsi="Times New Roman" w:cs="Times New Roman"/>
          <w:sz w:val="24"/>
          <w:szCs w:val="24"/>
          <w:lang w:eastAsia="en-GB"/>
        </w:rPr>
        <w:t>, remain widely used owing to their simplicity and low equipment cost, but are frequently criticised for prolonged extraction times, high solvent consumption and thermal degradation of heat-sensitive constituents such as certain flavonoids and terpenoids (Zaky et al., 2024). Modern techniques, including ultrasound-assisted extraction, microwave-assisted extraction, pressurised liquid extraction and supercritical fluid extraction, have been developed to address these shortcomings, generally offering shorter processing times, reduced solvent volumes and improved preservation of thermolabile compounds, although at greater capital cost and with a need for careful optimisation of parameters such as power, temperature and pressure (Ferri et al., 2023; Zaky et al., 2024).</w:t>
      </w:r>
    </w:p>
    <w:p w14:paraId="4FBA2102"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A further development of particular relevance to antimicrobial screening is the use of natural deep eutectic solvents, formed by combining hydrogen-bond donors and acceptors such as choline chloride, organic acids and sugars in defined molar ratios. García-Roldán et al. (2023) demonstrated that natural deep eutectic solvent extraction of polyphenols from spent coffee ground produced extracts whose antimicrobial activity was around ten times greater than that of equivalent ethanolic or aqueous extracts, while operating under milder temperature conditions and avoiding flammable organic solvents. This finding illustrates a wider principle in green extraction chemistry: the improved selectivity of these solvents for polyphenolic constituents can translate directly into enhanced antimicrobial potency, rather than merely offering an environmentally preferable alternative with equivalent yield. Solvent polarity more generally exerts a dominant influence on which classes of secondary metabolite are recovered, and comparative studies consistently find that hydroalcoholic mixtures, typically 70–80 per cent methanol or ethanol in water, extract a broader spectrum of phenolic and </w:t>
      </w:r>
      <w:r w:rsidRPr="00336B42">
        <w:rPr>
          <w:rFonts w:ascii="Times New Roman" w:eastAsia="Times New Roman" w:hAnsi="Times New Roman" w:cs="Times New Roman"/>
          <w:sz w:val="24"/>
          <w:szCs w:val="24"/>
          <w:lang w:eastAsia="en-GB"/>
        </w:rPr>
        <w:lastRenderedPageBreak/>
        <w:t>flavonoid constituents than purely aqueous or purely non-polar solvents, translating into superior antimicrobial performance in several plant species (Kebede et al., 2021).</w:t>
      </w:r>
    </w:p>
    <w:p w14:paraId="32912C42"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Table 1 summarises the principal extraction methods discussed above, comparing their underlying principle, typical yield or selectivity profile, and key limitations.</w:t>
      </w:r>
    </w:p>
    <w:p w14:paraId="065BB45A"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1. Comparison of principal extraction methods used in antimicrobial screening of medicinal plants</w:t>
      </w:r>
    </w:p>
    <w:tbl>
      <w:tblPr>
        <w:tblStyle w:val="TableGrid"/>
        <w:tblW w:w="0" w:type="auto"/>
        <w:tblLook w:val="04A0" w:firstRow="1" w:lastRow="0" w:firstColumn="1" w:lastColumn="0" w:noHBand="0" w:noVBand="1"/>
      </w:tblPr>
      <w:tblGrid>
        <w:gridCol w:w="1904"/>
        <w:gridCol w:w="1960"/>
        <w:gridCol w:w="1983"/>
        <w:gridCol w:w="2059"/>
        <w:gridCol w:w="1336"/>
      </w:tblGrid>
      <w:tr w:rsidR="00336B42" w:rsidRPr="00336B42" w14:paraId="4E6C3261" w14:textId="77777777" w:rsidTr="00336B42">
        <w:tc>
          <w:tcPr>
            <w:tcW w:w="0" w:type="auto"/>
            <w:hideMark/>
          </w:tcPr>
          <w:p w14:paraId="0722820B"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Method</w:t>
            </w:r>
          </w:p>
        </w:tc>
        <w:tc>
          <w:tcPr>
            <w:tcW w:w="0" w:type="auto"/>
            <w:hideMark/>
          </w:tcPr>
          <w:p w14:paraId="51E38CF4"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Principle</w:t>
            </w:r>
          </w:p>
        </w:tc>
        <w:tc>
          <w:tcPr>
            <w:tcW w:w="0" w:type="auto"/>
            <w:hideMark/>
          </w:tcPr>
          <w:p w14:paraId="21A345E2"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Typical yield/selectivity</w:t>
            </w:r>
          </w:p>
        </w:tc>
        <w:tc>
          <w:tcPr>
            <w:tcW w:w="0" w:type="auto"/>
            <w:hideMark/>
          </w:tcPr>
          <w:p w14:paraId="0FBCAF65"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Key limitations</w:t>
            </w:r>
          </w:p>
        </w:tc>
        <w:tc>
          <w:tcPr>
            <w:tcW w:w="0" w:type="auto"/>
            <w:hideMark/>
          </w:tcPr>
          <w:p w14:paraId="54A16352"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references</w:t>
            </w:r>
          </w:p>
        </w:tc>
      </w:tr>
      <w:tr w:rsidR="00336B42" w:rsidRPr="00336B42" w14:paraId="345B62EF" w14:textId="77777777" w:rsidTr="00336B42">
        <w:tc>
          <w:tcPr>
            <w:tcW w:w="0" w:type="auto"/>
            <w:hideMark/>
          </w:tcPr>
          <w:p w14:paraId="27D59B2A"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Maceration</w:t>
            </w:r>
          </w:p>
        </w:tc>
        <w:tc>
          <w:tcPr>
            <w:tcW w:w="0" w:type="auto"/>
            <w:hideMark/>
          </w:tcPr>
          <w:p w14:paraId="48AE71A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Prolonged soaking in solvent at ambient temperature</w:t>
            </w:r>
          </w:p>
        </w:tc>
        <w:tc>
          <w:tcPr>
            <w:tcW w:w="0" w:type="auto"/>
            <w:hideMark/>
          </w:tcPr>
          <w:p w14:paraId="6749D905"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Moderate yield; broad-spectrum recovery</w:t>
            </w:r>
          </w:p>
        </w:tc>
        <w:tc>
          <w:tcPr>
            <w:tcW w:w="0" w:type="auto"/>
            <w:hideMark/>
          </w:tcPr>
          <w:p w14:paraId="1717831D"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Slow (days); risk of microbial contamination of extract</w:t>
            </w:r>
          </w:p>
        </w:tc>
        <w:tc>
          <w:tcPr>
            <w:tcW w:w="0" w:type="auto"/>
            <w:hideMark/>
          </w:tcPr>
          <w:p w14:paraId="7C0DB165"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Zaky et al. (2024); Kebede et al. (2021)</w:t>
            </w:r>
          </w:p>
        </w:tc>
      </w:tr>
      <w:tr w:rsidR="00336B42" w:rsidRPr="00336B42" w14:paraId="156AB0B4" w14:textId="77777777" w:rsidTr="00336B42">
        <w:tc>
          <w:tcPr>
            <w:tcW w:w="0" w:type="auto"/>
            <w:hideMark/>
          </w:tcPr>
          <w:p w14:paraId="30EF2C63"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Soxhlet extraction</w:t>
            </w:r>
          </w:p>
        </w:tc>
        <w:tc>
          <w:tcPr>
            <w:tcW w:w="0" w:type="auto"/>
            <w:hideMark/>
          </w:tcPr>
          <w:p w14:paraId="6286A954"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Continuous solvent reflux through plant matrix</w:t>
            </w:r>
          </w:p>
        </w:tc>
        <w:tc>
          <w:tcPr>
            <w:tcW w:w="0" w:type="auto"/>
            <w:hideMark/>
          </w:tcPr>
          <w:p w14:paraId="631AF3C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yield for non-polar/moderately polar constituents</w:t>
            </w:r>
          </w:p>
        </w:tc>
        <w:tc>
          <w:tcPr>
            <w:tcW w:w="0" w:type="auto"/>
            <w:hideMark/>
          </w:tcPr>
          <w:p w14:paraId="1C06E13A"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Prolonged heating; thermal degradation of labile compounds</w:t>
            </w:r>
          </w:p>
        </w:tc>
        <w:tc>
          <w:tcPr>
            <w:tcW w:w="0" w:type="auto"/>
            <w:hideMark/>
          </w:tcPr>
          <w:p w14:paraId="4EFB2FEF"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Zaky et al. (2024)</w:t>
            </w:r>
          </w:p>
        </w:tc>
      </w:tr>
      <w:tr w:rsidR="00336B42" w:rsidRPr="00336B42" w14:paraId="51A5D320" w14:textId="77777777" w:rsidTr="00336B42">
        <w:tc>
          <w:tcPr>
            <w:tcW w:w="0" w:type="auto"/>
            <w:hideMark/>
          </w:tcPr>
          <w:p w14:paraId="3909AACE"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Hydrodistillation</w:t>
            </w:r>
            <w:proofErr w:type="spellEnd"/>
          </w:p>
        </w:tc>
        <w:tc>
          <w:tcPr>
            <w:tcW w:w="0" w:type="auto"/>
            <w:hideMark/>
          </w:tcPr>
          <w:p w14:paraId="42EA6A44"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Steam-mediated volatilisation of essential oil constituents</w:t>
            </w:r>
          </w:p>
        </w:tc>
        <w:tc>
          <w:tcPr>
            <w:tcW w:w="0" w:type="auto"/>
            <w:hideMark/>
          </w:tcPr>
          <w:p w14:paraId="35FB8CD8"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selectivity for volatile terpenoids</w:t>
            </w:r>
          </w:p>
        </w:tc>
        <w:tc>
          <w:tcPr>
            <w:tcW w:w="0" w:type="auto"/>
            <w:hideMark/>
          </w:tcPr>
          <w:p w14:paraId="0E5701A7"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Limited to volatile fraction; loses non-volatile actives</w:t>
            </w:r>
          </w:p>
        </w:tc>
        <w:tc>
          <w:tcPr>
            <w:tcW w:w="0" w:type="auto"/>
            <w:hideMark/>
          </w:tcPr>
          <w:p w14:paraId="3AE72C93"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Filatov et al. (2023); </w:t>
            </w:r>
            <w:proofErr w:type="spellStart"/>
            <w:r w:rsidRPr="00336B42">
              <w:rPr>
                <w:rFonts w:ascii="Times New Roman" w:eastAsia="Times New Roman" w:hAnsi="Times New Roman" w:cs="Times New Roman"/>
                <w:sz w:val="24"/>
                <w:szCs w:val="24"/>
                <w:lang w:eastAsia="en-GB"/>
              </w:rPr>
              <w:t>Ghavam</w:t>
            </w:r>
            <w:proofErr w:type="spellEnd"/>
            <w:r w:rsidRPr="00336B42">
              <w:rPr>
                <w:rFonts w:ascii="Times New Roman" w:eastAsia="Times New Roman" w:hAnsi="Times New Roman" w:cs="Times New Roman"/>
                <w:sz w:val="24"/>
                <w:szCs w:val="24"/>
                <w:lang w:eastAsia="en-GB"/>
              </w:rPr>
              <w:t xml:space="preserve"> et al. (2022)</w:t>
            </w:r>
          </w:p>
        </w:tc>
      </w:tr>
      <w:tr w:rsidR="00336B42" w:rsidRPr="00336B42" w14:paraId="5A0CAE73" w14:textId="77777777" w:rsidTr="00336B42">
        <w:tc>
          <w:tcPr>
            <w:tcW w:w="0" w:type="auto"/>
            <w:hideMark/>
          </w:tcPr>
          <w:p w14:paraId="61A156A7"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Ultrasound-assisted extraction</w:t>
            </w:r>
          </w:p>
        </w:tc>
        <w:tc>
          <w:tcPr>
            <w:tcW w:w="0" w:type="auto"/>
            <w:hideMark/>
          </w:tcPr>
          <w:p w14:paraId="05863151"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Acoustic cavitation disrupts cell walls, enhancing solvent penetration</w:t>
            </w:r>
          </w:p>
        </w:tc>
        <w:tc>
          <w:tcPr>
            <w:tcW w:w="0" w:type="auto"/>
            <w:hideMark/>
          </w:tcPr>
          <w:p w14:paraId="081EB271"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Reduced extraction time; improved yield of phenolics</w:t>
            </w:r>
          </w:p>
        </w:tc>
        <w:tc>
          <w:tcPr>
            <w:tcW w:w="0" w:type="auto"/>
            <w:hideMark/>
          </w:tcPr>
          <w:p w14:paraId="1CB04D81"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Requires optimisation of frequency/power; scale-up challenges</w:t>
            </w:r>
          </w:p>
        </w:tc>
        <w:tc>
          <w:tcPr>
            <w:tcW w:w="0" w:type="auto"/>
            <w:hideMark/>
          </w:tcPr>
          <w:p w14:paraId="329A0709"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Ferri et al. (2023); Zaky et al. (2024)</w:t>
            </w:r>
          </w:p>
        </w:tc>
      </w:tr>
      <w:tr w:rsidR="00336B42" w:rsidRPr="00336B42" w14:paraId="6A2378B2" w14:textId="77777777" w:rsidTr="00336B42">
        <w:tc>
          <w:tcPr>
            <w:tcW w:w="0" w:type="auto"/>
            <w:hideMark/>
          </w:tcPr>
          <w:p w14:paraId="338D44E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Natural deep eutectic solvent extraction</w:t>
            </w:r>
          </w:p>
        </w:tc>
        <w:tc>
          <w:tcPr>
            <w:tcW w:w="0" w:type="auto"/>
            <w:hideMark/>
          </w:tcPr>
          <w:p w14:paraId="4D9809B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Hydrogen-bonded eutectic mixtures (e.g., choline chloride/organic acid) replace organic solvents</w:t>
            </w:r>
          </w:p>
        </w:tc>
        <w:tc>
          <w:tcPr>
            <w:tcW w:w="0" w:type="auto"/>
            <w:hideMark/>
          </w:tcPr>
          <w:p w14:paraId="5CB957C4"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polyphenol selectivity; markedly enhanced antimicrobial yield reported</w:t>
            </w:r>
          </w:p>
        </w:tc>
        <w:tc>
          <w:tcPr>
            <w:tcW w:w="0" w:type="auto"/>
            <w:hideMark/>
          </w:tcPr>
          <w:p w14:paraId="4D68F37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Higher viscosity complicates downstream handling; optimisation of molar ratio required</w:t>
            </w:r>
          </w:p>
        </w:tc>
        <w:tc>
          <w:tcPr>
            <w:tcW w:w="0" w:type="auto"/>
            <w:hideMark/>
          </w:tcPr>
          <w:p w14:paraId="4E4FE57B"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García-Roldán et al. (2023)</w:t>
            </w:r>
          </w:p>
        </w:tc>
      </w:tr>
      <w:tr w:rsidR="00336B42" w:rsidRPr="00336B42" w14:paraId="035EE4C9" w14:textId="77777777" w:rsidTr="00336B42">
        <w:tc>
          <w:tcPr>
            <w:tcW w:w="0" w:type="auto"/>
            <w:hideMark/>
          </w:tcPr>
          <w:p w14:paraId="6DDA3CC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Supercritical fluid extraction (CO₂)</w:t>
            </w:r>
          </w:p>
        </w:tc>
        <w:tc>
          <w:tcPr>
            <w:tcW w:w="0" w:type="auto"/>
            <w:hideMark/>
          </w:tcPr>
          <w:p w14:paraId="685A5849"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Solvation using fluid above its critical point</w:t>
            </w:r>
          </w:p>
        </w:tc>
        <w:tc>
          <w:tcPr>
            <w:tcW w:w="0" w:type="auto"/>
            <w:hideMark/>
          </w:tcPr>
          <w:p w14:paraId="6CF9D92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selectivity; solvent-free extract</w:t>
            </w:r>
          </w:p>
        </w:tc>
        <w:tc>
          <w:tcPr>
            <w:tcW w:w="0" w:type="auto"/>
            <w:hideMark/>
          </w:tcPr>
          <w:p w14:paraId="480BEDC7"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capital cost; limited to non-polar/moderately polar targets without co-solvent</w:t>
            </w:r>
          </w:p>
        </w:tc>
        <w:tc>
          <w:tcPr>
            <w:tcW w:w="0" w:type="auto"/>
            <w:hideMark/>
          </w:tcPr>
          <w:p w14:paraId="0CADD20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Zaky et al. (2024)</w:t>
            </w:r>
          </w:p>
        </w:tc>
      </w:tr>
    </w:tbl>
    <w:p w14:paraId="6A7B93C3"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5. Phytochemical Screening and Characterisation</w:t>
      </w:r>
    </w:p>
    <w:p w14:paraId="21E08824"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Following extraction, preliminary qualitative phytochemical screening is routinely undertaken to identify the broad classes of secondary metabolite present, using colorimetric and precipitation reactions for alkaloids, flavonoids, tannins, saponins, terpenoids, cardiac glycosides and phenolic compounds. Kebede et al. (2021) applied standard reagent-based tests, including </w:t>
      </w:r>
      <w:proofErr w:type="spellStart"/>
      <w:r w:rsidRPr="00336B42">
        <w:rPr>
          <w:rFonts w:ascii="Times New Roman" w:eastAsia="Times New Roman" w:hAnsi="Times New Roman" w:cs="Times New Roman"/>
          <w:sz w:val="24"/>
          <w:szCs w:val="24"/>
          <w:lang w:eastAsia="en-GB"/>
        </w:rPr>
        <w:t>Dragendorff's</w:t>
      </w:r>
      <w:proofErr w:type="spellEnd"/>
      <w:r w:rsidRPr="00336B42">
        <w:rPr>
          <w:rFonts w:ascii="Times New Roman" w:eastAsia="Times New Roman" w:hAnsi="Times New Roman" w:cs="Times New Roman"/>
          <w:sz w:val="24"/>
          <w:szCs w:val="24"/>
          <w:lang w:eastAsia="en-GB"/>
        </w:rPr>
        <w:t xml:space="preserve"> reagent for alkaloids, ferric chloride for phenolics and the </w:t>
      </w:r>
      <w:r w:rsidRPr="00336B42">
        <w:rPr>
          <w:rFonts w:ascii="Times New Roman" w:eastAsia="Times New Roman" w:hAnsi="Times New Roman" w:cs="Times New Roman"/>
          <w:sz w:val="24"/>
          <w:szCs w:val="24"/>
          <w:lang w:eastAsia="en-GB"/>
        </w:rPr>
        <w:lastRenderedPageBreak/>
        <w:t xml:space="preserve">Salkowski test for terpenoids, to demonstrate that methanolic extracts of Ethiopian medicinal plants contained a wider array of secondary metabolites than corresponding aqueous extracts, a pattern that paralleled the superior antimicrobial performance of the methanolic fractions. Comparable qualitative profiling was applied by </w:t>
      </w:r>
      <w:proofErr w:type="spellStart"/>
      <w:r w:rsidRPr="00336B42">
        <w:rPr>
          <w:rFonts w:ascii="Times New Roman" w:eastAsia="Times New Roman" w:hAnsi="Times New Roman" w:cs="Times New Roman"/>
          <w:sz w:val="24"/>
          <w:szCs w:val="24"/>
          <w:lang w:eastAsia="en-GB"/>
        </w:rPr>
        <w:t>Obistioiu</w:t>
      </w:r>
      <w:proofErr w:type="spellEnd"/>
      <w:r w:rsidRPr="00336B42">
        <w:rPr>
          <w:rFonts w:ascii="Times New Roman" w:eastAsia="Times New Roman" w:hAnsi="Times New Roman" w:cs="Times New Roman"/>
          <w:sz w:val="24"/>
          <w:szCs w:val="24"/>
          <w:lang w:eastAsia="en-GB"/>
        </w:rPr>
        <w:t xml:space="preserve"> et al. (2021) across four Fabaceae species, in which the presence of flavonoids and tannins correlated with activity against Staphylococcus aureus and Streptococcus pyogenes.</w:t>
      </w:r>
    </w:p>
    <w:p w14:paraId="3DD3A0EC"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While informative for a preliminary characterisation, qualitative colour and precipitation reactions are inherently non-specific and provide no quantitative measure of constituent concentration, so authors are increasingly encouraged to supplement these tests with chromatographic or spectrometric confirmation. Gas chromatography–mass spectrometry has become the principal method for characterising volatile constituents of essential oils and related preparations, and validated methods now exist that satisfy </w:t>
      </w:r>
      <w:proofErr w:type="spellStart"/>
      <w:r w:rsidRPr="00336B42">
        <w:rPr>
          <w:rFonts w:ascii="Times New Roman" w:eastAsia="Times New Roman" w:hAnsi="Times New Roman" w:cs="Times New Roman"/>
          <w:sz w:val="24"/>
          <w:szCs w:val="24"/>
          <w:lang w:eastAsia="en-GB"/>
        </w:rPr>
        <w:t>pharmacopoeial</w:t>
      </w:r>
      <w:proofErr w:type="spellEnd"/>
      <w:r w:rsidRPr="00336B42">
        <w:rPr>
          <w:rFonts w:ascii="Times New Roman" w:eastAsia="Times New Roman" w:hAnsi="Times New Roman" w:cs="Times New Roman"/>
          <w:sz w:val="24"/>
          <w:szCs w:val="24"/>
          <w:lang w:eastAsia="en-GB"/>
        </w:rPr>
        <w:t xml:space="preserve"> requirements for specificity, linearity and precision when quantifying individual terpenoid markers within a multicomponent antimicrobial preparation (Filatov et al., 2023). High-performance liquid chromatography is similarly applied to quantify individual phenolic acids and flavonoids, allowing the phytochemical profile of an extract to be linked more directly to its measured antimicrobial potency than is possible using qualitative screening alone.</w:t>
      </w:r>
    </w:p>
    <w:p w14:paraId="7AD1616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Table 2 sets out the reagent-based screening tests most commonly used at this stage, alongside their target constituent class and positive indicator.</w:t>
      </w:r>
    </w:p>
    <w:p w14:paraId="4D920322"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2. Common qualitative phytochemical screening tests and their target constituents</w:t>
      </w:r>
    </w:p>
    <w:tbl>
      <w:tblPr>
        <w:tblStyle w:val="TableGrid"/>
        <w:tblW w:w="0" w:type="auto"/>
        <w:tblLook w:val="04A0" w:firstRow="1" w:lastRow="0" w:firstColumn="1" w:lastColumn="0" w:noHBand="0" w:noVBand="1"/>
      </w:tblPr>
      <w:tblGrid>
        <w:gridCol w:w="2510"/>
        <w:gridCol w:w="2578"/>
        <w:gridCol w:w="2318"/>
        <w:gridCol w:w="1836"/>
      </w:tblGrid>
      <w:tr w:rsidR="00336B42" w:rsidRPr="00336B42" w14:paraId="670A315A" w14:textId="77777777" w:rsidTr="00336B42">
        <w:tc>
          <w:tcPr>
            <w:tcW w:w="0" w:type="auto"/>
            <w:hideMark/>
          </w:tcPr>
          <w:p w14:paraId="758F060A"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Test</w:t>
            </w:r>
          </w:p>
        </w:tc>
        <w:tc>
          <w:tcPr>
            <w:tcW w:w="0" w:type="auto"/>
            <w:hideMark/>
          </w:tcPr>
          <w:p w14:paraId="0AE7B3E8"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Target constituent class</w:t>
            </w:r>
          </w:p>
        </w:tc>
        <w:tc>
          <w:tcPr>
            <w:tcW w:w="0" w:type="auto"/>
            <w:hideMark/>
          </w:tcPr>
          <w:p w14:paraId="75ED91F0"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Positive indication</w:t>
            </w:r>
          </w:p>
        </w:tc>
        <w:tc>
          <w:tcPr>
            <w:tcW w:w="0" w:type="auto"/>
            <w:hideMark/>
          </w:tcPr>
          <w:p w14:paraId="3604890B"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w:t>
            </w:r>
          </w:p>
        </w:tc>
      </w:tr>
      <w:tr w:rsidR="00336B42" w:rsidRPr="00336B42" w14:paraId="6402E372" w14:textId="77777777" w:rsidTr="00336B42">
        <w:tc>
          <w:tcPr>
            <w:tcW w:w="0" w:type="auto"/>
            <w:hideMark/>
          </w:tcPr>
          <w:p w14:paraId="0D14390B"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Dragendorff/Mayer test</w:t>
            </w:r>
          </w:p>
        </w:tc>
        <w:tc>
          <w:tcPr>
            <w:tcW w:w="0" w:type="auto"/>
            <w:hideMark/>
          </w:tcPr>
          <w:p w14:paraId="5BDD0B53"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Alkaloids</w:t>
            </w:r>
          </w:p>
        </w:tc>
        <w:tc>
          <w:tcPr>
            <w:tcW w:w="0" w:type="auto"/>
            <w:hideMark/>
          </w:tcPr>
          <w:p w14:paraId="4A084F0F"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Orange-brown or cream precipitate</w:t>
            </w:r>
          </w:p>
        </w:tc>
        <w:tc>
          <w:tcPr>
            <w:tcW w:w="0" w:type="auto"/>
            <w:hideMark/>
          </w:tcPr>
          <w:p w14:paraId="3BCDDF78"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w:t>
            </w:r>
          </w:p>
        </w:tc>
      </w:tr>
      <w:tr w:rsidR="00336B42" w:rsidRPr="00336B42" w14:paraId="681D22F5" w14:textId="77777777" w:rsidTr="00336B42">
        <w:tc>
          <w:tcPr>
            <w:tcW w:w="0" w:type="auto"/>
            <w:hideMark/>
          </w:tcPr>
          <w:p w14:paraId="5DDC78F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Ferric chloride test</w:t>
            </w:r>
          </w:p>
        </w:tc>
        <w:tc>
          <w:tcPr>
            <w:tcW w:w="0" w:type="auto"/>
            <w:hideMark/>
          </w:tcPr>
          <w:p w14:paraId="6E1A3CF3"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Phenolic compounds/tannins</w:t>
            </w:r>
          </w:p>
        </w:tc>
        <w:tc>
          <w:tcPr>
            <w:tcW w:w="0" w:type="auto"/>
            <w:hideMark/>
          </w:tcPr>
          <w:p w14:paraId="7FA13B9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Blue-black or greenish colouration</w:t>
            </w:r>
          </w:p>
        </w:tc>
        <w:tc>
          <w:tcPr>
            <w:tcW w:w="0" w:type="auto"/>
            <w:hideMark/>
          </w:tcPr>
          <w:p w14:paraId="677755A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Kebede et al. (2021); </w:t>
            </w:r>
            <w:proofErr w:type="spellStart"/>
            <w:r w:rsidRPr="00336B42">
              <w:rPr>
                <w:rFonts w:ascii="Times New Roman" w:eastAsia="Times New Roman" w:hAnsi="Times New Roman" w:cs="Times New Roman"/>
                <w:sz w:val="24"/>
                <w:szCs w:val="24"/>
                <w:lang w:eastAsia="en-GB"/>
              </w:rPr>
              <w:t>Obistioiu</w:t>
            </w:r>
            <w:proofErr w:type="spellEnd"/>
            <w:r w:rsidRPr="00336B42">
              <w:rPr>
                <w:rFonts w:ascii="Times New Roman" w:eastAsia="Times New Roman" w:hAnsi="Times New Roman" w:cs="Times New Roman"/>
                <w:sz w:val="24"/>
                <w:szCs w:val="24"/>
                <w:lang w:eastAsia="en-GB"/>
              </w:rPr>
              <w:t xml:space="preserve"> et al. (2021)</w:t>
            </w:r>
          </w:p>
        </w:tc>
      </w:tr>
      <w:tr w:rsidR="00336B42" w:rsidRPr="00336B42" w14:paraId="361E8C67" w14:textId="77777777" w:rsidTr="00336B42">
        <w:tc>
          <w:tcPr>
            <w:tcW w:w="0" w:type="auto"/>
            <w:hideMark/>
          </w:tcPr>
          <w:p w14:paraId="40D2FB8D"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Frothing test</w:t>
            </w:r>
          </w:p>
        </w:tc>
        <w:tc>
          <w:tcPr>
            <w:tcW w:w="0" w:type="auto"/>
            <w:hideMark/>
          </w:tcPr>
          <w:p w14:paraId="7909354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Saponins</w:t>
            </w:r>
          </w:p>
        </w:tc>
        <w:tc>
          <w:tcPr>
            <w:tcW w:w="0" w:type="auto"/>
            <w:hideMark/>
          </w:tcPr>
          <w:p w14:paraId="714EA615"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Persistent foam after agitation</w:t>
            </w:r>
          </w:p>
        </w:tc>
        <w:tc>
          <w:tcPr>
            <w:tcW w:w="0" w:type="auto"/>
            <w:hideMark/>
          </w:tcPr>
          <w:p w14:paraId="71466F08"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w:t>
            </w:r>
          </w:p>
        </w:tc>
      </w:tr>
      <w:tr w:rsidR="00336B42" w:rsidRPr="00336B42" w14:paraId="6D51786F" w14:textId="77777777" w:rsidTr="00336B42">
        <w:tc>
          <w:tcPr>
            <w:tcW w:w="0" w:type="auto"/>
            <w:hideMark/>
          </w:tcPr>
          <w:p w14:paraId="4CFD270E"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Salkowski test</w:t>
            </w:r>
          </w:p>
        </w:tc>
        <w:tc>
          <w:tcPr>
            <w:tcW w:w="0" w:type="auto"/>
            <w:hideMark/>
          </w:tcPr>
          <w:p w14:paraId="26D0238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Terpenoids</w:t>
            </w:r>
          </w:p>
        </w:tc>
        <w:tc>
          <w:tcPr>
            <w:tcW w:w="0" w:type="auto"/>
            <w:hideMark/>
          </w:tcPr>
          <w:p w14:paraId="19F07513"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Grey/reddish-brown interface colouration</w:t>
            </w:r>
          </w:p>
        </w:tc>
        <w:tc>
          <w:tcPr>
            <w:tcW w:w="0" w:type="auto"/>
            <w:hideMark/>
          </w:tcPr>
          <w:p w14:paraId="38C80AC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w:t>
            </w:r>
          </w:p>
        </w:tc>
      </w:tr>
      <w:tr w:rsidR="00336B42" w:rsidRPr="00336B42" w14:paraId="346281B8" w14:textId="77777777" w:rsidTr="00336B42">
        <w:tc>
          <w:tcPr>
            <w:tcW w:w="0" w:type="auto"/>
            <w:hideMark/>
          </w:tcPr>
          <w:p w14:paraId="698630D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Keller–</w:t>
            </w:r>
            <w:proofErr w:type="spellStart"/>
            <w:r w:rsidRPr="00336B42">
              <w:rPr>
                <w:rFonts w:ascii="Times New Roman" w:eastAsia="Times New Roman" w:hAnsi="Times New Roman" w:cs="Times New Roman"/>
                <w:sz w:val="24"/>
                <w:szCs w:val="24"/>
                <w:lang w:eastAsia="en-GB"/>
              </w:rPr>
              <w:t>Kiliani</w:t>
            </w:r>
            <w:proofErr w:type="spellEnd"/>
            <w:r w:rsidRPr="00336B42">
              <w:rPr>
                <w:rFonts w:ascii="Times New Roman" w:eastAsia="Times New Roman" w:hAnsi="Times New Roman" w:cs="Times New Roman"/>
                <w:sz w:val="24"/>
                <w:szCs w:val="24"/>
                <w:lang w:eastAsia="en-GB"/>
              </w:rPr>
              <w:t xml:space="preserve"> test</w:t>
            </w:r>
          </w:p>
        </w:tc>
        <w:tc>
          <w:tcPr>
            <w:tcW w:w="0" w:type="auto"/>
            <w:hideMark/>
          </w:tcPr>
          <w:p w14:paraId="5C0D4F8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Cardiac glycosides</w:t>
            </w:r>
          </w:p>
        </w:tc>
        <w:tc>
          <w:tcPr>
            <w:tcW w:w="0" w:type="auto"/>
            <w:hideMark/>
          </w:tcPr>
          <w:p w14:paraId="05B18FB8"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Reddish-brown interface ring</w:t>
            </w:r>
          </w:p>
        </w:tc>
        <w:tc>
          <w:tcPr>
            <w:tcW w:w="0" w:type="auto"/>
            <w:hideMark/>
          </w:tcPr>
          <w:p w14:paraId="07E341DD"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w:t>
            </w:r>
          </w:p>
        </w:tc>
      </w:tr>
      <w:tr w:rsidR="00336B42" w:rsidRPr="00336B42" w14:paraId="7E6DD2DC" w14:textId="77777777" w:rsidTr="00336B42">
        <w:tc>
          <w:tcPr>
            <w:tcW w:w="0" w:type="auto"/>
            <w:hideMark/>
          </w:tcPr>
          <w:p w14:paraId="42173FCB"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Gas chromatography–mass spectrometry</w:t>
            </w:r>
          </w:p>
        </w:tc>
        <w:tc>
          <w:tcPr>
            <w:tcW w:w="0" w:type="auto"/>
            <w:hideMark/>
          </w:tcPr>
          <w:p w14:paraId="10F7215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Volatile terpenoids, essential oil constituents</w:t>
            </w:r>
          </w:p>
        </w:tc>
        <w:tc>
          <w:tcPr>
            <w:tcW w:w="0" w:type="auto"/>
            <w:hideMark/>
          </w:tcPr>
          <w:p w14:paraId="73C600B5"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Quantified peak matched to reference spectral library</w:t>
            </w:r>
          </w:p>
        </w:tc>
        <w:tc>
          <w:tcPr>
            <w:tcW w:w="0" w:type="auto"/>
            <w:hideMark/>
          </w:tcPr>
          <w:p w14:paraId="0E16094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Filatov et al. (2023); </w:t>
            </w:r>
            <w:proofErr w:type="spellStart"/>
            <w:r w:rsidRPr="00336B42">
              <w:rPr>
                <w:rFonts w:ascii="Times New Roman" w:eastAsia="Times New Roman" w:hAnsi="Times New Roman" w:cs="Times New Roman"/>
                <w:sz w:val="24"/>
                <w:szCs w:val="24"/>
                <w:lang w:eastAsia="en-GB"/>
              </w:rPr>
              <w:t>Ghavam</w:t>
            </w:r>
            <w:proofErr w:type="spellEnd"/>
            <w:r w:rsidRPr="00336B42">
              <w:rPr>
                <w:rFonts w:ascii="Times New Roman" w:eastAsia="Times New Roman" w:hAnsi="Times New Roman" w:cs="Times New Roman"/>
                <w:sz w:val="24"/>
                <w:szCs w:val="24"/>
                <w:lang w:eastAsia="en-GB"/>
              </w:rPr>
              <w:t xml:space="preserve"> et al. (2022)</w:t>
            </w:r>
          </w:p>
        </w:tc>
      </w:tr>
    </w:tbl>
    <w:p w14:paraId="563F305D"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6. In Vitro Antibacterial Susceptibility Testing</w:t>
      </w:r>
    </w:p>
    <w:p w14:paraId="512F5619"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The evaluation of antibacterial activity in vitro relies on a small number of core methodological formats, each with distinct strengths and limitations, and no single format has emerged as a universal reference standard analogous to the protocols long established for synthetic antibiotics. The disc or well diffusion method, in which a defined volume or mass of extract diffuses radially through an agar medium seeded with a test organism, remains the </w:t>
      </w:r>
      <w:r w:rsidRPr="00336B42">
        <w:rPr>
          <w:rFonts w:ascii="Times New Roman" w:eastAsia="Times New Roman" w:hAnsi="Times New Roman" w:cs="Times New Roman"/>
          <w:sz w:val="24"/>
          <w:szCs w:val="24"/>
          <w:lang w:eastAsia="en-GB"/>
        </w:rPr>
        <w:lastRenderedPageBreak/>
        <w:t>most widely used preliminary screening tool owing to its simplicity, low cost and capacity to test multiple samples simultaneously. However, its principal limitation is that the diameter of the resulting inhibition zone is strongly influenced by the diffusion coefficient of the test substance through agar, meaning that hydrophobic or high-molecular-weight constituents diffuse poorly and may appear inactive despite genuine antimicrobial potency (Klančnik et al., 2010). For this reason, diffusion methods are best regarded as a qualitative or semi-quantitative screening step rather than a definitive measure of activity, and should be followed by a dilution-based method capable of generating a quantitative minimum inhibitory concentration.</w:t>
      </w:r>
    </w:p>
    <w:p w14:paraId="2006CFA8"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Broth microdilution, performed in ninety-six-well </w:t>
      </w:r>
      <w:proofErr w:type="spellStart"/>
      <w:r w:rsidRPr="00336B42">
        <w:rPr>
          <w:rFonts w:ascii="Times New Roman" w:eastAsia="Times New Roman" w:hAnsi="Times New Roman" w:cs="Times New Roman"/>
          <w:sz w:val="24"/>
          <w:szCs w:val="24"/>
          <w:lang w:eastAsia="en-GB"/>
        </w:rPr>
        <w:t>microtitre</w:t>
      </w:r>
      <w:proofErr w:type="spellEnd"/>
      <w:r w:rsidRPr="00336B42">
        <w:rPr>
          <w:rFonts w:ascii="Times New Roman" w:eastAsia="Times New Roman" w:hAnsi="Times New Roman" w:cs="Times New Roman"/>
          <w:sz w:val="24"/>
          <w:szCs w:val="24"/>
          <w:lang w:eastAsia="en-GB"/>
        </w:rPr>
        <w:t xml:space="preserve"> plates, has become the preferred quantitative method for determining minimum inhibitory concentration and minimum bactericidal concentration, following serial two-fold dilution of the extract across a defined concentration range in a standard broth medium (Wiegand et al., 2008). The addition of a tetrazolium-based viability indicator, such as 2,3,5-triphenyltetrazolium chloride, assists visual determination of the endpoint in extracts that themselves possess colour or turbidity, since bacterial dehydrogenase activity reduces the colourless salt to a coloured formazan product only in viable cells (Klančnik et al., 2010). Agar dilution, in which the extract is incorporated directly into molten agar prior to solidification and inoculation, offers comparable accuracy to broth microdilution for Gram-positive organisms but is more resource-intensive and less amenable to high-throughput screening (Klančnik et al., 2010). Bioautography, which couples thin-layer chromatographic separation of extract constituents with an overlaid agar or direct contact bioassay, allows the specific chromatographic band responsible for observed activity to be localised prior to isolation, and remains a valuable tool for activity-guided fractionation of complex extracts (</w:t>
      </w:r>
      <w:proofErr w:type="spellStart"/>
      <w:r w:rsidRPr="00336B42">
        <w:rPr>
          <w:rFonts w:ascii="Times New Roman" w:eastAsia="Times New Roman" w:hAnsi="Times New Roman" w:cs="Times New Roman"/>
          <w:sz w:val="24"/>
          <w:szCs w:val="24"/>
          <w:lang w:eastAsia="en-GB"/>
        </w:rPr>
        <w:t>Rahalison</w:t>
      </w:r>
      <w:proofErr w:type="spellEnd"/>
      <w:r w:rsidRPr="00336B42">
        <w:rPr>
          <w:rFonts w:ascii="Times New Roman" w:eastAsia="Times New Roman" w:hAnsi="Times New Roman" w:cs="Times New Roman"/>
          <w:sz w:val="24"/>
          <w:szCs w:val="24"/>
          <w:lang w:eastAsia="en-GB"/>
        </w:rPr>
        <w:t xml:space="preserve"> et al., 1991).</w:t>
      </w:r>
    </w:p>
    <w:p w14:paraId="405919F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Across all bacterial testing formats, a recurring methodological weakness in the published literature is inconsistent reporting of inoculum density, incubation temperature and duration, and the identity and concentration of positive control antibiotics, all of which materially affect the comparability of reported minimum inhibitory concentration values between laboratories (Wiegand et al., 2008; Cushnie et al., 2020). Standardised protocols developed originally for antibiotic susceptibility testing by bodies such as the Clinical and Laboratory Standards Institute have been widely adapted for plant extracts, but the absence of interpretive breakpoints specific to natural products means that authors must exercise judgement when categorising an extract as active, moderately active or inactive, and comparability across studies remains imperfect as a result (Kebede et al., 2021). Table 3, presented at the end of Section 7, brings together the bacterial and fungal formats discussed in this review for direct comparison.</w:t>
      </w:r>
    </w:p>
    <w:p w14:paraId="354568C7"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7. Antifungal and Antibiofilm Susceptibility Testing</w:t>
      </w:r>
    </w:p>
    <w:p w14:paraId="42D16A8B"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Fungal targets, particularly Candida species, present distinct methodological challenges that are not always adequately addressed when protocols developed for bacteria are applied without modification. The reference method for broth dilution antifungal susceptibility testing of yeasts, developed by the Clinical and Laboratory Standards Institute as document M27, specifies the use of RPMI 1640 medium buffered with </w:t>
      </w:r>
      <w:proofErr w:type="spellStart"/>
      <w:r w:rsidRPr="00336B42">
        <w:rPr>
          <w:rFonts w:ascii="Times New Roman" w:eastAsia="Times New Roman" w:hAnsi="Times New Roman" w:cs="Times New Roman"/>
          <w:sz w:val="24"/>
          <w:szCs w:val="24"/>
          <w:lang w:eastAsia="en-GB"/>
        </w:rPr>
        <w:t>morpholinepropanesulfonic</w:t>
      </w:r>
      <w:proofErr w:type="spellEnd"/>
      <w:r w:rsidRPr="00336B42">
        <w:rPr>
          <w:rFonts w:ascii="Times New Roman" w:eastAsia="Times New Roman" w:hAnsi="Times New Roman" w:cs="Times New Roman"/>
          <w:sz w:val="24"/>
          <w:szCs w:val="24"/>
          <w:lang w:eastAsia="en-GB"/>
        </w:rPr>
        <w:t xml:space="preserve"> acid, defined inoculum densities and standardised reading times, and has evolved through several editions since its provisional publication (Berkow et al., 2020). A parallel reference method has been developed independently by the European Committee on Antimicrobial Susceptibility Testing, and Berkow et al. (2020) note that the interpretive breakpoints issued </w:t>
      </w:r>
      <w:r w:rsidRPr="00336B42">
        <w:rPr>
          <w:rFonts w:ascii="Times New Roman" w:eastAsia="Times New Roman" w:hAnsi="Times New Roman" w:cs="Times New Roman"/>
          <w:sz w:val="24"/>
          <w:szCs w:val="24"/>
          <w:lang w:eastAsia="en-GB"/>
        </w:rPr>
        <w:lastRenderedPageBreak/>
        <w:t>by the two organisations for the same antifungal agents do not always coincide: for example, the European committee publishes breakpoints for amphotericin B against several Candida species that the Clinical and Laboratory Standards Institute does not, while the reverse is true for caspofungin, where high interlaboratory variation in the modal minimum inhibitory concentration range has so far prevented the European committee from issuing a breakpoint at all. This divergence between two internationally recognised reference standards for conventional antifungal agents underscores the caution warranted when applying either method, without modification, to structurally novel plant-derived antifungal candidates, for which no equivalent interpretive breakpoints yet exist.</w:t>
      </w:r>
    </w:p>
    <w:p w14:paraId="76F11E9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Biofilm formation adds a further layer of complexity that planktonic susceptibility testing does not capture, since Candida biofilms embedded in an extracellular matrix are characteristically far less susceptible to both conventional antifungals and plant-derived agents than free-living cells of the same strain. The crystal violet staining assay, which quantifies total biofilm biomass following fixation and dye uptake, remains the most widely used method for assessing antibiofilm activity, and is frequently used alongside metabolic viability assays based on tetrazolium salt reduction to distinguish reductions in biomass from reductions in cell viability (Loaiza-Oliva et al., 2023). A scoping review of the literature on plant derivatives tested against Candida albicans biofilms found that crystal violet staining and tetrazolium-based metabolic assays were the two most frequently applied techniques, often used in combination, with viable colony counts, dry weight measurement and microscopy applied less frequently as complementary methods (Loaiza-Oliva et al., 2023). The same review noted considerable variation between studies in the exposure times used for biofilm formation and subsequent treatment, commonly either twenty-four or forty-eight hours, which further complicates cross-study comparison of reported antibiofilm potency.</w:t>
      </w:r>
    </w:p>
    <w:p w14:paraId="1B2EE391"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Table 3 draws together the bacterial methods introduced in Section 6 with the fungal- and biofilm-specific methods discussed above, to highlight where the same underlying principle (diffusion, dilution, or biomass quantification) has been adapted differently across organism types.</w:t>
      </w:r>
    </w:p>
    <w:p w14:paraId="70DCF662"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3. Comparison of principal in vitro susceptibility and biofilm testing methods for bacteria and fungi</w:t>
      </w:r>
    </w:p>
    <w:tbl>
      <w:tblPr>
        <w:tblStyle w:val="TableGrid"/>
        <w:tblW w:w="0" w:type="auto"/>
        <w:tblLook w:val="04A0" w:firstRow="1" w:lastRow="0" w:firstColumn="1" w:lastColumn="0" w:noHBand="0" w:noVBand="1"/>
      </w:tblPr>
      <w:tblGrid>
        <w:gridCol w:w="1935"/>
        <w:gridCol w:w="2366"/>
        <w:gridCol w:w="1651"/>
        <w:gridCol w:w="2004"/>
        <w:gridCol w:w="1286"/>
      </w:tblGrid>
      <w:tr w:rsidR="00336B42" w:rsidRPr="00336B42" w14:paraId="617CBC94" w14:textId="77777777" w:rsidTr="00336B42">
        <w:tc>
          <w:tcPr>
            <w:tcW w:w="0" w:type="auto"/>
            <w:hideMark/>
          </w:tcPr>
          <w:p w14:paraId="67E4FD18"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Method</w:t>
            </w:r>
          </w:p>
        </w:tc>
        <w:tc>
          <w:tcPr>
            <w:tcW w:w="0" w:type="auto"/>
            <w:hideMark/>
          </w:tcPr>
          <w:p w14:paraId="56CE6659"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Organism/endpoint</w:t>
            </w:r>
          </w:p>
        </w:tc>
        <w:tc>
          <w:tcPr>
            <w:tcW w:w="0" w:type="auto"/>
            <w:hideMark/>
          </w:tcPr>
          <w:p w14:paraId="47393BFF"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Advantages</w:t>
            </w:r>
          </w:p>
        </w:tc>
        <w:tc>
          <w:tcPr>
            <w:tcW w:w="0" w:type="auto"/>
            <w:hideMark/>
          </w:tcPr>
          <w:p w14:paraId="79BF9367"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Key limitations</w:t>
            </w:r>
          </w:p>
        </w:tc>
        <w:tc>
          <w:tcPr>
            <w:tcW w:w="0" w:type="auto"/>
            <w:hideMark/>
          </w:tcPr>
          <w:p w14:paraId="4586DA97"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references</w:t>
            </w:r>
          </w:p>
        </w:tc>
      </w:tr>
      <w:tr w:rsidR="00336B42" w:rsidRPr="00336B42" w14:paraId="7AF9A685" w14:textId="77777777" w:rsidTr="00336B42">
        <w:tc>
          <w:tcPr>
            <w:tcW w:w="0" w:type="auto"/>
            <w:hideMark/>
          </w:tcPr>
          <w:p w14:paraId="095B5EE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Disc/well diffusion</w:t>
            </w:r>
          </w:p>
        </w:tc>
        <w:tc>
          <w:tcPr>
            <w:tcW w:w="0" w:type="auto"/>
            <w:hideMark/>
          </w:tcPr>
          <w:p w14:paraId="11553F75"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Bacteria; zone of inhibition</w:t>
            </w:r>
          </w:p>
        </w:tc>
        <w:tc>
          <w:tcPr>
            <w:tcW w:w="0" w:type="auto"/>
            <w:hideMark/>
          </w:tcPr>
          <w:p w14:paraId="0E701611"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Simple, inexpensive, high throughput</w:t>
            </w:r>
          </w:p>
        </w:tc>
        <w:tc>
          <w:tcPr>
            <w:tcW w:w="0" w:type="auto"/>
            <w:hideMark/>
          </w:tcPr>
          <w:p w14:paraId="7D0B443E"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Poor for hydrophobic/large molecules; qualitative only</w:t>
            </w:r>
          </w:p>
        </w:tc>
        <w:tc>
          <w:tcPr>
            <w:tcW w:w="0" w:type="auto"/>
            <w:hideMark/>
          </w:tcPr>
          <w:p w14:paraId="3445F5F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Klančnik et al. (2010)</w:t>
            </w:r>
          </w:p>
        </w:tc>
      </w:tr>
      <w:tr w:rsidR="00336B42" w:rsidRPr="00336B42" w14:paraId="198A9FB6" w14:textId="77777777" w:rsidTr="00336B42">
        <w:tc>
          <w:tcPr>
            <w:tcW w:w="0" w:type="auto"/>
            <w:hideMark/>
          </w:tcPr>
          <w:p w14:paraId="5676397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Broth microdilution</w:t>
            </w:r>
          </w:p>
        </w:tc>
        <w:tc>
          <w:tcPr>
            <w:tcW w:w="0" w:type="auto"/>
            <w:hideMark/>
          </w:tcPr>
          <w:p w14:paraId="1086B17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Bacteria; minimum inhibitory/bactericidal concentration</w:t>
            </w:r>
          </w:p>
        </w:tc>
        <w:tc>
          <w:tcPr>
            <w:tcW w:w="0" w:type="auto"/>
            <w:hideMark/>
          </w:tcPr>
          <w:p w14:paraId="1A520C87"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Quantitative; low reagent volume; amenable to plate readers</w:t>
            </w:r>
          </w:p>
        </w:tc>
        <w:tc>
          <w:tcPr>
            <w:tcW w:w="0" w:type="auto"/>
            <w:hideMark/>
          </w:tcPr>
          <w:p w14:paraId="58B74DAA"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Requires clear/soluble extract or viability dye</w:t>
            </w:r>
          </w:p>
        </w:tc>
        <w:tc>
          <w:tcPr>
            <w:tcW w:w="0" w:type="auto"/>
            <w:hideMark/>
          </w:tcPr>
          <w:p w14:paraId="0B2B5C8F"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Wiegand et al. (2008); Klančnik et al. (2010)</w:t>
            </w:r>
          </w:p>
        </w:tc>
      </w:tr>
      <w:tr w:rsidR="00336B42" w:rsidRPr="00336B42" w14:paraId="543E47AC" w14:textId="77777777" w:rsidTr="00336B42">
        <w:tc>
          <w:tcPr>
            <w:tcW w:w="0" w:type="auto"/>
            <w:hideMark/>
          </w:tcPr>
          <w:p w14:paraId="761DC0B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Agar dilution</w:t>
            </w:r>
          </w:p>
        </w:tc>
        <w:tc>
          <w:tcPr>
            <w:tcW w:w="0" w:type="auto"/>
            <w:hideMark/>
          </w:tcPr>
          <w:p w14:paraId="6E76FDC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Bacteria; minimum inhibitory concentration</w:t>
            </w:r>
          </w:p>
        </w:tc>
        <w:tc>
          <w:tcPr>
            <w:tcW w:w="0" w:type="auto"/>
            <w:hideMark/>
          </w:tcPr>
          <w:p w14:paraId="65F29847"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Reference-grade accuracy for Gram-positive </w:t>
            </w:r>
            <w:r w:rsidRPr="00336B42">
              <w:rPr>
                <w:rFonts w:ascii="Times New Roman" w:eastAsia="Times New Roman" w:hAnsi="Times New Roman" w:cs="Times New Roman"/>
                <w:sz w:val="24"/>
                <w:szCs w:val="24"/>
                <w:lang w:eastAsia="en-GB"/>
              </w:rPr>
              <w:lastRenderedPageBreak/>
              <w:t>organisms</w:t>
            </w:r>
          </w:p>
        </w:tc>
        <w:tc>
          <w:tcPr>
            <w:tcW w:w="0" w:type="auto"/>
            <w:hideMark/>
          </w:tcPr>
          <w:p w14:paraId="26C8C5AB"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High labour and material cost</w:t>
            </w:r>
          </w:p>
        </w:tc>
        <w:tc>
          <w:tcPr>
            <w:tcW w:w="0" w:type="auto"/>
            <w:hideMark/>
          </w:tcPr>
          <w:p w14:paraId="7F53FDD8"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Klančnik et al. (2010)</w:t>
            </w:r>
          </w:p>
        </w:tc>
      </w:tr>
      <w:tr w:rsidR="00336B42" w:rsidRPr="00336B42" w14:paraId="1B7EAB5B" w14:textId="77777777" w:rsidTr="00336B42">
        <w:tc>
          <w:tcPr>
            <w:tcW w:w="0" w:type="auto"/>
            <w:hideMark/>
          </w:tcPr>
          <w:p w14:paraId="7450633A"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Bioautography (agar overlay/direct)</w:t>
            </w:r>
          </w:p>
        </w:tc>
        <w:tc>
          <w:tcPr>
            <w:tcW w:w="0" w:type="auto"/>
            <w:hideMark/>
          </w:tcPr>
          <w:p w14:paraId="4AFBAECB"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Bacteria/fungi; localisation of active fraction</w:t>
            </w:r>
          </w:p>
        </w:tc>
        <w:tc>
          <w:tcPr>
            <w:tcW w:w="0" w:type="auto"/>
            <w:hideMark/>
          </w:tcPr>
          <w:p w14:paraId="346D6C0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Links activity to specific constituent; guides isolation</w:t>
            </w:r>
          </w:p>
        </w:tc>
        <w:tc>
          <w:tcPr>
            <w:tcW w:w="0" w:type="auto"/>
            <w:hideMark/>
          </w:tcPr>
          <w:p w14:paraId="64D5161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Semi-quantitative; sensitive to plate/solvent conditions</w:t>
            </w:r>
          </w:p>
        </w:tc>
        <w:tc>
          <w:tcPr>
            <w:tcW w:w="0" w:type="auto"/>
            <w:hideMark/>
          </w:tcPr>
          <w:p w14:paraId="5DBC4A63"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Rahalison</w:t>
            </w:r>
            <w:proofErr w:type="spellEnd"/>
            <w:r w:rsidRPr="00336B42">
              <w:rPr>
                <w:rFonts w:ascii="Times New Roman" w:eastAsia="Times New Roman" w:hAnsi="Times New Roman" w:cs="Times New Roman"/>
                <w:sz w:val="24"/>
                <w:szCs w:val="24"/>
                <w:lang w:eastAsia="en-GB"/>
              </w:rPr>
              <w:t xml:space="preserve"> et al. (1991)</w:t>
            </w:r>
          </w:p>
        </w:tc>
      </w:tr>
      <w:tr w:rsidR="00336B42" w:rsidRPr="00336B42" w14:paraId="0C509A09" w14:textId="77777777" w:rsidTr="00336B42">
        <w:tc>
          <w:tcPr>
            <w:tcW w:w="0" w:type="auto"/>
            <w:hideMark/>
          </w:tcPr>
          <w:p w14:paraId="65809168"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CLSI M27/EUCAST broth microdilution</w:t>
            </w:r>
          </w:p>
        </w:tc>
        <w:tc>
          <w:tcPr>
            <w:tcW w:w="0" w:type="auto"/>
            <w:hideMark/>
          </w:tcPr>
          <w:p w14:paraId="10572A5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Candida spp.; minimum inhibitory concentration</w:t>
            </w:r>
          </w:p>
        </w:tc>
        <w:tc>
          <w:tcPr>
            <w:tcW w:w="0" w:type="auto"/>
            <w:hideMark/>
          </w:tcPr>
          <w:p w14:paraId="7AFFD9C3"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Internationally recognised reference standards</w:t>
            </w:r>
          </w:p>
        </w:tc>
        <w:tc>
          <w:tcPr>
            <w:tcW w:w="0" w:type="auto"/>
            <w:hideMark/>
          </w:tcPr>
          <w:p w14:paraId="44521AB5"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Breakpoints differ between the two standards; no plant-specific breakpoints</w:t>
            </w:r>
          </w:p>
        </w:tc>
        <w:tc>
          <w:tcPr>
            <w:tcW w:w="0" w:type="auto"/>
            <w:hideMark/>
          </w:tcPr>
          <w:p w14:paraId="1CD757D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Berkow et al. (2020)</w:t>
            </w:r>
          </w:p>
        </w:tc>
      </w:tr>
      <w:tr w:rsidR="00336B42" w:rsidRPr="00336B42" w14:paraId="6DA5A0A3" w14:textId="77777777" w:rsidTr="00336B42">
        <w:tc>
          <w:tcPr>
            <w:tcW w:w="0" w:type="auto"/>
            <w:hideMark/>
          </w:tcPr>
          <w:p w14:paraId="0B320C1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Crystal violet/tetrazolium biofilm assay</w:t>
            </w:r>
          </w:p>
        </w:tc>
        <w:tc>
          <w:tcPr>
            <w:tcW w:w="0" w:type="auto"/>
            <w:hideMark/>
          </w:tcPr>
          <w:p w14:paraId="1A06600B"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Fungal (and bacterial) biofilm biomass/viability</w:t>
            </w:r>
          </w:p>
        </w:tc>
        <w:tc>
          <w:tcPr>
            <w:tcW w:w="0" w:type="auto"/>
            <w:hideMark/>
          </w:tcPr>
          <w:p w14:paraId="019F3461"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Quantifies matrix-embedded, drug-tolerant populations</w:t>
            </w:r>
          </w:p>
        </w:tc>
        <w:tc>
          <w:tcPr>
            <w:tcW w:w="0" w:type="auto"/>
            <w:hideMark/>
          </w:tcPr>
          <w:p w14:paraId="53A9316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Variable exposure-time protocols; biomass ≠ viability</w:t>
            </w:r>
          </w:p>
        </w:tc>
        <w:tc>
          <w:tcPr>
            <w:tcW w:w="0" w:type="auto"/>
            <w:hideMark/>
          </w:tcPr>
          <w:p w14:paraId="1CD9E151"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Loaiza-Oliva et al. (2023)</w:t>
            </w:r>
          </w:p>
        </w:tc>
      </w:tr>
    </w:tbl>
    <w:p w14:paraId="0610809C"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8. Assessment of Synergistic Interactions and Combination Therapies</w:t>
      </w:r>
    </w:p>
    <w:p w14:paraId="422289A8"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Beyond evaluating extracts in isolation, a growing body of work examines whether plant-derived constituents can potentiate the activity of existing antibiotics, offering a route to restoring efficacy against otherwise resistant pathogens. The checkerboard titration method, in which two agents are combined across a matrix of two-fold serial dilutions, remains the standard approach for quantifying such interactions, with the fractional inhibitory concentration index calculated from the ratio of the minimum inhibitory concentration of each agent in combination relative to its concentration when tested alone. An index below 0.5 is generally interpreted as synergy, values between 0.5 and 4 as an additive or indifferent interaction, and values above 4 as antagonism. Time-kill kinetic assays, which track the reduction in viable colony counts over a defined incubation period, provide a complementary dynamic perspective on the rate rather than merely the magnitude of bacterial inactivation, and are recommended for use alongside the checkerboard method rather than in isolation (Basri and </w:t>
      </w:r>
      <w:proofErr w:type="spellStart"/>
      <w:r w:rsidRPr="00336B42">
        <w:rPr>
          <w:rFonts w:ascii="Times New Roman" w:eastAsia="Times New Roman" w:hAnsi="Times New Roman" w:cs="Times New Roman"/>
          <w:sz w:val="24"/>
          <w:szCs w:val="24"/>
          <w:lang w:eastAsia="en-GB"/>
        </w:rPr>
        <w:t>Khairon</w:t>
      </w:r>
      <w:proofErr w:type="spellEnd"/>
      <w:r w:rsidRPr="00336B42">
        <w:rPr>
          <w:rFonts w:ascii="Times New Roman" w:eastAsia="Times New Roman" w:hAnsi="Times New Roman" w:cs="Times New Roman"/>
          <w:sz w:val="24"/>
          <w:szCs w:val="24"/>
          <w:lang w:eastAsia="en-GB"/>
        </w:rPr>
        <w:t xml:space="preserve">, 2012). Basri and </w:t>
      </w:r>
      <w:proofErr w:type="spellStart"/>
      <w:r w:rsidRPr="00336B42">
        <w:rPr>
          <w:rFonts w:ascii="Times New Roman" w:eastAsia="Times New Roman" w:hAnsi="Times New Roman" w:cs="Times New Roman"/>
          <w:sz w:val="24"/>
          <w:szCs w:val="24"/>
          <w:lang w:eastAsia="en-GB"/>
        </w:rPr>
        <w:t>Khairon</w:t>
      </w:r>
      <w:proofErr w:type="spellEnd"/>
      <w:r w:rsidRPr="00336B42">
        <w:rPr>
          <w:rFonts w:ascii="Times New Roman" w:eastAsia="Times New Roman" w:hAnsi="Times New Roman" w:cs="Times New Roman"/>
          <w:sz w:val="24"/>
          <w:szCs w:val="24"/>
          <w:lang w:eastAsia="en-GB"/>
        </w:rPr>
        <w:t xml:space="preserve"> (2012) demonstrated synergy between an acetone extract of Quercus </w:t>
      </w:r>
      <w:proofErr w:type="spellStart"/>
      <w:r w:rsidRPr="00336B42">
        <w:rPr>
          <w:rFonts w:ascii="Times New Roman" w:eastAsia="Times New Roman" w:hAnsi="Times New Roman" w:cs="Times New Roman"/>
          <w:sz w:val="24"/>
          <w:szCs w:val="24"/>
          <w:lang w:eastAsia="en-GB"/>
        </w:rPr>
        <w:t>infectoria</w:t>
      </w:r>
      <w:proofErr w:type="spellEnd"/>
      <w:r w:rsidRPr="00336B42">
        <w:rPr>
          <w:rFonts w:ascii="Times New Roman" w:eastAsia="Times New Roman" w:hAnsi="Times New Roman" w:cs="Times New Roman"/>
          <w:sz w:val="24"/>
          <w:szCs w:val="24"/>
          <w:lang w:eastAsia="en-GB"/>
        </w:rPr>
        <w:t xml:space="preserve"> galls and vancomycin against methicillin-resistant Staphylococcus aureus, with the checkerboard method indicating synergistic fractional inhibitory concentration index values while time-kill assays confirmed accelerated bactericidal action relative to vancomycin alone. Table 4 summarises the conventional interpretation of the fractional inhibitory concentration index used to categorise such interactions.</w:t>
      </w:r>
    </w:p>
    <w:p w14:paraId="4207D995"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4. Interpretation of the fractional inhibitory concentration index in checkerboard synergy assays</w:t>
      </w:r>
    </w:p>
    <w:tbl>
      <w:tblPr>
        <w:tblStyle w:val="TableGrid"/>
        <w:tblW w:w="0" w:type="auto"/>
        <w:tblLook w:val="04A0" w:firstRow="1" w:lastRow="0" w:firstColumn="1" w:lastColumn="0" w:noHBand="0" w:noVBand="1"/>
      </w:tblPr>
      <w:tblGrid>
        <w:gridCol w:w="2784"/>
        <w:gridCol w:w="2414"/>
        <w:gridCol w:w="2256"/>
        <w:gridCol w:w="1788"/>
      </w:tblGrid>
      <w:tr w:rsidR="00336B42" w:rsidRPr="00336B42" w14:paraId="29F74A56" w14:textId="77777777" w:rsidTr="00336B42">
        <w:tc>
          <w:tcPr>
            <w:tcW w:w="0" w:type="auto"/>
            <w:hideMark/>
          </w:tcPr>
          <w:p w14:paraId="42330404"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Fractional inhibitory concentration index</w:t>
            </w:r>
          </w:p>
        </w:tc>
        <w:tc>
          <w:tcPr>
            <w:tcW w:w="0" w:type="auto"/>
            <w:hideMark/>
          </w:tcPr>
          <w:p w14:paraId="3A2DF3F5"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Interpretation</w:t>
            </w:r>
          </w:p>
        </w:tc>
        <w:tc>
          <w:tcPr>
            <w:tcW w:w="0" w:type="auto"/>
            <w:hideMark/>
          </w:tcPr>
          <w:p w14:paraId="0FF4C411"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Typical confirmatory method</w:t>
            </w:r>
          </w:p>
        </w:tc>
        <w:tc>
          <w:tcPr>
            <w:tcW w:w="0" w:type="auto"/>
            <w:hideMark/>
          </w:tcPr>
          <w:p w14:paraId="3C126D48"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w:t>
            </w:r>
          </w:p>
        </w:tc>
      </w:tr>
      <w:tr w:rsidR="00336B42" w:rsidRPr="00336B42" w14:paraId="537CF62A" w14:textId="77777777" w:rsidTr="00336B42">
        <w:tc>
          <w:tcPr>
            <w:tcW w:w="0" w:type="auto"/>
            <w:hideMark/>
          </w:tcPr>
          <w:p w14:paraId="0EEB7D4B"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&lt; 0.5</w:t>
            </w:r>
          </w:p>
        </w:tc>
        <w:tc>
          <w:tcPr>
            <w:tcW w:w="0" w:type="auto"/>
            <w:hideMark/>
          </w:tcPr>
          <w:p w14:paraId="7B3254A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Synergy</w:t>
            </w:r>
          </w:p>
        </w:tc>
        <w:tc>
          <w:tcPr>
            <w:tcW w:w="0" w:type="auto"/>
            <w:hideMark/>
          </w:tcPr>
          <w:p w14:paraId="54E568A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Time-kill kinetic assay</w:t>
            </w:r>
          </w:p>
        </w:tc>
        <w:tc>
          <w:tcPr>
            <w:tcW w:w="0" w:type="auto"/>
            <w:hideMark/>
          </w:tcPr>
          <w:p w14:paraId="7FED73B5"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Basri and </w:t>
            </w:r>
            <w:proofErr w:type="spellStart"/>
            <w:r w:rsidRPr="00336B42">
              <w:rPr>
                <w:rFonts w:ascii="Times New Roman" w:eastAsia="Times New Roman" w:hAnsi="Times New Roman" w:cs="Times New Roman"/>
                <w:sz w:val="24"/>
                <w:szCs w:val="24"/>
                <w:lang w:eastAsia="en-GB"/>
              </w:rPr>
              <w:t>Khairon</w:t>
            </w:r>
            <w:proofErr w:type="spellEnd"/>
            <w:r w:rsidRPr="00336B42">
              <w:rPr>
                <w:rFonts w:ascii="Times New Roman" w:eastAsia="Times New Roman" w:hAnsi="Times New Roman" w:cs="Times New Roman"/>
                <w:sz w:val="24"/>
                <w:szCs w:val="24"/>
                <w:lang w:eastAsia="en-GB"/>
              </w:rPr>
              <w:t xml:space="preserve"> (2012)</w:t>
            </w:r>
          </w:p>
        </w:tc>
      </w:tr>
      <w:tr w:rsidR="00336B42" w:rsidRPr="00336B42" w14:paraId="64054259" w14:textId="77777777" w:rsidTr="00336B42">
        <w:tc>
          <w:tcPr>
            <w:tcW w:w="0" w:type="auto"/>
            <w:hideMark/>
          </w:tcPr>
          <w:p w14:paraId="7BFC9C9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0.5–4.0</w:t>
            </w:r>
          </w:p>
        </w:tc>
        <w:tc>
          <w:tcPr>
            <w:tcW w:w="0" w:type="auto"/>
            <w:hideMark/>
          </w:tcPr>
          <w:p w14:paraId="250F7BC9"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Additive or indifferent interaction</w:t>
            </w:r>
          </w:p>
        </w:tc>
        <w:tc>
          <w:tcPr>
            <w:tcW w:w="0" w:type="auto"/>
            <w:hideMark/>
          </w:tcPr>
          <w:p w14:paraId="5E0C937A"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Time-kill kinetic assay</w:t>
            </w:r>
          </w:p>
        </w:tc>
        <w:tc>
          <w:tcPr>
            <w:tcW w:w="0" w:type="auto"/>
            <w:hideMark/>
          </w:tcPr>
          <w:p w14:paraId="238297C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Basri and </w:t>
            </w:r>
            <w:proofErr w:type="spellStart"/>
            <w:r w:rsidRPr="00336B42">
              <w:rPr>
                <w:rFonts w:ascii="Times New Roman" w:eastAsia="Times New Roman" w:hAnsi="Times New Roman" w:cs="Times New Roman"/>
                <w:sz w:val="24"/>
                <w:szCs w:val="24"/>
                <w:lang w:eastAsia="en-GB"/>
              </w:rPr>
              <w:t>Khairon</w:t>
            </w:r>
            <w:proofErr w:type="spellEnd"/>
            <w:r w:rsidRPr="00336B42">
              <w:rPr>
                <w:rFonts w:ascii="Times New Roman" w:eastAsia="Times New Roman" w:hAnsi="Times New Roman" w:cs="Times New Roman"/>
                <w:sz w:val="24"/>
                <w:szCs w:val="24"/>
                <w:lang w:eastAsia="en-GB"/>
              </w:rPr>
              <w:t xml:space="preserve"> (2012)</w:t>
            </w:r>
          </w:p>
        </w:tc>
      </w:tr>
      <w:tr w:rsidR="00336B42" w:rsidRPr="00336B42" w14:paraId="6224DB1C" w14:textId="77777777" w:rsidTr="00336B42">
        <w:tc>
          <w:tcPr>
            <w:tcW w:w="0" w:type="auto"/>
            <w:hideMark/>
          </w:tcPr>
          <w:p w14:paraId="38CF2BBF"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&gt; 4.0</w:t>
            </w:r>
          </w:p>
        </w:tc>
        <w:tc>
          <w:tcPr>
            <w:tcW w:w="0" w:type="auto"/>
            <w:hideMark/>
          </w:tcPr>
          <w:p w14:paraId="7ECE08F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Antagonism</w:t>
            </w:r>
          </w:p>
        </w:tc>
        <w:tc>
          <w:tcPr>
            <w:tcW w:w="0" w:type="auto"/>
            <w:hideMark/>
          </w:tcPr>
          <w:p w14:paraId="4139D520"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Time-kill kinetic </w:t>
            </w:r>
            <w:r w:rsidRPr="00336B42">
              <w:rPr>
                <w:rFonts w:ascii="Times New Roman" w:eastAsia="Times New Roman" w:hAnsi="Times New Roman" w:cs="Times New Roman"/>
                <w:sz w:val="24"/>
                <w:szCs w:val="24"/>
                <w:lang w:eastAsia="en-GB"/>
              </w:rPr>
              <w:lastRenderedPageBreak/>
              <w:t>assay</w:t>
            </w:r>
          </w:p>
        </w:tc>
        <w:tc>
          <w:tcPr>
            <w:tcW w:w="0" w:type="auto"/>
            <w:hideMark/>
          </w:tcPr>
          <w:p w14:paraId="62B202DE"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 xml:space="preserve">Basri and </w:t>
            </w:r>
            <w:proofErr w:type="spellStart"/>
            <w:r w:rsidRPr="00336B42">
              <w:rPr>
                <w:rFonts w:ascii="Times New Roman" w:eastAsia="Times New Roman" w:hAnsi="Times New Roman" w:cs="Times New Roman"/>
                <w:sz w:val="24"/>
                <w:szCs w:val="24"/>
                <w:lang w:eastAsia="en-GB"/>
              </w:rPr>
              <w:lastRenderedPageBreak/>
              <w:t>Khairon</w:t>
            </w:r>
            <w:proofErr w:type="spellEnd"/>
            <w:r w:rsidRPr="00336B42">
              <w:rPr>
                <w:rFonts w:ascii="Times New Roman" w:eastAsia="Times New Roman" w:hAnsi="Times New Roman" w:cs="Times New Roman"/>
                <w:sz w:val="24"/>
                <w:szCs w:val="24"/>
                <w:lang w:eastAsia="en-GB"/>
              </w:rPr>
              <w:t xml:space="preserve"> (2012)</w:t>
            </w:r>
          </w:p>
        </w:tc>
      </w:tr>
    </w:tbl>
    <w:p w14:paraId="3AF6A08E"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lastRenderedPageBreak/>
        <w:t>9. Anti-Virulence Approaches: Inhibition of Bacterial Quorum Sensing</w:t>
      </w:r>
    </w:p>
    <w:p w14:paraId="227A4A32"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An alternative and increasingly influential experimental strategy targets bacterial virulence rather than viability, on the reasoning that disarming a pathogen imposes weaker selective pressure for resistance than killing it outright. Many Gram-negative pathogens, most notably Pseudomonas aeruginosa, coordinate the expression of virulence factors such as biofilm formation, elastase, pyocyanin and rhamnolipid production through cell-density-dependent quorum-sensing systems, and inhibition of these systems, rather than direct bactericidal action, has become a recognised anti-virulence screening endpoint (</w:t>
      </w:r>
      <w:proofErr w:type="spellStart"/>
      <w:r w:rsidRPr="00336B42">
        <w:rPr>
          <w:rFonts w:ascii="Times New Roman" w:eastAsia="Times New Roman" w:hAnsi="Times New Roman" w:cs="Times New Roman"/>
          <w:sz w:val="24"/>
          <w:szCs w:val="24"/>
          <w:lang w:eastAsia="en-GB"/>
        </w:rPr>
        <w:t>Khameneh</w:t>
      </w:r>
      <w:proofErr w:type="spellEnd"/>
      <w:r w:rsidRPr="00336B42">
        <w:rPr>
          <w:rFonts w:ascii="Times New Roman" w:eastAsia="Times New Roman" w:hAnsi="Times New Roman" w:cs="Times New Roman"/>
          <w:sz w:val="24"/>
          <w:szCs w:val="24"/>
          <w:lang w:eastAsia="en-GB"/>
        </w:rPr>
        <w:t xml:space="preserve"> et al., 2019). Methodologically, this requires a different set of assays from conventional susceptibility testing: reporter strains such as </w:t>
      </w:r>
      <w:proofErr w:type="spellStart"/>
      <w:r w:rsidRPr="00336B42">
        <w:rPr>
          <w:rFonts w:ascii="Times New Roman" w:eastAsia="Times New Roman" w:hAnsi="Times New Roman" w:cs="Times New Roman"/>
          <w:sz w:val="24"/>
          <w:szCs w:val="24"/>
          <w:lang w:eastAsia="en-GB"/>
        </w:rPr>
        <w:t>Chromobacterium</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violaceum</w:t>
      </w:r>
      <w:proofErr w:type="spellEnd"/>
      <w:r w:rsidRPr="00336B42">
        <w:rPr>
          <w:rFonts w:ascii="Times New Roman" w:eastAsia="Times New Roman" w:hAnsi="Times New Roman" w:cs="Times New Roman"/>
          <w:sz w:val="24"/>
          <w:szCs w:val="24"/>
          <w:lang w:eastAsia="en-GB"/>
        </w:rPr>
        <w:t>, which produces a visible violet pigment under quorum-sensing control, allow rapid colorimetric screening for quorum-quenching activity, while reverse-transcription polymerase chain reaction or reporter-gene fusions are used to confirm downregulation of specific quorum-sensing regulatory genes (Ahmed et al., 2019).</w:t>
      </w:r>
    </w:p>
    <w:p w14:paraId="487D152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Ahmed et al. (2019) demonstrated that two naturally occurring plant compounds, trans-cinnamaldehyde and salicylic acid, significantly downregulated expression of the las and </w:t>
      </w:r>
      <w:proofErr w:type="spellStart"/>
      <w:r w:rsidRPr="00336B42">
        <w:rPr>
          <w:rFonts w:ascii="Times New Roman" w:eastAsia="Times New Roman" w:hAnsi="Times New Roman" w:cs="Times New Roman"/>
          <w:sz w:val="24"/>
          <w:szCs w:val="24"/>
          <w:lang w:eastAsia="en-GB"/>
        </w:rPr>
        <w:t>rhl</w:t>
      </w:r>
      <w:proofErr w:type="spellEnd"/>
      <w:r w:rsidRPr="00336B42">
        <w:rPr>
          <w:rFonts w:ascii="Times New Roman" w:eastAsia="Times New Roman" w:hAnsi="Times New Roman" w:cs="Times New Roman"/>
          <w:sz w:val="24"/>
          <w:szCs w:val="24"/>
          <w:lang w:eastAsia="en-GB"/>
        </w:rPr>
        <w:t xml:space="preserve"> quorum-sensing systems in Pseudomonas aeruginosa at sub-inhibitory concentrations, with corresponding reductions in extracellular protease, elastase and pyocyanin production, and without any accompanying bactericidal effect, a signature considered characteristic of a genuine anti-virulence mechanism rather than simple growth inhibition. Maisuria et al. (2016) extended this approach to a whole-organism infection model, showing that cranberry-derived proanthocyanidins reduced production of quorum-sensing signalling molecules, inhibited the </w:t>
      </w:r>
      <w:proofErr w:type="spellStart"/>
      <w:r w:rsidRPr="00336B42">
        <w:rPr>
          <w:rFonts w:ascii="Times New Roman" w:eastAsia="Times New Roman" w:hAnsi="Times New Roman" w:cs="Times New Roman"/>
          <w:sz w:val="24"/>
          <w:szCs w:val="24"/>
          <w:lang w:eastAsia="en-GB"/>
        </w:rPr>
        <w:t>LasI</w:t>
      </w:r>
      <w:proofErr w:type="spellEnd"/>
      <w:r w:rsidRPr="00336B42">
        <w:rPr>
          <w:rFonts w:ascii="Times New Roman" w:eastAsia="Times New Roman" w:hAnsi="Times New Roman" w:cs="Times New Roman"/>
          <w:sz w:val="24"/>
          <w:szCs w:val="24"/>
          <w:lang w:eastAsia="en-GB"/>
        </w:rPr>
        <w:t xml:space="preserve"> and </w:t>
      </w:r>
      <w:proofErr w:type="spellStart"/>
      <w:r w:rsidRPr="00336B42">
        <w:rPr>
          <w:rFonts w:ascii="Times New Roman" w:eastAsia="Times New Roman" w:hAnsi="Times New Roman" w:cs="Times New Roman"/>
          <w:sz w:val="24"/>
          <w:szCs w:val="24"/>
          <w:lang w:eastAsia="en-GB"/>
        </w:rPr>
        <w:t>RhlI</w:t>
      </w:r>
      <w:proofErr w:type="spellEnd"/>
      <w:r w:rsidRPr="00336B42">
        <w:rPr>
          <w:rFonts w:ascii="Times New Roman" w:eastAsia="Times New Roman" w:hAnsi="Times New Roman" w:cs="Times New Roman"/>
          <w:sz w:val="24"/>
          <w:szCs w:val="24"/>
          <w:lang w:eastAsia="en-GB"/>
        </w:rPr>
        <w:t xml:space="preserve"> autoinducer synthase genes and antagonised the </w:t>
      </w:r>
      <w:proofErr w:type="spellStart"/>
      <w:r w:rsidRPr="00336B42">
        <w:rPr>
          <w:rFonts w:ascii="Times New Roman" w:eastAsia="Times New Roman" w:hAnsi="Times New Roman" w:cs="Times New Roman"/>
          <w:sz w:val="24"/>
          <w:szCs w:val="24"/>
          <w:lang w:eastAsia="en-GB"/>
        </w:rPr>
        <w:t>LasR</w:t>
      </w:r>
      <w:proofErr w:type="spellEnd"/>
      <w:r w:rsidRPr="00336B42">
        <w:rPr>
          <w:rFonts w:ascii="Times New Roman" w:eastAsia="Times New Roman" w:hAnsi="Times New Roman" w:cs="Times New Roman"/>
          <w:sz w:val="24"/>
          <w:szCs w:val="24"/>
          <w:lang w:eastAsia="en-GB"/>
        </w:rPr>
        <w:t xml:space="preserve"> and </w:t>
      </w:r>
      <w:proofErr w:type="spellStart"/>
      <w:r w:rsidRPr="00336B42">
        <w:rPr>
          <w:rFonts w:ascii="Times New Roman" w:eastAsia="Times New Roman" w:hAnsi="Times New Roman" w:cs="Times New Roman"/>
          <w:sz w:val="24"/>
          <w:szCs w:val="24"/>
          <w:lang w:eastAsia="en-GB"/>
        </w:rPr>
        <w:t>RhlR</w:t>
      </w:r>
      <w:proofErr w:type="spellEnd"/>
      <w:r w:rsidRPr="00336B42">
        <w:rPr>
          <w:rFonts w:ascii="Times New Roman" w:eastAsia="Times New Roman" w:hAnsi="Times New Roman" w:cs="Times New Roman"/>
          <w:sz w:val="24"/>
          <w:szCs w:val="24"/>
          <w:lang w:eastAsia="en-GB"/>
        </w:rPr>
        <w:t xml:space="preserve"> transcriptional regulators, and protected Drosophila melanogaster from otherwise lethal Pseudomonas aeruginosa infection, an experimental design that links in vitro quorum-quenching data to a measurable survival benefit. D'Aquila et al. (2023) applied a comparable screening framework across essential oils from five different plant families, evaluating bacterial growth, biofilm formation and quorum sensing in parallel in </w:t>
      </w:r>
      <w:proofErr w:type="spellStart"/>
      <w:r w:rsidRPr="00336B42">
        <w:rPr>
          <w:rFonts w:ascii="Times New Roman" w:eastAsia="Times New Roman" w:hAnsi="Times New Roman" w:cs="Times New Roman"/>
          <w:sz w:val="24"/>
          <w:szCs w:val="24"/>
          <w:lang w:eastAsia="en-GB"/>
        </w:rPr>
        <w:t>Chromobacterium</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violaceum</w:t>
      </w:r>
      <w:proofErr w:type="spellEnd"/>
      <w:r w:rsidRPr="00336B42">
        <w:rPr>
          <w:rFonts w:ascii="Times New Roman" w:eastAsia="Times New Roman" w:hAnsi="Times New Roman" w:cs="Times New Roman"/>
          <w:sz w:val="24"/>
          <w:szCs w:val="24"/>
          <w:lang w:eastAsia="en-GB"/>
        </w:rPr>
        <w:t xml:space="preserve">, Pseudomonas aeruginosa and Enterococcus faecalis; among the ten oils tested, Origanum vulgare and Foeniculum vulgare produced the most pronounced inhibition of bacterial growth in </w:t>
      </w:r>
      <w:proofErr w:type="spellStart"/>
      <w:r w:rsidRPr="00336B42">
        <w:rPr>
          <w:rFonts w:ascii="Times New Roman" w:eastAsia="Times New Roman" w:hAnsi="Times New Roman" w:cs="Times New Roman"/>
          <w:sz w:val="24"/>
          <w:szCs w:val="24"/>
          <w:lang w:eastAsia="en-GB"/>
        </w:rPr>
        <w:t>Chromobacterium</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violaceum</w:t>
      </w:r>
      <w:proofErr w:type="spellEnd"/>
      <w:r w:rsidRPr="00336B42">
        <w:rPr>
          <w:rFonts w:ascii="Times New Roman" w:eastAsia="Times New Roman" w:hAnsi="Times New Roman" w:cs="Times New Roman"/>
          <w:sz w:val="24"/>
          <w:szCs w:val="24"/>
          <w:lang w:eastAsia="en-GB"/>
        </w:rPr>
        <w:t xml:space="preserve"> and Enterococcus faecalis specifically, illustrating that a single screening panel can usefully separate growth-inhibitory from virulence-modifying activity within one experimental design.</w:t>
      </w:r>
    </w:p>
    <w:p w14:paraId="01A0C9AB"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10. Mechanistic Elucidation of Antimicrobial Action</w:t>
      </w:r>
    </w:p>
    <w:p w14:paraId="10655275"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Demonstrating that a plant extract inhibits microbial growth is only the first step in characterising its therapeutic potential; understanding the underlying mechanism of action strengthens the case for further development and assists in anticipating potential resistance development. Plant secondary metabolites exert antimicrobial effects through a diverse range of mechanisms, including disruption of bacterial membrane integrity, inhibition of efflux pump function, interference with nucleic acid or protein synthesis, and inhibition of the quorum-sensing systems discussed in Section 9 (</w:t>
      </w:r>
      <w:proofErr w:type="spellStart"/>
      <w:r w:rsidRPr="00336B42">
        <w:rPr>
          <w:rFonts w:ascii="Times New Roman" w:eastAsia="Times New Roman" w:hAnsi="Times New Roman" w:cs="Times New Roman"/>
          <w:sz w:val="24"/>
          <w:szCs w:val="24"/>
          <w:lang w:eastAsia="en-GB"/>
        </w:rPr>
        <w:t>Khameneh</w:t>
      </w:r>
      <w:proofErr w:type="spellEnd"/>
      <w:r w:rsidRPr="00336B42">
        <w:rPr>
          <w:rFonts w:ascii="Times New Roman" w:eastAsia="Times New Roman" w:hAnsi="Times New Roman" w:cs="Times New Roman"/>
          <w:sz w:val="24"/>
          <w:szCs w:val="24"/>
          <w:lang w:eastAsia="en-GB"/>
        </w:rPr>
        <w:t xml:space="preserve"> et al., 2019). Alkaloids have frequently been associated with inhibition of bacterial efflux pumps, while polyphenolic constituents such as flavonoids and tannins are more commonly linked to alterations in membrane permeability and inhibition of bacterial enzymes through hydrogen-bonding </w:t>
      </w:r>
      <w:r w:rsidRPr="00336B42">
        <w:rPr>
          <w:rFonts w:ascii="Times New Roman" w:eastAsia="Times New Roman" w:hAnsi="Times New Roman" w:cs="Times New Roman"/>
          <w:sz w:val="24"/>
          <w:szCs w:val="24"/>
          <w:lang w:eastAsia="en-GB"/>
        </w:rPr>
        <w:lastRenderedPageBreak/>
        <w:t xml:space="preserve">interactions (Jubair et al., 2021). Techniques used to investigate these mechanisms include measurement of potassium ion or nucleic acid leakage as an index of membrane damage, scanning and transmission electron microscopy to visualise morphological alteration of the bacterial cell envelope, and assays of intracellular adenosine triphosphate concentration as a proxy for metabolic disruption. Tsamo et al. (2021) illustrated this mechanistic approach in their evaluation of secondary metabolites from Trifolium </w:t>
      </w:r>
      <w:proofErr w:type="spellStart"/>
      <w:r w:rsidRPr="00336B42">
        <w:rPr>
          <w:rFonts w:ascii="Times New Roman" w:eastAsia="Times New Roman" w:hAnsi="Times New Roman" w:cs="Times New Roman"/>
          <w:sz w:val="24"/>
          <w:szCs w:val="24"/>
          <w:lang w:eastAsia="en-GB"/>
        </w:rPr>
        <w:t>baccarinii</w:t>
      </w:r>
      <w:proofErr w:type="spellEnd"/>
      <w:r w:rsidRPr="00336B42">
        <w:rPr>
          <w:rFonts w:ascii="Times New Roman" w:eastAsia="Times New Roman" w:hAnsi="Times New Roman" w:cs="Times New Roman"/>
          <w:sz w:val="24"/>
          <w:szCs w:val="24"/>
          <w:lang w:eastAsia="en-GB"/>
        </w:rPr>
        <w:t>, employing bacterial lysis and salt-tolerance assays alongside antioxidant enzyme measurements to characterise the mode of antibacterial action of the isolated compounds. Notwithstanding this expanding mechanistic literature, Jubair et al. (2021) observe that the precise mechanism of action remains undetermined for a substantial proportion of reported plant antimicrobials, reflecting the resource-intensive nature of mechanistic studies relative to simple susceptibility testing.</w:t>
      </w:r>
    </w:p>
    <w:p w14:paraId="1A1901DD"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11. Cytotoxicity, Safety and Selectivity Assessment</w:t>
      </w:r>
    </w:p>
    <w:p w14:paraId="4C693278"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 plant extract of genuine therapeutic interest must additionally demonstrate an acceptable safety profile, yet cytotoxicity testing is frequently omitted or conducted only cursorily in the published literature. The brine shrimp lethality assay, using nauplii of Artemia salina exposed to a range of extract concentrations for twenty-four hours, offers a rapid, low-cost and equipment-light preliminary indication of general toxicity, with median lethal concentration values above one milligram per millilitre generally considered indicative of low toxicity. The tetrazolium-based colorimetric assay, applied to mammalian cell lines, provides a more physiologically relevant measure of cytotoxicity and is increasingly used alongside the brine shrimp assay to strengthen confidence in a preliminary safety assessment. Ghuman et al. (2016) applied both assays in parallel to eleven South African medicinal plants used traditionally for wound healing, reporting survival rates of ninety to one hundred per cent in the brine shrimp assay and median lethal concentration values exceeding one milligram per millilitre in the tetrazolium-based assay for all extracts tested, supporting the traditional use of these species while illustrating the value of combining complementary cytotoxicity endpoints.</w:t>
      </w:r>
    </w:p>
    <w:p w14:paraId="7AC20A1B"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Cushnie et al. (2020) argue that the selectivity index, expressed as the ratio of the cytotoxic concentration to the minimum inhibitory concentration, should be calculated routinely and used, alongside the absolute minimum inhibitory concentration value, as the primary criterion for deciding whether an extract or isolated compound merits further development. A high antimicrobial potency accompanied by a low selectivity index offers limited therapeutic promise, since equivalent toxicity toward host cells is likely to accompany any dose sufficient to inhibit the pathogen, and the same review catalogues a series of avoidable pitfalls in extract dissolution and vehicle-control design that can otherwise produce spuriously favourable selectivity estimates.</w:t>
      </w:r>
    </w:p>
    <w:p w14:paraId="010AB489"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12. Case Studies Across Plant Families</w:t>
      </w:r>
    </w:p>
    <w:p w14:paraId="12BC8FAA"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Comparing methodologically similar studies conducted on different plant families illustrates both the consistency of the core experimental pipeline described above and the extent to which family-specific chemistry shapes the choice of extraction and testing method. Members of the </w:t>
      </w:r>
      <w:proofErr w:type="spellStart"/>
      <w:r w:rsidRPr="00336B42">
        <w:rPr>
          <w:rFonts w:ascii="Times New Roman" w:eastAsia="Times New Roman" w:hAnsi="Times New Roman" w:cs="Times New Roman"/>
          <w:sz w:val="24"/>
          <w:szCs w:val="24"/>
          <w:lang w:eastAsia="en-GB"/>
        </w:rPr>
        <w:t>Lamiaceae</w:t>
      </w:r>
      <w:proofErr w:type="spellEnd"/>
      <w:r w:rsidRPr="00336B42">
        <w:rPr>
          <w:rFonts w:ascii="Times New Roman" w:eastAsia="Times New Roman" w:hAnsi="Times New Roman" w:cs="Times New Roman"/>
          <w:sz w:val="24"/>
          <w:szCs w:val="24"/>
          <w:lang w:eastAsia="en-GB"/>
        </w:rPr>
        <w:t xml:space="preserve">, a family rich in volatile monoterpenes, are most commonly evaluated using </w:t>
      </w:r>
      <w:proofErr w:type="spellStart"/>
      <w:r w:rsidRPr="00336B42">
        <w:rPr>
          <w:rFonts w:ascii="Times New Roman" w:eastAsia="Times New Roman" w:hAnsi="Times New Roman" w:cs="Times New Roman"/>
          <w:sz w:val="24"/>
          <w:szCs w:val="24"/>
          <w:lang w:eastAsia="en-GB"/>
        </w:rPr>
        <w:t>hydrodistillation</w:t>
      </w:r>
      <w:proofErr w:type="spellEnd"/>
      <w:r w:rsidRPr="00336B42">
        <w:rPr>
          <w:rFonts w:ascii="Times New Roman" w:eastAsia="Times New Roman" w:hAnsi="Times New Roman" w:cs="Times New Roman"/>
          <w:sz w:val="24"/>
          <w:szCs w:val="24"/>
          <w:lang w:eastAsia="en-GB"/>
        </w:rPr>
        <w:t xml:space="preserve"> to obtain essential oils, followed by broth microdilution against bacteria and fungi. </w:t>
      </w:r>
      <w:proofErr w:type="spellStart"/>
      <w:r w:rsidRPr="00336B42">
        <w:rPr>
          <w:rFonts w:ascii="Times New Roman" w:eastAsia="Times New Roman" w:hAnsi="Times New Roman" w:cs="Times New Roman"/>
          <w:sz w:val="24"/>
          <w:szCs w:val="24"/>
          <w:lang w:eastAsia="en-GB"/>
        </w:rPr>
        <w:t>Ghavam</w:t>
      </w:r>
      <w:proofErr w:type="spellEnd"/>
      <w:r w:rsidRPr="00336B42">
        <w:rPr>
          <w:rFonts w:ascii="Times New Roman" w:eastAsia="Times New Roman" w:hAnsi="Times New Roman" w:cs="Times New Roman"/>
          <w:sz w:val="24"/>
          <w:szCs w:val="24"/>
          <w:lang w:eastAsia="en-GB"/>
        </w:rPr>
        <w:t xml:space="preserve"> et al. (2022) applied this pipeline to four Iranian </w:t>
      </w:r>
      <w:proofErr w:type="spellStart"/>
      <w:r w:rsidRPr="00336B42">
        <w:rPr>
          <w:rFonts w:ascii="Times New Roman" w:eastAsia="Times New Roman" w:hAnsi="Times New Roman" w:cs="Times New Roman"/>
          <w:sz w:val="24"/>
          <w:szCs w:val="24"/>
          <w:lang w:eastAsia="en-GB"/>
        </w:rPr>
        <w:t>Lamiaceae</w:t>
      </w:r>
      <w:proofErr w:type="spellEnd"/>
      <w:r w:rsidRPr="00336B42">
        <w:rPr>
          <w:rFonts w:ascii="Times New Roman" w:eastAsia="Times New Roman" w:hAnsi="Times New Roman" w:cs="Times New Roman"/>
          <w:sz w:val="24"/>
          <w:szCs w:val="24"/>
          <w:lang w:eastAsia="en-GB"/>
        </w:rPr>
        <w:t xml:space="preserve"> species, obtaining two distinct kinds of finding depending on the endpoint used: by inhibition-zone diameter, the essential oil of Thymus </w:t>
      </w:r>
      <w:proofErr w:type="spellStart"/>
      <w:r w:rsidRPr="00336B42">
        <w:rPr>
          <w:rFonts w:ascii="Times New Roman" w:eastAsia="Times New Roman" w:hAnsi="Times New Roman" w:cs="Times New Roman"/>
          <w:sz w:val="24"/>
          <w:szCs w:val="24"/>
          <w:lang w:eastAsia="en-GB"/>
        </w:rPr>
        <w:t>daenensis</w:t>
      </w:r>
      <w:proofErr w:type="spellEnd"/>
      <w:r w:rsidRPr="00336B42">
        <w:rPr>
          <w:rFonts w:ascii="Times New Roman" w:eastAsia="Times New Roman" w:hAnsi="Times New Roman" w:cs="Times New Roman"/>
          <w:sz w:val="24"/>
          <w:szCs w:val="24"/>
          <w:lang w:eastAsia="en-GB"/>
        </w:rPr>
        <w:t xml:space="preserve"> produced the largest zones </w:t>
      </w:r>
      <w:r w:rsidRPr="00336B42">
        <w:rPr>
          <w:rFonts w:ascii="Times New Roman" w:eastAsia="Times New Roman" w:hAnsi="Times New Roman" w:cs="Times New Roman"/>
          <w:sz w:val="24"/>
          <w:szCs w:val="24"/>
          <w:lang w:eastAsia="en-GB"/>
        </w:rPr>
        <w:lastRenderedPageBreak/>
        <w:t xml:space="preserve">against the Gram-positive bacterium Staphylococcus aureus and the fungus Aspergillus </w:t>
      </w:r>
      <w:proofErr w:type="spellStart"/>
      <w:r w:rsidRPr="00336B42">
        <w:rPr>
          <w:rFonts w:ascii="Times New Roman" w:eastAsia="Times New Roman" w:hAnsi="Times New Roman" w:cs="Times New Roman"/>
          <w:sz w:val="24"/>
          <w:szCs w:val="24"/>
          <w:lang w:eastAsia="en-GB"/>
        </w:rPr>
        <w:t>brasiliensis</w:t>
      </w:r>
      <w:proofErr w:type="spellEnd"/>
      <w:r w:rsidRPr="00336B42">
        <w:rPr>
          <w:rFonts w:ascii="Times New Roman" w:eastAsia="Times New Roman" w:hAnsi="Times New Roman" w:cs="Times New Roman"/>
          <w:sz w:val="24"/>
          <w:szCs w:val="24"/>
          <w:lang w:eastAsia="en-GB"/>
        </w:rPr>
        <w:t xml:space="preserve">, whereas by minimum inhibitory concentration, the oils of </w:t>
      </w:r>
      <w:proofErr w:type="spellStart"/>
      <w:r w:rsidRPr="00336B42">
        <w:rPr>
          <w:rFonts w:ascii="Times New Roman" w:eastAsia="Times New Roman" w:hAnsi="Times New Roman" w:cs="Times New Roman"/>
          <w:sz w:val="24"/>
          <w:szCs w:val="24"/>
          <w:lang w:eastAsia="en-GB"/>
        </w:rPr>
        <w:t>Hymenocrater</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incanus</w:t>
      </w:r>
      <w:proofErr w:type="spellEnd"/>
      <w:r w:rsidRPr="00336B42">
        <w:rPr>
          <w:rFonts w:ascii="Times New Roman" w:eastAsia="Times New Roman" w:hAnsi="Times New Roman" w:cs="Times New Roman"/>
          <w:sz w:val="24"/>
          <w:szCs w:val="24"/>
          <w:lang w:eastAsia="en-GB"/>
        </w:rPr>
        <w:t xml:space="preserve"> and Stachys inflata were the most potent specifically against the Gram-negative bacterium Pseudomonas aeruginosa. This distinction is a useful reminder that "most active" can mean different things depending on which endpoint a study reports, and that inhibition-zone and minimum-inhibitory-concentration rankings need not agree. Potente et al. (2020) reviewed the anti-Candida activity of </w:t>
      </w:r>
      <w:proofErr w:type="spellStart"/>
      <w:r w:rsidRPr="00336B42">
        <w:rPr>
          <w:rFonts w:ascii="Times New Roman" w:eastAsia="Times New Roman" w:hAnsi="Times New Roman" w:cs="Times New Roman"/>
          <w:sz w:val="24"/>
          <w:szCs w:val="24"/>
          <w:lang w:eastAsia="en-GB"/>
        </w:rPr>
        <w:t>Lamiaceae</w:t>
      </w:r>
      <w:proofErr w:type="spellEnd"/>
      <w:r w:rsidRPr="00336B42">
        <w:rPr>
          <w:rFonts w:ascii="Times New Roman" w:eastAsia="Times New Roman" w:hAnsi="Times New Roman" w:cs="Times New Roman"/>
          <w:sz w:val="24"/>
          <w:szCs w:val="24"/>
          <w:lang w:eastAsia="en-GB"/>
        </w:rPr>
        <w:t xml:space="preserve"> essential oils more broadly, noting that beyond straightforward growth inhibition, several oils also reduced expression of Candida virulence factors such as the yeast-to-hyphal transition and biofilm formation, echoing the anti-virulence framework described for bacteria in Section 9.</w:t>
      </w:r>
    </w:p>
    <w:p w14:paraId="66E02075"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By contrast, </w:t>
      </w:r>
      <w:proofErr w:type="spellStart"/>
      <w:r w:rsidRPr="00336B42">
        <w:rPr>
          <w:rFonts w:ascii="Times New Roman" w:eastAsia="Times New Roman" w:hAnsi="Times New Roman" w:cs="Times New Roman"/>
          <w:sz w:val="24"/>
          <w:szCs w:val="24"/>
          <w:lang w:eastAsia="en-GB"/>
        </w:rPr>
        <w:t>Obistioiu</w:t>
      </w:r>
      <w:proofErr w:type="spellEnd"/>
      <w:r w:rsidRPr="00336B42">
        <w:rPr>
          <w:rFonts w:ascii="Times New Roman" w:eastAsia="Times New Roman" w:hAnsi="Times New Roman" w:cs="Times New Roman"/>
          <w:sz w:val="24"/>
          <w:szCs w:val="24"/>
          <w:lang w:eastAsia="en-GB"/>
        </w:rPr>
        <w:t xml:space="preserve"> et al. (2021) evaluated four Fabaceae species using conventional hydroalcoholic rather than volatile-oil extraction, reflecting the family's characteristic phenolic and flavonoid chemistry, and identified activity against a panel of both bacterial and fungal test organisms including Staphylococcus aureus, Escherichia coli and Candida species, with the specific phenolic constituents responsible for activity identified by chromatographic analysis. Tsamo et al. (2021) similarly worked within the Fabaceae, using organic solvent maceration of Trifolium </w:t>
      </w:r>
      <w:proofErr w:type="spellStart"/>
      <w:r w:rsidRPr="00336B42">
        <w:rPr>
          <w:rFonts w:ascii="Times New Roman" w:eastAsia="Times New Roman" w:hAnsi="Times New Roman" w:cs="Times New Roman"/>
          <w:sz w:val="24"/>
          <w:szCs w:val="24"/>
          <w:lang w:eastAsia="en-GB"/>
        </w:rPr>
        <w:t>baccarinii</w:t>
      </w:r>
      <w:proofErr w:type="spellEnd"/>
      <w:r w:rsidRPr="00336B42">
        <w:rPr>
          <w:rFonts w:ascii="Times New Roman" w:eastAsia="Times New Roman" w:hAnsi="Times New Roman" w:cs="Times New Roman"/>
          <w:sz w:val="24"/>
          <w:szCs w:val="24"/>
          <w:lang w:eastAsia="en-GB"/>
        </w:rPr>
        <w:t xml:space="preserve"> to obtain extracts subsequently evaluated by broth microdilution and mechanistic lysis assays. Taken together, these family-level comparisons demonstrate that the choice of extraction technique is not arbitrary but should be informed by the predominant secondary metabolite chemistry expected within a given plant family, a consideration too rarely made explicit in the methods sections of individual primary studies. Table 5 summarises these five illustrative case studies.</w:t>
      </w:r>
    </w:p>
    <w:p w14:paraId="3F4A1A95"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5. Illustrative case studies of the experimental pipeline applied within specific plant families</w:t>
      </w:r>
    </w:p>
    <w:tbl>
      <w:tblPr>
        <w:tblStyle w:val="TableGrid"/>
        <w:tblW w:w="0" w:type="auto"/>
        <w:tblLook w:val="04A0" w:firstRow="1" w:lastRow="0" w:firstColumn="1" w:lastColumn="0" w:noHBand="0" w:noVBand="1"/>
      </w:tblPr>
      <w:tblGrid>
        <w:gridCol w:w="1382"/>
        <w:gridCol w:w="1871"/>
        <w:gridCol w:w="2555"/>
        <w:gridCol w:w="2158"/>
        <w:gridCol w:w="1276"/>
      </w:tblGrid>
      <w:tr w:rsidR="00336B42" w:rsidRPr="00336B42" w14:paraId="5D258A30" w14:textId="77777777" w:rsidTr="00336B42">
        <w:tc>
          <w:tcPr>
            <w:tcW w:w="0" w:type="auto"/>
            <w:hideMark/>
          </w:tcPr>
          <w:p w14:paraId="18EAA1D8"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Plant family</w:t>
            </w:r>
          </w:p>
        </w:tc>
        <w:tc>
          <w:tcPr>
            <w:tcW w:w="0" w:type="auto"/>
            <w:hideMark/>
          </w:tcPr>
          <w:p w14:paraId="7C4F9B87"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Extraction approach used</w:t>
            </w:r>
          </w:p>
        </w:tc>
        <w:tc>
          <w:tcPr>
            <w:tcW w:w="0" w:type="auto"/>
            <w:hideMark/>
          </w:tcPr>
          <w:p w14:paraId="150E95DD"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Principal testing methods</w:t>
            </w:r>
          </w:p>
        </w:tc>
        <w:tc>
          <w:tcPr>
            <w:tcW w:w="0" w:type="auto"/>
            <w:hideMark/>
          </w:tcPr>
          <w:p w14:paraId="6B97F0A9"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Key finding</w:t>
            </w:r>
          </w:p>
        </w:tc>
        <w:tc>
          <w:tcPr>
            <w:tcW w:w="0" w:type="auto"/>
            <w:hideMark/>
          </w:tcPr>
          <w:p w14:paraId="3EF87822" w14:textId="77777777" w:rsidR="00336B42" w:rsidRPr="00336B42" w:rsidRDefault="00336B42" w:rsidP="00336B42">
            <w:pPr>
              <w:jc w:val="center"/>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references</w:t>
            </w:r>
          </w:p>
        </w:tc>
      </w:tr>
      <w:tr w:rsidR="00336B42" w:rsidRPr="00336B42" w14:paraId="1C3A5709" w14:textId="77777777" w:rsidTr="00336B42">
        <w:tc>
          <w:tcPr>
            <w:tcW w:w="0" w:type="auto"/>
            <w:hideMark/>
          </w:tcPr>
          <w:p w14:paraId="04334B7A"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Lamiaceae</w:t>
            </w:r>
            <w:proofErr w:type="spellEnd"/>
          </w:p>
        </w:tc>
        <w:tc>
          <w:tcPr>
            <w:tcW w:w="0" w:type="auto"/>
            <w:hideMark/>
          </w:tcPr>
          <w:p w14:paraId="3EE33A59"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Hydrodistillation</w:t>
            </w:r>
            <w:proofErr w:type="spellEnd"/>
            <w:r w:rsidRPr="00336B42">
              <w:rPr>
                <w:rFonts w:ascii="Times New Roman" w:eastAsia="Times New Roman" w:hAnsi="Times New Roman" w:cs="Times New Roman"/>
                <w:sz w:val="24"/>
                <w:szCs w:val="24"/>
                <w:lang w:eastAsia="en-GB"/>
              </w:rPr>
              <w:t xml:space="preserve"> (essential oil)</w:t>
            </w:r>
          </w:p>
        </w:tc>
        <w:tc>
          <w:tcPr>
            <w:tcW w:w="0" w:type="auto"/>
            <w:hideMark/>
          </w:tcPr>
          <w:p w14:paraId="2E42368F"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Broth microdilution; disc/zone diffusion</w:t>
            </w:r>
          </w:p>
        </w:tc>
        <w:tc>
          <w:tcPr>
            <w:tcW w:w="0" w:type="auto"/>
            <w:hideMark/>
          </w:tcPr>
          <w:p w14:paraId="3D33D7B4"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Zone-based ranking (T. </w:t>
            </w:r>
            <w:proofErr w:type="spellStart"/>
            <w:r w:rsidRPr="00336B42">
              <w:rPr>
                <w:rFonts w:ascii="Times New Roman" w:eastAsia="Times New Roman" w:hAnsi="Times New Roman" w:cs="Times New Roman"/>
                <w:sz w:val="24"/>
                <w:szCs w:val="24"/>
                <w:lang w:eastAsia="en-GB"/>
              </w:rPr>
              <w:t>daenensis</w:t>
            </w:r>
            <w:proofErr w:type="spellEnd"/>
            <w:r w:rsidRPr="00336B42">
              <w:rPr>
                <w:rFonts w:ascii="Times New Roman" w:eastAsia="Times New Roman" w:hAnsi="Times New Roman" w:cs="Times New Roman"/>
                <w:sz w:val="24"/>
                <w:szCs w:val="24"/>
                <w:lang w:eastAsia="en-GB"/>
              </w:rPr>
              <w:t xml:space="preserve"> strongest vs. S. aureus/A. </w:t>
            </w:r>
            <w:proofErr w:type="spellStart"/>
            <w:r w:rsidRPr="00336B42">
              <w:rPr>
                <w:rFonts w:ascii="Times New Roman" w:eastAsia="Times New Roman" w:hAnsi="Times New Roman" w:cs="Times New Roman"/>
                <w:sz w:val="24"/>
                <w:szCs w:val="24"/>
                <w:lang w:eastAsia="en-GB"/>
              </w:rPr>
              <w:t>brasiliensis</w:t>
            </w:r>
            <w:proofErr w:type="spellEnd"/>
            <w:r w:rsidRPr="00336B42">
              <w:rPr>
                <w:rFonts w:ascii="Times New Roman" w:eastAsia="Times New Roman" w:hAnsi="Times New Roman" w:cs="Times New Roman"/>
                <w:sz w:val="24"/>
                <w:szCs w:val="24"/>
                <w:lang w:eastAsia="en-GB"/>
              </w:rPr>
              <w:t xml:space="preserve">) diverged from MIC-based ranking (H. </w:t>
            </w:r>
            <w:proofErr w:type="spellStart"/>
            <w:r w:rsidRPr="00336B42">
              <w:rPr>
                <w:rFonts w:ascii="Times New Roman" w:eastAsia="Times New Roman" w:hAnsi="Times New Roman" w:cs="Times New Roman"/>
                <w:sz w:val="24"/>
                <w:szCs w:val="24"/>
                <w:lang w:eastAsia="en-GB"/>
              </w:rPr>
              <w:t>incanus</w:t>
            </w:r>
            <w:proofErr w:type="spellEnd"/>
            <w:r w:rsidRPr="00336B42">
              <w:rPr>
                <w:rFonts w:ascii="Times New Roman" w:eastAsia="Times New Roman" w:hAnsi="Times New Roman" w:cs="Times New Roman"/>
                <w:sz w:val="24"/>
                <w:szCs w:val="24"/>
                <w:lang w:eastAsia="en-GB"/>
              </w:rPr>
              <w:t>/S. inflata strongest vs. P. aeruginosa)</w:t>
            </w:r>
          </w:p>
        </w:tc>
        <w:tc>
          <w:tcPr>
            <w:tcW w:w="0" w:type="auto"/>
            <w:hideMark/>
          </w:tcPr>
          <w:p w14:paraId="08E6E05F"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Ghavam</w:t>
            </w:r>
            <w:proofErr w:type="spellEnd"/>
            <w:r w:rsidRPr="00336B42">
              <w:rPr>
                <w:rFonts w:ascii="Times New Roman" w:eastAsia="Times New Roman" w:hAnsi="Times New Roman" w:cs="Times New Roman"/>
                <w:sz w:val="24"/>
                <w:szCs w:val="24"/>
                <w:lang w:eastAsia="en-GB"/>
              </w:rPr>
              <w:t xml:space="preserve"> et al. (2022)</w:t>
            </w:r>
          </w:p>
        </w:tc>
      </w:tr>
      <w:tr w:rsidR="00336B42" w:rsidRPr="00336B42" w14:paraId="2A94D658" w14:textId="77777777" w:rsidTr="00336B42">
        <w:tc>
          <w:tcPr>
            <w:tcW w:w="0" w:type="auto"/>
            <w:hideMark/>
          </w:tcPr>
          <w:p w14:paraId="0529A26E"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Lamiaceae</w:t>
            </w:r>
            <w:proofErr w:type="spellEnd"/>
          </w:p>
        </w:tc>
        <w:tc>
          <w:tcPr>
            <w:tcW w:w="0" w:type="auto"/>
            <w:hideMark/>
          </w:tcPr>
          <w:p w14:paraId="2949053E"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Hydrodistillation</w:t>
            </w:r>
            <w:proofErr w:type="spellEnd"/>
            <w:r w:rsidRPr="00336B42">
              <w:rPr>
                <w:rFonts w:ascii="Times New Roman" w:eastAsia="Times New Roman" w:hAnsi="Times New Roman" w:cs="Times New Roman"/>
                <w:sz w:val="24"/>
                <w:szCs w:val="24"/>
                <w:lang w:eastAsia="en-GB"/>
              </w:rPr>
              <w:t xml:space="preserve"> (essential oil)</w:t>
            </w:r>
          </w:p>
        </w:tc>
        <w:tc>
          <w:tcPr>
            <w:tcW w:w="0" w:type="auto"/>
            <w:hideMark/>
          </w:tcPr>
          <w:p w14:paraId="715AE699"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Growth inhibition plus virulence-factor assays</w:t>
            </w:r>
          </w:p>
        </w:tc>
        <w:tc>
          <w:tcPr>
            <w:tcW w:w="0" w:type="auto"/>
            <w:hideMark/>
          </w:tcPr>
          <w:p w14:paraId="474D7BEF"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Oils reduce Candida yeast-to-hyphal transition and biofilm formation, not only growth</w:t>
            </w:r>
          </w:p>
        </w:tc>
        <w:tc>
          <w:tcPr>
            <w:tcW w:w="0" w:type="auto"/>
            <w:hideMark/>
          </w:tcPr>
          <w:p w14:paraId="02985F83"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Potente et al. (2020)</w:t>
            </w:r>
          </w:p>
        </w:tc>
      </w:tr>
      <w:tr w:rsidR="00336B42" w:rsidRPr="00336B42" w14:paraId="74C3F4A2" w14:textId="77777777" w:rsidTr="00336B42">
        <w:tc>
          <w:tcPr>
            <w:tcW w:w="0" w:type="auto"/>
            <w:hideMark/>
          </w:tcPr>
          <w:p w14:paraId="2AEFB8D3"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Fabaceae</w:t>
            </w:r>
          </w:p>
        </w:tc>
        <w:tc>
          <w:tcPr>
            <w:tcW w:w="0" w:type="auto"/>
            <w:hideMark/>
          </w:tcPr>
          <w:p w14:paraId="499252BD"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Conventional hydroalcoholic extraction</w:t>
            </w:r>
          </w:p>
        </w:tc>
        <w:tc>
          <w:tcPr>
            <w:tcW w:w="0" w:type="auto"/>
            <w:hideMark/>
          </w:tcPr>
          <w:p w14:paraId="0D7CFF92"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Disc diffusion/microdilution; chromatographic constituent identification</w:t>
            </w:r>
          </w:p>
        </w:tc>
        <w:tc>
          <w:tcPr>
            <w:tcW w:w="0" w:type="auto"/>
            <w:hideMark/>
          </w:tcPr>
          <w:p w14:paraId="0F652E87"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Phenolic/flavonoid content linked to activity against Gram-positive and Gram-negative </w:t>
            </w:r>
            <w:r w:rsidRPr="00336B42">
              <w:rPr>
                <w:rFonts w:ascii="Times New Roman" w:eastAsia="Times New Roman" w:hAnsi="Times New Roman" w:cs="Times New Roman"/>
                <w:sz w:val="24"/>
                <w:szCs w:val="24"/>
                <w:lang w:eastAsia="en-GB"/>
              </w:rPr>
              <w:lastRenderedPageBreak/>
              <w:t>bacteria and Candida</w:t>
            </w:r>
          </w:p>
        </w:tc>
        <w:tc>
          <w:tcPr>
            <w:tcW w:w="0" w:type="auto"/>
            <w:hideMark/>
          </w:tcPr>
          <w:p w14:paraId="37B6A425"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lastRenderedPageBreak/>
              <w:t>Obistioiu</w:t>
            </w:r>
            <w:proofErr w:type="spellEnd"/>
            <w:r w:rsidRPr="00336B42">
              <w:rPr>
                <w:rFonts w:ascii="Times New Roman" w:eastAsia="Times New Roman" w:hAnsi="Times New Roman" w:cs="Times New Roman"/>
                <w:sz w:val="24"/>
                <w:szCs w:val="24"/>
                <w:lang w:eastAsia="en-GB"/>
              </w:rPr>
              <w:t xml:space="preserve"> et al. (2021)</w:t>
            </w:r>
          </w:p>
        </w:tc>
      </w:tr>
      <w:tr w:rsidR="00336B42" w:rsidRPr="00336B42" w14:paraId="60E256B3" w14:textId="77777777" w:rsidTr="00336B42">
        <w:tc>
          <w:tcPr>
            <w:tcW w:w="0" w:type="auto"/>
            <w:hideMark/>
          </w:tcPr>
          <w:p w14:paraId="1C8CD8D9"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Fabaceae</w:t>
            </w:r>
          </w:p>
        </w:tc>
        <w:tc>
          <w:tcPr>
            <w:tcW w:w="0" w:type="auto"/>
            <w:hideMark/>
          </w:tcPr>
          <w:p w14:paraId="6267C92F"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Organic solvent maceration</w:t>
            </w:r>
          </w:p>
        </w:tc>
        <w:tc>
          <w:tcPr>
            <w:tcW w:w="0" w:type="auto"/>
            <w:hideMark/>
          </w:tcPr>
          <w:p w14:paraId="429DED6F"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Broth microdilution; lysis and salt-tolerance mechanistic assays</w:t>
            </w:r>
          </w:p>
        </w:tc>
        <w:tc>
          <w:tcPr>
            <w:tcW w:w="0" w:type="auto"/>
            <w:hideMark/>
          </w:tcPr>
          <w:p w14:paraId="3FAAA19A"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Antibacterial action linked to membrane disruption and antioxidant enzyme modulation</w:t>
            </w:r>
          </w:p>
        </w:tc>
        <w:tc>
          <w:tcPr>
            <w:tcW w:w="0" w:type="auto"/>
            <w:hideMark/>
          </w:tcPr>
          <w:p w14:paraId="10066877"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Tsamo et al. (2021)</w:t>
            </w:r>
          </w:p>
        </w:tc>
      </w:tr>
      <w:tr w:rsidR="00336B42" w:rsidRPr="00336B42" w14:paraId="24050648" w14:textId="77777777" w:rsidTr="00336B42">
        <w:tc>
          <w:tcPr>
            <w:tcW w:w="0" w:type="auto"/>
            <w:hideMark/>
          </w:tcPr>
          <w:p w14:paraId="6624F714"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Cross-family comparison (</w:t>
            </w:r>
            <w:proofErr w:type="spellStart"/>
            <w:r w:rsidRPr="00336B42">
              <w:rPr>
                <w:rFonts w:ascii="Times New Roman" w:eastAsia="Times New Roman" w:hAnsi="Times New Roman" w:cs="Times New Roman"/>
                <w:sz w:val="24"/>
                <w:szCs w:val="24"/>
                <w:lang w:eastAsia="en-GB"/>
              </w:rPr>
              <w:t>Apiaceae</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Lamiaceae</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Lauraceae</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Myrtaceae</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Rutaceae</w:t>
            </w:r>
            <w:proofErr w:type="spellEnd"/>
            <w:r w:rsidRPr="00336B42">
              <w:rPr>
                <w:rFonts w:ascii="Times New Roman" w:eastAsia="Times New Roman" w:hAnsi="Times New Roman" w:cs="Times New Roman"/>
                <w:sz w:val="24"/>
                <w:szCs w:val="24"/>
                <w:lang w:eastAsia="en-GB"/>
              </w:rPr>
              <w:t>)</w:t>
            </w:r>
          </w:p>
        </w:tc>
        <w:tc>
          <w:tcPr>
            <w:tcW w:w="0" w:type="auto"/>
            <w:hideMark/>
          </w:tcPr>
          <w:p w14:paraId="3327A33E" w14:textId="77777777" w:rsidR="00336B42" w:rsidRPr="00336B42" w:rsidRDefault="00336B42" w:rsidP="00336B42">
            <w:pPr>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Hydrodistillation</w:t>
            </w:r>
            <w:proofErr w:type="spellEnd"/>
            <w:r w:rsidRPr="00336B42">
              <w:rPr>
                <w:rFonts w:ascii="Times New Roman" w:eastAsia="Times New Roman" w:hAnsi="Times New Roman" w:cs="Times New Roman"/>
                <w:sz w:val="24"/>
                <w:szCs w:val="24"/>
                <w:lang w:eastAsia="en-GB"/>
              </w:rPr>
              <w:t xml:space="preserve"> (essential oils)</w:t>
            </w:r>
          </w:p>
        </w:tc>
        <w:tc>
          <w:tcPr>
            <w:tcW w:w="0" w:type="auto"/>
            <w:hideMark/>
          </w:tcPr>
          <w:p w14:paraId="12AE475C"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Growth, biofilm and quorum-sensing inhibition assays in parallel</w:t>
            </w:r>
          </w:p>
        </w:tc>
        <w:tc>
          <w:tcPr>
            <w:tcW w:w="0" w:type="auto"/>
            <w:hideMark/>
          </w:tcPr>
          <w:p w14:paraId="42F452FD"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Oregano and fennel oils were most growth-inhibitory in two of the three test organisms; growth inhibition and virulence-modifying activity were assessed as separable endpoints within one design</w:t>
            </w:r>
          </w:p>
        </w:tc>
        <w:tc>
          <w:tcPr>
            <w:tcW w:w="0" w:type="auto"/>
            <w:hideMark/>
          </w:tcPr>
          <w:p w14:paraId="32208116" w14:textId="77777777" w:rsidR="00336B42" w:rsidRPr="00336B42" w:rsidRDefault="00336B42" w:rsidP="00336B42">
            <w:pPr>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D'Aquila et al. (2023)</w:t>
            </w:r>
          </w:p>
        </w:tc>
      </w:tr>
    </w:tbl>
    <w:p w14:paraId="6FCEB119"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13. Standardisation, Quality Control and Reproducibility Challenges</w:t>
      </w:r>
    </w:p>
    <w:p w14:paraId="676D0E15"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Several recurring issues undermine the comparability and reproducibility of antimicrobial screening data across the medicinal plant literature. First, the absence of internationally agreed interpretive breakpoints for plant extracts, in contrast to the breakpoints available for conventional antibiotics and antifungals, means that classification of an extract as active or inactive rests on inconsistent and sometimes arbitrary thresholds between studies (Kebede et al., 2021; Berkow et al., 2020). Second, variation in the units used to express extract concentration, whether as crude extract mass per millilitre or as concentration of a specific marker compound, complicates cross-study comparison and meta-analytic synthesis. Third, inconsistent reporting of solvent controls, positive control antibiotics and the precise microbial strain or American Type Culture Collection reference number used introduces uncertainty regarding whether observed activity reflects a genuine phytochemical effect rather than residual solvent toxicity or strain-specific susceptibility. Fourth, the extraction method itself, as discussed in Section 4, materially alters the phytochemical profile presented to the test organism, such that studies employing different solvents or techniques on the same plant species may report substantially divergent activity.</w:t>
      </w:r>
    </w:p>
    <w:p w14:paraId="5DC21B29"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Cushnie et al. (2020) provide the most comprehensive treatment of these recurring pitfalls, identifying poor practice in extract dissolution, in the choice and concentration of vehicle controls, and in the failure to calculate or report a selectivity index, as avoidable weaknesses that recur across the bioprospecting literature independently of the plant family or organism studied. Addressing these challenges will require greater adherence to established reporting guidelines, wider adoption of quantitative dilution-based endpoints in preference to diffusion zone measurements alone, routine inclusion of appropriate positive controls, solvent controls, selectivity index calculation and cytotoxicity data within a single publication, and clearer distinction, in the case of biofilm and quorum-sensing studies, between reduction in biomass, reduction in viability, and genuine attenuation of a defined virulence phenotype.</w:t>
      </w:r>
    </w:p>
    <w:p w14:paraId="7A98E46F"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14. Future Directions</w:t>
      </w:r>
    </w:p>
    <w:p w14:paraId="56806FC8"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 xml:space="preserve">Future research in this field would benefit from the development of consensus reporting guidelines specific to plant-derived antimicrobial screening, analogous to those already established for clinical antibiotic and antifungal susceptibility testing, to improve cross-study comparability. Greater integration of mechanistic and genomic techniques, including transcriptomic profiling of treated organisms and molecular docking studies linking specific phytochemical structures to putative bacterial or fungal targets, would strengthen the scientific basis for prioritising candidate extracts for further development. Expanded use of combination and synergy testing alongside conventional antibiotics offers a pragmatic near-term translational pathway, particularly where whole extracts or standardised fractions, rather than single isolated compounds, are pursued as adjuvant therapies, and anti-virulence and quorum-quenching endpoints deserve wider adoption alongside conventional growth-inhibition assays, given their distinct resistance-evolution profile. Advances in green extraction technologies, including natural deep eutectic solvent systems, are likely to improve the efficiency, reproducibility, environmental sustainability and, in some cases, the potency of extract preparation, while wider application of chromatographic fingerprinting should help establish batch-to-batch consistency, a prerequisite for any eventual regulatory development pathway. Finally, closer collaboration between </w:t>
      </w:r>
      <w:proofErr w:type="spellStart"/>
      <w:r w:rsidRPr="00336B42">
        <w:rPr>
          <w:rFonts w:ascii="Times New Roman" w:eastAsia="Times New Roman" w:hAnsi="Times New Roman" w:cs="Times New Roman"/>
          <w:sz w:val="24"/>
          <w:szCs w:val="24"/>
          <w:lang w:eastAsia="en-GB"/>
        </w:rPr>
        <w:t>phytochemists</w:t>
      </w:r>
      <w:proofErr w:type="spellEnd"/>
      <w:r w:rsidRPr="00336B42">
        <w:rPr>
          <w:rFonts w:ascii="Times New Roman" w:eastAsia="Times New Roman" w:hAnsi="Times New Roman" w:cs="Times New Roman"/>
          <w:sz w:val="24"/>
          <w:szCs w:val="24"/>
          <w:lang w:eastAsia="en-GB"/>
        </w:rPr>
        <w:t>, microbiologists and pharmacologists, together with earlier incorporation of cytotoxicity, selectivity index and biofilm assessment into the experimental pipeline, would help ensure that promising in vitro findings are not pursued indefinitely without a realistic appraisal of their translational potential.</w:t>
      </w:r>
    </w:p>
    <w:p w14:paraId="184D366F"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15. Conclusions</w:t>
      </w:r>
    </w:p>
    <w:p w14:paraId="652DED94"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The experimental evaluation of medicinal plants for antimicrobial activity spans a sequence of interdependent stages, beginning with authenticated plant material and extraction, proceeding through phytochemical characterisation and susceptibility testing against both bacteria and fungi, and extending to anti-virulence, mechanistic and safety assessment. Each stage offers a range of established methodological options, none of which is without limitation, and the choice made at any one stage materially influences the results obtained at every subsequent stage. Disc diffusion remains a useful preliminary screening tool but is unsuitable as a definitive quantitative endpoint, and should be complemented by broth microdilution or agar dilution to establish reliable minimum inhibitory and bactericidal concentrations, while fungal and biofilm targets require reference methods and endpoints distinct from those developed for planktonic bacteria. Synergy testing combining checkerboard titration with time-kill kinetics offers a pragmatic route towards antibiotic-sparing combination strategies, quorum-sensing inhibition assays offer a complementary anti-virulence strategy with a potentially lower propensity to drive resistance, and mechanistic and cytotoxicity studies, though less commonly performed, are essential to substantiate claims of therapeutic promise. Case studies drawn from the </w:t>
      </w:r>
      <w:proofErr w:type="spellStart"/>
      <w:r w:rsidRPr="00336B42">
        <w:rPr>
          <w:rFonts w:ascii="Times New Roman" w:eastAsia="Times New Roman" w:hAnsi="Times New Roman" w:cs="Times New Roman"/>
          <w:sz w:val="24"/>
          <w:szCs w:val="24"/>
          <w:lang w:eastAsia="en-GB"/>
        </w:rPr>
        <w:t>Lamiaceae</w:t>
      </w:r>
      <w:proofErr w:type="spellEnd"/>
      <w:r w:rsidRPr="00336B42">
        <w:rPr>
          <w:rFonts w:ascii="Times New Roman" w:eastAsia="Times New Roman" w:hAnsi="Times New Roman" w:cs="Times New Roman"/>
          <w:sz w:val="24"/>
          <w:szCs w:val="24"/>
          <w:lang w:eastAsia="en-GB"/>
        </w:rPr>
        <w:t xml:space="preserve"> and Fabaceae families illustrate that methodological choices, particularly around extraction, are most effective when informed by family-level secondary metabolite chemistry rather than applied uniformly across unrelated plant groups, and that the ranking of "most active" extracts can shift depending on which testing endpoint is reported. Methodological harmonisation across these stages, supported by more consistent reporting practice and routine calculation of selectivity indices, would considerably strengthen the scientific and translational value of future research in this important field.</w:t>
      </w:r>
    </w:p>
    <w:p w14:paraId="2E003BE1"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16. Limitations</w:t>
      </w:r>
    </w:p>
    <w:p w14:paraId="5A05FCE8"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This review is subject to several limitations. As a narrative rather than systematic review, the selection and weighting of included studies reflects the authors' judgement rather than a predefined, fully reproducible protocol, and the possibility of selection bias towards more prominently cited or more accessible studies cannot be excluded. The restriction to English-language, peer-reviewed sources may have excluded relevant methodological insights published in other languages or in grey literature. The rapidly evolving nature of extraction and analytical technology means that some emerging techniques may be underrepresented relative to their eventual significance. The case studies presented in Section 12 are illustrative rather than exhaustive and were selected to demonstrate methodological principles within two well-studied plant families; readers seeking a comprehensive account of antimicrobial findings across the full breadth of medicinal plant families should consult family- or species-focused reviews directly. Finally, because the review addresses methodology rather than reported efficacy against specific pathogens, it does not provide a comprehensive assessment of the antimicrobial potential of any individual plant species.</w:t>
      </w:r>
    </w:p>
    <w:p w14:paraId="32C425C7" w14:textId="77777777" w:rsidR="00336B42" w:rsidRPr="00336B42" w:rsidRDefault="00336B42" w:rsidP="00336B4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References</w:t>
      </w:r>
    </w:p>
    <w:p w14:paraId="29EA0070"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Ahmed, S. A. K. S., </w:t>
      </w:r>
      <w:proofErr w:type="spellStart"/>
      <w:r w:rsidRPr="00336B42">
        <w:rPr>
          <w:rFonts w:ascii="Times New Roman" w:eastAsia="Times New Roman" w:hAnsi="Times New Roman" w:cs="Times New Roman"/>
          <w:sz w:val="24"/>
          <w:szCs w:val="24"/>
          <w:lang w:eastAsia="en-GB"/>
        </w:rPr>
        <w:t>Rudden</w:t>
      </w:r>
      <w:proofErr w:type="spellEnd"/>
      <w:r w:rsidRPr="00336B42">
        <w:rPr>
          <w:rFonts w:ascii="Times New Roman" w:eastAsia="Times New Roman" w:hAnsi="Times New Roman" w:cs="Times New Roman"/>
          <w:sz w:val="24"/>
          <w:szCs w:val="24"/>
          <w:lang w:eastAsia="en-GB"/>
        </w:rPr>
        <w:t xml:space="preserve">, M., Smyth, T. J., Dooley, J. S. G., Marchant, R., &amp; Banat, I. M. (2019). Natural quorum sensing inhibitors effectively downregulate gene expression of </w:t>
      </w:r>
      <w:r w:rsidRPr="00336B42">
        <w:rPr>
          <w:rFonts w:ascii="Times New Roman" w:eastAsia="Times New Roman" w:hAnsi="Times New Roman" w:cs="Times New Roman"/>
          <w:i/>
          <w:iCs/>
          <w:sz w:val="24"/>
          <w:szCs w:val="24"/>
          <w:lang w:eastAsia="en-GB"/>
        </w:rPr>
        <w:t>Pseudomonas aeruginosa</w:t>
      </w:r>
      <w:r w:rsidRPr="00336B42">
        <w:rPr>
          <w:rFonts w:ascii="Times New Roman" w:eastAsia="Times New Roman" w:hAnsi="Times New Roman" w:cs="Times New Roman"/>
          <w:sz w:val="24"/>
          <w:szCs w:val="24"/>
          <w:lang w:eastAsia="en-GB"/>
        </w:rPr>
        <w:t xml:space="preserve"> virulence factors. </w:t>
      </w:r>
      <w:r w:rsidRPr="00336B42">
        <w:rPr>
          <w:rFonts w:ascii="Times New Roman" w:eastAsia="Times New Roman" w:hAnsi="Times New Roman" w:cs="Times New Roman"/>
          <w:i/>
          <w:iCs/>
          <w:sz w:val="24"/>
          <w:szCs w:val="24"/>
          <w:lang w:eastAsia="en-GB"/>
        </w:rPr>
        <w:t>Applied Microbiology and Biotechnology</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103</w:t>
      </w:r>
      <w:r w:rsidRPr="00336B42">
        <w:rPr>
          <w:rFonts w:ascii="Times New Roman" w:eastAsia="Times New Roman" w:hAnsi="Times New Roman" w:cs="Times New Roman"/>
          <w:sz w:val="24"/>
          <w:szCs w:val="24"/>
          <w:lang w:eastAsia="en-GB"/>
        </w:rPr>
        <w:t>(</w:t>
      </w:r>
      <w:r w:rsidRPr="00336B42">
        <w:rPr>
          <w:rFonts w:ascii="Times New Roman" w:eastAsia="Times New Roman" w:hAnsi="Times New Roman" w:cs="Times New Roman"/>
          <w:bCs/>
          <w:sz w:val="24"/>
          <w:szCs w:val="24"/>
          <w:lang w:eastAsia="en-GB"/>
        </w:rPr>
        <w:t>8</w:t>
      </w:r>
      <w:r w:rsidRPr="00336B42">
        <w:rPr>
          <w:rFonts w:ascii="Times New Roman" w:eastAsia="Times New Roman" w:hAnsi="Times New Roman" w:cs="Times New Roman"/>
          <w:sz w:val="24"/>
          <w:szCs w:val="24"/>
          <w:lang w:eastAsia="en-GB"/>
        </w:rPr>
        <w:t xml:space="preserve">), 3521–3535. </w:t>
      </w:r>
      <w:r w:rsidRPr="00336B42">
        <w:rPr>
          <w:rFonts w:ascii="Times New Roman" w:eastAsia="Times New Roman" w:hAnsi="Times New Roman" w:cs="Times New Roman"/>
          <w:color w:val="0000FF"/>
          <w:sz w:val="24"/>
          <w:szCs w:val="24"/>
          <w:u w:val="single"/>
          <w:lang w:eastAsia="en-GB"/>
        </w:rPr>
        <w:t>https://doi.org/10.1007/s00253-019-09618-0</w:t>
      </w:r>
    </w:p>
    <w:p w14:paraId="111F848F"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Basri, D. F., &amp; </w:t>
      </w:r>
      <w:proofErr w:type="spellStart"/>
      <w:r w:rsidRPr="00336B42">
        <w:rPr>
          <w:rFonts w:ascii="Times New Roman" w:eastAsia="Times New Roman" w:hAnsi="Times New Roman" w:cs="Times New Roman"/>
          <w:sz w:val="24"/>
          <w:szCs w:val="24"/>
          <w:lang w:eastAsia="en-GB"/>
        </w:rPr>
        <w:t>Khairon</w:t>
      </w:r>
      <w:proofErr w:type="spellEnd"/>
      <w:r w:rsidRPr="00336B42">
        <w:rPr>
          <w:rFonts w:ascii="Times New Roman" w:eastAsia="Times New Roman" w:hAnsi="Times New Roman" w:cs="Times New Roman"/>
          <w:sz w:val="24"/>
          <w:szCs w:val="24"/>
          <w:lang w:eastAsia="en-GB"/>
        </w:rPr>
        <w:t xml:space="preserve">, R. (2012). Pharmacodynamic interaction of Quercus </w:t>
      </w:r>
      <w:proofErr w:type="spellStart"/>
      <w:r w:rsidRPr="00336B42">
        <w:rPr>
          <w:rFonts w:ascii="Times New Roman" w:eastAsia="Times New Roman" w:hAnsi="Times New Roman" w:cs="Times New Roman"/>
          <w:sz w:val="24"/>
          <w:szCs w:val="24"/>
          <w:lang w:eastAsia="en-GB"/>
        </w:rPr>
        <w:t>infectoria</w:t>
      </w:r>
      <w:proofErr w:type="spellEnd"/>
      <w:r w:rsidRPr="00336B42">
        <w:rPr>
          <w:rFonts w:ascii="Times New Roman" w:eastAsia="Times New Roman" w:hAnsi="Times New Roman" w:cs="Times New Roman"/>
          <w:sz w:val="24"/>
          <w:szCs w:val="24"/>
          <w:lang w:eastAsia="en-GB"/>
        </w:rPr>
        <w:t xml:space="preserve"> galls extract in combination with vancomycin against MRSA using microdilution checkerboard and time-kill assay. </w:t>
      </w:r>
      <w:r w:rsidRPr="00336B42">
        <w:rPr>
          <w:rFonts w:ascii="Times New Roman" w:eastAsia="Times New Roman" w:hAnsi="Times New Roman" w:cs="Times New Roman"/>
          <w:bCs/>
          <w:i/>
          <w:iCs/>
          <w:sz w:val="24"/>
          <w:szCs w:val="24"/>
          <w:lang w:eastAsia="en-GB"/>
        </w:rPr>
        <w:t>Evidence-Based Complementary and Alternative Medicine</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2012</w:t>
      </w:r>
      <w:r w:rsidRPr="00336B42">
        <w:rPr>
          <w:rFonts w:ascii="Times New Roman" w:eastAsia="Times New Roman" w:hAnsi="Times New Roman" w:cs="Times New Roman"/>
          <w:sz w:val="24"/>
          <w:szCs w:val="24"/>
          <w:lang w:eastAsia="en-GB"/>
        </w:rPr>
        <w:t xml:space="preserve">, Article 493156. </w:t>
      </w:r>
      <w:r w:rsidRPr="00336B42">
        <w:rPr>
          <w:rFonts w:ascii="Times New Roman" w:eastAsia="Times New Roman" w:hAnsi="Times New Roman" w:cs="Times New Roman"/>
          <w:color w:val="0000FF"/>
          <w:sz w:val="24"/>
          <w:szCs w:val="24"/>
          <w:u w:val="single"/>
          <w:lang w:eastAsia="en-GB"/>
        </w:rPr>
        <w:t>https://doi.org/10.1155/2012/493156</w:t>
      </w:r>
    </w:p>
    <w:p w14:paraId="012D1A7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Berkow, E. L., Lockhart, S. R., &amp; Ostrosky-Zeichner, L. (2020). Antifungal susceptibility testing: Current approaches. </w:t>
      </w:r>
      <w:r w:rsidRPr="00336B42">
        <w:rPr>
          <w:rFonts w:ascii="Times New Roman" w:eastAsia="Times New Roman" w:hAnsi="Times New Roman" w:cs="Times New Roman"/>
          <w:i/>
          <w:iCs/>
          <w:sz w:val="24"/>
          <w:szCs w:val="24"/>
          <w:lang w:eastAsia="en-GB"/>
        </w:rPr>
        <w:t>Clinical Microbiology Reviews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33</w:t>
      </w:r>
      <w:r w:rsidRPr="00336B42">
        <w:rPr>
          <w:rFonts w:ascii="Times New Roman" w:eastAsia="Times New Roman" w:hAnsi="Times New Roman" w:cs="Times New Roman"/>
          <w:sz w:val="24"/>
          <w:szCs w:val="24"/>
          <w:lang w:eastAsia="en-GB"/>
        </w:rPr>
        <w:t xml:space="preserve">(3), e00069-19. </w:t>
      </w:r>
      <w:r w:rsidRPr="00336B42">
        <w:rPr>
          <w:rFonts w:ascii="Times New Roman" w:eastAsia="Times New Roman" w:hAnsi="Times New Roman" w:cs="Times New Roman"/>
          <w:color w:val="0000FF"/>
          <w:sz w:val="24"/>
          <w:szCs w:val="24"/>
          <w:u w:val="single"/>
          <w:lang w:eastAsia="en-GB"/>
        </w:rPr>
        <w:t>https://doi.org/10.1128/CMR.00069-19</w:t>
      </w:r>
    </w:p>
    <w:p w14:paraId="3A5C5F9B"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Cushnie, T. P. T., Cushnie, B., Echeverría, J., </w:t>
      </w:r>
      <w:proofErr w:type="spellStart"/>
      <w:r w:rsidRPr="00336B42">
        <w:rPr>
          <w:rFonts w:ascii="Times New Roman" w:eastAsia="Times New Roman" w:hAnsi="Times New Roman" w:cs="Times New Roman"/>
          <w:sz w:val="24"/>
          <w:szCs w:val="24"/>
          <w:lang w:eastAsia="en-GB"/>
        </w:rPr>
        <w:t>Fowsantear</w:t>
      </w:r>
      <w:proofErr w:type="spellEnd"/>
      <w:r w:rsidRPr="00336B42">
        <w:rPr>
          <w:rFonts w:ascii="Times New Roman" w:eastAsia="Times New Roman" w:hAnsi="Times New Roman" w:cs="Times New Roman"/>
          <w:sz w:val="24"/>
          <w:szCs w:val="24"/>
          <w:lang w:eastAsia="en-GB"/>
        </w:rPr>
        <w:t xml:space="preserve">, W., </w:t>
      </w:r>
      <w:proofErr w:type="spellStart"/>
      <w:r w:rsidRPr="00336B42">
        <w:rPr>
          <w:rFonts w:ascii="Times New Roman" w:eastAsia="Times New Roman" w:hAnsi="Times New Roman" w:cs="Times New Roman"/>
          <w:sz w:val="24"/>
          <w:szCs w:val="24"/>
          <w:lang w:eastAsia="en-GB"/>
        </w:rPr>
        <w:t>Thammawat</w:t>
      </w:r>
      <w:proofErr w:type="spellEnd"/>
      <w:r w:rsidRPr="00336B42">
        <w:rPr>
          <w:rFonts w:ascii="Times New Roman" w:eastAsia="Times New Roman" w:hAnsi="Times New Roman" w:cs="Times New Roman"/>
          <w:sz w:val="24"/>
          <w:szCs w:val="24"/>
          <w:lang w:eastAsia="en-GB"/>
        </w:rPr>
        <w:t xml:space="preserve">, S., Dodgson, J. L. A., Law, S., &amp; Clow, S. M. (2020). Bioprospecting for antibacterial drugs: A multidisciplinary perspective on natural product source material, bioassay selection and avoidable pitfalls. </w:t>
      </w:r>
      <w:r w:rsidRPr="00336B42">
        <w:rPr>
          <w:rFonts w:ascii="Times New Roman" w:eastAsia="Times New Roman" w:hAnsi="Times New Roman" w:cs="Times New Roman"/>
          <w:i/>
          <w:iCs/>
          <w:sz w:val="24"/>
          <w:szCs w:val="24"/>
          <w:lang w:eastAsia="en-GB"/>
        </w:rPr>
        <w:t>Pharmaceutical Research</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37</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bCs/>
          <w:sz w:val="24"/>
          <w:szCs w:val="24"/>
          <w:lang w:eastAsia="en-GB"/>
        </w:rPr>
        <w:t>1–24</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color w:val="0000FF"/>
          <w:sz w:val="24"/>
          <w:szCs w:val="24"/>
          <w:u w:val="single"/>
          <w:lang w:eastAsia="en-GB"/>
        </w:rPr>
        <w:t>https://doi.org/10.1007/s11095-020-02849-1</w:t>
      </w:r>
    </w:p>
    <w:p w14:paraId="04CC8F2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D'Aquila, P., Sena, G., Crudo, M., </w:t>
      </w:r>
      <w:proofErr w:type="spellStart"/>
      <w:r w:rsidRPr="00336B42">
        <w:rPr>
          <w:rFonts w:ascii="Times New Roman" w:eastAsia="Times New Roman" w:hAnsi="Times New Roman" w:cs="Times New Roman"/>
          <w:sz w:val="24"/>
          <w:szCs w:val="24"/>
          <w:lang w:eastAsia="en-GB"/>
        </w:rPr>
        <w:t>Passarino</w:t>
      </w:r>
      <w:proofErr w:type="spellEnd"/>
      <w:r w:rsidRPr="00336B42">
        <w:rPr>
          <w:rFonts w:ascii="Times New Roman" w:eastAsia="Times New Roman" w:hAnsi="Times New Roman" w:cs="Times New Roman"/>
          <w:sz w:val="24"/>
          <w:szCs w:val="24"/>
          <w:lang w:eastAsia="en-GB"/>
        </w:rPr>
        <w:t xml:space="preserve">, G., &amp; Bellizzi, D. (2023). Effect of essential oils of </w:t>
      </w:r>
      <w:proofErr w:type="spellStart"/>
      <w:r w:rsidRPr="00336B42">
        <w:rPr>
          <w:rFonts w:ascii="Times New Roman" w:eastAsia="Times New Roman" w:hAnsi="Times New Roman" w:cs="Times New Roman"/>
          <w:sz w:val="24"/>
          <w:szCs w:val="24"/>
          <w:lang w:eastAsia="en-GB"/>
        </w:rPr>
        <w:t>Apiaceae</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Lamiaceae</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Lauraceae</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Myrtaceae</w:t>
      </w:r>
      <w:proofErr w:type="spellEnd"/>
      <w:r w:rsidRPr="00336B42">
        <w:rPr>
          <w:rFonts w:ascii="Times New Roman" w:eastAsia="Times New Roman" w:hAnsi="Times New Roman" w:cs="Times New Roman"/>
          <w:sz w:val="24"/>
          <w:szCs w:val="24"/>
          <w:lang w:eastAsia="en-GB"/>
        </w:rPr>
        <w:t xml:space="preserve">, and </w:t>
      </w:r>
      <w:proofErr w:type="spellStart"/>
      <w:r w:rsidRPr="00336B42">
        <w:rPr>
          <w:rFonts w:ascii="Times New Roman" w:eastAsia="Times New Roman" w:hAnsi="Times New Roman" w:cs="Times New Roman"/>
          <w:sz w:val="24"/>
          <w:szCs w:val="24"/>
          <w:lang w:eastAsia="en-GB"/>
        </w:rPr>
        <w:t>Rutaceae</w:t>
      </w:r>
      <w:proofErr w:type="spellEnd"/>
      <w:r w:rsidRPr="00336B42">
        <w:rPr>
          <w:rFonts w:ascii="Times New Roman" w:eastAsia="Times New Roman" w:hAnsi="Times New Roman" w:cs="Times New Roman"/>
          <w:sz w:val="24"/>
          <w:szCs w:val="24"/>
          <w:lang w:eastAsia="en-GB"/>
        </w:rPr>
        <w:t xml:space="preserve"> family plants on growth, biofilm formation, and quorum sensing in </w:t>
      </w:r>
      <w:proofErr w:type="spellStart"/>
      <w:r w:rsidRPr="00336B42">
        <w:rPr>
          <w:rFonts w:ascii="Times New Roman" w:eastAsia="Times New Roman" w:hAnsi="Times New Roman" w:cs="Times New Roman"/>
          <w:i/>
          <w:iCs/>
          <w:sz w:val="24"/>
          <w:szCs w:val="24"/>
          <w:lang w:eastAsia="en-GB"/>
        </w:rPr>
        <w:t>Chromobacterium</w:t>
      </w:r>
      <w:proofErr w:type="spellEnd"/>
      <w:r w:rsidRPr="00336B42">
        <w:rPr>
          <w:rFonts w:ascii="Times New Roman" w:eastAsia="Times New Roman" w:hAnsi="Times New Roman" w:cs="Times New Roman"/>
          <w:i/>
          <w:iCs/>
          <w:sz w:val="24"/>
          <w:szCs w:val="24"/>
          <w:lang w:eastAsia="en-GB"/>
        </w:rPr>
        <w:t xml:space="preserve"> </w:t>
      </w:r>
      <w:proofErr w:type="spellStart"/>
      <w:r w:rsidRPr="00336B42">
        <w:rPr>
          <w:rFonts w:ascii="Times New Roman" w:eastAsia="Times New Roman" w:hAnsi="Times New Roman" w:cs="Times New Roman"/>
          <w:i/>
          <w:iCs/>
          <w:sz w:val="24"/>
          <w:szCs w:val="24"/>
          <w:lang w:eastAsia="en-GB"/>
        </w:rPr>
        <w:t>violaceum</w:t>
      </w:r>
      <w:proofErr w:type="spellEnd"/>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Pseudomonas aeruginosa</w:t>
      </w:r>
      <w:r w:rsidRPr="00336B42">
        <w:rPr>
          <w:rFonts w:ascii="Times New Roman" w:eastAsia="Times New Roman" w:hAnsi="Times New Roman" w:cs="Times New Roman"/>
          <w:sz w:val="24"/>
          <w:szCs w:val="24"/>
          <w:lang w:eastAsia="en-GB"/>
        </w:rPr>
        <w:t xml:space="preserve">, and </w:t>
      </w:r>
      <w:r w:rsidRPr="00336B42">
        <w:rPr>
          <w:rFonts w:ascii="Times New Roman" w:eastAsia="Times New Roman" w:hAnsi="Times New Roman" w:cs="Times New Roman"/>
          <w:i/>
          <w:iCs/>
          <w:sz w:val="24"/>
          <w:szCs w:val="24"/>
          <w:lang w:eastAsia="en-GB"/>
        </w:rPr>
        <w:t>Enterococcus faecalis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Microorganisms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11</w:t>
      </w:r>
      <w:r w:rsidRPr="00336B42">
        <w:rPr>
          <w:rFonts w:ascii="Times New Roman" w:eastAsia="Times New Roman" w:hAnsi="Times New Roman" w:cs="Times New Roman"/>
          <w:sz w:val="24"/>
          <w:szCs w:val="24"/>
          <w:lang w:eastAsia="en-GB"/>
        </w:rPr>
        <w:t xml:space="preserve">(5), Article 1150. </w:t>
      </w:r>
      <w:r w:rsidRPr="00336B42">
        <w:rPr>
          <w:rFonts w:ascii="Times New Roman" w:eastAsia="Times New Roman" w:hAnsi="Times New Roman" w:cs="Times New Roman"/>
          <w:color w:val="0000FF"/>
          <w:sz w:val="24"/>
          <w:szCs w:val="24"/>
          <w:u w:val="single"/>
          <w:lang w:eastAsia="en-GB"/>
        </w:rPr>
        <w:t>https://doi.org/10.3390/microorganisms11051150</w:t>
      </w:r>
    </w:p>
    <w:p w14:paraId="369BD7C8"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Ferri, M., Rodríguez, Ó., &amp; Tassoni, A. (2023). Editorial: New green extraction methods for the sustainable recovery of functional plant secondary metabolites. </w:t>
      </w:r>
      <w:r w:rsidRPr="00336B42">
        <w:rPr>
          <w:rFonts w:ascii="Times New Roman" w:eastAsia="Times New Roman" w:hAnsi="Times New Roman" w:cs="Times New Roman"/>
          <w:i/>
          <w:iCs/>
          <w:sz w:val="24"/>
          <w:szCs w:val="24"/>
          <w:lang w:eastAsia="en-GB"/>
        </w:rPr>
        <w:t>Frontiers in Plant Science</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14</w:t>
      </w:r>
      <w:r w:rsidRPr="00336B42">
        <w:rPr>
          <w:rFonts w:ascii="Times New Roman" w:eastAsia="Times New Roman" w:hAnsi="Times New Roman" w:cs="Times New Roman"/>
          <w:sz w:val="24"/>
          <w:szCs w:val="24"/>
          <w:lang w:eastAsia="en-GB"/>
        </w:rPr>
        <w:t xml:space="preserve">, Article 1186180. </w:t>
      </w:r>
      <w:r w:rsidRPr="00336B42">
        <w:rPr>
          <w:rFonts w:ascii="Times New Roman" w:eastAsia="Times New Roman" w:hAnsi="Times New Roman" w:cs="Times New Roman"/>
          <w:color w:val="0000FF"/>
          <w:sz w:val="24"/>
          <w:szCs w:val="24"/>
          <w:u w:val="single"/>
          <w:lang w:eastAsia="en-GB"/>
        </w:rPr>
        <w:t>https://doi.org/10.3389/fpls.2023.1186180</w:t>
      </w:r>
    </w:p>
    <w:p w14:paraId="13B1D1A0"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Filatov, V. A., Ilin, E. A., </w:t>
      </w:r>
      <w:proofErr w:type="spellStart"/>
      <w:r w:rsidRPr="00336B42">
        <w:rPr>
          <w:rFonts w:ascii="Times New Roman" w:eastAsia="Times New Roman" w:hAnsi="Times New Roman" w:cs="Times New Roman"/>
          <w:sz w:val="24"/>
          <w:szCs w:val="24"/>
          <w:lang w:eastAsia="en-GB"/>
        </w:rPr>
        <w:t>Kulyak</w:t>
      </w:r>
      <w:proofErr w:type="spellEnd"/>
      <w:r w:rsidRPr="00336B42">
        <w:rPr>
          <w:rFonts w:ascii="Times New Roman" w:eastAsia="Times New Roman" w:hAnsi="Times New Roman" w:cs="Times New Roman"/>
          <w:sz w:val="24"/>
          <w:szCs w:val="24"/>
          <w:lang w:eastAsia="en-GB"/>
        </w:rPr>
        <w:t xml:space="preserve">, O. Y., &amp; </w:t>
      </w:r>
      <w:proofErr w:type="spellStart"/>
      <w:r w:rsidRPr="00336B42">
        <w:rPr>
          <w:rFonts w:ascii="Times New Roman" w:eastAsia="Times New Roman" w:hAnsi="Times New Roman" w:cs="Times New Roman"/>
          <w:sz w:val="24"/>
          <w:szCs w:val="24"/>
          <w:lang w:eastAsia="en-GB"/>
        </w:rPr>
        <w:t>Kalenikova</w:t>
      </w:r>
      <w:proofErr w:type="spellEnd"/>
      <w:r w:rsidRPr="00336B42">
        <w:rPr>
          <w:rFonts w:ascii="Times New Roman" w:eastAsia="Times New Roman" w:hAnsi="Times New Roman" w:cs="Times New Roman"/>
          <w:sz w:val="24"/>
          <w:szCs w:val="24"/>
          <w:lang w:eastAsia="en-GB"/>
        </w:rPr>
        <w:t xml:space="preserve">, E. I. (2023). Development and validation of a gas chromatography–mass spectrometry method for the analysis of the novel </w:t>
      </w:r>
      <w:r w:rsidRPr="00336B42">
        <w:rPr>
          <w:rFonts w:ascii="Times New Roman" w:eastAsia="Times New Roman" w:hAnsi="Times New Roman" w:cs="Times New Roman"/>
          <w:sz w:val="24"/>
          <w:szCs w:val="24"/>
          <w:lang w:eastAsia="en-GB"/>
        </w:rPr>
        <w:lastRenderedPageBreak/>
        <w:t xml:space="preserve">plant-based substance with antimicrobial activity. </w:t>
      </w:r>
      <w:r w:rsidRPr="00336B42">
        <w:rPr>
          <w:rFonts w:ascii="Times New Roman" w:eastAsia="Times New Roman" w:hAnsi="Times New Roman" w:cs="Times New Roman"/>
          <w:i/>
          <w:iCs/>
          <w:sz w:val="24"/>
          <w:szCs w:val="24"/>
          <w:lang w:eastAsia="en-GB"/>
        </w:rPr>
        <w:t>Antibiotics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12</w:t>
      </w:r>
      <w:r w:rsidRPr="00336B42">
        <w:rPr>
          <w:rFonts w:ascii="Times New Roman" w:eastAsia="Times New Roman" w:hAnsi="Times New Roman" w:cs="Times New Roman"/>
          <w:sz w:val="24"/>
          <w:szCs w:val="24"/>
          <w:lang w:eastAsia="en-GB"/>
        </w:rPr>
        <w:t xml:space="preserve">(10), Article 1558. </w:t>
      </w:r>
      <w:r w:rsidRPr="00336B42">
        <w:rPr>
          <w:rFonts w:ascii="Times New Roman" w:eastAsia="Times New Roman" w:hAnsi="Times New Roman" w:cs="Times New Roman"/>
          <w:color w:val="0000FF"/>
          <w:sz w:val="24"/>
          <w:szCs w:val="24"/>
          <w:u w:val="single"/>
          <w:lang w:eastAsia="en-GB"/>
        </w:rPr>
        <w:t>https://doi.org/10.3390/antibiotics12101558</w:t>
      </w:r>
    </w:p>
    <w:p w14:paraId="27C3A2EB"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García-Roldán, A., </w:t>
      </w:r>
      <w:proofErr w:type="spellStart"/>
      <w:r w:rsidRPr="00336B42">
        <w:rPr>
          <w:rFonts w:ascii="Times New Roman" w:eastAsia="Times New Roman" w:hAnsi="Times New Roman" w:cs="Times New Roman"/>
          <w:sz w:val="24"/>
          <w:szCs w:val="24"/>
          <w:lang w:eastAsia="en-GB"/>
        </w:rPr>
        <w:t>Piriou</w:t>
      </w:r>
      <w:proofErr w:type="spellEnd"/>
      <w:r w:rsidRPr="00336B42">
        <w:rPr>
          <w:rFonts w:ascii="Times New Roman" w:eastAsia="Times New Roman" w:hAnsi="Times New Roman" w:cs="Times New Roman"/>
          <w:sz w:val="24"/>
          <w:szCs w:val="24"/>
          <w:lang w:eastAsia="en-GB"/>
        </w:rPr>
        <w:t xml:space="preserve">, L., &amp; Jauregi, P. (2023). Natural deep eutectic solvents as a green extraction of polyphenols from spent coffee ground with enhanced bioactivities. </w:t>
      </w:r>
      <w:r w:rsidRPr="00336B42">
        <w:rPr>
          <w:rFonts w:ascii="Times New Roman" w:eastAsia="Times New Roman" w:hAnsi="Times New Roman" w:cs="Times New Roman"/>
          <w:i/>
          <w:iCs/>
          <w:sz w:val="24"/>
          <w:szCs w:val="24"/>
          <w:lang w:eastAsia="en-GB"/>
        </w:rPr>
        <w:t>Frontiers in Plant Science</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13</w:t>
      </w:r>
      <w:r w:rsidRPr="00336B42">
        <w:rPr>
          <w:rFonts w:ascii="Times New Roman" w:eastAsia="Times New Roman" w:hAnsi="Times New Roman" w:cs="Times New Roman"/>
          <w:sz w:val="24"/>
          <w:szCs w:val="24"/>
          <w:lang w:eastAsia="en-GB"/>
        </w:rPr>
        <w:t xml:space="preserve">, Article 1072592. </w:t>
      </w:r>
      <w:r w:rsidRPr="00336B42">
        <w:rPr>
          <w:rFonts w:ascii="Times New Roman" w:eastAsia="Times New Roman" w:hAnsi="Times New Roman" w:cs="Times New Roman"/>
          <w:color w:val="0000FF"/>
          <w:sz w:val="24"/>
          <w:szCs w:val="24"/>
          <w:u w:val="single"/>
          <w:lang w:eastAsia="en-GB"/>
        </w:rPr>
        <w:t>https://doi.org/10.3389/fpls.2022.1072592</w:t>
      </w:r>
    </w:p>
    <w:p w14:paraId="174DE944"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Ghavam</w:t>
      </w:r>
      <w:proofErr w:type="spellEnd"/>
      <w:r w:rsidRPr="00336B42">
        <w:rPr>
          <w:rFonts w:ascii="Times New Roman" w:eastAsia="Times New Roman" w:hAnsi="Times New Roman" w:cs="Times New Roman"/>
          <w:sz w:val="24"/>
          <w:szCs w:val="24"/>
          <w:lang w:eastAsia="en-GB"/>
        </w:rPr>
        <w:t xml:space="preserve">, M., Bacchetta, G., </w:t>
      </w:r>
      <w:proofErr w:type="spellStart"/>
      <w:r w:rsidRPr="00336B42">
        <w:rPr>
          <w:rFonts w:ascii="Times New Roman" w:eastAsia="Times New Roman" w:hAnsi="Times New Roman" w:cs="Times New Roman"/>
          <w:sz w:val="24"/>
          <w:szCs w:val="24"/>
          <w:lang w:eastAsia="en-GB"/>
        </w:rPr>
        <w:t>Castangia</w:t>
      </w:r>
      <w:proofErr w:type="spellEnd"/>
      <w:r w:rsidRPr="00336B42">
        <w:rPr>
          <w:rFonts w:ascii="Times New Roman" w:eastAsia="Times New Roman" w:hAnsi="Times New Roman" w:cs="Times New Roman"/>
          <w:sz w:val="24"/>
          <w:szCs w:val="24"/>
          <w:lang w:eastAsia="en-GB"/>
        </w:rPr>
        <w:t xml:space="preserve">, I., &amp; Manca, M. L. (2022). Evaluation of the composition and antimicrobial activities of essential oils from four species of </w:t>
      </w:r>
      <w:proofErr w:type="spellStart"/>
      <w:r w:rsidRPr="00336B42">
        <w:rPr>
          <w:rFonts w:ascii="Times New Roman" w:eastAsia="Times New Roman" w:hAnsi="Times New Roman" w:cs="Times New Roman"/>
          <w:sz w:val="24"/>
          <w:szCs w:val="24"/>
          <w:lang w:eastAsia="en-GB"/>
        </w:rPr>
        <w:t>Lamiaceae</w:t>
      </w:r>
      <w:proofErr w:type="spellEnd"/>
      <w:r w:rsidRPr="00336B42">
        <w:rPr>
          <w:rFonts w:ascii="Times New Roman" w:eastAsia="Times New Roman" w:hAnsi="Times New Roman" w:cs="Times New Roman"/>
          <w:sz w:val="24"/>
          <w:szCs w:val="24"/>
          <w:lang w:eastAsia="en-GB"/>
        </w:rPr>
        <w:t xml:space="preserve"> Martinov native to Iran. </w:t>
      </w:r>
      <w:r w:rsidRPr="00336B42">
        <w:rPr>
          <w:rFonts w:ascii="Times New Roman" w:eastAsia="Times New Roman" w:hAnsi="Times New Roman" w:cs="Times New Roman"/>
          <w:i/>
          <w:iCs/>
          <w:sz w:val="24"/>
          <w:szCs w:val="24"/>
          <w:lang w:eastAsia="en-GB"/>
        </w:rPr>
        <w:t>Scientific Reports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12</w:t>
      </w:r>
      <w:r w:rsidRPr="00336B42">
        <w:rPr>
          <w:rFonts w:ascii="Times New Roman" w:eastAsia="Times New Roman" w:hAnsi="Times New Roman" w:cs="Times New Roman"/>
          <w:sz w:val="24"/>
          <w:szCs w:val="24"/>
          <w:lang w:eastAsia="en-GB"/>
        </w:rPr>
        <w:t xml:space="preserve">(1), Article 17044. </w:t>
      </w:r>
      <w:r w:rsidRPr="00336B42">
        <w:rPr>
          <w:rFonts w:ascii="Times New Roman" w:eastAsia="Times New Roman" w:hAnsi="Times New Roman" w:cs="Times New Roman"/>
          <w:color w:val="0000FF"/>
          <w:sz w:val="24"/>
          <w:szCs w:val="24"/>
          <w:u w:val="single"/>
          <w:lang w:eastAsia="en-GB"/>
        </w:rPr>
        <w:t>https://doi.org/10.1038/s41598-022-21509-5</w:t>
      </w:r>
    </w:p>
    <w:p w14:paraId="22FA8BA7"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Ghuman, S., Ncube, B., Finnie, J. F., McGaw, L. J., </w:t>
      </w:r>
      <w:proofErr w:type="spellStart"/>
      <w:r w:rsidRPr="00336B42">
        <w:rPr>
          <w:rFonts w:ascii="Times New Roman" w:eastAsia="Times New Roman" w:hAnsi="Times New Roman" w:cs="Times New Roman"/>
          <w:sz w:val="24"/>
          <w:szCs w:val="24"/>
          <w:lang w:eastAsia="en-GB"/>
        </w:rPr>
        <w:t>Coopoosamy</w:t>
      </w:r>
      <w:proofErr w:type="spellEnd"/>
      <w:r w:rsidRPr="00336B42">
        <w:rPr>
          <w:rFonts w:ascii="Times New Roman" w:eastAsia="Times New Roman" w:hAnsi="Times New Roman" w:cs="Times New Roman"/>
          <w:sz w:val="24"/>
          <w:szCs w:val="24"/>
          <w:lang w:eastAsia="en-GB"/>
        </w:rPr>
        <w:t xml:space="preserve">, R. M., &amp; Van Staden, J. (2016). Antimicrobial activity, phenolic content, and cytotoxicity of medicinal plant extracts used for treating dermatological diseases and wound healing in KwaZulu-Natal, South Africa. </w:t>
      </w:r>
      <w:r w:rsidRPr="00336B42">
        <w:rPr>
          <w:rFonts w:ascii="Times New Roman" w:eastAsia="Times New Roman" w:hAnsi="Times New Roman" w:cs="Times New Roman"/>
          <w:i/>
          <w:iCs/>
          <w:sz w:val="24"/>
          <w:szCs w:val="24"/>
          <w:lang w:eastAsia="en-GB"/>
        </w:rPr>
        <w:t>Frontiers in Pharmacology</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7</w:t>
      </w:r>
      <w:r w:rsidRPr="00336B42">
        <w:rPr>
          <w:rFonts w:ascii="Times New Roman" w:eastAsia="Times New Roman" w:hAnsi="Times New Roman" w:cs="Times New Roman"/>
          <w:sz w:val="24"/>
          <w:szCs w:val="24"/>
          <w:lang w:eastAsia="en-GB"/>
        </w:rPr>
        <w:t xml:space="preserve">, Article 320. </w:t>
      </w:r>
      <w:r w:rsidRPr="00336B42">
        <w:rPr>
          <w:rFonts w:ascii="Times New Roman" w:eastAsia="Times New Roman" w:hAnsi="Times New Roman" w:cs="Times New Roman"/>
          <w:color w:val="0000FF"/>
          <w:sz w:val="24"/>
          <w:szCs w:val="24"/>
          <w:u w:val="single"/>
          <w:lang w:eastAsia="en-GB"/>
        </w:rPr>
        <w:t>https://doi.org/10.3389/fphar.2016.00320</w:t>
      </w:r>
    </w:p>
    <w:p w14:paraId="00CC571F"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Jubair, N., Rajagopal, M., Chinnappan, S., Abdullah, N. B., &amp; Fatima, A. (2021). Review on the antibacterial mechanism of plant-derived compounds against multidrug-resistant bacteria (MDR). </w:t>
      </w:r>
      <w:r w:rsidRPr="00336B42">
        <w:rPr>
          <w:rFonts w:ascii="Times New Roman" w:eastAsia="Times New Roman" w:hAnsi="Times New Roman" w:cs="Times New Roman"/>
          <w:i/>
          <w:iCs/>
          <w:sz w:val="24"/>
          <w:szCs w:val="24"/>
          <w:lang w:eastAsia="en-GB"/>
        </w:rPr>
        <w:t>Evidence-Based Complementary and Alternative Medicine</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2021</w:t>
      </w:r>
      <w:r w:rsidRPr="00336B42">
        <w:rPr>
          <w:rFonts w:ascii="Times New Roman" w:eastAsia="Times New Roman" w:hAnsi="Times New Roman" w:cs="Times New Roman"/>
          <w:sz w:val="24"/>
          <w:szCs w:val="24"/>
          <w:lang w:eastAsia="en-GB"/>
        </w:rPr>
        <w:t xml:space="preserve">, Article 3663315. </w:t>
      </w:r>
      <w:r w:rsidRPr="00336B42">
        <w:rPr>
          <w:rFonts w:ascii="Times New Roman" w:eastAsia="Times New Roman" w:hAnsi="Times New Roman" w:cs="Times New Roman"/>
          <w:color w:val="0000FF"/>
          <w:sz w:val="24"/>
          <w:szCs w:val="24"/>
          <w:u w:val="single"/>
          <w:lang w:eastAsia="en-GB"/>
        </w:rPr>
        <w:t>https://doi.org/10.1155/2021/3663315</w:t>
      </w:r>
    </w:p>
    <w:p w14:paraId="3A36DE62"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Kebede, T., Gadisa, E., &amp; Tufa, A. (2021). Antimicrobial activities evaluation and phytochemical screening of some selected medicinal plants: A possible alternative in the treatment of multidrug-resistant microbes. </w:t>
      </w:r>
      <w:r w:rsidRPr="00336B42">
        <w:rPr>
          <w:rFonts w:ascii="Times New Roman" w:eastAsia="Times New Roman" w:hAnsi="Times New Roman" w:cs="Times New Roman"/>
          <w:i/>
          <w:iCs/>
          <w:sz w:val="24"/>
          <w:szCs w:val="24"/>
          <w:lang w:eastAsia="en-GB"/>
        </w:rPr>
        <w:t>PLOS ONE</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16</w:t>
      </w:r>
      <w:r w:rsidRPr="00336B42">
        <w:rPr>
          <w:rFonts w:ascii="Times New Roman" w:eastAsia="Times New Roman" w:hAnsi="Times New Roman" w:cs="Times New Roman"/>
          <w:sz w:val="24"/>
          <w:szCs w:val="24"/>
          <w:lang w:eastAsia="en-GB"/>
        </w:rPr>
        <w:t xml:space="preserve">(3), Article e0249253. </w:t>
      </w:r>
      <w:r w:rsidRPr="00336B42">
        <w:rPr>
          <w:rFonts w:ascii="Times New Roman" w:eastAsia="Times New Roman" w:hAnsi="Times New Roman" w:cs="Times New Roman"/>
          <w:color w:val="0000FF"/>
          <w:sz w:val="24"/>
          <w:szCs w:val="24"/>
          <w:u w:val="single"/>
          <w:lang w:eastAsia="en-GB"/>
        </w:rPr>
        <w:t>https://doi.org/10.1371/journal.pone.0249253</w:t>
      </w:r>
    </w:p>
    <w:p w14:paraId="65FE3030"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Khameneh</w:t>
      </w:r>
      <w:proofErr w:type="spellEnd"/>
      <w:r w:rsidRPr="00336B42">
        <w:rPr>
          <w:rFonts w:ascii="Times New Roman" w:eastAsia="Times New Roman" w:hAnsi="Times New Roman" w:cs="Times New Roman"/>
          <w:sz w:val="24"/>
          <w:szCs w:val="24"/>
          <w:lang w:eastAsia="en-GB"/>
        </w:rPr>
        <w:t xml:space="preserve">, B., </w:t>
      </w:r>
      <w:proofErr w:type="spellStart"/>
      <w:r w:rsidRPr="00336B42">
        <w:rPr>
          <w:rFonts w:ascii="Times New Roman" w:eastAsia="Times New Roman" w:hAnsi="Times New Roman" w:cs="Times New Roman"/>
          <w:sz w:val="24"/>
          <w:szCs w:val="24"/>
          <w:lang w:eastAsia="en-GB"/>
        </w:rPr>
        <w:t>Iranshahy</w:t>
      </w:r>
      <w:proofErr w:type="spellEnd"/>
      <w:r w:rsidRPr="00336B42">
        <w:rPr>
          <w:rFonts w:ascii="Times New Roman" w:eastAsia="Times New Roman" w:hAnsi="Times New Roman" w:cs="Times New Roman"/>
          <w:sz w:val="24"/>
          <w:szCs w:val="24"/>
          <w:lang w:eastAsia="en-GB"/>
        </w:rPr>
        <w:t xml:space="preserve">, M., Soheili, V., &amp; </w:t>
      </w:r>
      <w:proofErr w:type="spellStart"/>
      <w:r w:rsidRPr="00336B42">
        <w:rPr>
          <w:rFonts w:ascii="Times New Roman" w:eastAsia="Times New Roman" w:hAnsi="Times New Roman" w:cs="Times New Roman"/>
          <w:sz w:val="24"/>
          <w:szCs w:val="24"/>
          <w:lang w:eastAsia="en-GB"/>
        </w:rPr>
        <w:t>Fazly</w:t>
      </w:r>
      <w:proofErr w:type="spellEnd"/>
      <w:r w:rsidRPr="00336B42">
        <w:rPr>
          <w:rFonts w:ascii="Times New Roman" w:eastAsia="Times New Roman" w:hAnsi="Times New Roman" w:cs="Times New Roman"/>
          <w:sz w:val="24"/>
          <w:szCs w:val="24"/>
          <w:lang w:eastAsia="en-GB"/>
        </w:rPr>
        <w:t xml:space="preserve"> Bazzaz, B. S. (2019). Review on plant antimicrobials: A mechanistic viewpoint. </w:t>
      </w:r>
      <w:r w:rsidRPr="00336B42">
        <w:rPr>
          <w:rFonts w:ascii="Times New Roman" w:eastAsia="Times New Roman" w:hAnsi="Times New Roman" w:cs="Times New Roman"/>
          <w:i/>
          <w:iCs/>
          <w:sz w:val="24"/>
          <w:szCs w:val="24"/>
          <w:lang w:eastAsia="en-GB"/>
        </w:rPr>
        <w:t>Antimicrobial Resistance and Infection Control</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8</w:t>
      </w:r>
      <w:r w:rsidRPr="00336B42">
        <w:rPr>
          <w:rFonts w:ascii="Times New Roman" w:eastAsia="Times New Roman" w:hAnsi="Times New Roman" w:cs="Times New Roman"/>
          <w:sz w:val="24"/>
          <w:szCs w:val="24"/>
          <w:lang w:eastAsia="en-GB"/>
        </w:rPr>
        <w:t xml:space="preserve">, Article 118. </w:t>
      </w:r>
      <w:r w:rsidRPr="00336B42">
        <w:rPr>
          <w:rFonts w:ascii="Times New Roman" w:eastAsia="Times New Roman" w:hAnsi="Times New Roman" w:cs="Times New Roman"/>
          <w:color w:val="0000FF"/>
          <w:sz w:val="24"/>
          <w:szCs w:val="24"/>
          <w:u w:val="single"/>
          <w:lang w:eastAsia="en-GB"/>
        </w:rPr>
        <w:t>https://doi.org/10.1186/s13756-019-0559-6</w:t>
      </w:r>
    </w:p>
    <w:p w14:paraId="638B9DE4"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Klančnik, A., </w:t>
      </w:r>
      <w:proofErr w:type="spellStart"/>
      <w:r w:rsidRPr="00336B42">
        <w:rPr>
          <w:rFonts w:ascii="Times New Roman" w:eastAsia="Times New Roman" w:hAnsi="Times New Roman" w:cs="Times New Roman"/>
          <w:sz w:val="24"/>
          <w:szCs w:val="24"/>
          <w:lang w:eastAsia="en-GB"/>
        </w:rPr>
        <w:t>Piskernik</w:t>
      </w:r>
      <w:proofErr w:type="spellEnd"/>
      <w:r w:rsidRPr="00336B42">
        <w:rPr>
          <w:rFonts w:ascii="Times New Roman" w:eastAsia="Times New Roman" w:hAnsi="Times New Roman" w:cs="Times New Roman"/>
          <w:sz w:val="24"/>
          <w:szCs w:val="24"/>
          <w:lang w:eastAsia="en-GB"/>
        </w:rPr>
        <w:t xml:space="preserve">, S., Jeršek, B., &amp; Možina, S. S. (2010). Evaluation of diffusion and dilution methods to determine the antibacterial activity of plant extracts. </w:t>
      </w:r>
      <w:r w:rsidRPr="00336B42">
        <w:rPr>
          <w:rFonts w:ascii="Times New Roman" w:eastAsia="Times New Roman" w:hAnsi="Times New Roman" w:cs="Times New Roman"/>
          <w:i/>
          <w:iCs/>
          <w:sz w:val="24"/>
          <w:szCs w:val="24"/>
          <w:lang w:eastAsia="en-GB"/>
        </w:rPr>
        <w:t>Journal of Microbiological Methods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81</w:t>
      </w:r>
      <w:r w:rsidRPr="00336B42">
        <w:rPr>
          <w:rFonts w:ascii="Times New Roman" w:eastAsia="Times New Roman" w:hAnsi="Times New Roman" w:cs="Times New Roman"/>
          <w:sz w:val="24"/>
          <w:szCs w:val="24"/>
          <w:lang w:eastAsia="en-GB"/>
        </w:rPr>
        <w:t xml:space="preserve">(2), 121–126. </w:t>
      </w:r>
      <w:r w:rsidRPr="00336B42">
        <w:rPr>
          <w:rFonts w:ascii="Times New Roman" w:eastAsia="Times New Roman" w:hAnsi="Times New Roman" w:cs="Times New Roman"/>
          <w:color w:val="0000FF"/>
          <w:sz w:val="24"/>
          <w:szCs w:val="24"/>
          <w:u w:val="single"/>
          <w:lang w:eastAsia="en-GB"/>
        </w:rPr>
        <w:t>https://doi.org/10.1016/j.mimet.2010.02.004</w:t>
      </w:r>
    </w:p>
    <w:p w14:paraId="7E3528B6"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Loaiza-Oliva, M., Arias-Durango, L., &amp; Martínez-Pabón, M. C. (2023). The cytotoxic and inhibitory effects of plant derivatives on </w:t>
      </w:r>
      <w:r w:rsidRPr="00336B42">
        <w:rPr>
          <w:rFonts w:ascii="Times New Roman" w:eastAsia="Times New Roman" w:hAnsi="Times New Roman" w:cs="Times New Roman"/>
          <w:i/>
          <w:iCs/>
          <w:sz w:val="24"/>
          <w:szCs w:val="24"/>
          <w:lang w:eastAsia="en-GB"/>
        </w:rPr>
        <w:t>Candida albicans</w:t>
      </w:r>
      <w:r w:rsidRPr="00336B42">
        <w:rPr>
          <w:rFonts w:ascii="Times New Roman" w:eastAsia="Times New Roman" w:hAnsi="Times New Roman" w:cs="Times New Roman"/>
          <w:sz w:val="24"/>
          <w:szCs w:val="24"/>
          <w:lang w:eastAsia="en-GB"/>
        </w:rPr>
        <w:t xml:space="preserve"> biofilms: A scoping review. </w:t>
      </w:r>
      <w:r w:rsidRPr="00336B42">
        <w:rPr>
          <w:rFonts w:ascii="Times New Roman" w:eastAsia="Times New Roman" w:hAnsi="Times New Roman" w:cs="Times New Roman"/>
          <w:i/>
          <w:iCs/>
          <w:sz w:val="24"/>
          <w:szCs w:val="24"/>
          <w:lang w:eastAsia="en-GB"/>
        </w:rPr>
        <w:t>Molecules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28</w:t>
      </w:r>
      <w:r w:rsidRPr="00336B42">
        <w:rPr>
          <w:rFonts w:ascii="Times New Roman" w:eastAsia="Times New Roman" w:hAnsi="Times New Roman" w:cs="Times New Roman"/>
          <w:sz w:val="24"/>
          <w:szCs w:val="24"/>
          <w:lang w:eastAsia="en-GB"/>
        </w:rPr>
        <w:t xml:space="preserve">(1), Article 130. </w:t>
      </w:r>
      <w:r w:rsidRPr="00336B42">
        <w:rPr>
          <w:rFonts w:ascii="Times New Roman" w:eastAsia="Times New Roman" w:hAnsi="Times New Roman" w:cs="Times New Roman"/>
          <w:color w:val="0000FF"/>
          <w:sz w:val="24"/>
          <w:szCs w:val="24"/>
          <w:u w:val="single"/>
          <w:lang w:eastAsia="en-GB"/>
        </w:rPr>
        <w:t>https://doi.org/10.3390/molecules28010130</w:t>
      </w:r>
    </w:p>
    <w:p w14:paraId="5867DC1B"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Maisuria, V. B., Lopez-de Los Santos, Y., </w:t>
      </w:r>
      <w:proofErr w:type="spellStart"/>
      <w:r w:rsidRPr="00336B42">
        <w:rPr>
          <w:rFonts w:ascii="Times New Roman" w:eastAsia="Times New Roman" w:hAnsi="Times New Roman" w:cs="Times New Roman"/>
          <w:sz w:val="24"/>
          <w:szCs w:val="24"/>
          <w:lang w:eastAsia="en-GB"/>
        </w:rPr>
        <w:t>Tufenkji</w:t>
      </w:r>
      <w:proofErr w:type="spellEnd"/>
      <w:r w:rsidRPr="00336B42">
        <w:rPr>
          <w:rFonts w:ascii="Times New Roman" w:eastAsia="Times New Roman" w:hAnsi="Times New Roman" w:cs="Times New Roman"/>
          <w:sz w:val="24"/>
          <w:szCs w:val="24"/>
          <w:lang w:eastAsia="en-GB"/>
        </w:rPr>
        <w:t xml:space="preserve">, N., &amp; </w:t>
      </w:r>
      <w:proofErr w:type="spellStart"/>
      <w:r w:rsidRPr="00336B42">
        <w:rPr>
          <w:rFonts w:ascii="Times New Roman" w:eastAsia="Times New Roman" w:hAnsi="Times New Roman" w:cs="Times New Roman"/>
          <w:sz w:val="24"/>
          <w:szCs w:val="24"/>
          <w:lang w:eastAsia="en-GB"/>
        </w:rPr>
        <w:t>Déziel</w:t>
      </w:r>
      <w:proofErr w:type="spellEnd"/>
      <w:r w:rsidRPr="00336B42">
        <w:rPr>
          <w:rFonts w:ascii="Times New Roman" w:eastAsia="Times New Roman" w:hAnsi="Times New Roman" w:cs="Times New Roman"/>
          <w:sz w:val="24"/>
          <w:szCs w:val="24"/>
          <w:lang w:eastAsia="en-GB"/>
        </w:rPr>
        <w:t xml:space="preserve">, E. (2016). Cranberry-derived proanthocyanidins impair virulence and inhibit quorum sensing of </w:t>
      </w:r>
      <w:r w:rsidRPr="00336B42">
        <w:rPr>
          <w:rFonts w:ascii="Times New Roman" w:eastAsia="Times New Roman" w:hAnsi="Times New Roman" w:cs="Times New Roman"/>
          <w:i/>
          <w:iCs/>
          <w:sz w:val="24"/>
          <w:szCs w:val="24"/>
          <w:lang w:eastAsia="en-GB"/>
        </w:rPr>
        <w:t>Pseudomonas aeruginosa</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Scientific Reports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6</w:t>
      </w:r>
      <w:r w:rsidRPr="00336B42">
        <w:rPr>
          <w:rFonts w:ascii="Times New Roman" w:eastAsia="Times New Roman" w:hAnsi="Times New Roman" w:cs="Times New Roman"/>
          <w:sz w:val="24"/>
          <w:szCs w:val="24"/>
          <w:lang w:eastAsia="en-GB"/>
        </w:rPr>
        <w:t xml:space="preserve">, Article 30169. </w:t>
      </w:r>
      <w:r w:rsidRPr="00336B42">
        <w:rPr>
          <w:rFonts w:ascii="Times New Roman" w:eastAsia="Times New Roman" w:hAnsi="Times New Roman" w:cs="Times New Roman"/>
          <w:color w:val="0000FF"/>
          <w:sz w:val="24"/>
          <w:szCs w:val="24"/>
          <w:u w:val="single"/>
          <w:lang w:eastAsia="en-GB"/>
        </w:rPr>
        <w:t>https://doi.org/10.1038/srep30169</w:t>
      </w:r>
    </w:p>
    <w:p w14:paraId="2373D9BE"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36B42">
        <w:rPr>
          <w:rFonts w:ascii="Times New Roman" w:eastAsia="Times New Roman" w:hAnsi="Times New Roman" w:cs="Times New Roman"/>
          <w:sz w:val="24"/>
          <w:szCs w:val="24"/>
          <w:lang w:eastAsia="en-GB"/>
        </w:rPr>
        <w:t>Obistioiu</w:t>
      </w:r>
      <w:proofErr w:type="spellEnd"/>
      <w:r w:rsidRPr="00336B42">
        <w:rPr>
          <w:rFonts w:ascii="Times New Roman" w:eastAsia="Times New Roman" w:hAnsi="Times New Roman" w:cs="Times New Roman"/>
          <w:sz w:val="24"/>
          <w:szCs w:val="24"/>
          <w:lang w:eastAsia="en-GB"/>
        </w:rPr>
        <w:t xml:space="preserve">, D., </w:t>
      </w:r>
      <w:proofErr w:type="spellStart"/>
      <w:r w:rsidRPr="00336B42">
        <w:rPr>
          <w:rFonts w:ascii="Times New Roman" w:eastAsia="Times New Roman" w:hAnsi="Times New Roman" w:cs="Times New Roman"/>
          <w:sz w:val="24"/>
          <w:szCs w:val="24"/>
          <w:lang w:eastAsia="en-GB"/>
        </w:rPr>
        <w:t>Cocan</w:t>
      </w:r>
      <w:proofErr w:type="spellEnd"/>
      <w:r w:rsidRPr="00336B42">
        <w:rPr>
          <w:rFonts w:ascii="Times New Roman" w:eastAsia="Times New Roman" w:hAnsi="Times New Roman" w:cs="Times New Roman"/>
          <w:sz w:val="24"/>
          <w:szCs w:val="24"/>
          <w:lang w:eastAsia="en-GB"/>
        </w:rPr>
        <w:t xml:space="preserve">, I., </w:t>
      </w:r>
      <w:proofErr w:type="spellStart"/>
      <w:r w:rsidRPr="00336B42">
        <w:rPr>
          <w:rFonts w:ascii="Times New Roman" w:eastAsia="Times New Roman" w:hAnsi="Times New Roman" w:cs="Times New Roman"/>
          <w:sz w:val="24"/>
          <w:szCs w:val="24"/>
          <w:lang w:eastAsia="en-GB"/>
        </w:rPr>
        <w:t>Tîrziu</w:t>
      </w:r>
      <w:proofErr w:type="spellEnd"/>
      <w:r w:rsidRPr="00336B42">
        <w:rPr>
          <w:rFonts w:ascii="Times New Roman" w:eastAsia="Times New Roman" w:hAnsi="Times New Roman" w:cs="Times New Roman"/>
          <w:sz w:val="24"/>
          <w:szCs w:val="24"/>
          <w:lang w:eastAsia="en-GB"/>
        </w:rPr>
        <w:t xml:space="preserve">, E., Herman, V., Negrea, M., </w:t>
      </w:r>
      <w:proofErr w:type="spellStart"/>
      <w:r w:rsidRPr="00336B42">
        <w:rPr>
          <w:rFonts w:ascii="Times New Roman" w:eastAsia="Times New Roman" w:hAnsi="Times New Roman" w:cs="Times New Roman"/>
          <w:sz w:val="24"/>
          <w:szCs w:val="24"/>
          <w:lang w:eastAsia="en-GB"/>
        </w:rPr>
        <w:t>Cucerzan</w:t>
      </w:r>
      <w:proofErr w:type="spellEnd"/>
      <w:r w:rsidRPr="00336B42">
        <w:rPr>
          <w:rFonts w:ascii="Times New Roman" w:eastAsia="Times New Roman" w:hAnsi="Times New Roman" w:cs="Times New Roman"/>
          <w:sz w:val="24"/>
          <w:szCs w:val="24"/>
          <w:lang w:eastAsia="en-GB"/>
        </w:rPr>
        <w:t xml:space="preserve">, A., Neacsu, A. G., Cozma, A. L., Nichita, I., </w:t>
      </w:r>
      <w:proofErr w:type="spellStart"/>
      <w:r w:rsidRPr="00336B42">
        <w:rPr>
          <w:rFonts w:ascii="Times New Roman" w:eastAsia="Times New Roman" w:hAnsi="Times New Roman" w:cs="Times New Roman"/>
          <w:sz w:val="24"/>
          <w:szCs w:val="24"/>
          <w:lang w:eastAsia="en-GB"/>
        </w:rPr>
        <w:t>Hulea</w:t>
      </w:r>
      <w:proofErr w:type="spellEnd"/>
      <w:r w:rsidRPr="00336B42">
        <w:rPr>
          <w:rFonts w:ascii="Times New Roman" w:eastAsia="Times New Roman" w:hAnsi="Times New Roman" w:cs="Times New Roman"/>
          <w:sz w:val="24"/>
          <w:szCs w:val="24"/>
          <w:lang w:eastAsia="en-GB"/>
        </w:rPr>
        <w:t xml:space="preserve">, A., Radulov, I., &amp; Alexa, E. (2021). Phytochemical profile and microbiological activity of some plants belonging to the Fabaceae family. </w:t>
      </w:r>
      <w:r w:rsidRPr="00336B42">
        <w:rPr>
          <w:rFonts w:ascii="Times New Roman" w:eastAsia="Times New Roman" w:hAnsi="Times New Roman" w:cs="Times New Roman"/>
          <w:i/>
          <w:iCs/>
          <w:sz w:val="24"/>
          <w:szCs w:val="24"/>
          <w:lang w:eastAsia="en-GB"/>
        </w:rPr>
        <w:t>Antibiotics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10</w:t>
      </w:r>
      <w:r w:rsidRPr="00336B42">
        <w:rPr>
          <w:rFonts w:ascii="Times New Roman" w:eastAsia="Times New Roman" w:hAnsi="Times New Roman" w:cs="Times New Roman"/>
          <w:sz w:val="24"/>
          <w:szCs w:val="24"/>
          <w:lang w:eastAsia="en-GB"/>
        </w:rPr>
        <w:t xml:space="preserve">(6), Article 662. </w:t>
      </w:r>
      <w:r w:rsidRPr="00336B42">
        <w:rPr>
          <w:rFonts w:ascii="Times New Roman" w:eastAsia="Times New Roman" w:hAnsi="Times New Roman" w:cs="Times New Roman"/>
          <w:color w:val="0000FF"/>
          <w:sz w:val="24"/>
          <w:szCs w:val="24"/>
          <w:u w:val="single"/>
          <w:lang w:eastAsia="en-GB"/>
        </w:rPr>
        <w:t>https://doi.org/10.3390/antibiotics10060662</w:t>
      </w:r>
    </w:p>
    <w:p w14:paraId="2E75110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 xml:space="preserve">Potente, G., Bonvicini, F., </w:t>
      </w:r>
      <w:proofErr w:type="spellStart"/>
      <w:r w:rsidRPr="00336B42">
        <w:rPr>
          <w:rFonts w:ascii="Times New Roman" w:eastAsia="Times New Roman" w:hAnsi="Times New Roman" w:cs="Times New Roman"/>
          <w:sz w:val="24"/>
          <w:szCs w:val="24"/>
          <w:lang w:eastAsia="en-GB"/>
        </w:rPr>
        <w:t>Gentilomi</w:t>
      </w:r>
      <w:proofErr w:type="spellEnd"/>
      <w:r w:rsidRPr="00336B42">
        <w:rPr>
          <w:rFonts w:ascii="Times New Roman" w:eastAsia="Times New Roman" w:hAnsi="Times New Roman" w:cs="Times New Roman"/>
          <w:sz w:val="24"/>
          <w:szCs w:val="24"/>
          <w:lang w:eastAsia="en-GB"/>
        </w:rPr>
        <w:t xml:space="preserve">, G. A., &amp; </w:t>
      </w:r>
      <w:proofErr w:type="spellStart"/>
      <w:r w:rsidRPr="00336B42">
        <w:rPr>
          <w:rFonts w:ascii="Times New Roman" w:eastAsia="Times New Roman" w:hAnsi="Times New Roman" w:cs="Times New Roman"/>
          <w:sz w:val="24"/>
          <w:szCs w:val="24"/>
          <w:lang w:eastAsia="en-GB"/>
        </w:rPr>
        <w:t>Antognoni</w:t>
      </w:r>
      <w:proofErr w:type="spellEnd"/>
      <w:r w:rsidRPr="00336B42">
        <w:rPr>
          <w:rFonts w:ascii="Times New Roman" w:eastAsia="Times New Roman" w:hAnsi="Times New Roman" w:cs="Times New Roman"/>
          <w:sz w:val="24"/>
          <w:szCs w:val="24"/>
          <w:lang w:eastAsia="en-GB"/>
        </w:rPr>
        <w:t>, F. (2020). Anti-</w:t>
      </w:r>
      <w:r w:rsidRPr="00336B42">
        <w:rPr>
          <w:rFonts w:ascii="Times New Roman" w:eastAsia="Times New Roman" w:hAnsi="Times New Roman" w:cs="Times New Roman"/>
          <w:i/>
          <w:iCs/>
          <w:sz w:val="24"/>
          <w:szCs w:val="24"/>
          <w:lang w:eastAsia="en-GB"/>
        </w:rPr>
        <w:t>Candida</w:t>
      </w:r>
      <w:r w:rsidRPr="00336B42">
        <w:rPr>
          <w:rFonts w:ascii="Times New Roman" w:eastAsia="Times New Roman" w:hAnsi="Times New Roman" w:cs="Times New Roman"/>
          <w:sz w:val="24"/>
          <w:szCs w:val="24"/>
          <w:lang w:eastAsia="en-GB"/>
        </w:rPr>
        <w:t xml:space="preserve"> activity of essential oils from </w:t>
      </w:r>
      <w:proofErr w:type="spellStart"/>
      <w:r w:rsidRPr="00336B42">
        <w:rPr>
          <w:rFonts w:ascii="Times New Roman" w:eastAsia="Times New Roman" w:hAnsi="Times New Roman" w:cs="Times New Roman"/>
          <w:sz w:val="24"/>
          <w:szCs w:val="24"/>
          <w:lang w:eastAsia="en-GB"/>
        </w:rPr>
        <w:t>Lamiaceae</w:t>
      </w:r>
      <w:proofErr w:type="spellEnd"/>
      <w:r w:rsidRPr="00336B42">
        <w:rPr>
          <w:rFonts w:ascii="Times New Roman" w:eastAsia="Times New Roman" w:hAnsi="Times New Roman" w:cs="Times New Roman"/>
          <w:sz w:val="24"/>
          <w:szCs w:val="24"/>
          <w:lang w:eastAsia="en-GB"/>
        </w:rPr>
        <w:t xml:space="preserve"> plants from the Mediterranean area and the Middle East. </w:t>
      </w:r>
      <w:r w:rsidRPr="00336B42">
        <w:rPr>
          <w:rFonts w:ascii="Times New Roman" w:eastAsia="Times New Roman" w:hAnsi="Times New Roman" w:cs="Times New Roman"/>
          <w:i/>
          <w:iCs/>
          <w:sz w:val="24"/>
          <w:szCs w:val="24"/>
          <w:lang w:eastAsia="en-GB"/>
        </w:rPr>
        <w:t>Antibiotics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9</w:t>
      </w:r>
      <w:r w:rsidRPr="00336B42">
        <w:rPr>
          <w:rFonts w:ascii="Times New Roman" w:eastAsia="Times New Roman" w:hAnsi="Times New Roman" w:cs="Times New Roman"/>
          <w:sz w:val="24"/>
          <w:szCs w:val="24"/>
          <w:lang w:eastAsia="en-GB"/>
        </w:rPr>
        <w:t xml:space="preserve">(7), Article 395. </w:t>
      </w:r>
      <w:r w:rsidRPr="00336B42">
        <w:rPr>
          <w:rFonts w:ascii="Times New Roman" w:eastAsia="Times New Roman" w:hAnsi="Times New Roman" w:cs="Times New Roman"/>
          <w:color w:val="0000FF"/>
          <w:sz w:val="24"/>
          <w:szCs w:val="24"/>
          <w:u w:val="single"/>
          <w:lang w:eastAsia="en-GB"/>
        </w:rPr>
        <w:t>https://doi.org/10.3390/antibiotics9070395</w:t>
      </w:r>
    </w:p>
    <w:p w14:paraId="5C1A6266"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Rahalison, L., Hamburger, M., </w:t>
      </w:r>
      <w:proofErr w:type="spellStart"/>
      <w:r w:rsidRPr="00336B42">
        <w:rPr>
          <w:rFonts w:ascii="Times New Roman" w:eastAsia="Times New Roman" w:hAnsi="Times New Roman" w:cs="Times New Roman"/>
          <w:sz w:val="24"/>
          <w:szCs w:val="24"/>
          <w:lang w:eastAsia="en-GB"/>
        </w:rPr>
        <w:t>Hostettmann</w:t>
      </w:r>
      <w:proofErr w:type="spellEnd"/>
      <w:r w:rsidRPr="00336B42">
        <w:rPr>
          <w:rFonts w:ascii="Times New Roman" w:eastAsia="Times New Roman" w:hAnsi="Times New Roman" w:cs="Times New Roman"/>
          <w:sz w:val="24"/>
          <w:szCs w:val="24"/>
          <w:lang w:eastAsia="en-GB"/>
        </w:rPr>
        <w:t xml:space="preserve">, K., Monod, M., &amp; Frenk, E. (1991). A bioautographic agar overlay method for the detection of antifungal compounds from higher plants. </w:t>
      </w:r>
      <w:r w:rsidRPr="00336B42">
        <w:rPr>
          <w:rFonts w:ascii="Times New Roman" w:eastAsia="Times New Roman" w:hAnsi="Times New Roman" w:cs="Times New Roman"/>
          <w:i/>
          <w:iCs/>
          <w:sz w:val="24"/>
          <w:szCs w:val="24"/>
          <w:lang w:eastAsia="en-GB"/>
        </w:rPr>
        <w:t>Phytochemical Analysis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2</w:t>
      </w:r>
      <w:r w:rsidRPr="00336B42">
        <w:rPr>
          <w:rFonts w:ascii="Times New Roman" w:eastAsia="Times New Roman" w:hAnsi="Times New Roman" w:cs="Times New Roman"/>
          <w:sz w:val="24"/>
          <w:szCs w:val="24"/>
          <w:lang w:eastAsia="en-GB"/>
        </w:rPr>
        <w:t xml:space="preserve">(5), 199–203. </w:t>
      </w:r>
      <w:r w:rsidRPr="00336B42">
        <w:rPr>
          <w:rFonts w:ascii="Times New Roman" w:eastAsia="Times New Roman" w:hAnsi="Times New Roman" w:cs="Times New Roman"/>
          <w:color w:val="0000FF"/>
          <w:sz w:val="24"/>
          <w:szCs w:val="24"/>
          <w:u w:val="single"/>
          <w:lang w:eastAsia="en-GB"/>
        </w:rPr>
        <w:t>https://doi.org/10.1002/pca.2800020503</w:t>
      </w:r>
    </w:p>
    <w:p w14:paraId="7B3DD9BD"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Sukhera, J. (2022). Narrative reviews: Flexible, rigorous, and practical. </w:t>
      </w:r>
      <w:r w:rsidRPr="00336B42">
        <w:rPr>
          <w:rFonts w:ascii="Times New Roman" w:eastAsia="Times New Roman" w:hAnsi="Times New Roman" w:cs="Times New Roman"/>
          <w:i/>
          <w:iCs/>
          <w:sz w:val="24"/>
          <w:szCs w:val="24"/>
          <w:lang w:eastAsia="en-GB"/>
        </w:rPr>
        <w:t>Journal of Graduate Medical Education</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14</w:t>
      </w:r>
      <w:r w:rsidRPr="00336B42">
        <w:rPr>
          <w:rFonts w:ascii="Times New Roman" w:eastAsia="Times New Roman" w:hAnsi="Times New Roman" w:cs="Times New Roman"/>
          <w:sz w:val="24"/>
          <w:szCs w:val="24"/>
          <w:lang w:eastAsia="en-GB"/>
        </w:rPr>
        <w:t xml:space="preserve">(4), 414–417. </w:t>
      </w:r>
      <w:r w:rsidRPr="00336B42">
        <w:rPr>
          <w:rFonts w:ascii="Times New Roman" w:eastAsia="Times New Roman" w:hAnsi="Times New Roman" w:cs="Times New Roman"/>
          <w:color w:val="0000FF"/>
          <w:sz w:val="24"/>
          <w:szCs w:val="24"/>
          <w:u w:val="single"/>
          <w:lang w:eastAsia="en-GB"/>
        </w:rPr>
        <w:t>https://doi.org/10.4300/JGME-D-22-00480.1</w:t>
      </w:r>
    </w:p>
    <w:p w14:paraId="0ED71D1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Tsamo, D. L. F., </w:t>
      </w:r>
      <w:proofErr w:type="spellStart"/>
      <w:r w:rsidRPr="00336B42">
        <w:rPr>
          <w:rFonts w:ascii="Times New Roman" w:eastAsia="Times New Roman" w:hAnsi="Times New Roman" w:cs="Times New Roman"/>
          <w:sz w:val="24"/>
          <w:szCs w:val="24"/>
          <w:lang w:eastAsia="en-GB"/>
        </w:rPr>
        <w:t>Tamokou</w:t>
      </w:r>
      <w:proofErr w:type="spellEnd"/>
      <w:r w:rsidRPr="00336B42">
        <w:rPr>
          <w:rFonts w:ascii="Times New Roman" w:eastAsia="Times New Roman" w:hAnsi="Times New Roman" w:cs="Times New Roman"/>
          <w:sz w:val="24"/>
          <w:szCs w:val="24"/>
          <w:lang w:eastAsia="en-GB"/>
        </w:rPr>
        <w:t xml:space="preserve">, J.-D.-D., Kengne, I. C., </w:t>
      </w:r>
      <w:proofErr w:type="spellStart"/>
      <w:r w:rsidRPr="00336B42">
        <w:rPr>
          <w:rFonts w:ascii="Times New Roman" w:eastAsia="Times New Roman" w:hAnsi="Times New Roman" w:cs="Times New Roman"/>
          <w:sz w:val="24"/>
          <w:szCs w:val="24"/>
          <w:lang w:eastAsia="en-GB"/>
        </w:rPr>
        <w:t>Ngnokam</w:t>
      </w:r>
      <w:proofErr w:type="spellEnd"/>
      <w:r w:rsidRPr="00336B42">
        <w:rPr>
          <w:rFonts w:ascii="Times New Roman" w:eastAsia="Times New Roman" w:hAnsi="Times New Roman" w:cs="Times New Roman"/>
          <w:sz w:val="24"/>
          <w:szCs w:val="24"/>
          <w:lang w:eastAsia="en-GB"/>
        </w:rPr>
        <w:t xml:space="preserve">, C. D. J., </w:t>
      </w:r>
      <w:proofErr w:type="spellStart"/>
      <w:r w:rsidRPr="00336B42">
        <w:rPr>
          <w:rFonts w:ascii="Times New Roman" w:eastAsia="Times New Roman" w:hAnsi="Times New Roman" w:cs="Times New Roman"/>
          <w:sz w:val="24"/>
          <w:szCs w:val="24"/>
          <w:lang w:eastAsia="en-GB"/>
        </w:rPr>
        <w:t>Djamalladine</w:t>
      </w:r>
      <w:proofErr w:type="spellEnd"/>
      <w:r w:rsidRPr="00336B42">
        <w:rPr>
          <w:rFonts w:ascii="Times New Roman" w:eastAsia="Times New Roman" w:hAnsi="Times New Roman" w:cs="Times New Roman"/>
          <w:sz w:val="24"/>
          <w:szCs w:val="24"/>
          <w:lang w:eastAsia="en-GB"/>
        </w:rPr>
        <w:t xml:space="preserve">, M. D., </w:t>
      </w:r>
      <w:proofErr w:type="spellStart"/>
      <w:r w:rsidRPr="00336B42">
        <w:rPr>
          <w:rFonts w:ascii="Times New Roman" w:eastAsia="Times New Roman" w:hAnsi="Times New Roman" w:cs="Times New Roman"/>
          <w:sz w:val="24"/>
          <w:szCs w:val="24"/>
          <w:lang w:eastAsia="en-GB"/>
        </w:rPr>
        <w:t>Voutquenne-Nazabadioko</w:t>
      </w:r>
      <w:proofErr w:type="spellEnd"/>
      <w:r w:rsidRPr="00336B42">
        <w:rPr>
          <w:rFonts w:ascii="Times New Roman" w:eastAsia="Times New Roman" w:hAnsi="Times New Roman" w:cs="Times New Roman"/>
          <w:sz w:val="24"/>
          <w:szCs w:val="24"/>
          <w:lang w:eastAsia="en-GB"/>
        </w:rPr>
        <w:t xml:space="preserve">, L., &amp; </w:t>
      </w:r>
      <w:proofErr w:type="spellStart"/>
      <w:r w:rsidRPr="00336B42">
        <w:rPr>
          <w:rFonts w:ascii="Times New Roman" w:eastAsia="Times New Roman" w:hAnsi="Times New Roman" w:cs="Times New Roman"/>
          <w:sz w:val="24"/>
          <w:szCs w:val="24"/>
          <w:lang w:eastAsia="en-GB"/>
        </w:rPr>
        <w:t>Ngnokam</w:t>
      </w:r>
      <w:proofErr w:type="spellEnd"/>
      <w:r w:rsidRPr="00336B42">
        <w:rPr>
          <w:rFonts w:ascii="Times New Roman" w:eastAsia="Times New Roman" w:hAnsi="Times New Roman" w:cs="Times New Roman"/>
          <w:sz w:val="24"/>
          <w:szCs w:val="24"/>
          <w:lang w:eastAsia="en-GB"/>
        </w:rPr>
        <w:t xml:space="preserve">, D. (2021). Antimicrobial and antioxidant secondary metabolites from Trifolium </w:t>
      </w:r>
      <w:proofErr w:type="spellStart"/>
      <w:r w:rsidRPr="00336B42">
        <w:rPr>
          <w:rFonts w:ascii="Times New Roman" w:eastAsia="Times New Roman" w:hAnsi="Times New Roman" w:cs="Times New Roman"/>
          <w:sz w:val="24"/>
          <w:szCs w:val="24"/>
          <w:lang w:eastAsia="en-GB"/>
        </w:rPr>
        <w:t>baccarinii</w:t>
      </w:r>
      <w:proofErr w:type="spellEnd"/>
      <w:r w:rsidRPr="00336B42">
        <w:rPr>
          <w:rFonts w:ascii="Times New Roman" w:eastAsia="Times New Roman" w:hAnsi="Times New Roman" w:cs="Times New Roman"/>
          <w:sz w:val="24"/>
          <w:szCs w:val="24"/>
          <w:lang w:eastAsia="en-GB"/>
        </w:rPr>
        <w:t xml:space="preserve"> </w:t>
      </w:r>
      <w:proofErr w:type="spellStart"/>
      <w:r w:rsidRPr="00336B42">
        <w:rPr>
          <w:rFonts w:ascii="Times New Roman" w:eastAsia="Times New Roman" w:hAnsi="Times New Roman" w:cs="Times New Roman"/>
          <w:sz w:val="24"/>
          <w:szCs w:val="24"/>
          <w:lang w:eastAsia="en-GB"/>
        </w:rPr>
        <w:t>Chiov</w:t>
      </w:r>
      <w:proofErr w:type="spellEnd"/>
      <w:r w:rsidRPr="00336B42">
        <w:rPr>
          <w:rFonts w:ascii="Times New Roman" w:eastAsia="Times New Roman" w:hAnsi="Times New Roman" w:cs="Times New Roman"/>
          <w:sz w:val="24"/>
          <w:szCs w:val="24"/>
          <w:lang w:eastAsia="en-GB"/>
        </w:rPr>
        <w:t xml:space="preserve">. (Fabaceae) and their mechanisms of antibacterial action. </w:t>
      </w:r>
      <w:r w:rsidRPr="00336B42">
        <w:rPr>
          <w:rFonts w:ascii="Times New Roman" w:eastAsia="Times New Roman" w:hAnsi="Times New Roman" w:cs="Times New Roman"/>
          <w:bCs/>
          <w:i/>
          <w:iCs/>
          <w:sz w:val="24"/>
          <w:szCs w:val="24"/>
          <w:lang w:eastAsia="en-GB"/>
        </w:rPr>
        <w:t>BioMed Research International</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2021</w:t>
      </w:r>
      <w:r w:rsidRPr="00336B42">
        <w:rPr>
          <w:rFonts w:ascii="Times New Roman" w:eastAsia="Times New Roman" w:hAnsi="Times New Roman" w:cs="Times New Roman"/>
          <w:sz w:val="24"/>
          <w:szCs w:val="24"/>
          <w:lang w:eastAsia="en-GB"/>
        </w:rPr>
        <w:t xml:space="preserve">, Article 3099428. </w:t>
      </w:r>
      <w:r w:rsidRPr="00336B42">
        <w:rPr>
          <w:rFonts w:ascii="Times New Roman" w:eastAsia="Times New Roman" w:hAnsi="Times New Roman" w:cs="Times New Roman"/>
          <w:color w:val="0000FF"/>
          <w:sz w:val="24"/>
          <w:szCs w:val="24"/>
          <w:u w:val="single"/>
          <w:lang w:eastAsia="en-GB"/>
        </w:rPr>
        <w:t>https://doi.org/10.1155/2021/3099428</w:t>
      </w:r>
    </w:p>
    <w:p w14:paraId="6D832DA7"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Wiegand, I., Hilpert, K., &amp; Hancock, R. E. W. (2008). Agar and broth dilution methods to determine the minimal inhibitory concentration (MIC) of antimicrobial substances. </w:t>
      </w:r>
      <w:r w:rsidRPr="00336B42">
        <w:rPr>
          <w:rFonts w:ascii="Times New Roman" w:eastAsia="Times New Roman" w:hAnsi="Times New Roman" w:cs="Times New Roman"/>
          <w:i/>
          <w:iCs/>
          <w:sz w:val="24"/>
          <w:szCs w:val="24"/>
          <w:lang w:eastAsia="en-GB"/>
        </w:rPr>
        <w:t>Nature Protocols</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3</w:t>
      </w:r>
      <w:r w:rsidRPr="00336B42">
        <w:rPr>
          <w:rFonts w:ascii="Times New Roman" w:eastAsia="Times New Roman" w:hAnsi="Times New Roman" w:cs="Times New Roman"/>
          <w:sz w:val="24"/>
          <w:szCs w:val="24"/>
          <w:lang w:eastAsia="en-GB"/>
        </w:rPr>
        <w:t xml:space="preserve">(2), 163–175. </w:t>
      </w:r>
      <w:r w:rsidRPr="00336B42">
        <w:rPr>
          <w:rFonts w:ascii="Times New Roman" w:eastAsia="Times New Roman" w:hAnsi="Times New Roman" w:cs="Times New Roman"/>
          <w:color w:val="0000FF"/>
          <w:sz w:val="24"/>
          <w:szCs w:val="24"/>
          <w:u w:val="single"/>
          <w:lang w:eastAsia="en-GB"/>
        </w:rPr>
        <w:t>https://doi.org/10.1038/nprot.2007.521</w:t>
      </w:r>
    </w:p>
    <w:p w14:paraId="5C7B5202"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World Health Organization. (2025). </w:t>
      </w:r>
      <w:r w:rsidRPr="00336B42">
        <w:rPr>
          <w:rFonts w:ascii="Times New Roman" w:eastAsia="Times New Roman" w:hAnsi="Times New Roman" w:cs="Times New Roman"/>
          <w:i/>
          <w:iCs/>
          <w:sz w:val="24"/>
          <w:szCs w:val="24"/>
          <w:lang w:eastAsia="en-GB"/>
        </w:rPr>
        <w:t>Global antibiotic resistance surveillance report 2025</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color w:val="0000FF"/>
          <w:sz w:val="24"/>
          <w:szCs w:val="24"/>
          <w:u w:val="single"/>
          <w:lang w:eastAsia="en-GB"/>
        </w:rPr>
        <w:t>https://www.who.int/publications/i/item/9789240116337</w:t>
      </w:r>
    </w:p>
    <w:p w14:paraId="0205F7C3" w14:textId="77777777" w:rsidR="00336B42" w:rsidRPr="00336B42" w:rsidRDefault="00336B42" w:rsidP="00336B42">
      <w:pPr>
        <w:spacing w:before="100" w:beforeAutospacing="1" w:after="100" w:afterAutospacing="1" w:line="240" w:lineRule="auto"/>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Zaky, A. A., Akram, M. U., Rybak, K., </w:t>
      </w:r>
      <w:proofErr w:type="spellStart"/>
      <w:r w:rsidRPr="00336B42">
        <w:rPr>
          <w:rFonts w:ascii="Times New Roman" w:eastAsia="Times New Roman" w:hAnsi="Times New Roman" w:cs="Times New Roman"/>
          <w:sz w:val="24"/>
          <w:szCs w:val="24"/>
          <w:lang w:eastAsia="en-GB"/>
        </w:rPr>
        <w:t>Witrowa-Rajchert</w:t>
      </w:r>
      <w:proofErr w:type="spellEnd"/>
      <w:r w:rsidRPr="00336B42">
        <w:rPr>
          <w:rFonts w:ascii="Times New Roman" w:eastAsia="Times New Roman" w:hAnsi="Times New Roman" w:cs="Times New Roman"/>
          <w:sz w:val="24"/>
          <w:szCs w:val="24"/>
          <w:lang w:eastAsia="en-GB"/>
        </w:rPr>
        <w:t xml:space="preserve">, D., &amp; Nowacka, M. (2024). Bioactive compounds from plants and by-products: Novel extraction methods, applications, and limitations. </w:t>
      </w:r>
      <w:r w:rsidRPr="00336B42">
        <w:rPr>
          <w:rFonts w:ascii="Times New Roman" w:eastAsia="Times New Roman" w:hAnsi="Times New Roman" w:cs="Times New Roman"/>
          <w:i/>
          <w:iCs/>
          <w:sz w:val="24"/>
          <w:szCs w:val="24"/>
          <w:lang w:eastAsia="en-GB"/>
        </w:rPr>
        <w:t>AIMS Molecular Science</w:t>
      </w:r>
      <w:r w:rsidRPr="00336B42">
        <w:rPr>
          <w:rFonts w:ascii="Times New Roman" w:eastAsia="Times New Roman" w:hAnsi="Times New Roman" w:cs="Times New Roman"/>
          <w:sz w:val="24"/>
          <w:szCs w:val="24"/>
          <w:lang w:eastAsia="en-GB"/>
        </w:rPr>
        <w:t xml:space="preserve">, </w:t>
      </w:r>
      <w:r w:rsidRPr="00336B42">
        <w:rPr>
          <w:rFonts w:ascii="Times New Roman" w:eastAsia="Times New Roman" w:hAnsi="Times New Roman" w:cs="Times New Roman"/>
          <w:i/>
          <w:iCs/>
          <w:sz w:val="24"/>
          <w:szCs w:val="24"/>
          <w:lang w:eastAsia="en-GB"/>
        </w:rPr>
        <w:t>11</w:t>
      </w:r>
      <w:r w:rsidRPr="00336B42">
        <w:rPr>
          <w:rFonts w:ascii="Times New Roman" w:eastAsia="Times New Roman" w:hAnsi="Times New Roman" w:cs="Times New Roman"/>
          <w:sz w:val="24"/>
          <w:szCs w:val="24"/>
          <w:lang w:eastAsia="en-GB"/>
        </w:rPr>
        <w:t xml:space="preserve">(2), 150–188. </w:t>
      </w:r>
      <w:r w:rsidRPr="00336B42">
        <w:rPr>
          <w:rFonts w:ascii="Times New Roman" w:eastAsia="Times New Roman" w:hAnsi="Times New Roman" w:cs="Times New Roman"/>
          <w:color w:val="0000FF"/>
          <w:sz w:val="24"/>
          <w:szCs w:val="24"/>
          <w:u w:val="single"/>
          <w:lang w:eastAsia="en-GB"/>
        </w:rPr>
        <w:t>https://doi.org/10.3934/molsci.2024010</w:t>
      </w:r>
    </w:p>
    <w:p w14:paraId="39FEAFEF"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C1C60" w14:textId="77777777" w:rsidR="00B842A7" w:rsidRDefault="00B842A7" w:rsidP="00A0215E">
      <w:pPr>
        <w:spacing w:after="0" w:line="240" w:lineRule="auto"/>
      </w:pPr>
      <w:r>
        <w:separator/>
      </w:r>
    </w:p>
  </w:endnote>
  <w:endnote w:type="continuationSeparator" w:id="0">
    <w:p w14:paraId="6057060A" w14:textId="77777777" w:rsidR="00B842A7" w:rsidRDefault="00B842A7" w:rsidP="00A0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864A" w14:textId="77777777" w:rsidR="00A0215E" w:rsidRDefault="00A02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6C39" w14:textId="77777777" w:rsidR="00A0215E" w:rsidRDefault="00A021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2AE8" w14:textId="77777777" w:rsidR="00A0215E" w:rsidRDefault="00A0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57FB0" w14:textId="77777777" w:rsidR="00B842A7" w:rsidRDefault="00B842A7" w:rsidP="00A0215E">
      <w:pPr>
        <w:spacing w:after="0" w:line="240" w:lineRule="auto"/>
      </w:pPr>
      <w:r>
        <w:separator/>
      </w:r>
    </w:p>
  </w:footnote>
  <w:footnote w:type="continuationSeparator" w:id="0">
    <w:p w14:paraId="60787FED" w14:textId="77777777" w:rsidR="00B842A7" w:rsidRDefault="00B842A7" w:rsidP="00A02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D7CA" w14:textId="4925DC33" w:rsidR="00A0215E" w:rsidRDefault="00A0215E">
    <w:pPr>
      <w:pStyle w:val="Header"/>
    </w:pPr>
    <w:r>
      <w:rPr>
        <w:noProof/>
      </w:rPr>
      <w:pict w14:anchorId="702B53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26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98DA" w14:textId="2364BDEF" w:rsidR="00A0215E" w:rsidRDefault="00A0215E">
    <w:pPr>
      <w:pStyle w:val="Header"/>
    </w:pPr>
    <w:r>
      <w:rPr>
        <w:noProof/>
      </w:rPr>
      <w:pict w14:anchorId="4076A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262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2484" w14:textId="78338359" w:rsidR="00A0215E" w:rsidRDefault="00A0215E">
    <w:pPr>
      <w:pStyle w:val="Header"/>
    </w:pPr>
    <w:r>
      <w:rPr>
        <w:noProof/>
      </w:rPr>
      <w:pict w14:anchorId="64F72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26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6B42"/>
    <w:rsid w:val="00336B42"/>
    <w:rsid w:val="00345F3B"/>
    <w:rsid w:val="004841B3"/>
    <w:rsid w:val="006449CE"/>
    <w:rsid w:val="00824882"/>
    <w:rsid w:val="00A0215E"/>
    <w:rsid w:val="00A57FF8"/>
    <w:rsid w:val="00B84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11A91"/>
  <w15:docId w15:val="{A8A58E6D-66B1-492F-9DE4-C2846392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336B4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36B4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36B4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336B4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36B42"/>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36B42"/>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336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36B42"/>
    <w:rPr>
      <w:b/>
      <w:bCs/>
    </w:rPr>
  </w:style>
  <w:style w:type="character" w:styleId="Emphasis">
    <w:name w:val="Emphasis"/>
    <w:basedOn w:val="DefaultParagraphFont"/>
    <w:uiPriority w:val="20"/>
    <w:qFormat/>
    <w:rsid w:val="00336B42"/>
    <w:rPr>
      <w:i/>
      <w:iCs/>
    </w:rPr>
  </w:style>
  <w:style w:type="character" w:styleId="Hyperlink">
    <w:name w:val="Hyperlink"/>
    <w:basedOn w:val="DefaultParagraphFont"/>
    <w:uiPriority w:val="99"/>
    <w:semiHidden/>
    <w:unhideWhenUsed/>
    <w:rsid w:val="00336B42"/>
    <w:rPr>
      <w:color w:val="0000FF"/>
      <w:u w:val="single"/>
    </w:rPr>
  </w:style>
  <w:style w:type="table" w:styleId="TableGrid">
    <w:name w:val="Table Grid"/>
    <w:basedOn w:val="TableNormal"/>
    <w:uiPriority w:val="59"/>
    <w:rsid w:val="00336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2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15E"/>
  </w:style>
  <w:style w:type="paragraph" w:styleId="Footer">
    <w:name w:val="footer"/>
    <w:basedOn w:val="Normal"/>
    <w:link w:val="FooterChar"/>
    <w:uiPriority w:val="99"/>
    <w:unhideWhenUsed/>
    <w:rsid w:val="00A02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877530">
      <w:bodyDiv w:val="1"/>
      <w:marLeft w:val="0"/>
      <w:marRight w:val="0"/>
      <w:marTop w:val="0"/>
      <w:marBottom w:val="0"/>
      <w:divBdr>
        <w:top w:val="none" w:sz="0" w:space="0" w:color="auto"/>
        <w:left w:val="none" w:sz="0" w:space="0" w:color="auto"/>
        <w:bottom w:val="none" w:sz="0" w:space="0" w:color="auto"/>
        <w:right w:val="none" w:sz="0" w:space="0" w:color="auto"/>
      </w:divBdr>
      <w:divsChild>
        <w:div w:id="139352718">
          <w:marLeft w:val="0"/>
          <w:marRight w:val="0"/>
          <w:marTop w:val="0"/>
          <w:marBottom w:val="0"/>
          <w:divBdr>
            <w:top w:val="none" w:sz="0" w:space="0" w:color="auto"/>
            <w:left w:val="none" w:sz="0" w:space="0" w:color="auto"/>
            <w:bottom w:val="none" w:sz="0" w:space="0" w:color="auto"/>
            <w:right w:val="none" w:sz="0" w:space="0" w:color="auto"/>
          </w:divBdr>
        </w:div>
        <w:div w:id="651178241">
          <w:marLeft w:val="0"/>
          <w:marRight w:val="0"/>
          <w:marTop w:val="0"/>
          <w:marBottom w:val="0"/>
          <w:divBdr>
            <w:top w:val="none" w:sz="0" w:space="0" w:color="auto"/>
            <w:left w:val="none" w:sz="0" w:space="0" w:color="auto"/>
            <w:bottom w:val="none" w:sz="0" w:space="0" w:color="auto"/>
            <w:right w:val="none" w:sz="0" w:space="0" w:color="auto"/>
          </w:divBdr>
        </w:div>
        <w:div w:id="2005933674">
          <w:marLeft w:val="0"/>
          <w:marRight w:val="0"/>
          <w:marTop w:val="0"/>
          <w:marBottom w:val="0"/>
          <w:divBdr>
            <w:top w:val="none" w:sz="0" w:space="0" w:color="auto"/>
            <w:left w:val="none" w:sz="0" w:space="0" w:color="auto"/>
            <w:bottom w:val="none" w:sz="0" w:space="0" w:color="auto"/>
            <w:right w:val="none" w:sz="0" w:space="0" w:color="auto"/>
          </w:divBdr>
        </w:div>
        <w:div w:id="1810975571">
          <w:marLeft w:val="0"/>
          <w:marRight w:val="0"/>
          <w:marTop w:val="0"/>
          <w:marBottom w:val="0"/>
          <w:divBdr>
            <w:top w:val="none" w:sz="0" w:space="0" w:color="auto"/>
            <w:left w:val="none" w:sz="0" w:space="0" w:color="auto"/>
            <w:bottom w:val="none" w:sz="0" w:space="0" w:color="auto"/>
            <w:right w:val="none" w:sz="0" w:space="0" w:color="auto"/>
          </w:divBdr>
        </w:div>
        <w:div w:id="1116100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8138</Words>
  <Characters>46392</Characters>
  <Application>Microsoft Office Word</Application>
  <DocSecurity>0</DocSecurity>
  <Lines>386</Lines>
  <Paragraphs>108</Paragraphs>
  <ScaleCrop>false</ScaleCrop>
  <Company>HP</Company>
  <LinksUpToDate>false</LinksUpToDate>
  <CharactersWithSpaces>54422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4</cp:revision>
  <dcterms:created xsi:type="dcterms:W3CDTF">2026-07-11T13:12:00Z</dcterms:created>
  <dcterms:modified xsi:type="dcterms:W3CDTF">2026-07-11T13:31:00Z</dcterms:modified>
</cp:coreProperties>
</file>