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F6DF8" w14:textId="64ECF7BA" w:rsidR="00065147" w:rsidRPr="00E87D19" w:rsidRDefault="00CE3D5D" w:rsidP="00E87D19">
      <w:pPr>
        <w:pStyle w:val="NormalWeb"/>
        <w:spacing w:before="0" w:beforeAutospacing="0" w:after="0" w:afterAutospacing="0" w:line="360" w:lineRule="auto"/>
        <w:jc w:val="center"/>
        <w:rPr>
          <w:rStyle w:val="Strong"/>
          <w:color w:val="000000" w:themeColor="text1"/>
        </w:rPr>
      </w:pPr>
      <w:bookmarkStart w:id="0" w:name="_Toc170294614"/>
      <w:bookmarkStart w:id="1" w:name="_Toc193158626"/>
      <w:r w:rsidRPr="00CE3D5D">
        <w:rPr>
          <w:b/>
          <w:bCs/>
          <w:color w:val="000000" w:themeColor="text1"/>
        </w:rPr>
        <w:t xml:space="preserve">Isolation, Molecular Identification, and Lipid Productivity of Indigenous </w:t>
      </w:r>
      <w:r w:rsidRPr="00CE3D5D">
        <w:rPr>
          <w:b/>
          <w:bCs/>
          <w:i/>
          <w:iCs/>
          <w:color w:val="000000" w:themeColor="text1"/>
        </w:rPr>
        <w:t>Chlorella sorokiniana</w:t>
      </w:r>
      <w:r w:rsidRPr="00CE3D5D">
        <w:rPr>
          <w:b/>
          <w:bCs/>
          <w:color w:val="000000" w:themeColor="text1"/>
        </w:rPr>
        <w:t xml:space="preserve"> Under BG11, Algal Broth, and NPK Fertilizer Media: Implications for Low-Cost Biodiesel Feedstock Development in Northern Nigeria</w:t>
      </w:r>
      <w:r w:rsidR="0011689F">
        <w:rPr>
          <w:b/>
          <w:bCs/>
          <w:color w:val="000000" w:themeColor="text1"/>
        </w:rPr>
        <w:t>.</w:t>
      </w:r>
    </w:p>
    <w:bookmarkEnd w:id="0"/>
    <w:bookmarkEnd w:id="1"/>
    <w:p w14:paraId="5FCC3DC0" w14:textId="77777777" w:rsidR="00EB63A0" w:rsidRDefault="00EB63A0" w:rsidP="00A60183">
      <w:pPr>
        <w:spacing w:before="100" w:beforeAutospacing="1" w:after="100" w:afterAutospacing="1" w:line="240" w:lineRule="auto"/>
        <w:outlineLvl w:val="2"/>
        <w:rPr>
          <w:rFonts w:eastAsia="Times New Roman" w:cs="Times New Roman"/>
          <w:b/>
          <w:bCs/>
          <w:sz w:val="27"/>
          <w:szCs w:val="27"/>
          <w:lang w:eastAsia="en-GB"/>
        </w:rPr>
      </w:pPr>
    </w:p>
    <w:p w14:paraId="0240E62D" w14:textId="3969CB83" w:rsidR="00A60183" w:rsidRPr="0042764D" w:rsidRDefault="00A60183" w:rsidP="00A60183">
      <w:pPr>
        <w:spacing w:before="100" w:beforeAutospacing="1" w:after="100" w:afterAutospacing="1" w:line="240" w:lineRule="auto"/>
        <w:outlineLvl w:val="2"/>
        <w:rPr>
          <w:rFonts w:eastAsia="Times New Roman" w:cs="Times New Roman"/>
          <w:b/>
          <w:bCs/>
          <w:sz w:val="27"/>
          <w:szCs w:val="27"/>
          <w:lang w:eastAsia="en-GB"/>
        </w:rPr>
      </w:pPr>
      <w:r w:rsidRPr="0042764D">
        <w:rPr>
          <w:rFonts w:eastAsia="Times New Roman" w:cs="Times New Roman"/>
          <w:b/>
          <w:bCs/>
          <w:sz w:val="27"/>
          <w:szCs w:val="27"/>
          <w:lang w:eastAsia="en-GB"/>
        </w:rPr>
        <w:t>Abstract</w:t>
      </w:r>
    </w:p>
    <w:p w14:paraId="0ECAEDFE" w14:textId="77777777" w:rsidR="00A60183" w:rsidRPr="0042764D" w:rsidRDefault="00A60183" w:rsidP="00A60183">
      <w:pPr>
        <w:spacing w:before="100" w:beforeAutospacing="1" w:after="100" w:afterAutospacing="1" w:line="240" w:lineRule="auto"/>
        <w:rPr>
          <w:rFonts w:eastAsia="Times New Roman" w:cs="Times New Roman"/>
          <w:szCs w:val="24"/>
          <w:lang w:eastAsia="en-GB"/>
        </w:rPr>
      </w:pPr>
      <w:r w:rsidRPr="0042764D">
        <w:rPr>
          <w:rFonts w:eastAsia="Times New Roman" w:cs="Times New Roman"/>
          <w:szCs w:val="24"/>
          <w:lang w:eastAsia="en-GB"/>
        </w:rPr>
        <w:t>Microalgae are potential third-generation feedstocks for biodiesel production, but region-specific information on indigenous strains and low-cost cultivation media remains limited in Northern Nigeria. This study isolated freshwater microalgae from aquatic environments within Abdullahi Fodio University of Science and Technology, Aliero, Kebbi State, Nigeria, and evaluated the growth and lipid productivity of selected Chlorella sorokiniana isolates cultivated in BG11, algal broth, and NPK fertilizer media. Eighteen water samples were collected from ponds, drainage water, runoff water, reservoir water, and botanical garden ponds. Microalgae were initially screened by microscopy, and selected Chlorella isolates were further characterized using ITS rRNA gene amplification, sequencing, BLAST comparison, and phylogenetic analysis. Cultures were maintained under controlled laboratory conditions at 25 ± 2°C with a 12:12 h light-dark cycle for 44 days. Biomass accumulation was monitored by dry cell weight, while lipids were extracted using the Bligh and Dyer method. Microscopic examination revealed Chlorella spp., Spirogyra spp., Chlamydomonas spp., Oedogonium spp., Microspora spp., Euglena spp., and Characium spp. Molecular analysis confirmed the selected isolates as Chlorella sorokiniana. BG11 supported the highest biomass production, with a final dry biomass of 35.48 g/L, specific growth rate of 0.140 day⁻¹, and biomass productivity of 0.842 g/L/day. Algal broth produced intermediate growth performance, with 19.61 g/L final biomass, 0.126 day⁻¹ specific growth rate, and 0.465 g/L/day biomass productivity. NPK medium produced the lowest values, with 7.26 g/L final biomass, 0.102 day⁻¹ specific growth rate, and 0.170 g/L/day biomass productivity. The reported lipid contents were 27.05%, 23.12%, and 16.12% for BG11, algal broth, and NPK medium, respectively. The findings indicate that BG11 is the most effective medium under laboratory conditions, while algal broth may provide a practical alternative for further optimization.</w:t>
      </w:r>
    </w:p>
    <w:p w14:paraId="4A16C841" w14:textId="2E407301" w:rsidR="00065147" w:rsidRPr="00E87D19" w:rsidRDefault="004600E3" w:rsidP="004600E3">
      <w:pPr>
        <w:spacing w:before="80" w:after="200" w:line="360" w:lineRule="auto"/>
        <w:rPr>
          <w:rFonts w:cs="Times New Roman"/>
          <w:b/>
          <w:bCs/>
          <w:szCs w:val="24"/>
        </w:rPr>
      </w:pPr>
      <w:r w:rsidRPr="00E87D19">
        <w:rPr>
          <w:rFonts w:eastAsia="Times New Roman" w:cs="Times New Roman"/>
          <w:b/>
          <w:bCs/>
          <w:szCs w:val="24"/>
        </w:rPr>
        <w:t xml:space="preserve">Keywords: </w:t>
      </w:r>
      <w:r w:rsidR="007E4D8F" w:rsidRPr="007E4D8F">
        <w:rPr>
          <w:rFonts w:eastAsia="Times New Roman" w:cs="Times New Roman"/>
          <w:b/>
          <w:bCs/>
          <w:i/>
          <w:iCs/>
          <w:szCs w:val="24"/>
        </w:rPr>
        <w:t>Chlorella sorokiniana</w:t>
      </w:r>
      <w:r w:rsidRPr="00E87D19">
        <w:rPr>
          <w:rFonts w:eastAsia="Times New Roman" w:cs="Times New Roman"/>
          <w:b/>
          <w:bCs/>
          <w:i/>
          <w:iCs/>
          <w:szCs w:val="24"/>
        </w:rPr>
        <w:t xml:space="preserve">, </w:t>
      </w:r>
      <w:r w:rsidRPr="00E87D19">
        <w:rPr>
          <w:rFonts w:eastAsia="Times New Roman" w:cs="Times New Roman"/>
          <w:b/>
          <w:bCs/>
          <w:szCs w:val="24"/>
        </w:rPr>
        <w:t>BG11 medium, NPK medium, algal broth, lipid extraction, Biomass productivity, Kebbi State, Nigeria</w:t>
      </w:r>
      <w:r w:rsidR="00065147" w:rsidRPr="00E87D19">
        <w:rPr>
          <w:rFonts w:cs="Times New Roman"/>
          <w:b/>
          <w:bCs/>
          <w:color w:val="000000" w:themeColor="text1"/>
          <w:szCs w:val="24"/>
        </w:rPr>
        <w:br w:type="page"/>
      </w:r>
    </w:p>
    <w:p w14:paraId="670D4512" w14:textId="77777777" w:rsidR="00065147" w:rsidRPr="00E87D19" w:rsidRDefault="00065147" w:rsidP="00065147">
      <w:pPr>
        <w:pStyle w:val="Heading2"/>
        <w:spacing w:line="360" w:lineRule="auto"/>
        <w:rPr>
          <w:rFonts w:ascii="Times New Roman" w:hAnsi="Times New Roman" w:cs="Times New Roman"/>
          <w:color w:val="000000" w:themeColor="text1"/>
          <w:sz w:val="24"/>
          <w:szCs w:val="24"/>
        </w:rPr>
        <w:sectPr w:rsidR="00065147" w:rsidRPr="00E87D19" w:rsidSect="00065147">
          <w:headerReference w:type="even" r:id="rId6"/>
          <w:headerReference w:type="default" r:id="rId7"/>
          <w:footerReference w:type="even" r:id="rId8"/>
          <w:footerReference w:type="default" r:id="rId9"/>
          <w:headerReference w:type="first" r:id="rId10"/>
          <w:footerReference w:type="first" r:id="rId11"/>
          <w:pgSz w:w="11907" w:h="16839"/>
          <w:pgMar w:top="1440" w:right="1440" w:bottom="1440" w:left="1440" w:header="720" w:footer="720" w:gutter="0"/>
          <w:pgNumType w:fmt="lowerRoman" w:start="1"/>
          <w:cols w:space="720"/>
          <w:docGrid w:linePitch="360"/>
        </w:sectPr>
      </w:pPr>
      <w:bookmarkStart w:id="2" w:name="_Toc170294615"/>
    </w:p>
    <w:p w14:paraId="031FAD1E" w14:textId="609674C2" w:rsidR="00065147" w:rsidRPr="00E87D19" w:rsidRDefault="009E149F" w:rsidP="009E149F">
      <w:pPr>
        <w:rPr>
          <w:rFonts w:cs="Times New Roman"/>
          <w:color w:val="000000" w:themeColor="text1"/>
          <w:szCs w:val="24"/>
        </w:rPr>
      </w:pPr>
      <w:bookmarkStart w:id="3" w:name="_Toc170294616"/>
      <w:bookmarkStart w:id="4" w:name="_Toc193158628"/>
      <w:bookmarkEnd w:id="2"/>
      <w:r w:rsidRPr="00E87D19">
        <w:rPr>
          <w:rFonts w:cs="Times New Roman"/>
          <w:b/>
          <w:bCs/>
          <w:color w:val="000000" w:themeColor="text1"/>
          <w:szCs w:val="24"/>
        </w:rPr>
        <w:lastRenderedPageBreak/>
        <w:t>Introduction</w:t>
      </w:r>
      <w:bookmarkEnd w:id="3"/>
      <w:bookmarkEnd w:id="4"/>
    </w:p>
    <w:p w14:paraId="4903A8C0" w14:textId="235BBA72" w:rsidR="00952A46" w:rsidRPr="00E87D19" w:rsidRDefault="00952A46" w:rsidP="00A74D20">
      <w:pPr>
        <w:spacing w:before="0" w:after="0" w:line="360" w:lineRule="auto"/>
        <w:jc w:val="both"/>
        <w:rPr>
          <w:rFonts w:eastAsia="Times New Roman" w:cs="Times New Roman"/>
          <w:color w:val="000000" w:themeColor="text1"/>
          <w:szCs w:val="24"/>
        </w:rPr>
      </w:pPr>
      <w:r w:rsidRPr="00E87D19">
        <w:rPr>
          <w:rFonts w:eastAsia="Times New Roman" w:cs="Times New Roman"/>
          <w:color w:val="000000" w:themeColor="text1"/>
          <w:szCs w:val="24"/>
        </w:rPr>
        <w:t>The increasing global demand for energy, coupled with the environmental consequences of fossil fuel consumption, has intensified the search for renewable and sustainable alternatives</w:t>
      </w:r>
      <w:r w:rsidR="007D43F4" w:rsidRPr="00E87D19">
        <w:rPr>
          <w:rFonts w:eastAsia="Times New Roman" w:cs="Times New Roman"/>
          <w:color w:val="000000" w:themeColor="text1"/>
          <w:szCs w:val="24"/>
        </w:rPr>
        <w:t xml:space="preserve"> (</w:t>
      </w:r>
      <w:r w:rsidR="007D43F4" w:rsidRPr="00E87D19">
        <w:rPr>
          <w:rFonts w:cs="Times New Roman"/>
          <w:color w:val="000000" w:themeColor="text1"/>
          <w:szCs w:val="24"/>
          <w:shd w:val="clear" w:color="auto" w:fill="FFFFFF"/>
        </w:rPr>
        <w:t xml:space="preserve">Badamasi </w:t>
      </w:r>
      <w:r w:rsidR="007E4D8F" w:rsidRPr="007E4D8F">
        <w:rPr>
          <w:rFonts w:cs="Times New Roman"/>
          <w:i/>
          <w:iCs/>
          <w:color w:val="000000" w:themeColor="text1"/>
          <w:szCs w:val="24"/>
          <w:shd w:val="clear" w:color="auto" w:fill="FFFFFF"/>
        </w:rPr>
        <w:t>et al</w:t>
      </w:r>
      <w:r w:rsidR="007D43F4" w:rsidRPr="00E87D19">
        <w:rPr>
          <w:rFonts w:cs="Times New Roman"/>
          <w:i/>
          <w:iCs/>
          <w:color w:val="000000" w:themeColor="text1"/>
          <w:szCs w:val="24"/>
          <w:shd w:val="clear" w:color="auto" w:fill="FFFFFF"/>
        </w:rPr>
        <w:t>.,</w:t>
      </w:r>
      <w:r w:rsidR="007D43F4" w:rsidRPr="00E87D19">
        <w:rPr>
          <w:rFonts w:cs="Times New Roman"/>
          <w:color w:val="000000" w:themeColor="text1"/>
          <w:szCs w:val="24"/>
          <w:shd w:val="clear" w:color="auto" w:fill="FFFFFF"/>
        </w:rPr>
        <w:t xml:space="preserve"> 2024</w:t>
      </w:r>
      <w:r w:rsidR="007D43F4" w:rsidRPr="00E87D19">
        <w:rPr>
          <w:rFonts w:eastAsia="Times New Roman" w:cs="Times New Roman"/>
          <w:color w:val="000000" w:themeColor="text1"/>
          <w:szCs w:val="24"/>
        </w:rPr>
        <w:t>)</w:t>
      </w:r>
      <w:r w:rsidRPr="00E87D19">
        <w:rPr>
          <w:rFonts w:eastAsia="Times New Roman" w:cs="Times New Roman"/>
          <w:color w:val="000000" w:themeColor="text1"/>
          <w:szCs w:val="24"/>
        </w:rPr>
        <w:t>. Conventional petroleum-based fuels are associated with greenhouse gas emissions, climate change, and air pollution, all of which pose significant risks to ecosystems and public health</w:t>
      </w:r>
      <w:r w:rsidR="007D43F4" w:rsidRPr="00E87D19">
        <w:rPr>
          <w:rFonts w:eastAsia="Times New Roman" w:cs="Times New Roman"/>
          <w:color w:val="000000" w:themeColor="text1"/>
          <w:szCs w:val="24"/>
        </w:rPr>
        <w:t xml:space="preserve"> (</w:t>
      </w:r>
      <w:r w:rsidR="00490DD3" w:rsidRPr="00E87D19">
        <w:rPr>
          <w:rFonts w:cs="Times New Roman"/>
          <w:color w:val="000000" w:themeColor="text1"/>
          <w:szCs w:val="24"/>
          <w:shd w:val="clear" w:color="auto" w:fill="FFFFFF"/>
        </w:rPr>
        <w:t xml:space="preserve">Hassan </w:t>
      </w:r>
      <w:r w:rsidR="007E4D8F" w:rsidRPr="007E4D8F">
        <w:rPr>
          <w:rFonts w:cs="Times New Roman"/>
          <w:i/>
          <w:iCs/>
          <w:color w:val="000000" w:themeColor="text1"/>
          <w:szCs w:val="24"/>
          <w:shd w:val="clear" w:color="auto" w:fill="FFFFFF"/>
        </w:rPr>
        <w:t>et al</w:t>
      </w:r>
      <w:r w:rsidR="00490DD3" w:rsidRPr="00E87D19">
        <w:rPr>
          <w:rFonts w:cs="Times New Roman"/>
          <w:i/>
          <w:iCs/>
          <w:color w:val="000000" w:themeColor="text1"/>
          <w:szCs w:val="24"/>
          <w:shd w:val="clear" w:color="auto" w:fill="FFFFFF"/>
        </w:rPr>
        <w:t>.,</w:t>
      </w:r>
      <w:r w:rsidR="00490DD3" w:rsidRPr="00E87D19">
        <w:rPr>
          <w:rFonts w:cs="Times New Roman"/>
          <w:color w:val="000000" w:themeColor="text1"/>
          <w:szCs w:val="24"/>
          <w:shd w:val="clear" w:color="auto" w:fill="FFFFFF"/>
        </w:rPr>
        <w:t xml:space="preserve"> 2021; </w:t>
      </w:r>
      <w:r w:rsidR="007D43F4" w:rsidRPr="00E87D19">
        <w:rPr>
          <w:rFonts w:cs="Times New Roman"/>
          <w:color w:val="000000" w:themeColor="text1"/>
          <w:szCs w:val="24"/>
          <w:shd w:val="clear" w:color="auto" w:fill="FFFFFF"/>
        </w:rPr>
        <w:t xml:space="preserve">Cheung </w:t>
      </w:r>
      <w:r w:rsidR="007E4D8F" w:rsidRPr="007E4D8F">
        <w:rPr>
          <w:rFonts w:cs="Times New Roman"/>
          <w:i/>
          <w:iCs/>
          <w:color w:val="000000" w:themeColor="text1"/>
          <w:szCs w:val="24"/>
          <w:shd w:val="clear" w:color="auto" w:fill="FFFFFF"/>
        </w:rPr>
        <w:t>et al</w:t>
      </w:r>
      <w:r w:rsidR="007D43F4" w:rsidRPr="00E87D19">
        <w:rPr>
          <w:rFonts w:cs="Times New Roman"/>
          <w:i/>
          <w:iCs/>
          <w:color w:val="000000" w:themeColor="text1"/>
          <w:szCs w:val="24"/>
          <w:shd w:val="clear" w:color="auto" w:fill="FFFFFF"/>
        </w:rPr>
        <w:t>.,</w:t>
      </w:r>
      <w:r w:rsidR="007D43F4" w:rsidRPr="00E87D19">
        <w:rPr>
          <w:rFonts w:cs="Times New Roman"/>
          <w:color w:val="000000" w:themeColor="text1"/>
          <w:szCs w:val="24"/>
          <w:shd w:val="clear" w:color="auto" w:fill="FFFFFF"/>
        </w:rPr>
        <w:t xml:space="preserve"> 2022</w:t>
      </w:r>
      <w:r w:rsidR="007D43F4" w:rsidRPr="00E87D19">
        <w:rPr>
          <w:rFonts w:eastAsia="Times New Roman" w:cs="Times New Roman"/>
          <w:color w:val="000000" w:themeColor="text1"/>
          <w:szCs w:val="24"/>
        </w:rPr>
        <w:t>)</w:t>
      </w:r>
      <w:r w:rsidRPr="00E87D19">
        <w:rPr>
          <w:rFonts w:eastAsia="Times New Roman" w:cs="Times New Roman"/>
          <w:color w:val="000000" w:themeColor="text1"/>
          <w:szCs w:val="24"/>
        </w:rPr>
        <w:t xml:space="preserve">. </w:t>
      </w:r>
    </w:p>
    <w:p w14:paraId="73263B16" w14:textId="70BAA968" w:rsidR="00490DD3" w:rsidRPr="00E87D19" w:rsidRDefault="00952A46" w:rsidP="00A74D20">
      <w:pPr>
        <w:spacing w:before="0" w:after="0" w:line="360" w:lineRule="auto"/>
        <w:jc w:val="both"/>
        <w:rPr>
          <w:rFonts w:eastAsia="Times New Roman" w:cs="Times New Roman"/>
          <w:color w:val="000000" w:themeColor="text1"/>
          <w:szCs w:val="24"/>
        </w:rPr>
      </w:pPr>
      <w:r w:rsidRPr="00E87D19">
        <w:rPr>
          <w:rFonts w:eastAsia="Times New Roman" w:cs="Times New Roman"/>
          <w:color w:val="000000" w:themeColor="text1"/>
          <w:szCs w:val="24"/>
        </w:rPr>
        <w:t>Among the various renewable energy options, biofuels derived from biological resources have gained considerable attention due to their potential for carbon neutrality and compatibility with existing energy infrastructure</w:t>
      </w:r>
      <w:r w:rsidR="007D43F4" w:rsidRPr="00E87D19">
        <w:rPr>
          <w:rFonts w:eastAsia="Times New Roman" w:cs="Times New Roman"/>
          <w:color w:val="000000" w:themeColor="text1"/>
          <w:szCs w:val="24"/>
        </w:rPr>
        <w:t xml:space="preserve"> (</w:t>
      </w:r>
      <w:r w:rsidR="007D43F4" w:rsidRPr="00E87D19">
        <w:rPr>
          <w:rFonts w:cs="Times New Roman"/>
          <w:color w:val="000000" w:themeColor="text1"/>
          <w:szCs w:val="24"/>
          <w:shd w:val="clear" w:color="auto" w:fill="FFFFFF"/>
        </w:rPr>
        <w:t xml:space="preserve">Datta </w:t>
      </w:r>
      <w:r w:rsidR="007E4D8F" w:rsidRPr="007E4D8F">
        <w:rPr>
          <w:rFonts w:cs="Times New Roman"/>
          <w:i/>
          <w:iCs/>
          <w:color w:val="000000" w:themeColor="text1"/>
          <w:szCs w:val="24"/>
          <w:shd w:val="clear" w:color="auto" w:fill="FFFFFF"/>
        </w:rPr>
        <w:t>et al</w:t>
      </w:r>
      <w:r w:rsidR="007D43F4" w:rsidRPr="00E87D19">
        <w:rPr>
          <w:rFonts w:cs="Times New Roman"/>
          <w:i/>
          <w:iCs/>
          <w:color w:val="000000" w:themeColor="text1"/>
          <w:szCs w:val="24"/>
          <w:shd w:val="clear" w:color="auto" w:fill="FFFFFF"/>
        </w:rPr>
        <w:t>.,</w:t>
      </w:r>
      <w:r w:rsidR="007D43F4" w:rsidRPr="00E87D19">
        <w:rPr>
          <w:rFonts w:cs="Times New Roman"/>
          <w:color w:val="000000" w:themeColor="text1"/>
          <w:szCs w:val="24"/>
          <w:shd w:val="clear" w:color="auto" w:fill="FFFFFF"/>
        </w:rPr>
        <w:t xml:space="preserve"> 2024</w:t>
      </w:r>
      <w:r w:rsidR="007D43F4" w:rsidRPr="00E87D19">
        <w:rPr>
          <w:rFonts w:eastAsia="Times New Roman" w:cs="Times New Roman"/>
          <w:color w:val="000000" w:themeColor="text1"/>
          <w:szCs w:val="24"/>
        </w:rPr>
        <w:t>)</w:t>
      </w:r>
      <w:r w:rsidRPr="00E87D19">
        <w:rPr>
          <w:rFonts w:eastAsia="Times New Roman" w:cs="Times New Roman"/>
          <w:color w:val="000000" w:themeColor="text1"/>
          <w:szCs w:val="24"/>
        </w:rPr>
        <w:t>. Biofuels include biodiesel, bioethanol, biohydrogen, and biogas, which can be produced from plant biomass, agricultural residues, waste materials, and microbial systems</w:t>
      </w:r>
      <w:r w:rsidR="00490DD3" w:rsidRPr="00E87D19">
        <w:rPr>
          <w:rFonts w:eastAsia="Times New Roman" w:cs="Times New Roman"/>
          <w:color w:val="000000" w:themeColor="text1"/>
          <w:szCs w:val="24"/>
        </w:rPr>
        <w:t xml:space="preserve"> (</w:t>
      </w:r>
      <w:r w:rsidR="00490DD3" w:rsidRPr="00E87D19">
        <w:rPr>
          <w:rFonts w:cs="Times New Roman"/>
          <w:color w:val="000000" w:themeColor="text1"/>
          <w:szCs w:val="24"/>
          <w:shd w:val="clear" w:color="auto" w:fill="FFFFFF"/>
        </w:rPr>
        <w:t xml:space="preserve">Deora </w:t>
      </w:r>
      <w:r w:rsidR="007E4D8F" w:rsidRPr="007E4D8F">
        <w:rPr>
          <w:rFonts w:cs="Times New Roman"/>
          <w:i/>
          <w:iCs/>
          <w:color w:val="000000" w:themeColor="text1"/>
          <w:szCs w:val="24"/>
          <w:shd w:val="clear" w:color="auto" w:fill="FFFFFF"/>
        </w:rPr>
        <w:t>et al</w:t>
      </w:r>
      <w:r w:rsidR="00490DD3" w:rsidRPr="00E87D19">
        <w:rPr>
          <w:rFonts w:cs="Times New Roman"/>
          <w:i/>
          <w:iCs/>
          <w:color w:val="000000" w:themeColor="text1"/>
          <w:szCs w:val="24"/>
          <w:shd w:val="clear" w:color="auto" w:fill="FFFFFF"/>
        </w:rPr>
        <w:t>.,</w:t>
      </w:r>
      <w:r w:rsidR="00490DD3" w:rsidRPr="00E87D19">
        <w:rPr>
          <w:rFonts w:cs="Times New Roman"/>
          <w:color w:val="000000" w:themeColor="text1"/>
          <w:szCs w:val="24"/>
          <w:shd w:val="clear" w:color="auto" w:fill="FFFFFF"/>
        </w:rPr>
        <w:t xml:space="preserve"> 2022</w:t>
      </w:r>
      <w:r w:rsidR="00490DD3" w:rsidRPr="00E87D19">
        <w:rPr>
          <w:rFonts w:eastAsia="Times New Roman" w:cs="Times New Roman"/>
          <w:color w:val="000000" w:themeColor="text1"/>
          <w:szCs w:val="24"/>
        </w:rPr>
        <w:t>)</w:t>
      </w:r>
      <w:r w:rsidRPr="00E87D19">
        <w:rPr>
          <w:rFonts w:eastAsia="Times New Roman" w:cs="Times New Roman"/>
          <w:color w:val="000000" w:themeColor="text1"/>
          <w:szCs w:val="24"/>
        </w:rPr>
        <w:t xml:space="preserve">. </w:t>
      </w:r>
    </w:p>
    <w:p w14:paraId="03591956" w14:textId="11B7661F" w:rsidR="00952A46" w:rsidRPr="00E87D19" w:rsidRDefault="00952A46" w:rsidP="00A74D20">
      <w:pPr>
        <w:spacing w:before="0" w:after="0" w:line="360" w:lineRule="auto"/>
        <w:jc w:val="both"/>
        <w:rPr>
          <w:rFonts w:eastAsia="Times New Roman" w:cs="Times New Roman"/>
          <w:color w:val="000000" w:themeColor="text1"/>
          <w:szCs w:val="24"/>
        </w:rPr>
      </w:pPr>
      <w:r w:rsidRPr="00E87D19">
        <w:rPr>
          <w:rFonts w:eastAsia="Times New Roman" w:cs="Times New Roman"/>
          <w:color w:val="000000" w:themeColor="text1"/>
          <w:szCs w:val="24"/>
        </w:rPr>
        <w:t>first and second-generation biofuels face limitations such as competition with food crops, land use constraints, and relatively low energy yields</w:t>
      </w:r>
      <w:r w:rsidR="00490DD3" w:rsidRPr="00E87D19">
        <w:rPr>
          <w:rFonts w:eastAsia="Times New Roman" w:cs="Times New Roman"/>
          <w:color w:val="000000" w:themeColor="text1"/>
          <w:szCs w:val="24"/>
        </w:rPr>
        <w:t xml:space="preserve"> (</w:t>
      </w:r>
      <w:r w:rsidR="00490DD3" w:rsidRPr="00E87D19">
        <w:rPr>
          <w:rFonts w:cs="Times New Roman"/>
          <w:color w:val="000000" w:themeColor="text1"/>
          <w:szCs w:val="24"/>
          <w:shd w:val="clear" w:color="auto" w:fill="FFFFFF"/>
        </w:rPr>
        <w:t xml:space="preserve">Chowdhury </w:t>
      </w:r>
      <w:r w:rsidR="007E4D8F" w:rsidRPr="007E4D8F">
        <w:rPr>
          <w:rFonts w:cs="Times New Roman"/>
          <w:i/>
          <w:iCs/>
          <w:color w:val="000000" w:themeColor="text1"/>
          <w:szCs w:val="24"/>
          <w:shd w:val="clear" w:color="auto" w:fill="FFFFFF"/>
        </w:rPr>
        <w:t>et al</w:t>
      </w:r>
      <w:r w:rsidR="00490DD3" w:rsidRPr="00E87D19">
        <w:rPr>
          <w:rFonts w:cs="Times New Roman"/>
          <w:i/>
          <w:iCs/>
          <w:color w:val="000000" w:themeColor="text1"/>
          <w:szCs w:val="24"/>
          <w:shd w:val="clear" w:color="auto" w:fill="FFFFFF"/>
        </w:rPr>
        <w:t>.,</w:t>
      </w:r>
      <w:r w:rsidR="00490DD3" w:rsidRPr="00E87D19">
        <w:rPr>
          <w:rFonts w:cs="Times New Roman"/>
          <w:color w:val="000000" w:themeColor="text1"/>
          <w:szCs w:val="24"/>
          <w:shd w:val="clear" w:color="auto" w:fill="FFFFFF"/>
        </w:rPr>
        <w:t xml:space="preserve"> 2019</w:t>
      </w:r>
      <w:r w:rsidR="00490DD3" w:rsidRPr="00E87D19">
        <w:rPr>
          <w:rFonts w:eastAsia="Times New Roman" w:cs="Times New Roman"/>
          <w:color w:val="000000" w:themeColor="text1"/>
          <w:szCs w:val="24"/>
        </w:rPr>
        <w:t>)</w:t>
      </w:r>
      <w:r w:rsidRPr="00E87D19">
        <w:rPr>
          <w:rFonts w:eastAsia="Times New Roman" w:cs="Times New Roman"/>
          <w:color w:val="000000" w:themeColor="text1"/>
          <w:szCs w:val="24"/>
        </w:rPr>
        <w:t>.</w:t>
      </w:r>
      <w:r w:rsidR="00490DD3" w:rsidRPr="00E87D19">
        <w:rPr>
          <w:rFonts w:eastAsia="Times New Roman" w:cs="Times New Roman"/>
          <w:color w:val="000000" w:themeColor="text1"/>
          <w:szCs w:val="24"/>
        </w:rPr>
        <w:t xml:space="preserve"> </w:t>
      </w:r>
      <w:r w:rsidRPr="00E87D19">
        <w:rPr>
          <w:rFonts w:eastAsia="Times New Roman" w:cs="Times New Roman"/>
          <w:color w:val="000000" w:themeColor="text1"/>
          <w:szCs w:val="24"/>
        </w:rPr>
        <w:t>Microalgae have emerged as a promising third-generation biofuel feedstock due to their high photosynthetic efficiency, rapid growth rate, and ability to accumulate substantial quantities of lipids suitable for biodiesel production</w:t>
      </w:r>
      <w:r w:rsidR="00490DD3" w:rsidRPr="00E87D19">
        <w:rPr>
          <w:rFonts w:eastAsia="Times New Roman" w:cs="Times New Roman"/>
          <w:color w:val="000000" w:themeColor="text1"/>
          <w:szCs w:val="24"/>
        </w:rPr>
        <w:t xml:space="preserve"> (</w:t>
      </w:r>
      <w:r w:rsidR="00490DD3" w:rsidRPr="00E87D19">
        <w:rPr>
          <w:rFonts w:cs="Times New Roman"/>
          <w:color w:val="000000" w:themeColor="text1"/>
          <w:szCs w:val="24"/>
          <w:shd w:val="clear" w:color="auto" w:fill="FFFFFF"/>
        </w:rPr>
        <w:t xml:space="preserve">Chowdhury </w:t>
      </w:r>
      <w:r w:rsidR="007E4D8F" w:rsidRPr="007E4D8F">
        <w:rPr>
          <w:rFonts w:cs="Times New Roman"/>
          <w:i/>
          <w:iCs/>
          <w:color w:val="000000" w:themeColor="text1"/>
          <w:szCs w:val="24"/>
          <w:shd w:val="clear" w:color="auto" w:fill="FFFFFF"/>
        </w:rPr>
        <w:t>et al</w:t>
      </w:r>
      <w:r w:rsidR="00490DD3" w:rsidRPr="00E87D19">
        <w:rPr>
          <w:rFonts w:cs="Times New Roman"/>
          <w:i/>
          <w:iCs/>
          <w:color w:val="000000" w:themeColor="text1"/>
          <w:szCs w:val="24"/>
          <w:shd w:val="clear" w:color="auto" w:fill="FFFFFF"/>
        </w:rPr>
        <w:t>.,</w:t>
      </w:r>
      <w:r w:rsidR="00490DD3" w:rsidRPr="00E87D19">
        <w:rPr>
          <w:rFonts w:cs="Times New Roman"/>
          <w:color w:val="000000" w:themeColor="text1"/>
          <w:szCs w:val="24"/>
          <w:shd w:val="clear" w:color="auto" w:fill="FFFFFF"/>
        </w:rPr>
        <w:t xml:space="preserve"> 2019</w:t>
      </w:r>
      <w:r w:rsidR="00490DD3" w:rsidRPr="00E87D19">
        <w:rPr>
          <w:rFonts w:eastAsia="Times New Roman" w:cs="Times New Roman"/>
          <w:color w:val="000000" w:themeColor="text1"/>
          <w:szCs w:val="24"/>
        </w:rPr>
        <w:t>)</w:t>
      </w:r>
      <w:r w:rsidRPr="00E87D19">
        <w:rPr>
          <w:rFonts w:eastAsia="Times New Roman" w:cs="Times New Roman"/>
          <w:color w:val="000000" w:themeColor="text1"/>
          <w:szCs w:val="24"/>
        </w:rPr>
        <w:t xml:space="preserve">. Unlike terrestrial crops, microalgae do not require arable land and can be cultivated in a wide range of aquatic environments, including wastewater systems, thereby reducing production costs and environmental burden. Members of the genus </w:t>
      </w:r>
      <w:r w:rsidRPr="00E87D19">
        <w:rPr>
          <w:rFonts w:eastAsia="Times New Roman" w:cs="Times New Roman"/>
          <w:i/>
          <w:iCs/>
          <w:color w:val="000000" w:themeColor="text1"/>
          <w:szCs w:val="24"/>
        </w:rPr>
        <w:t>Chlorella</w:t>
      </w:r>
      <w:r w:rsidRPr="00E87D19">
        <w:rPr>
          <w:rFonts w:eastAsia="Times New Roman" w:cs="Times New Roman"/>
          <w:color w:val="000000" w:themeColor="text1"/>
          <w:szCs w:val="24"/>
        </w:rPr>
        <w:t xml:space="preserve"> are particularly attractive for biofuel applications due to their robustness, adaptability, and relatively high lipid productivity under optimized culture conditions</w:t>
      </w:r>
      <w:r w:rsidR="00490DD3" w:rsidRPr="00E87D19">
        <w:rPr>
          <w:rFonts w:eastAsia="Times New Roman" w:cs="Times New Roman"/>
          <w:color w:val="000000" w:themeColor="text1"/>
          <w:szCs w:val="24"/>
        </w:rPr>
        <w:t xml:space="preserve"> (</w:t>
      </w:r>
      <w:r w:rsidR="00490DD3" w:rsidRPr="00E87D19">
        <w:rPr>
          <w:rFonts w:cs="Times New Roman"/>
          <w:color w:val="000000" w:themeColor="text1"/>
          <w:szCs w:val="24"/>
          <w:shd w:val="clear" w:color="auto" w:fill="FFFFFF"/>
        </w:rPr>
        <w:t>Mathimani and Pugazhendhi, 2019</w:t>
      </w:r>
      <w:r w:rsidR="00490DD3" w:rsidRPr="00E87D19">
        <w:rPr>
          <w:rFonts w:eastAsia="Times New Roman" w:cs="Times New Roman"/>
          <w:color w:val="000000" w:themeColor="text1"/>
          <w:szCs w:val="24"/>
        </w:rPr>
        <w:t>)</w:t>
      </w:r>
      <w:r w:rsidRPr="00E87D19">
        <w:rPr>
          <w:rFonts w:eastAsia="Times New Roman" w:cs="Times New Roman"/>
          <w:color w:val="000000" w:themeColor="text1"/>
          <w:szCs w:val="24"/>
        </w:rPr>
        <w:t>.</w:t>
      </w:r>
    </w:p>
    <w:p w14:paraId="0C2DAEF1" w14:textId="2E249A12" w:rsidR="00952A46" w:rsidRPr="00E87D19" w:rsidRDefault="00952A46" w:rsidP="00A74D20">
      <w:pPr>
        <w:spacing w:before="0" w:after="0" w:line="360" w:lineRule="auto"/>
        <w:jc w:val="both"/>
        <w:rPr>
          <w:rFonts w:eastAsia="Times New Roman" w:cs="Times New Roman"/>
          <w:color w:val="000000" w:themeColor="text1"/>
          <w:szCs w:val="24"/>
        </w:rPr>
      </w:pPr>
      <w:r w:rsidRPr="00E87D19">
        <w:rPr>
          <w:rFonts w:eastAsia="Times New Roman" w:cs="Times New Roman"/>
          <w:color w:val="000000" w:themeColor="text1"/>
          <w:szCs w:val="24"/>
        </w:rPr>
        <w:t>The productivity of microalgal biomass and lipid accumulation is strongly influenced by environmental and nutritional factors, particularly culture media composition</w:t>
      </w:r>
      <w:r w:rsidR="00490DD3" w:rsidRPr="00E87D19">
        <w:rPr>
          <w:rFonts w:eastAsia="Times New Roman" w:cs="Times New Roman"/>
          <w:color w:val="000000" w:themeColor="text1"/>
          <w:szCs w:val="24"/>
        </w:rPr>
        <w:t xml:space="preserve"> (</w:t>
      </w:r>
      <w:r w:rsidR="00490DD3" w:rsidRPr="00E87D19">
        <w:rPr>
          <w:rFonts w:cs="Times New Roman"/>
          <w:color w:val="000000" w:themeColor="text1"/>
          <w:szCs w:val="24"/>
          <w:shd w:val="clear" w:color="auto" w:fill="FFFFFF"/>
        </w:rPr>
        <w:t xml:space="preserve">Okoro </w:t>
      </w:r>
      <w:r w:rsidR="007E4D8F" w:rsidRPr="007E4D8F">
        <w:rPr>
          <w:rFonts w:cs="Times New Roman"/>
          <w:i/>
          <w:iCs/>
          <w:color w:val="000000" w:themeColor="text1"/>
          <w:szCs w:val="24"/>
          <w:shd w:val="clear" w:color="auto" w:fill="FFFFFF"/>
        </w:rPr>
        <w:t>et al</w:t>
      </w:r>
      <w:r w:rsidR="00490DD3" w:rsidRPr="00E87D19">
        <w:rPr>
          <w:rFonts w:cs="Times New Roman"/>
          <w:i/>
          <w:iCs/>
          <w:color w:val="000000" w:themeColor="text1"/>
          <w:szCs w:val="24"/>
          <w:shd w:val="clear" w:color="auto" w:fill="FFFFFF"/>
        </w:rPr>
        <w:t>.,</w:t>
      </w:r>
      <w:r w:rsidR="00490DD3" w:rsidRPr="00E87D19">
        <w:rPr>
          <w:rFonts w:cs="Times New Roman"/>
          <w:color w:val="000000" w:themeColor="text1"/>
          <w:szCs w:val="24"/>
          <w:shd w:val="clear" w:color="auto" w:fill="FFFFFF"/>
        </w:rPr>
        <w:t xml:space="preserve"> 2019</w:t>
      </w:r>
      <w:r w:rsidR="00490DD3" w:rsidRPr="00E87D19">
        <w:rPr>
          <w:rFonts w:eastAsia="Times New Roman" w:cs="Times New Roman"/>
          <w:color w:val="000000" w:themeColor="text1"/>
          <w:szCs w:val="24"/>
        </w:rPr>
        <w:t>)</w:t>
      </w:r>
      <w:r w:rsidRPr="00E87D19">
        <w:rPr>
          <w:rFonts w:eastAsia="Times New Roman" w:cs="Times New Roman"/>
          <w:color w:val="000000" w:themeColor="text1"/>
          <w:szCs w:val="24"/>
        </w:rPr>
        <w:t>. Defined media such as BG11 provide balanced concentrations of nitrogen, phosphorus, trace elements, and vitamins, which support optimal metabolic activity and cell division</w:t>
      </w:r>
      <w:r w:rsidR="00490DD3" w:rsidRPr="00E87D19">
        <w:rPr>
          <w:rFonts w:eastAsia="Times New Roman" w:cs="Times New Roman"/>
          <w:color w:val="000000" w:themeColor="text1"/>
          <w:szCs w:val="24"/>
        </w:rPr>
        <w:t xml:space="preserve"> (</w:t>
      </w:r>
      <w:r w:rsidR="00FB7D10" w:rsidRPr="00E87D19">
        <w:rPr>
          <w:rFonts w:cs="Times New Roman"/>
          <w:color w:val="000000" w:themeColor="text1"/>
          <w:szCs w:val="24"/>
          <w:shd w:val="clear" w:color="auto" w:fill="FFFFFF"/>
        </w:rPr>
        <w:t xml:space="preserve">Ghomari </w:t>
      </w:r>
      <w:r w:rsidR="007E4D8F" w:rsidRPr="007E4D8F">
        <w:rPr>
          <w:rFonts w:cs="Times New Roman"/>
          <w:i/>
          <w:iCs/>
          <w:color w:val="000000" w:themeColor="text1"/>
          <w:szCs w:val="24"/>
          <w:shd w:val="clear" w:color="auto" w:fill="FFFFFF"/>
        </w:rPr>
        <w:t>et al</w:t>
      </w:r>
      <w:r w:rsidR="00FB7D10" w:rsidRPr="00E87D19">
        <w:rPr>
          <w:rFonts w:cs="Times New Roman"/>
          <w:i/>
          <w:iCs/>
          <w:color w:val="000000" w:themeColor="text1"/>
          <w:szCs w:val="24"/>
          <w:shd w:val="clear" w:color="auto" w:fill="FFFFFF"/>
        </w:rPr>
        <w:t>.,</w:t>
      </w:r>
      <w:r w:rsidR="00FB7D10" w:rsidRPr="00E87D19">
        <w:rPr>
          <w:rFonts w:cs="Times New Roman"/>
          <w:color w:val="000000" w:themeColor="text1"/>
          <w:szCs w:val="24"/>
          <w:shd w:val="clear" w:color="auto" w:fill="FFFFFF"/>
        </w:rPr>
        <w:t xml:space="preserve"> 2022</w:t>
      </w:r>
      <w:r w:rsidR="00490DD3" w:rsidRPr="00E87D19">
        <w:rPr>
          <w:rFonts w:eastAsia="Times New Roman" w:cs="Times New Roman"/>
          <w:color w:val="000000" w:themeColor="text1"/>
          <w:szCs w:val="24"/>
        </w:rPr>
        <w:t>)</w:t>
      </w:r>
      <w:r w:rsidRPr="00E87D19">
        <w:rPr>
          <w:rFonts w:eastAsia="Times New Roman" w:cs="Times New Roman"/>
          <w:color w:val="000000" w:themeColor="text1"/>
          <w:szCs w:val="24"/>
        </w:rPr>
        <w:t xml:space="preserve">. </w:t>
      </w:r>
      <w:r w:rsidR="00490DD3" w:rsidRPr="00E87D19">
        <w:rPr>
          <w:rFonts w:eastAsia="Times New Roman" w:cs="Times New Roman"/>
          <w:color w:val="000000" w:themeColor="text1"/>
          <w:szCs w:val="24"/>
        </w:rPr>
        <w:t>Low</w:t>
      </w:r>
      <w:r w:rsidRPr="00E87D19">
        <w:rPr>
          <w:rFonts w:eastAsia="Times New Roman" w:cs="Times New Roman"/>
          <w:color w:val="000000" w:themeColor="text1"/>
          <w:szCs w:val="24"/>
        </w:rPr>
        <w:t>-cost alternatives such as fertilizer-based media (e.g., NPK) and nutrient-rich organic broths are being explored to reduce production costs, although their effectiveness varies across species and environmental conditions</w:t>
      </w:r>
      <w:r w:rsidR="00FB7D10" w:rsidRPr="00E87D19">
        <w:rPr>
          <w:rFonts w:eastAsia="Times New Roman" w:cs="Times New Roman"/>
          <w:color w:val="000000" w:themeColor="text1"/>
          <w:szCs w:val="24"/>
        </w:rPr>
        <w:t xml:space="preserve"> (</w:t>
      </w:r>
      <w:r w:rsidR="00FB7D10" w:rsidRPr="00E87D19">
        <w:rPr>
          <w:rFonts w:cs="Times New Roman"/>
          <w:color w:val="000000" w:themeColor="text1"/>
          <w:szCs w:val="24"/>
          <w:shd w:val="clear" w:color="auto" w:fill="FFFFFF"/>
        </w:rPr>
        <w:t>Mahmood and Khudhair, 2017</w:t>
      </w:r>
      <w:r w:rsidR="00FB7D10" w:rsidRPr="00E87D19">
        <w:rPr>
          <w:rFonts w:eastAsia="Times New Roman" w:cs="Times New Roman"/>
          <w:color w:val="000000" w:themeColor="text1"/>
          <w:szCs w:val="24"/>
        </w:rPr>
        <w:t>)</w:t>
      </w:r>
      <w:r w:rsidRPr="00E87D19">
        <w:rPr>
          <w:rFonts w:eastAsia="Times New Roman" w:cs="Times New Roman"/>
          <w:color w:val="000000" w:themeColor="text1"/>
          <w:szCs w:val="24"/>
        </w:rPr>
        <w:t>.</w:t>
      </w:r>
    </w:p>
    <w:p w14:paraId="4F9D1DF4" w14:textId="00FF3032" w:rsidR="00952A46" w:rsidRPr="00E87D19" w:rsidRDefault="00952A46" w:rsidP="00A74D20">
      <w:pPr>
        <w:spacing w:before="0" w:after="0" w:line="360" w:lineRule="auto"/>
        <w:jc w:val="both"/>
        <w:rPr>
          <w:rFonts w:eastAsia="Times New Roman" w:cs="Times New Roman"/>
          <w:color w:val="000000" w:themeColor="text1"/>
          <w:szCs w:val="24"/>
        </w:rPr>
      </w:pPr>
      <w:r w:rsidRPr="00E87D19">
        <w:rPr>
          <w:rFonts w:eastAsia="Times New Roman" w:cs="Times New Roman"/>
          <w:color w:val="000000" w:themeColor="text1"/>
          <w:szCs w:val="24"/>
        </w:rPr>
        <w:lastRenderedPageBreak/>
        <w:t xml:space="preserve">Despite extensive global research on microalgal biodiesel, there remains limited empirical data on the comparative performance of locally available and low-cost culture media for </w:t>
      </w:r>
      <w:r w:rsidRPr="00E87D19">
        <w:rPr>
          <w:rFonts w:eastAsia="Times New Roman" w:cs="Times New Roman"/>
          <w:i/>
          <w:iCs/>
          <w:color w:val="000000" w:themeColor="text1"/>
          <w:szCs w:val="24"/>
        </w:rPr>
        <w:t xml:space="preserve">Chlorella </w:t>
      </w:r>
      <w:r w:rsidR="00FB7D10" w:rsidRPr="00E87D19">
        <w:rPr>
          <w:rFonts w:eastAsia="Times New Roman" w:cs="Times New Roman"/>
          <w:color w:val="000000" w:themeColor="text1"/>
          <w:szCs w:val="24"/>
        </w:rPr>
        <w:t>spp</w:t>
      </w:r>
      <w:r w:rsidRPr="00E87D19">
        <w:rPr>
          <w:rFonts w:eastAsia="Times New Roman" w:cs="Times New Roman"/>
          <w:color w:val="000000" w:themeColor="text1"/>
          <w:szCs w:val="24"/>
        </w:rPr>
        <w:t xml:space="preserve"> in Northern Nigeria. Most existing studies focus on laboratory-adapted strains or high-cost cultivation systems, leaving a gap in region-specific optimization strategies that consider economic feasibility and local resource availability.</w:t>
      </w:r>
    </w:p>
    <w:p w14:paraId="599301A4" w14:textId="07AD7923" w:rsidR="00952A46" w:rsidRPr="00E87D19" w:rsidRDefault="00952A46" w:rsidP="00A74D20">
      <w:pPr>
        <w:spacing w:before="0" w:after="0" w:line="360" w:lineRule="auto"/>
        <w:jc w:val="both"/>
        <w:rPr>
          <w:rFonts w:eastAsia="Times New Roman" w:cs="Times New Roman"/>
          <w:color w:val="000000" w:themeColor="text1"/>
          <w:szCs w:val="24"/>
        </w:rPr>
      </w:pPr>
      <w:r w:rsidRPr="00E87D19">
        <w:rPr>
          <w:rFonts w:eastAsia="Times New Roman" w:cs="Times New Roman"/>
          <w:color w:val="000000" w:themeColor="text1"/>
          <w:szCs w:val="24"/>
        </w:rPr>
        <w:t xml:space="preserve">Therefore, this study aimed to isolate and identify indigenous microalgae from aquatic environments in Kebbi State, Nigeria, </w:t>
      </w:r>
      <w:r w:rsidR="00FB7D10" w:rsidRPr="00E87D19">
        <w:rPr>
          <w:rFonts w:eastAsia="Times New Roman" w:cs="Times New Roman"/>
          <w:color w:val="000000" w:themeColor="text1"/>
          <w:szCs w:val="24"/>
        </w:rPr>
        <w:t xml:space="preserve">Evaluate </w:t>
      </w:r>
      <w:r w:rsidRPr="00E87D19">
        <w:rPr>
          <w:rFonts w:eastAsia="Times New Roman" w:cs="Times New Roman"/>
          <w:color w:val="000000" w:themeColor="text1"/>
          <w:szCs w:val="24"/>
        </w:rPr>
        <w:t xml:space="preserve">the growth performance, </w:t>
      </w:r>
      <w:r w:rsidR="00FB7D10" w:rsidRPr="00E87D19">
        <w:rPr>
          <w:rFonts w:eastAsia="Times New Roman" w:cs="Times New Roman"/>
          <w:color w:val="000000" w:themeColor="text1"/>
          <w:szCs w:val="24"/>
        </w:rPr>
        <w:t xml:space="preserve">and </w:t>
      </w:r>
      <w:r w:rsidRPr="00E87D19">
        <w:rPr>
          <w:rFonts w:eastAsia="Times New Roman" w:cs="Times New Roman"/>
          <w:color w:val="000000" w:themeColor="text1"/>
          <w:szCs w:val="24"/>
        </w:rPr>
        <w:t xml:space="preserve">lipid accumulation of </w:t>
      </w:r>
      <w:r w:rsidRPr="00E87D19">
        <w:rPr>
          <w:rFonts w:eastAsia="Times New Roman" w:cs="Times New Roman"/>
          <w:i/>
          <w:iCs/>
          <w:color w:val="000000" w:themeColor="text1"/>
          <w:szCs w:val="24"/>
        </w:rPr>
        <w:t xml:space="preserve">Chlorella </w:t>
      </w:r>
      <w:r w:rsidR="00FB7D10" w:rsidRPr="00E87D19">
        <w:rPr>
          <w:rFonts w:eastAsia="Times New Roman" w:cs="Times New Roman"/>
          <w:color w:val="000000" w:themeColor="text1"/>
          <w:szCs w:val="24"/>
        </w:rPr>
        <w:t>spp</w:t>
      </w:r>
      <w:r w:rsidRPr="00E87D19">
        <w:rPr>
          <w:rFonts w:eastAsia="Times New Roman" w:cs="Times New Roman"/>
          <w:color w:val="000000" w:themeColor="text1"/>
          <w:szCs w:val="24"/>
        </w:rPr>
        <w:t xml:space="preserve"> cultivated in BG11, algal broth, and NPK fertilizer media. The study further seeks to determine the most suitable low-cost cultivation strategy for enhanced biomass and lipid productivity, contributing to the development of economically viable microalgal biodiesel systems in resource-limited settings.</w:t>
      </w:r>
    </w:p>
    <w:p w14:paraId="56465440" w14:textId="77777777" w:rsidR="00065147" w:rsidRPr="00E87D19" w:rsidRDefault="00065147" w:rsidP="00A74D20">
      <w:pPr>
        <w:spacing w:before="0" w:after="0" w:line="360" w:lineRule="auto"/>
        <w:jc w:val="both"/>
        <w:rPr>
          <w:rFonts w:cs="Times New Roman"/>
          <w:bCs/>
          <w:color w:val="000000" w:themeColor="text1"/>
          <w:szCs w:val="24"/>
        </w:rPr>
      </w:pPr>
      <w:r w:rsidRPr="00E87D19">
        <w:rPr>
          <w:rFonts w:cs="Times New Roman"/>
          <w:b/>
          <w:bCs/>
          <w:color w:val="000000" w:themeColor="text1"/>
          <w:szCs w:val="24"/>
        </w:rPr>
        <w:t>Methodology</w:t>
      </w:r>
      <w:r w:rsidRPr="00E87D19">
        <w:rPr>
          <w:rFonts w:cs="Times New Roman"/>
          <w:bCs/>
          <w:color w:val="000000" w:themeColor="text1"/>
          <w:szCs w:val="24"/>
        </w:rPr>
        <w:t xml:space="preserve"> </w:t>
      </w:r>
    </w:p>
    <w:p w14:paraId="631AF04B" w14:textId="77777777" w:rsidR="00065147" w:rsidRPr="00E87D19" w:rsidRDefault="00065147" w:rsidP="00A74D20">
      <w:pPr>
        <w:spacing w:before="0" w:after="0" w:line="360" w:lineRule="auto"/>
        <w:jc w:val="both"/>
        <w:rPr>
          <w:rFonts w:cs="Times New Roman"/>
          <w:b/>
          <w:bCs/>
          <w:color w:val="000000" w:themeColor="text1"/>
          <w:szCs w:val="24"/>
        </w:rPr>
      </w:pPr>
      <w:r w:rsidRPr="00E87D19">
        <w:rPr>
          <w:rFonts w:cs="Times New Roman"/>
          <w:b/>
          <w:bCs/>
          <w:color w:val="000000" w:themeColor="text1"/>
          <w:szCs w:val="24"/>
        </w:rPr>
        <w:t>Study area</w:t>
      </w:r>
    </w:p>
    <w:p w14:paraId="252231DC" w14:textId="1A68595B" w:rsidR="007F05B9" w:rsidRPr="00A74D20" w:rsidRDefault="00065147" w:rsidP="00A74D20">
      <w:pPr>
        <w:spacing w:before="0" w:after="0" w:line="360" w:lineRule="auto"/>
        <w:jc w:val="both"/>
        <w:rPr>
          <w:rFonts w:cs="Times New Roman"/>
          <w:bCs/>
          <w:color w:val="000000" w:themeColor="text1"/>
          <w:szCs w:val="24"/>
        </w:rPr>
      </w:pPr>
      <w:r w:rsidRPr="00E87D19">
        <w:rPr>
          <w:rFonts w:cs="Times New Roman"/>
          <w:bCs/>
          <w:color w:val="000000" w:themeColor="text1"/>
          <w:szCs w:val="24"/>
        </w:rPr>
        <w:t xml:space="preserve">The study was conducted at </w:t>
      </w:r>
      <w:r w:rsidR="00FB7D10" w:rsidRPr="00E87D19">
        <w:rPr>
          <w:rFonts w:cs="Times New Roman"/>
          <w:bCs/>
          <w:color w:val="000000" w:themeColor="text1"/>
          <w:szCs w:val="24"/>
        </w:rPr>
        <w:t xml:space="preserve">Abdullahi Fodio </w:t>
      </w:r>
      <w:r w:rsidRPr="00E87D19">
        <w:rPr>
          <w:rFonts w:cs="Times New Roman"/>
          <w:bCs/>
          <w:color w:val="000000" w:themeColor="text1"/>
          <w:szCs w:val="24"/>
        </w:rPr>
        <w:t>University of Science and Technology, Aliero (</w:t>
      </w:r>
      <w:r w:rsidR="00FB7D10" w:rsidRPr="00E87D19">
        <w:rPr>
          <w:rFonts w:cs="Times New Roman"/>
          <w:bCs/>
          <w:color w:val="000000" w:themeColor="text1"/>
          <w:szCs w:val="24"/>
        </w:rPr>
        <w:t>A</w:t>
      </w:r>
      <w:r w:rsidR="0011689F">
        <w:rPr>
          <w:rFonts w:cs="Times New Roman"/>
          <w:bCs/>
          <w:color w:val="000000" w:themeColor="text1"/>
          <w:szCs w:val="24"/>
        </w:rPr>
        <w:t>F</w:t>
      </w:r>
      <w:r w:rsidRPr="00E87D19">
        <w:rPr>
          <w:rFonts w:cs="Times New Roman"/>
          <w:bCs/>
          <w:color w:val="000000" w:themeColor="text1"/>
          <w:szCs w:val="24"/>
        </w:rPr>
        <w:t>USTA)</w:t>
      </w:r>
      <w:r w:rsidR="007F05B9" w:rsidRPr="00E87D19">
        <w:rPr>
          <w:rFonts w:cs="Times New Roman"/>
          <w:bCs/>
          <w:color w:val="000000" w:themeColor="text1"/>
          <w:szCs w:val="24"/>
        </w:rPr>
        <w:t xml:space="preserve">. </w:t>
      </w:r>
      <w:r w:rsidRPr="00E87D19">
        <w:rPr>
          <w:rFonts w:cs="Times New Roman"/>
          <w:bCs/>
          <w:color w:val="000000" w:themeColor="text1"/>
          <w:szCs w:val="24"/>
        </w:rPr>
        <w:t xml:space="preserve">Sample collection took place within </w:t>
      </w:r>
      <w:r w:rsidR="00FB7D10" w:rsidRPr="00E87D19">
        <w:rPr>
          <w:rFonts w:cs="Times New Roman"/>
          <w:bCs/>
          <w:color w:val="000000" w:themeColor="text1"/>
          <w:szCs w:val="24"/>
        </w:rPr>
        <w:t>A</w:t>
      </w:r>
      <w:r w:rsidR="0011689F">
        <w:rPr>
          <w:rFonts w:cs="Times New Roman"/>
          <w:bCs/>
          <w:color w:val="000000" w:themeColor="text1"/>
          <w:szCs w:val="24"/>
        </w:rPr>
        <w:t>F</w:t>
      </w:r>
      <w:r w:rsidRPr="00E87D19">
        <w:rPr>
          <w:rFonts w:cs="Times New Roman"/>
          <w:bCs/>
          <w:color w:val="000000" w:themeColor="text1"/>
          <w:szCs w:val="24"/>
        </w:rPr>
        <w:t xml:space="preserve">USTA from ponds, drainage water, stagnant water, and other water bodies. Aliero is predominantly agrarian, recognized as a major producer of onions in Nigeria, and its residents are widely known for traditional bone-setting across West and Central Africa (Umar </w:t>
      </w:r>
      <w:r w:rsidR="007E4D8F" w:rsidRPr="007E4D8F">
        <w:rPr>
          <w:rFonts w:cs="Times New Roman"/>
          <w:bCs/>
          <w:i/>
          <w:iCs/>
          <w:color w:val="000000" w:themeColor="text1"/>
          <w:szCs w:val="24"/>
        </w:rPr>
        <w:t>et al</w:t>
      </w:r>
      <w:r w:rsidRPr="00E87D19">
        <w:rPr>
          <w:rFonts w:cs="Times New Roman"/>
          <w:bCs/>
          <w:color w:val="000000" w:themeColor="text1"/>
          <w:szCs w:val="24"/>
        </w:rPr>
        <w:t xml:space="preserve">., 2023). </w:t>
      </w:r>
    </w:p>
    <w:p w14:paraId="4A7F7DEE" w14:textId="606F33C7" w:rsidR="00065147" w:rsidRPr="00E87D19" w:rsidRDefault="00065147" w:rsidP="00A74D20">
      <w:pPr>
        <w:spacing w:before="0" w:after="0" w:line="360" w:lineRule="auto"/>
        <w:jc w:val="both"/>
        <w:rPr>
          <w:rFonts w:cs="Times New Roman"/>
          <w:b/>
          <w:bCs/>
          <w:color w:val="000000" w:themeColor="text1"/>
          <w:szCs w:val="24"/>
        </w:rPr>
      </w:pPr>
      <w:r w:rsidRPr="00E87D19">
        <w:rPr>
          <w:rFonts w:cs="Times New Roman"/>
          <w:b/>
          <w:bCs/>
          <w:color w:val="000000" w:themeColor="text1"/>
          <w:szCs w:val="24"/>
        </w:rPr>
        <w:t xml:space="preserve">Research design </w:t>
      </w:r>
    </w:p>
    <w:p w14:paraId="180EF013" w14:textId="74E9B827" w:rsidR="00065147" w:rsidRPr="00E87D19" w:rsidRDefault="00065147" w:rsidP="00A74D20">
      <w:pPr>
        <w:spacing w:before="0" w:after="0" w:line="360" w:lineRule="auto"/>
        <w:jc w:val="both"/>
        <w:rPr>
          <w:rFonts w:cs="Times New Roman"/>
          <w:bCs/>
          <w:color w:val="000000" w:themeColor="text1"/>
          <w:szCs w:val="24"/>
        </w:rPr>
      </w:pPr>
      <w:r w:rsidRPr="00E87D19">
        <w:rPr>
          <w:rFonts w:cs="Times New Roman"/>
          <w:bCs/>
          <w:color w:val="000000" w:themeColor="text1"/>
          <w:szCs w:val="24"/>
        </w:rPr>
        <w:t xml:space="preserve">The research adopted a convenience and multifaceted study design that involved sample collection, microscopy, PCR-based molecular identification, media optimization, cultivation, </w:t>
      </w:r>
      <w:r w:rsidR="005373FB" w:rsidRPr="00E87D19">
        <w:rPr>
          <w:rFonts w:cs="Times New Roman"/>
          <w:bCs/>
          <w:color w:val="000000" w:themeColor="text1"/>
          <w:szCs w:val="24"/>
        </w:rPr>
        <w:t xml:space="preserve">and </w:t>
      </w:r>
      <w:r w:rsidRPr="00E87D19">
        <w:rPr>
          <w:rFonts w:cs="Times New Roman"/>
          <w:bCs/>
          <w:color w:val="000000" w:themeColor="text1"/>
          <w:szCs w:val="24"/>
        </w:rPr>
        <w:t>lipid extraction</w:t>
      </w:r>
      <w:r w:rsidR="00FB7D10" w:rsidRPr="00E87D19">
        <w:rPr>
          <w:rFonts w:cs="Times New Roman"/>
          <w:bCs/>
          <w:color w:val="000000" w:themeColor="text1"/>
          <w:szCs w:val="24"/>
        </w:rPr>
        <w:t>.</w:t>
      </w:r>
    </w:p>
    <w:p w14:paraId="101CCFDD" w14:textId="77777777" w:rsidR="00065147" w:rsidRPr="00E87D19" w:rsidRDefault="00065147" w:rsidP="00A74D20">
      <w:pPr>
        <w:spacing w:before="0" w:after="0" w:line="360" w:lineRule="auto"/>
        <w:jc w:val="both"/>
        <w:rPr>
          <w:rFonts w:cs="Times New Roman"/>
          <w:b/>
          <w:bCs/>
          <w:color w:val="000000" w:themeColor="text1"/>
          <w:szCs w:val="24"/>
        </w:rPr>
      </w:pPr>
      <w:r w:rsidRPr="00E87D19">
        <w:rPr>
          <w:rFonts w:cs="Times New Roman"/>
          <w:b/>
          <w:bCs/>
          <w:color w:val="000000" w:themeColor="text1"/>
          <w:szCs w:val="24"/>
        </w:rPr>
        <w:t>Sample collection and preparation</w:t>
      </w:r>
    </w:p>
    <w:p w14:paraId="3C5F0549" w14:textId="1C716318" w:rsidR="00065147" w:rsidRPr="00E87D19" w:rsidRDefault="00065147" w:rsidP="00A74D20">
      <w:pPr>
        <w:spacing w:before="0" w:after="0" w:line="360" w:lineRule="auto"/>
        <w:jc w:val="both"/>
        <w:rPr>
          <w:rFonts w:cs="Times New Roman"/>
          <w:bCs/>
          <w:color w:val="000000" w:themeColor="text1"/>
          <w:szCs w:val="24"/>
        </w:rPr>
      </w:pPr>
      <w:r w:rsidRPr="00E87D19">
        <w:rPr>
          <w:rFonts w:cs="Times New Roman"/>
          <w:bCs/>
          <w:color w:val="000000" w:themeColor="text1"/>
          <w:szCs w:val="24"/>
        </w:rPr>
        <w:t xml:space="preserve">A total of 18 water samples of 100 ml each were collected following the method described by Phang </w:t>
      </w:r>
      <w:r w:rsidR="007E4D8F" w:rsidRPr="007E4D8F">
        <w:rPr>
          <w:rFonts w:cs="Times New Roman"/>
          <w:bCs/>
          <w:i/>
          <w:iCs/>
          <w:color w:val="000000" w:themeColor="text1"/>
          <w:szCs w:val="24"/>
        </w:rPr>
        <w:t>et al</w:t>
      </w:r>
      <w:r w:rsidRPr="00E87D19">
        <w:rPr>
          <w:rFonts w:cs="Times New Roman"/>
          <w:bCs/>
          <w:color w:val="000000" w:themeColor="text1"/>
          <w:szCs w:val="24"/>
        </w:rPr>
        <w:t xml:space="preserve">., (2015). Samples were taken from aquarium ponds, tap runoff water, water drainages, reservoir ponds, and botanical garden ponds using sterile containers, covered with aluminum foil, and transported to the Postgraduate Microbiology Laboratory at KSUSTA for further analysis. Serial dilution of samples was performed by transferring 1 ml of sample into 9 ml of sterile distilled water in tubes labeled 10¹ to 10⁶ following the procedure of Cao </w:t>
      </w:r>
      <w:r w:rsidR="007E4D8F" w:rsidRPr="007E4D8F">
        <w:rPr>
          <w:rFonts w:cs="Times New Roman"/>
          <w:bCs/>
          <w:i/>
          <w:iCs/>
          <w:color w:val="000000" w:themeColor="text1"/>
          <w:szCs w:val="24"/>
        </w:rPr>
        <w:t>et al</w:t>
      </w:r>
      <w:r w:rsidRPr="00E87D19">
        <w:rPr>
          <w:rFonts w:cs="Times New Roman"/>
          <w:bCs/>
          <w:color w:val="000000" w:themeColor="text1"/>
          <w:szCs w:val="24"/>
        </w:rPr>
        <w:t xml:space="preserve">., (2024). </w:t>
      </w:r>
    </w:p>
    <w:p w14:paraId="245A9D9C" w14:textId="77777777" w:rsidR="00065147" w:rsidRPr="00E87D19" w:rsidRDefault="00065147" w:rsidP="00A74D20">
      <w:pPr>
        <w:spacing w:before="0" w:after="0" w:line="360" w:lineRule="auto"/>
        <w:jc w:val="both"/>
        <w:rPr>
          <w:rFonts w:cs="Times New Roman"/>
          <w:b/>
          <w:bCs/>
          <w:color w:val="000000" w:themeColor="text1"/>
          <w:szCs w:val="24"/>
        </w:rPr>
      </w:pPr>
      <w:r w:rsidRPr="00E87D19">
        <w:rPr>
          <w:rFonts w:cs="Times New Roman"/>
          <w:b/>
          <w:bCs/>
          <w:color w:val="000000" w:themeColor="text1"/>
          <w:szCs w:val="24"/>
        </w:rPr>
        <w:lastRenderedPageBreak/>
        <w:t>Media preparation</w:t>
      </w:r>
    </w:p>
    <w:p w14:paraId="435D2637" w14:textId="50BAF170" w:rsidR="00065147" w:rsidRPr="00E87D19" w:rsidRDefault="00065147" w:rsidP="00A74D20">
      <w:pPr>
        <w:spacing w:before="0" w:after="0" w:line="360" w:lineRule="auto"/>
        <w:jc w:val="both"/>
        <w:rPr>
          <w:rFonts w:cs="Times New Roman"/>
          <w:bCs/>
          <w:color w:val="000000" w:themeColor="text1"/>
          <w:szCs w:val="24"/>
        </w:rPr>
      </w:pPr>
      <w:r w:rsidRPr="00E87D19">
        <w:rPr>
          <w:rFonts w:cs="Times New Roman"/>
          <w:bCs/>
          <w:color w:val="000000" w:themeColor="text1"/>
          <w:szCs w:val="24"/>
        </w:rPr>
        <w:t xml:space="preserve">Media used for cultivation included Algal Broth (Biomarks), BG-11 medium, and NPK medium. Algal Broth was prepared by dissolving 1.87 g in 1000 ml of distilled water, stirring with a magnetic stirrer, and autoclaving at 121°C for 15 minutes. BG-11 medium preparation followed Badamasi </w:t>
      </w:r>
      <w:r w:rsidR="007E4D8F" w:rsidRPr="007E4D8F">
        <w:rPr>
          <w:rFonts w:cs="Times New Roman"/>
          <w:bCs/>
          <w:i/>
          <w:iCs/>
          <w:color w:val="000000" w:themeColor="text1"/>
          <w:szCs w:val="24"/>
        </w:rPr>
        <w:t>et al</w:t>
      </w:r>
      <w:r w:rsidRPr="00E87D19">
        <w:rPr>
          <w:rFonts w:cs="Times New Roman"/>
          <w:bCs/>
          <w:color w:val="000000" w:themeColor="text1"/>
          <w:szCs w:val="24"/>
        </w:rPr>
        <w:t xml:space="preserve">., (2023), using nine stock solutions consisting of major nutrients and trace metals, all stored in dark conditions until required. NPK medium was prepared by diluting 20:20:20 commercial fertilizer to 0.5 and 1.0 g/L, autoclaving, and storing under dark conditions (Lathifah </w:t>
      </w:r>
      <w:r w:rsidR="007E4D8F" w:rsidRPr="007E4D8F">
        <w:rPr>
          <w:rFonts w:cs="Times New Roman"/>
          <w:bCs/>
          <w:i/>
          <w:iCs/>
          <w:color w:val="000000" w:themeColor="text1"/>
          <w:szCs w:val="24"/>
        </w:rPr>
        <w:t>et al</w:t>
      </w:r>
      <w:r w:rsidRPr="00E87D19">
        <w:rPr>
          <w:rFonts w:cs="Times New Roman"/>
          <w:bCs/>
          <w:color w:val="000000" w:themeColor="text1"/>
          <w:szCs w:val="24"/>
        </w:rPr>
        <w:t>., 2021).</w:t>
      </w:r>
    </w:p>
    <w:p w14:paraId="678FDCD3" w14:textId="0591585B" w:rsidR="00065147" w:rsidRPr="00E87D19" w:rsidRDefault="00065147" w:rsidP="00A74D20">
      <w:pPr>
        <w:spacing w:before="0" w:after="0" w:line="360" w:lineRule="auto"/>
        <w:jc w:val="both"/>
        <w:rPr>
          <w:rFonts w:cs="Times New Roman"/>
          <w:bCs/>
          <w:color w:val="000000" w:themeColor="text1"/>
          <w:szCs w:val="24"/>
        </w:rPr>
      </w:pPr>
      <w:r w:rsidRPr="00E87D19">
        <w:rPr>
          <w:rFonts w:cs="Times New Roman"/>
          <w:bCs/>
          <w:color w:val="000000" w:themeColor="text1"/>
          <w:szCs w:val="24"/>
        </w:rPr>
        <w:t xml:space="preserve">Sample inoculation was carried out using the pour plate method, where 0.5 ml of 10², 10⁴, and 10⁶ dilutions were spread onto algal agar plates following Cheung </w:t>
      </w:r>
      <w:r w:rsidR="007E4D8F" w:rsidRPr="007E4D8F">
        <w:rPr>
          <w:rFonts w:cs="Times New Roman"/>
          <w:bCs/>
          <w:i/>
          <w:iCs/>
          <w:color w:val="000000" w:themeColor="text1"/>
          <w:szCs w:val="24"/>
        </w:rPr>
        <w:t>et al</w:t>
      </w:r>
      <w:r w:rsidRPr="00E87D19">
        <w:rPr>
          <w:rFonts w:cs="Times New Roman"/>
          <w:bCs/>
          <w:color w:val="000000" w:themeColor="text1"/>
          <w:szCs w:val="24"/>
        </w:rPr>
        <w:t>., (2022). Plates were incubated at 25</w:t>
      </w:r>
      <w:r w:rsidR="007F05B9" w:rsidRPr="00E87D19">
        <w:rPr>
          <w:rFonts w:cs="Times New Roman"/>
          <w:bCs/>
          <w:color w:val="000000" w:themeColor="text1"/>
          <w:szCs w:val="24"/>
        </w:rPr>
        <w:t>±2°</w:t>
      </w:r>
      <w:r w:rsidRPr="00E87D19">
        <w:rPr>
          <w:rFonts w:cs="Times New Roman"/>
          <w:bCs/>
          <w:color w:val="000000" w:themeColor="text1"/>
          <w:szCs w:val="24"/>
        </w:rPr>
        <w:t>C under fluorescent light for 7 days</w:t>
      </w:r>
      <w:r w:rsidR="007F05B9" w:rsidRPr="00E87D19">
        <w:rPr>
          <w:rFonts w:cs="Times New Roman"/>
          <w:bCs/>
          <w:color w:val="000000" w:themeColor="text1"/>
          <w:szCs w:val="24"/>
        </w:rPr>
        <w:t xml:space="preserve"> in 12:12 light-dark condition</w:t>
      </w:r>
      <w:r w:rsidRPr="00E87D19">
        <w:rPr>
          <w:rFonts w:cs="Times New Roman"/>
          <w:bCs/>
          <w:color w:val="000000" w:themeColor="text1"/>
          <w:szCs w:val="24"/>
        </w:rPr>
        <w:t xml:space="preserve">. Sub-culturing was performed by transferring isolates into Algal Broth, BG-11, and NPK media in 500 ml conical flasks using sterile loops and incubating for 2–6 weeks under constant light exposure as described by Foo </w:t>
      </w:r>
      <w:r w:rsidR="007E4D8F" w:rsidRPr="007E4D8F">
        <w:rPr>
          <w:rFonts w:cs="Times New Roman"/>
          <w:bCs/>
          <w:i/>
          <w:iCs/>
          <w:color w:val="000000" w:themeColor="text1"/>
          <w:szCs w:val="24"/>
        </w:rPr>
        <w:t>et al</w:t>
      </w:r>
      <w:r w:rsidRPr="00E87D19">
        <w:rPr>
          <w:rFonts w:cs="Times New Roman"/>
          <w:bCs/>
          <w:color w:val="000000" w:themeColor="text1"/>
          <w:szCs w:val="24"/>
        </w:rPr>
        <w:t xml:space="preserve">., (2023). </w:t>
      </w:r>
    </w:p>
    <w:p w14:paraId="15178A7C" w14:textId="7BB6AE25" w:rsidR="00065147" w:rsidRPr="00E87D19" w:rsidRDefault="00065147" w:rsidP="00A74D20">
      <w:pPr>
        <w:spacing w:before="0" w:after="0" w:line="360" w:lineRule="auto"/>
        <w:jc w:val="both"/>
        <w:rPr>
          <w:rFonts w:cs="Times New Roman"/>
          <w:bCs/>
          <w:color w:val="000000" w:themeColor="text1"/>
          <w:szCs w:val="24"/>
        </w:rPr>
      </w:pPr>
      <w:r w:rsidRPr="00E87D19">
        <w:rPr>
          <w:rFonts w:cs="Times New Roman"/>
          <w:b/>
          <w:bCs/>
          <w:color w:val="000000" w:themeColor="text1"/>
          <w:szCs w:val="24"/>
        </w:rPr>
        <w:t>Identification</w:t>
      </w:r>
      <w:r w:rsidRPr="00E87D19">
        <w:rPr>
          <w:rFonts w:cs="Times New Roman"/>
          <w:bCs/>
          <w:color w:val="000000" w:themeColor="text1"/>
          <w:szCs w:val="24"/>
        </w:rPr>
        <w:t xml:space="preserve"> </w:t>
      </w:r>
      <w:r w:rsidR="00514FAA" w:rsidRPr="00E87D19">
        <w:rPr>
          <w:rFonts w:cs="Times New Roman"/>
          <w:b/>
          <w:color w:val="000000" w:themeColor="text1"/>
          <w:szCs w:val="24"/>
        </w:rPr>
        <w:t>of</w:t>
      </w:r>
      <w:r w:rsidR="00514FAA" w:rsidRPr="00E87D19">
        <w:rPr>
          <w:rFonts w:cs="Times New Roman"/>
          <w:bCs/>
          <w:color w:val="000000" w:themeColor="text1"/>
          <w:szCs w:val="24"/>
        </w:rPr>
        <w:t xml:space="preserve"> </w:t>
      </w:r>
      <w:r w:rsidR="00514FAA" w:rsidRPr="00E87D19">
        <w:rPr>
          <w:rFonts w:cs="Times New Roman"/>
          <w:b/>
          <w:color w:val="000000" w:themeColor="text1"/>
          <w:szCs w:val="24"/>
        </w:rPr>
        <w:t>microalg</w:t>
      </w:r>
      <w:r w:rsidR="00A74D20">
        <w:rPr>
          <w:rFonts w:cs="Times New Roman"/>
          <w:b/>
          <w:color w:val="000000" w:themeColor="text1"/>
          <w:szCs w:val="24"/>
        </w:rPr>
        <w:t>ae</w:t>
      </w:r>
    </w:p>
    <w:p w14:paraId="5CBECD59" w14:textId="38000B6A" w:rsidR="00514FAA" w:rsidRPr="00E87D19" w:rsidRDefault="00514FAA" w:rsidP="00A74D20">
      <w:pPr>
        <w:spacing w:before="0" w:after="0" w:line="360" w:lineRule="auto"/>
        <w:jc w:val="both"/>
        <w:rPr>
          <w:rFonts w:cs="Times New Roman"/>
          <w:b/>
          <w:color w:val="000000" w:themeColor="text1"/>
          <w:szCs w:val="24"/>
        </w:rPr>
      </w:pPr>
      <w:r w:rsidRPr="00E87D19">
        <w:rPr>
          <w:rFonts w:cs="Times New Roman"/>
          <w:b/>
          <w:color w:val="000000" w:themeColor="text1"/>
          <w:szCs w:val="24"/>
        </w:rPr>
        <w:t>Microscopic identification</w:t>
      </w:r>
    </w:p>
    <w:p w14:paraId="6AD9D6B0" w14:textId="3EA32871" w:rsidR="00514FAA" w:rsidRPr="00E87D19" w:rsidRDefault="00065147" w:rsidP="00A74D20">
      <w:pPr>
        <w:spacing w:before="0" w:after="0" w:line="360" w:lineRule="auto"/>
        <w:jc w:val="both"/>
        <w:rPr>
          <w:rFonts w:cs="Times New Roman"/>
          <w:bCs/>
          <w:color w:val="000000" w:themeColor="text1"/>
          <w:szCs w:val="24"/>
        </w:rPr>
      </w:pPr>
      <w:r w:rsidRPr="00E87D19">
        <w:rPr>
          <w:rFonts w:cs="Times New Roman"/>
          <w:bCs/>
          <w:color w:val="000000" w:themeColor="text1"/>
          <w:szCs w:val="24"/>
        </w:rPr>
        <w:t xml:space="preserve">Identification of microalgae isolates was conducted using both microscopy and molecular techniques. For microscopic examination, wet mount slides were prepared and observed for morphological characteristics such as size, shape, and appearance, which were compared with the microalgae identification guide by </w:t>
      </w:r>
      <w:r w:rsidR="0011689F" w:rsidRPr="00E87D19">
        <w:rPr>
          <w:rFonts w:cs="Times New Roman"/>
          <w:color w:val="000000" w:themeColor="text1"/>
          <w:szCs w:val="24"/>
          <w:shd w:val="clear" w:color="auto" w:fill="FFFFFF"/>
        </w:rPr>
        <w:t>Fawley and Fawley, (2020</w:t>
      </w:r>
      <w:r w:rsidR="0011689F">
        <w:rPr>
          <w:rFonts w:cs="Times New Roman"/>
          <w:color w:val="000000" w:themeColor="text1"/>
          <w:szCs w:val="24"/>
          <w:shd w:val="clear" w:color="auto" w:fill="FFFFFF"/>
        </w:rPr>
        <w:t>)</w:t>
      </w:r>
      <w:r w:rsidRPr="00E87D19">
        <w:rPr>
          <w:rFonts w:cs="Times New Roman"/>
          <w:bCs/>
          <w:color w:val="000000" w:themeColor="text1"/>
          <w:szCs w:val="24"/>
        </w:rPr>
        <w:t xml:space="preserve">. </w:t>
      </w:r>
    </w:p>
    <w:p w14:paraId="2EAD8A9C" w14:textId="1B576E15" w:rsidR="00514FAA" w:rsidRPr="00E87D19" w:rsidRDefault="00514FAA" w:rsidP="00A74D20">
      <w:pPr>
        <w:spacing w:before="0" w:after="0" w:line="360" w:lineRule="auto"/>
        <w:jc w:val="both"/>
        <w:rPr>
          <w:rFonts w:cs="Times New Roman"/>
          <w:b/>
          <w:color w:val="000000" w:themeColor="text1"/>
          <w:szCs w:val="24"/>
        </w:rPr>
      </w:pPr>
      <w:r w:rsidRPr="00E87D19">
        <w:rPr>
          <w:rFonts w:cs="Times New Roman"/>
          <w:b/>
          <w:color w:val="000000" w:themeColor="text1"/>
          <w:szCs w:val="24"/>
        </w:rPr>
        <w:t>Molecular identification</w:t>
      </w:r>
    </w:p>
    <w:p w14:paraId="0F0CF681" w14:textId="1186C505" w:rsidR="00514FAA" w:rsidRPr="00E87D19" w:rsidRDefault="00514FAA" w:rsidP="00A74D20">
      <w:pPr>
        <w:spacing w:before="0" w:after="0" w:line="360" w:lineRule="auto"/>
        <w:jc w:val="both"/>
        <w:rPr>
          <w:rFonts w:cs="Times New Roman"/>
          <w:b/>
          <w:bCs/>
          <w:color w:val="000000" w:themeColor="text1"/>
          <w:szCs w:val="24"/>
        </w:rPr>
      </w:pPr>
      <w:r w:rsidRPr="00E87D19">
        <w:rPr>
          <w:rFonts w:cs="Times New Roman"/>
          <w:b/>
          <w:bCs/>
          <w:color w:val="000000" w:themeColor="text1"/>
          <w:szCs w:val="24"/>
        </w:rPr>
        <w:t>DNA Extraction</w:t>
      </w:r>
    </w:p>
    <w:p w14:paraId="7F595C12" w14:textId="69AAD9F9" w:rsidR="00514FAA" w:rsidRPr="00E87D19" w:rsidRDefault="00514FAA" w:rsidP="00A74D20">
      <w:pPr>
        <w:spacing w:before="0" w:after="0" w:line="360" w:lineRule="auto"/>
        <w:jc w:val="both"/>
        <w:rPr>
          <w:rFonts w:cs="Times New Roman"/>
          <w:bCs/>
          <w:color w:val="000000" w:themeColor="text1"/>
          <w:szCs w:val="24"/>
        </w:rPr>
      </w:pPr>
      <w:r w:rsidRPr="00E87D19">
        <w:rPr>
          <w:rFonts w:cs="Times New Roman"/>
          <w:bCs/>
          <w:color w:val="000000" w:themeColor="text1"/>
          <w:szCs w:val="24"/>
        </w:rPr>
        <w:t xml:space="preserve">Genomic DNA was extracted from algal cultures using the Zymo Research Quick-DNA™ Fungal/Bacterial Miniprep Kit according to the manufacturer's instructions (Zymo Research, 2020). Briefly, 50–100 mg (wet weight) of algal biomass was suspended in 200 </w:t>
      </w:r>
      <w:r w:rsidR="00196F0D" w:rsidRPr="00E87D19">
        <w:rPr>
          <w:rFonts w:cs="Times New Roman"/>
          <w:bCs/>
          <w:color w:val="000000" w:themeColor="text1"/>
          <w:szCs w:val="24"/>
        </w:rPr>
        <w:t>u</w:t>
      </w:r>
      <w:r w:rsidRPr="00E87D19">
        <w:rPr>
          <w:rFonts w:cs="Times New Roman"/>
          <w:bCs/>
          <w:color w:val="000000" w:themeColor="text1"/>
          <w:szCs w:val="24"/>
        </w:rPr>
        <w:t xml:space="preserve">L phosphate-buffered saline (PBS) and transferred into a ZR BashingBead™ Lysis Tube containing 750 </w:t>
      </w:r>
      <w:r w:rsidR="00196F0D" w:rsidRPr="00E87D19">
        <w:rPr>
          <w:rFonts w:cs="Times New Roman"/>
          <w:bCs/>
          <w:color w:val="000000" w:themeColor="text1"/>
          <w:szCs w:val="24"/>
        </w:rPr>
        <w:t>u</w:t>
      </w:r>
      <w:r w:rsidRPr="00E87D19">
        <w:rPr>
          <w:rFonts w:cs="Times New Roman"/>
          <w:bCs/>
          <w:color w:val="000000" w:themeColor="text1"/>
          <w:szCs w:val="24"/>
        </w:rPr>
        <w:t xml:space="preserve">L lysis solution. The samples were homogenized at maximum speed for 5 min using a bead-beating system and subsequently centrifuged at 10,000 × g for 1 min. Approximately 400 </w:t>
      </w:r>
      <w:r w:rsidR="00196F0D" w:rsidRPr="00E87D19">
        <w:rPr>
          <w:rFonts w:cs="Times New Roman"/>
          <w:bCs/>
          <w:color w:val="000000" w:themeColor="text1"/>
          <w:szCs w:val="24"/>
        </w:rPr>
        <w:t>u</w:t>
      </w:r>
      <w:r w:rsidRPr="00E87D19">
        <w:rPr>
          <w:rFonts w:cs="Times New Roman"/>
          <w:bCs/>
          <w:color w:val="000000" w:themeColor="text1"/>
          <w:szCs w:val="24"/>
        </w:rPr>
        <w:t xml:space="preserve">L of the supernatant was transferred into a Zymo-Spin™ IV Spin Filter and centrifuged at 7,000 × g for 1 </w:t>
      </w:r>
      <w:r w:rsidRPr="00E87D19">
        <w:rPr>
          <w:rFonts w:cs="Times New Roman"/>
          <w:bCs/>
          <w:color w:val="000000" w:themeColor="text1"/>
          <w:szCs w:val="24"/>
        </w:rPr>
        <w:lastRenderedPageBreak/>
        <w:t xml:space="preserve">min. The filtrate was mixed with 1,200 </w:t>
      </w:r>
      <w:r w:rsidR="00196F0D" w:rsidRPr="00E87D19">
        <w:rPr>
          <w:rFonts w:cs="Times New Roman"/>
          <w:bCs/>
          <w:color w:val="000000" w:themeColor="text1"/>
          <w:szCs w:val="24"/>
        </w:rPr>
        <w:t>u</w:t>
      </w:r>
      <w:r w:rsidRPr="00E87D19">
        <w:rPr>
          <w:rFonts w:cs="Times New Roman"/>
          <w:bCs/>
          <w:color w:val="000000" w:themeColor="text1"/>
          <w:szCs w:val="24"/>
        </w:rPr>
        <w:t xml:space="preserve">L DNA binding buffer and loaded onto a Zymo-Spin™ IIC column. Following centrifugation at 10,000 × g for 1 min, the column was washed sequentially with 200 </w:t>
      </w:r>
      <w:r w:rsidR="00196F0D" w:rsidRPr="00E87D19">
        <w:rPr>
          <w:rFonts w:cs="Times New Roman"/>
          <w:bCs/>
          <w:color w:val="000000" w:themeColor="text1"/>
          <w:szCs w:val="24"/>
        </w:rPr>
        <w:t>u</w:t>
      </w:r>
      <w:r w:rsidRPr="00E87D19">
        <w:rPr>
          <w:rFonts w:cs="Times New Roman"/>
          <w:bCs/>
          <w:color w:val="000000" w:themeColor="text1"/>
          <w:szCs w:val="24"/>
        </w:rPr>
        <w:t xml:space="preserve">L DNA Pre-Wash Buffer and 500 </w:t>
      </w:r>
      <w:r w:rsidR="00196F0D" w:rsidRPr="00E87D19">
        <w:rPr>
          <w:rFonts w:cs="Times New Roman"/>
          <w:bCs/>
          <w:color w:val="000000" w:themeColor="text1"/>
          <w:szCs w:val="24"/>
        </w:rPr>
        <w:t>u</w:t>
      </w:r>
      <w:r w:rsidRPr="00E87D19">
        <w:rPr>
          <w:rFonts w:cs="Times New Roman"/>
          <w:bCs/>
          <w:color w:val="000000" w:themeColor="text1"/>
          <w:szCs w:val="24"/>
        </w:rPr>
        <w:t xml:space="preserve">L DNA Wash Buffer. Purified DNA was eluted with 100 </w:t>
      </w:r>
      <w:r w:rsidR="00196F0D" w:rsidRPr="00E87D19">
        <w:rPr>
          <w:rFonts w:cs="Times New Roman"/>
          <w:bCs/>
          <w:color w:val="000000" w:themeColor="text1"/>
          <w:szCs w:val="24"/>
        </w:rPr>
        <w:t>u</w:t>
      </w:r>
      <w:r w:rsidRPr="00E87D19">
        <w:rPr>
          <w:rFonts w:cs="Times New Roman"/>
          <w:bCs/>
          <w:color w:val="000000" w:themeColor="text1"/>
          <w:szCs w:val="24"/>
        </w:rPr>
        <w:t>L DNA Elution Buffer and stored at −20°C until further molecular analysis.</w:t>
      </w:r>
    </w:p>
    <w:p w14:paraId="222E1AFF" w14:textId="12C3C839" w:rsidR="00514FAA" w:rsidRPr="00E87D19" w:rsidRDefault="00514FAA" w:rsidP="00A74D20">
      <w:pPr>
        <w:spacing w:before="0" w:after="0" w:line="360" w:lineRule="auto"/>
        <w:jc w:val="both"/>
        <w:rPr>
          <w:rFonts w:cs="Times New Roman"/>
          <w:b/>
          <w:bCs/>
          <w:color w:val="000000" w:themeColor="text1"/>
          <w:szCs w:val="24"/>
        </w:rPr>
      </w:pPr>
      <w:r w:rsidRPr="00E87D19">
        <w:rPr>
          <w:rFonts w:cs="Times New Roman"/>
          <w:b/>
          <w:bCs/>
          <w:color w:val="000000" w:themeColor="text1"/>
          <w:szCs w:val="24"/>
        </w:rPr>
        <w:t>PCR Amplification</w:t>
      </w:r>
    </w:p>
    <w:p w14:paraId="5DCE773C" w14:textId="1BEE698A" w:rsidR="00514FAA" w:rsidRPr="00E87D19" w:rsidRDefault="00514FAA" w:rsidP="00A74D20">
      <w:pPr>
        <w:spacing w:before="0" w:after="0" w:line="360" w:lineRule="auto"/>
        <w:jc w:val="both"/>
        <w:rPr>
          <w:rFonts w:cs="Times New Roman"/>
          <w:bCs/>
          <w:color w:val="000000" w:themeColor="text1"/>
          <w:szCs w:val="24"/>
        </w:rPr>
      </w:pPr>
      <w:r w:rsidRPr="00E87D19">
        <w:rPr>
          <w:rFonts w:cs="Times New Roman"/>
          <w:bCs/>
          <w:color w:val="000000" w:themeColor="text1"/>
          <w:szCs w:val="24"/>
        </w:rPr>
        <w:t xml:space="preserve">The internal transcribed spacer (ITS) region was amplified using the universal primers ITS1 (5′-TCCGTAGGTGAACCTGCGG-3′) and ITS4 (5′-TCCTCCGCTTATTGATATGC-3′). PCR amplification was carried out in a final reaction volume of 25 </w:t>
      </w:r>
      <w:r w:rsidR="00196F0D" w:rsidRPr="00E87D19">
        <w:rPr>
          <w:rFonts w:cs="Times New Roman"/>
          <w:bCs/>
          <w:color w:val="000000" w:themeColor="text1"/>
          <w:szCs w:val="24"/>
        </w:rPr>
        <w:t>u</w:t>
      </w:r>
      <w:r w:rsidRPr="00E87D19">
        <w:rPr>
          <w:rFonts w:cs="Times New Roman"/>
          <w:bCs/>
          <w:color w:val="000000" w:themeColor="text1"/>
          <w:szCs w:val="24"/>
        </w:rPr>
        <w:t xml:space="preserve">L containing 2.5 </w:t>
      </w:r>
      <w:r w:rsidR="00196F0D" w:rsidRPr="00E87D19">
        <w:rPr>
          <w:rFonts w:cs="Times New Roman"/>
          <w:bCs/>
          <w:color w:val="000000" w:themeColor="text1"/>
          <w:szCs w:val="24"/>
        </w:rPr>
        <w:t>u</w:t>
      </w:r>
      <w:r w:rsidRPr="00E87D19">
        <w:rPr>
          <w:rFonts w:cs="Times New Roman"/>
          <w:bCs/>
          <w:color w:val="000000" w:themeColor="text1"/>
          <w:szCs w:val="24"/>
        </w:rPr>
        <w:t xml:space="preserve">L of 10× PCR buffer, 1.0 </w:t>
      </w:r>
      <w:r w:rsidR="00196F0D" w:rsidRPr="00E87D19">
        <w:rPr>
          <w:rFonts w:cs="Times New Roman"/>
          <w:bCs/>
          <w:color w:val="000000" w:themeColor="text1"/>
          <w:szCs w:val="24"/>
        </w:rPr>
        <w:t>u</w:t>
      </w:r>
      <w:r w:rsidRPr="00E87D19">
        <w:rPr>
          <w:rFonts w:cs="Times New Roman"/>
          <w:bCs/>
          <w:color w:val="000000" w:themeColor="text1"/>
          <w:szCs w:val="24"/>
        </w:rPr>
        <w:t xml:space="preserve">L of 25 mM MgCl₂, 1.0 </w:t>
      </w:r>
      <w:r w:rsidR="00196F0D" w:rsidRPr="00E87D19">
        <w:rPr>
          <w:rFonts w:cs="Times New Roman"/>
          <w:bCs/>
          <w:color w:val="000000" w:themeColor="text1"/>
          <w:szCs w:val="24"/>
        </w:rPr>
        <w:t>u</w:t>
      </w:r>
      <w:r w:rsidRPr="00E87D19">
        <w:rPr>
          <w:rFonts w:cs="Times New Roman"/>
          <w:bCs/>
          <w:color w:val="000000" w:themeColor="text1"/>
          <w:szCs w:val="24"/>
        </w:rPr>
        <w:t xml:space="preserve">L each of forward and reverse primers, 1.0 </w:t>
      </w:r>
      <w:r w:rsidR="00196F0D" w:rsidRPr="00E87D19">
        <w:rPr>
          <w:rFonts w:cs="Times New Roman"/>
          <w:bCs/>
          <w:color w:val="000000" w:themeColor="text1"/>
          <w:szCs w:val="24"/>
        </w:rPr>
        <w:t>u</w:t>
      </w:r>
      <w:r w:rsidRPr="00E87D19">
        <w:rPr>
          <w:rFonts w:cs="Times New Roman"/>
          <w:bCs/>
          <w:color w:val="000000" w:themeColor="text1"/>
          <w:szCs w:val="24"/>
        </w:rPr>
        <w:t xml:space="preserve">L DMSO, 2.0 </w:t>
      </w:r>
      <w:r w:rsidR="00196F0D" w:rsidRPr="00E87D19">
        <w:rPr>
          <w:rFonts w:cs="Times New Roman"/>
          <w:bCs/>
          <w:color w:val="000000" w:themeColor="text1"/>
          <w:szCs w:val="24"/>
        </w:rPr>
        <w:t>u</w:t>
      </w:r>
      <w:r w:rsidRPr="00E87D19">
        <w:rPr>
          <w:rFonts w:cs="Times New Roman"/>
          <w:bCs/>
          <w:color w:val="000000" w:themeColor="text1"/>
          <w:szCs w:val="24"/>
        </w:rPr>
        <w:t xml:space="preserve">L of 2.5 mM dNTP mix, 0.1 </w:t>
      </w:r>
      <w:r w:rsidR="00196F0D" w:rsidRPr="00E87D19">
        <w:rPr>
          <w:rFonts w:cs="Times New Roman"/>
          <w:bCs/>
          <w:color w:val="000000" w:themeColor="text1"/>
          <w:szCs w:val="24"/>
        </w:rPr>
        <w:t>u</w:t>
      </w:r>
      <w:r w:rsidRPr="00E87D19">
        <w:rPr>
          <w:rFonts w:cs="Times New Roman"/>
          <w:bCs/>
          <w:color w:val="000000" w:themeColor="text1"/>
          <w:szCs w:val="24"/>
        </w:rPr>
        <w:t>L Taq DNA polymerase (5 U/</w:t>
      </w:r>
      <w:r w:rsidR="00196F0D" w:rsidRPr="00E87D19">
        <w:rPr>
          <w:rFonts w:cs="Times New Roman"/>
          <w:bCs/>
          <w:color w:val="000000" w:themeColor="text1"/>
          <w:szCs w:val="24"/>
        </w:rPr>
        <w:t>u</w:t>
      </w:r>
      <w:r w:rsidRPr="00E87D19">
        <w:rPr>
          <w:rFonts w:cs="Times New Roman"/>
          <w:bCs/>
          <w:color w:val="000000" w:themeColor="text1"/>
          <w:szCs w:val="24"/>
        </w:rPr>
        <w:t xml:space="preserve">L), 3.0 </w:t>
      </w:r>
      <w:r w:rsidR="00196F0D" w:rsidRPr="00E87D19">
        <w:rPr>
          <w:rFonts w:cs="Times New Roman"/>
          <w:bCs/>
          <w:color w:val="000000" w:themeColor="text1"/>
          <w:szCs w:val="24"/>
        </w:rPr>
        <w:t>u</w:t>
      </w:r>
      <w:r w:rsidRPr="00E87D19">
        <w:rPr>
          <w:rFonts w:cs="Times New Roman"/>
          <w:bCs/>
          <w:color w:val="000000" w:themeColor="text1"/>
          <w:szCs w:val="24"/>
        </w:rPr>
        <w:t>L template DNA (10 ng/</w:t>
      </w:r>
      <w:r w:rsidR="00196F0D" w:rsidRPr="00E87D19">
        <w:rPr>
          <w:rFonts w:cs="Times New Roman"/>
          <w:bCs/>
          <w:color w:val="000000" w:themeColor="text1"/>
          <w:szCs w:val="24"/>
        </w:rPr>
        <w:t>u</w:t>
      </w:r>
      <w:r w:rsidRPr="00E87D19">
        <w:rPr>
          <w:rFonts w:cs="Times New Roman"/>
          <w:bCs/>
          <w:color w:val="000000" w:themeColor="text1"/>
          <w:szCs w:val="24"/>
        </w:rPr>
        <w:t>L), and nuclease-free water to volume.</w:t>
      </w:r>
    </w:p>
    <w:p w14:paraId="54C12764" w14:textId="62374ED9" w:rsidR="00514FAA" w:rsidRPr="00E87D19" w:rsidRDefault="00514FAA" w:rsidP="00A74D20">
      <w:pPr>
        <w:spacing w:before="0" w:after="0" w:line="360" w:lineRule="auto"/>
        <w:jc w:val="both"/>
        <w:rPr>
          <w:rFonts w:cs="Times New Roman"/>
          <w:bCs/>
          <w:color w:val="000000" w:themeColor="text1"/>
          <w:szCs w:val="24"/>
        </w:rPr>
      </w:pPr>
      <w:r w:rsidRPr="00E87D19">
        <w:rPr>
          <w:rFonts w:cs="Times New Roman"/>
          <w:bCs/>
          <w:color w:val="000000" w:themeColor="text1"/>
          <w:szCs w:val="24"/>
        </w:rPr>
        <w:t xml:space="preserve">Amplification was performed in a thermal cycler under the following conditions: initial denaturation at 94°C for 5 min, followed by 36 cycles of denaturation at 94°C for 30 s, annealing at 54°C for 30 s, and extension at 72°C for 45 s. A final extension step was carried out at 72°C for 7 min, followed by holding at 10°C. PCR products were resolved by electrophoresis on 1.5% agarose gel stained with SafeView dye and visualized under UV illumination. A 50 bp DNA ladder (New England Biolabs, USA) was used as a molecular size marker. The expected amplicon size was approximately </w:t>
      </w:r>
      <w:r w:rsidR="00D921D2" w:rsidRPr="00E87D19">
        <w:rPr>
          <w:rFonts w:cs="Times New Roman"/>
          <w:bCs/>
          <w:color w:val="000000" w:themeColor="text1"/>
          <w:szCs w:val="24"/>
        </w:rPr>
        <w:t>450</w:t>
      </w:r>
      <w:r w:rsidRPr="00E87D19">
        <w:rPr>
          <w:rFonts w:cs="Times New Roman"/>
          <w:bCs/>
          <w:color w:val="000000" w:themeColor="text1"/>
          <w:szCs w:val="24"/>
        </w:rPr>
        <w:t xml:space="preserve"> bp (Sambrook and Russell, 2001).</w:t>
      </w:r>
    </w:p>
    <w:p w14:paraId="11110511" w14:textId="52B5D284" w:rsidR="00514FAA" w:rsidRPr="00E87D19" w:rsidRDefault="00514FAA" w:rsidP="00A74D20">
      <w:pPr>
        <w:spacing w:before="0" w:after="0" w:line="360" w:lineRule="auto"/>
        <w:jc w:val="both"/>
        <w:rPr>
          <w:rFonts w:cs="Times New Roman"/>
          <w:b/>
          <w:bCs/>
          <w:color w:val="000000" w:themeColor="text1"/>
          <w:szCs w:val="24"/>
        </w:rPr>
      </w:pPr>
      <w:r w:rsidRPr="00E87D19">
        <w:rPr>
          <w:rFonts w:cs="Times New Roman"/>
          <w:b/>
          <w:bCs/>
          <w:color w:val="000000" w:themeColor="text1"/>
          <w:szCs w:val="24"/>
        </w:rPr>
        <w:t>DNA Sequencing and Bioinformatic Analysis</w:t>
      </w:r>
    </w:p>
    <w:p w14:paraId="54FC1991" w14:textId="77777777" w:rsidR="00514FAA" w:rsidRPr="00E87D19" w:rsidRDefault="00514FAA" w:rsidP="00A74D20">
      <w:pPr>
        <w:spacing w:before="0" w:after="0" w:line="360" w:lineRule="auto"/>
        <w:jc w:val="both"/>
        <w:rPr>
          <w:rFonts w:cs="Times New Roman"/>
          <w:bCs/>
          <w:color w:val="000000" w:themeColor="text1"/>
          <w:szCs w:val="24"/>
        </w:rPr>
      </w:pPr>
      <w:r w:rsidRPr="00E87D19">
        <w:rPr>
          <w:rFonts w:cs="Times New Roman"/>
          <w:bCs/>
          <w:color w:val="000000" w:themeColor="text1"/>
          <w:szCs w:val="24"/>
        </w:rPr>
        <w:t>Successful PCR products were subjected to Sanger sequencing using an ABI 3500 Genetic Analyzer (Applied Biosystems, USA). Cycle sequencing reactions were performed using approximately 25 ng of purified PCR product. The sequencing protocol consisted of an initial denaturation at 96°C for 1 min, followed by 25 cycles of denaturation at 96°C for 10 s, annealing at 50°C for 5 s, and extension at 60°C for 4 min.</w:t>
      </w:r>
    </w:p>
    <w:p w14:paraId="666DB8F3" w14:textId="1322D36F" w:rsidR="00514FAA" w:rsidRPr="00E87D19" w:rsidRDefault="00514FAA" w:rsidP="00A74D20">
      <w:pPr>
        <w:spacing w:before="0" w:after="0" w:line="360" w:lineRule="auto"/>
        <w:jc w:val="both"/>
        <w:rPr>
          <w:rFonts w:cs="Times New Roman"/>
          <w:bCs/>
          <w:color w:val="000000" w:themeColor="text1"/>
          <w:szCs w:val="24"/>
        </w:rPr>
      </w:pPr>
      <w:r w:rsidRPr="00E87D19">
        <w:rPr>
          <w:rFonts w:cs="Times New Roman"/>
          <w:bCs/>
          <w:color w:val="000000" w:themeColor="text1"/>
          <w:szCs w:val="24"/>
        </w:rPr>
        <w:t xml:space="preserve">Sequencing products were purified using the ethanol/EDTA precipitation method. Briefly, 5 </w:t>
      </w:r>
      <w:r w:rsidR="00196F0D" w:rsidRPr="00E87D19">
        <w:rPr>
          <w:rFonts w:cs="Times New Roman"/>
          <w:bCs/>
          <w:color w:val="000000" w:themeColor="text1"/>
          <w:szCs w:val="24"/>
        </w:rPr>
        <w:t>u</w:t>
      </w:r>
      <w:r w:rsidRPr="00E87D19">
        <w:rPr>
          <w:rFonts w:cs="Times New Roman"/>
          <w:bCs/>
          <w:color w:val="000000" w:themeColor="text1"/>
          <w:szCs w:val="24"/>
        </w:rPr>
        <w:t xml:space="preserve">L of 125 mM EDTA and 60 </w:t>
      </w:r>
      <w:r w:rsidR="00196F0D" w:rsidRPr="00E87D19">
        <w:rPr>
          <w:rFonts w:cs="Times New Roman"/>
          <w:bCs/>
          <w:color w:val="000000" w:themeColor="text1"/>
          <w:szCs w:val="24"/>
        </w:rPr>
        <w:t>u</w:t>
      </w:r>
      <w:r w:rsidRPr="00E87D19">
        <w:rPr>
          <w:rFonts w:cs="Times New Roman"/>
          <w:bCs/>
          <w:color w:val="000000" w:themeColor="text1"/>
          <w:szCs w:val="24"/>
        </w:rPr>
        <w:t xml:space="preserve">L of absolute ethanol were added to each reaction, mixed thoroughly, and incubated at room temperature for 15 min. Samples were centrifuged at 2,000–3,000 × g for 30 min, washed with 70% ethanol, and centrifuged again at 1,650 × g for 15 min. The purified </w:t>
      </w:r>
      <w:r w:rsidRPr="00E87D19">
        <w:rPr>
          <w:rFonts w:cs="Times New Roman"/>
          <w:bCs/>
          <w:color w:val="000000" w:themeColor="text1"/>
          <w:szCs w:val="24"/>
        </w:rPr>
        <w:lastRenderedPageBreak/>
        <w:t>sequencing products were air-dried, resuspended in injection buffer, and analyzed using the ABI 3500 Genetic Analyzer.</w:t>
      </w:r>
    </w:p>
    <w:p w14:paraId="1A5D23FD" w14:textId="77777777" w:rsidR="00514FAA" w:rsidRPr="00E87D19" w:rsidRDefault="00514FAA" w:rsidP="00A74D20">
      <w:pPr>
        <w:spacing w:before="0" w:after="0" w:line="360" w:lineRule="auto"/>
        <w:jc w:val="both"/>
        <w:rPr>
          <w:rFonts w:cs="Times New Roman"/>
          <w:bCs/>
          <w:color w:val="000000" w:themeColor="text1"/>
          <w:szCs w:val="24"/>
        </w:rPr>
      </w:pPr>
      <w:r w:rsidRPr="00E87D19">
        <w:rPr>
          <w:rFonts w:cs="Times New Roman"/>
          <w:bCs/>
          <w:color w:val="000000" w:themeColor="text1"/>
          <w:szCs w:val="24"/>
        </w:rPr>
        <w:t>The resulting nucleotide sequences were edited and assembled using BioEdit software and compared with reference sequences available in the National Center for Biotechnology Information (NCBI) database using the Basic Local Alignment Search Tool (BLAST). Phylogenetic analysis was conducted using Molecular Evolutionary Genetics Analysis (MEGA) software to determine the taxonomic identity and evolutionary relationships of the isolates.</w:t>
      </w:r>
    </w:p>
    <w:p w14:paraId="7FD9305E" w14:textId="77777777" w:rsidR="00065147" w:rsidRPr="00E87D19" w:rsidRDefault="00065147" w:rsidP="00A74D20">
      <w:pPr>
        <w:spacing w:before="0" w:after="0" w:line="360" w:lineRule="auto"/>
        <w:jc w:val="both"/>
        <w:rPr>
          <w:rFonts w:cs="Times New Roman"/>
          <w:bCs/>
          <w:color w:val="000000" w:themeColor="text1"/>
          <w:szCs w:val="24"/>
        </w:rPr>
      </w:pPr>
      <w:r w:rsidRPr="00E87D19">
        <w:rPr>
          <w:rFonts w:cs="Times New Roman"/>
          <w:b/>
          <w:bCs/>
          <w:color w:val="000000" w:themeColor="text1"/>
          <w:szCs w:val="24"/>
        </w:rPr>
        <w:t>Cultivation</w:t>
      </w:r>
    </w:p>
    <w:p w14:paraId="4A2178DD" w14:textId="37FAC1EC" w:rsidR="00065147" w:rsidRPr="00E87D19" w:rsidRDefault="00065147" w:rsidP="00A74D20">
      <w:pPr>
        <w:spacing w:before="0" w:after="0" w:line="360" w:lineRule="auto"/>
        <w:jc w:val="both"/>
        <w:rPr>
          <w:rFonts w:cs="Times New Roman"/>
          <w:bCs/>
          <w:color w:val="000000" w:themeColor="text1"/>
          <w:szCs w:val="24"/>
        </w:rPr>
      </w:pPr>
      <w:r w:rsidRPr="00E87D19">
        <w:rPr>
          <w:rFonts w:cs="Times New Roman"/>
          <w:bCs/>
          <w:color w:val="000000" w:themeColor="text1"/>
          <w:szCs w:val="24"/>
        </w:rPr>
        <w:t>Microalgae cultivation was performed in BG-11, NPK, and Algal Broth under controlled conditions including fluorescent light, aeration, and temperatures between 25</w:t>
      </w:r>
      <w:r w:rsidR="0068616C" w:rsidRPr="00E87D19">
        <w:rPr>
          <w:rFonts w:cs="Times New Roman"/>
          <w:bCs/>
          <w:color w:val="000000" w:themeColor="text1"/>
          <w:szCs w:val="24"/>
        </w:rPr>
        <w:t>±2°</w:t>
      </w:r>
      <w:r w:rsidRPr="00E87D19">
        <w:rPr>
          <w:rFonts w:cs="Times New Roman"/>
          <w:bCs/>
          <w:color w:val="000000" w:themeColor="text1"/>
          <w:szCs w:val="24"/>
        </w:rPr>
        <w:t xml:space="preserve">C to determine optimal growth and lipid production (Lathifah </w:t>
      </w:r>
      <w:r w:rsidR="007E4D8F" w:rsidRPr="007E4D8F">
        <w:rPr>
          <w:rFonts w:cs="Times New Roman"/>
          <w:bCs/>
          <w:i/>
          <w:iCs/>
          <w:color w:val="000000" w:themeColor="text1"/>
          <w:szCs w:val="24"/>
        </w:rPr>
        <w:t>et al</w:t>
      </w:r>
      <w:r w:rsidRPr="00E87D19">
        <w:rPr>
          <w:rFonts w:cs="Times New Roman"/>
          <w:bCs/>
          <w:color w:val="000000" w:themeColor="text1"/>
          <w:szCs w:val="24"/>
        </w:rPr>
        <w:t xml:space="preserve">., 2021). Growth was monitored every two days by measuring dry cell weight. Samples (10 ml) were filtered using pre-weighed GF/F filters and dried at 60°C for 24 hours, after which biomass weight was recorded. Specific growth rate was calculated following Liang </w:t>
      </w:r>
      <w:r w:rsidR="007E4D8F" w:rsidRPr="007E4D8F">
        <w:rPr>
          <w:rFonts w:cs="Times New Roman"/>
          <w:bCs/>
          <w:i/>
          <w:iCs/>
          <w:color w:val="000000" w:themeColor="text1"/>
          <w:szCs w:val="24"/>
        </w:rPr>
        <w:t>et al</w:t>
      </w:r>
      <w:r w:rsidRPr="00E87D19">
        <w:rPr>
          <w:rFonts w:cs="Times New Roman"/>
          <w:bCs/>
          <w:color w:val="000000" w:themeColor="text1"/>
          <w:szCs w:val="24"/>
        </w:rPr>
        <w:t xml:space="preserve">., (2013). Biomass was harvested through centrifugation at 10,000 rpm to separate cells from the culture medium (Deng </w:t>
      </w:r>
      <w:r w:rsidR="007E4D8F" w:rsidRPr="007E4D8F">
        <w:rPr>
          <w:rFonts w:cs="Times New Roman"/>
          <w:bCs/>
          <w:i/>
          <w:iCs/>
          <w:color w:val="000000" w:themeColor="text1"/>
          <w:szCs w:val="24"/>
        </w:rPr>
        <w:t>et al</w:t>
      </w:r>
      <w:r w:rsidRPr="00E87D19">
        <w:rPr>
          <w:rFonts w:cs="Times New Roman"/>
          <w:bCs/>
          <w:color w:val="000000" w:themeColor="text1"/>
          <w:szCs w:val="24"/>
        </w:rPr>
        <w:t xml:space="preserve">., 2022). The collected biomass was dried in an oven at 40°C for 2 hours as recommended by Čagalj </w:t>
      </w:r>
      <w:r w:rsidR="007E4D8F" w:rsidRPr="007E4D8F">
        <w:rPr>
          <w:rFonts w:cs="Times New Roman"/>
          <w:bCs/>
          <w:i/>
          <w:iCs/>
          <w:color w:val="000000" w:themeColor="text1"/>
          <w:szCs w:val="24"/>
        </w:rPr>
        <w:t>et al</w:t>
      </w:r>
      <w:r w:rsidRPr="00E87D19">
        <w:rPr>
          <w:rFonts w:cs="Times New Roman"/>
          <w:bCs/>
          <w:color w:val="000000" w:themeColor="text1"/>
          <w:szCs w:val="24"/>
        </w:rPr>
        <w:t xml:space="preserve">. (2021). Lipids were extracted by </w:t>
      </w:r>
      <w:r w:rsidR="0068616C" w:rsidRPr="00E87D19">
        <w:rPr>
          <w:rFonts w:cs="Times New Roman"/>
          <w:bCs/>
          <w:color w:val="000000" w:themeColor="text1"/>
          <w:szCs w:val="24"/>
        </w:rPr>
        <w:t>Bligh and Dyer method (chloroform:methanol 2:1)</w:t>
      </w:r>
      <w:r w:rsidRPr="00E87D19">
        <w:rPr>
          <w:rFonts w:cs="Times New Roman"/>
          <w:bCs/>
          <w:color w:val="000000" w:themeColor="text1"/>
          <w:szCs w:val="24"/>
        </w:rPr>
        <w:t xml:space="preserve">, followed by centrifugation to isolate the oil layer, which was carefully collected using a pipette (Mat Husin </w:t>
      </w:r>
      <w:r w:rsidR="007E4D8F" w:rsidRPr="007E4D8F">
        <w:rPr>
          <w:rFonts w:cs="Times New Roman"/>
          <w:bCs/>
          <w:i/>
          <w:iCs/>
          <w:color w:val="000000" w:themeColor="text1"/>
          <w:szCs w:val="24"/>
        </w:rPr>
        <w:t>et al</w:t>
      </w:r>
      <w:r w:rsidRPr="00E87D19">
        <w:rPr>
          <w:rFonts w:cs="Times New Roman"/>
          <w:bCs/>
          <w:color w:val="000000" w:themeColor="text1"/>
          <w:szCs w:val="24"/>
        </w:rPr>
        <w:t>., 2024).</w:t>
      </w:r>
    </w:p>
    <w:p w14:paraId="50E8B769" w14:textId="77777777" w:rsidR="00065147" w:rsidRPr="00E87D19" w:rsidRDefault="00065147" w:rsidP="00A74D20">
      <w:pPr>
        <w:spacing w:before="0" w:after="0" w:line="360" w:lineRule="auto"/>
        <w:jc w:val="both"/>
        <w:rPr>
          <w:rFonts w:cs="Times New Roman"/>
          <w:b/>
          <w:bCs/>
          <w:color w:val="000000" w:themeColor="text1"/>
          <w:szCs w:val="24"/>
        </w:rPr>
      </w:pPr>
      <w:r w:rsidRPr="00E87D19">
        <w:rPr>
          <w:rFonts w:cs="Times New Roman"/>
          <w:b/>
          <w:bCs/>
          <w:color w:val="000000" w:themeColor="text1"/>
          <w:szCs w:val="24"/>
        </w:rPr>
        <w:t xml:space="preserve">Statistical Analysis </w:t>
      </w:r>
    </w:p>
    <w:p w14:paraId="0AD111D0" w14:textId="295D466F" w:rsidR="00065147" w:rsidRPr="00E87D19" w:rsidRDefault="00065147" w:rsidP="00A74D20">
      <w:pPr>
        <w:spacing w:before="0" w:after="0" w:line="360" w:lineRule="auto"/>
        <w:jc w:val="both"/>
        <w:rPr>
          <w:rFonts w:cs="Times New Roman"/>
          <w:bCs/>
          <w:color w:val="000000" w:themeColor="text1"/>
          <w:szCs w:val="24"/>
        </w:rPr>
      </w:pPr>
      <w:r w:rsidRPr="00E87D19">
        <w:rPr>
          <w:rFonts w:cs="Times New Roman"/>
          <w:bCs/>
          <w:color w:val="000000" w:themeColor="text1"/>
          <w:szCs w:val="24"/>
        </w:rPr>
        <w:t xml:space="preserve">A statistical analysis was performed to evaluate the significance of differences observed among the </w:t>
      </w:r>
      <w:r w:rsidR="009E149F" w:rsidRPr="00E87D19">
        <w:rPr>
          <w:rFonts w:cs="Times New Roman"/>
          <w:bCs/>
          <w:color w:val="000000" w:themeColor="text1"/>
          <w:szCs w:val="24"/>
        </w:rPr>
        <w:t>three-culture</w:t>
      </w:r>
      <w:r w:rsidRPr="00E87D19">
        <w:rPr>
          <w:rFonts w:cs="Times New Roman"/>
          <w:bCs/>
          <w:color w:val="000000" w:themeColor="text1"/>
          <w:szCs w:val="24"/>
        </w:rPr>
        <w:t xml:space="preserve"> media (BG11, Algal Broth, and NPK) in terms of biomass accumulation, specific growth rate, </w:t>
      </w:r>
      <w:r w:rsidR="00FB7D10" w:rsidRPr="00E87D19">
        <w:rPr>
          <w:rFonts w:cs="Times New Roman"/>
          <w:bCs/>
          <w:color w:val="000000" w:themeColor="text1"/>
          <w:szCs w:val="24"/>
        </w:rPr>
        <w:t xml:space="preserve">and </w:t>
      </w:r>
      <w:r w:rsidRPr="00E87D19">
        <w:rPr>
          <w:rFonts w:cs="Times New Roman"/>
          <w:bCs/>
          <w:color w:val="000000" w:themeColor="text1"/>
          <w:szCs w:val="24"/>
        </w:rPr>
        <w:t>lipid yield</w:t>
      </w:r>
      <w:r w:rsidR="00FB7D10" w:rsidRPr="00E87D19">
        <w:rPr>
          <w:rFonts w:cs="Times New Roman"/>
          <w:bCs/>
          <w:color w:val="000000" w:themeColor="text1"/>
          <w:szCs w:val="24"/>
        </w:rPr>
        <w:t xml:space="preserve">. </w:t>
      </w:r>
      <w:r w:rsidRPr="00E87D19">
        <w:rPr>
          <w:rFonts w:cs="Times New Roman"/>
          <w:bCs/>
          <w:color w:val="000000" w:themeColor="text1"/>
          <w:szCs w:val="24"/>
        </w:rPr>
        <w:t>All experimental data were expressed as mean ± standard deviation.</w:t>
      </w:r>
    </w:p>
    <w:p w14:paraId="11A503CD" w14:textId="77777777" w:rsidR="00065147" w:rsidRPr="00E87D19" w:rsidRDefault="00065147" w:rsidP="00A74D20">
      <w:pPr>
        <w:spacing w:before="0" w:after="0" w:line="360" w:lineRule="auto"/>
        <w:jc w:val="both"/>
        <w:rPr>
          <w:rFonts w:cs="Times New Roman"/>
          <w:bCs/>
          <w:color w:val="000000" w:themeColor="text1"/>
          <w:szCs w:val="24"/>
        </w:rPr>
      </w:pPr>
      <w:r w:rsidRPr="00E87D19">
        <w:rPr>
          <w:rFonts w:cs="Times New Roman"/>
          <w:bCs/>
          <w:color w:val="000000" w:themeColor="text1"/>
          <w:szCs w:val="24"/>
        </w:rPr>
        <w:t>One-way analysis of variance (ANOVA) was employed to determine whether there were statistically significant differences among the means of the different culture media. Where observed differences suggest differences were observed (p &lt; 0.05), Tukey’s post hoc test was applied for pairwise comparison of means. Statistical significance was considered at a 95% confidence level (p &lt; 0.05).</w:t>
      </w:r>
    </w:p>
    <w:p w14:paraId="028F7B89" w14:textId="77777777" w:rsidR="00065147" w:rsidRPr="00E87D19" w:rsidRDefault="00065147" w:rsidP="00A74D20">
      <w:pPr>
        <w:spacing w:before="0" w:after="0" w:line="360" w:lineRule="auto"/>
        <w:jc w:val="both"/>
        <w:rPr>
          <w:rFonts w:cs="Times New Roman"/>
          <w:bCs/>
          <w:color w:val="000000" w:themeColor="text1"/>
          <w:szCs w:val="24"/>
        </w:rPr>
      </w:pPr>
      <w:r w:rsidRPr="00E87D19">
        <w:rPr>
          <w:rFonts w:cs="Times New Roman"/>
          <w:bCs/>
          <w:color w:val="000000" w:themeColor="text1"/>
          <w:szCs w:val="24"/>
        </w:rPr>
        <w:t>All analyses were conducted using SPSS version 25.</w:t>
      </w:r>
    </w:p>
    <w:p w14:paraId="5D7AF3AB" w14:textId="77777777" w:rsidR="0011689F" w:rsidRDefault="0011689F">
      <w:pPr>
        <w:spacing w:before="0" w:after="160" w:line="278" w:lineRule="auto"/>
        <w:rPr>
          <w:rFonts w:cs="Times New Roman"/>
          <w:b/>
          <w:bCs/>
          <w:color w:val="000000" w:themeColor="text1"/>
          <w:szCs w:val="24"/>
        </w:rPr>
      </w:pPr>
      <w:r>
        <w:rPr>
          <w:rFonts w:cs="Times New Roman"/>
          <w:b/>
          <w:bCs/>
          <w:color w:val="000000" w:themeColor="text1"/>
          <w:szCs w:val="24"/>
        </w:rPr>
        <w:br w:type="page"/>
      </w:r>
    </w:p>
    <w:p w14:paraId="5582E2C0" w14:textId="14535F47" w:rsidR="00065147" w:rsidRPr="00E87D19" w:rsidRDefault="00065147" w:rsidP="00A74D20">
      <w:pPr>
        <w:spacing w:before="0" w:after="0" w:line="360" w:lineRule="auto"/>
        <w:jc w:val="both"/>
        <w:rPr>
          <w:rFonts w:cs="Times New Roman"/>
          <w:b/>
          <w:bCs/>
          <w:color w:val="000000" w:themeColor="text1"/>
          <w:szCs w:val="24"/>
        </w:rPr>
      </w:pPr>
      <w:r w:rsidRPr="00E87D19">
        <w:rPr>
          <w:rFonts w:cs="Times New Roman"/>
          <w:b/>
          <w:bCs/>
          <w:color w:val="000000" w:themeColor="text1"/>
          <w:szCs w:val="24"/>
        </w:rPr>
        <w:lastRenderedPageBreak/>
        <w:t>Results</w:t>
      </w:r>
      <w:r w:rsidR="00952A46" w:rsidRPr="00E87D19">
        <w:rPr>
          <w:rFonts w:cs="Times New Roman"/>
          <w:b/>
          <w:bCs/>
          <w:color w:val="000000" w:themeColor="text1"/>
          <w:szCs w:val="24"/>
        </w:rPr>
        <w:t xml:space="preserve"> </w:t>
      </w:r>
    </w:p>
    <w:p w14:paraId="1941D17F" w14:textId="77777777" w:rsidR="00065147" w:rsidRPr="00E87D19" w:rsidRDefault="00065147" w:rsidP="00A74D20">
      <w:pPr>
        <w:pStyle w:val="Heading1"/>
        <w:spacing w:before="0" w:line="360" w:lineRule="auto"/>
        <w:rPr>
          <w:rFonts w:ascii="Times New Roman" w:eastAsia="Times New Roman" w:hAnsi="Times New Roman" w:cs="Times New Roman"/>
          <w:b/>
          <w:bCs/>
          <w:color w:val="000000" w:themeColor="text1"/>
          <w:sz w:val="24"/>
          <w:szCs w:val="24"/>
        </w:rPr>
      </w:pPr>
      <w:r w:rsidRPr="00E87D19">
        <w:rPr>
          <w:rFonts w:ascii="Times New Roman" w:eastAsia="Times New Roman" w:hAnsi="Times New Roman" w:cs="Times New Roman"/>
          <w:b/>
          <w:bCs/>
          <w:color w:val="000000" w:themeColor="text1"/>
          <w:sz w:val="24"/>
          <w:szCs w:val="24"/>
        </w:rPr>
        <w:t>Microscopic identification</w:t>
      </w:r>
    </w:p>
    <w:p w14:paraId="19923E1D" w14:textId="77777777" w:rsidR="00952A46" w:rsidRPr="00E87D19" w:rsidRDefault="00952A46" w:rsidP="00A74D20">
      <w:pPr>
        <w:spacing w:before="0" w:after="0" w:line="360" w:lineRule="auto"/>
        <w:jc w:val="both"/>
        <w:rPr>
          <w:rFonts w:eastAsia="Times New Roman" w:cs="Times New Roman"/>
          <w:color w:val="000000" w:themeColor="text1"/>
          <w:szCs w:val="24"/>
        </w:rPr>
      </w:pPr>
      <w:r w:rsidRPr="00E87D19">
        <w:rPr>
          <w:rFonts w:eastAsia="Times New Roman" w:cs="Times New Roman"/>
          <w:color w:val="000000" w:themeColor="text1"/>
          <w:szCs w:val="24"/>
        </w:rPr>
        <w:t xml:space="preserve">Microscopic examination of water samples collected from different aquatic environments in Kebbi State revealed a diverse assemblage of freshwater microalgae. The taxa identified included </w:t>
      </w:r>
      <w:r w:rsidRPr="00E87D19">
        <w:rPr>
          <w:rFonts w:eastAsia="Times New Roman" w:cs="Times New Roman"/>
          <w:i/>
          <w:iCs/>
          <w:color w:val="000000" w:themeColor="text1"/>
          <w:szCs w:val="24"/>
        </w:rPr>
        <w:t>Chlorella</w:t>
      </w:r>
      <w:r w:rsidRPr="00E87D19">
        <w:rPr>
          <w:rFonts w:eastAsia="Times New Roman" w:cs="Times New Roman"/>
          <w:color w:val="000000" w:themeColor="text1"/>
          <w:szCs w:val="24"/>
        </w:rPr>
        <w:t xml:space="preserve"> spp., </w:t>
      </w:r>
      <w:r w:rsidRPr="00E87D19">
        <w:rPr>
          <w:rFonts w:eastAsia="Times New Roman" w:cs="Times New Roman"/>
          <w:i/>
          <w:iCs/>
          <w:color w:val="000000" w:themeColor="text1"/>
          <w:szCs w:val="24"/>
        </w:rPr>
        <w:t>Spirogyra</w:t>
      </w:r>
      <w:r w:rsidRPr="00E87D19">
        <w:rPr>
          <w:rFonts w:eastAsia="Times New Roman" w:cs="Times New Roman"/>
          <w:color w:val="000000" w:themeColor="text1"/>
          <w:szCs w:val="24"/>
        </w:rPr>
        <w:t xml:space="preserve"> spp., </w:t>
      </w:r>
      <w:r w:rsidRPr="00E87D19">
        <w:rPr>
          <w:rFonts w:eastAsia="Times New Roman" w:cs="Times New Roman"/>
          <w:i/>
          <w:iCs/>
          <w:color w:val="000000" w:themeColor="text1"/>
          <w:szCs w:val="24"/>
        </w:rPr>
        <w:t>Chlamydomonas</w:t>
      </w:r>
      <w:r w:rsidRPr="00E87D19">
        <w:rPr>
          <w:rFonts w:eastAsia="Times New Roman" w:cs="Times New Roman"/>
          <w:color w:val="000000" w:themeColor="text1"/>
          <w:szCs w:val="24"/>
        </w:rPr>
        <w:t xml:space="preserve"> spp., </w:t>
      </w:r>
      <w:r w:rsidRPr="00E87D19">
        <w:rPr>
          <w:rFonts w:eastAsia="Times New Roman" w:cs="Times New Roman"/>
          <w:i/>
          <w:iCs/>
          <w:color w:val="000000" w:themeColor="text1"/>
          <w:szCs w:val="24"/>
        </w:rPr>
        <w:t>Oedogonium</w:t>
      </w:r>
      <w:r w:rsidRPr="00E87D19">
        <w:rPr>
          <w:rFonts w:eastAsia="Times New Roman" w:cs="Times New Roman"/>
          <w:color w:val="000000" w:themeColor="text1"/>
          <w:szCs w:val="24"/>
        </w:rPr>
        <w:t xml:space="preserve"> spp., </w:t>
      </w:r>
      <w:r w:rsidRPr="00E87D19">
        <w:rPr>
          <w:rFonts w:eastAsia="Times New Roman" w:cs="Times New Roman"/>
          <w:i/>
          <w:iCs/>
          <w:color w:val="000000" w:themeColor="text1"/>
          <w:szCs w:val="24"/>
        </w:rPr>
        <w:t>Microspora</w:t>
      </w:r>
      <w:r w:rsidRPr="00E87D19">
        <w:rPr>
          <w:rFonts w:eastAsia="Times New Roman" w:cs="Times New Roman"/>
          <w:color w:val="000000" w:themeColor="text1"/>
          <w:szCs w:val="24"/>
        </w:rPr>
        <w:t xml:space="preserve"> spp., </w:t>
      </w:r>
      <w:r w:rsidRPr="00E87D19">
        <w:rPr>
          <w:rFonts w:eastAsia="Times New Roman" w:cs="Times New Roman"/>
          <w:i/>
          <w:iCs/>
          <w:color w:val="000000" w:themeColor="text1"/>
          <w:szCs w:val="24"/>
        </w:rPr>
        <w:t>Euglena</w:t>
      </w:r>
      <w:r w:rsidRPr="00E87D19">
        <w:rPr>
          <w:rFonts w:eastAsia="Times New Roman" w:cs="Times New Roman"/>
          <w:color w:val="000000" w:themeColor="text1"/>
          <w:szCs w:val="24"/>
        </w:rPr>
        <w:t xml:space="preserve"> spp., and </w:t>
      </w:r>
      <w:r w:rsidRPr="00E87D19">
        <w:rPr>
          <w:rFonts w:eastAsia="Times New Roman" w:cs="Times New Roman"/>
          <w:i/>
          <w:iCs/>
          <w:color w:val="000000" w:themeColor="text1"/>
          <w:szCs w:val="24"/>
        </w:rPr>
        <w:t>Characium</w:t>
      </w:r>
      <w:r w:rsidRPr="00E87D19">
        <w:rPr>
          <w:rFonts w:eastAsia="Times New Roman" w:cs="Times New Roman"/>
          <w:color w:val="000000" w:themeColor="text1"/>
          <w:szCs w:val="24"/>
        </w:rPr>
        <w:t xml:space="preserve"> spp. The distribution of these organisms varied across sampling locations, with </w:t>
      </w:r>
      <w:r w:rsidRPr="00E87D19">
        <w:rPr>
          <w:rFonts w:eastAsia="Times New Roman" w:cs="Times New Roman"/>
          <w:i/>
          <w:iCs/>
          <w:color w:val="000000" w:themeColor="text1"/>
          <w:szCs w:val="24"/>
        </w:rPr>
        <w:t>Chlorella</w:t>
      </w:r>
      <w:r w:rsidRPr="00E87D19">
        <w:rPr>
          <w:rFonts w:eastAsia="Times New Roman" w:cs="Times New Roman"/>
          <w:color w:val="000000" w:themeColor="text1"/>
          <w:szCs w:val="24"/>
        </w:rPr>
        <w:t xml:space="preserve"> spp. and filamentous green algae such as </w:t>
      </w:r>
      <w:r w:rsidRPr="00E87D19">
        <w:rPr>
          <w:rFonts w:eastAsia="Times New Roman" w:cs="Times New Roman"/>
          <w:i/>
          <w:iCs/>
          <w:color w:val="000000" w:themeColor="text1"/>
          <w:szCs w:val="24"/>
        </w:rPr>
        <w:t>Spirogyra</w:t>
      </w:r>
      <w:r w:rsidRPr="00E87D19">
        <w:rPr>
          <w:rFonts w:eastAsia="Times New Roman" w:cs="Times New Roman"/>
          <w:color w:val="000000" w:themeColor="text1"/>
          <w:szCs w:val="24"/>
        </w:rPr>
        <w:t xml:space="preserve"> spp. being the most frequently encountered.</w:t>
      </w:r>
    </w:p>
    <w:p w14:paraId="0E3C4E46" w14:textId="77777777" w:rsidR="00952A46" w:rsidRPr="00E87D19" w:rsidRDefault="00952A46" w:rsidP="00A74D20">
      <w:pPr>
        <w:spacing w:before="0" w:after="160" w:line="360" w:lineRule="auto"/>
        <w:rPr>
          <w:rFonts w:eastAsia="Times New Roman" w:cs="Times New Roman"/>
          <w:b/>
          <w:color w:val="000000" w:themeColor="text1"/>
          <w:szCs w:val="24"/>
        </w:rPr>
      </w:pPr>
      <w:r w:rsidRPr="00E87D19">
        <w:rPr>
          <w:rFonts w:eastAsia="Times New Roman" w:cs="Times New Roman"/>
          <w:b/>
          <w:color w:val="000000" w:themeColor="text1"/>
          <w:szCs w:val="24"/>
        </w:rPr>
        <w:br w:type="page"/>
      </w:r>
    </w:p>
    <w:p w14:paraId="084D2ADB" w14:textId="3300419E" w:rsidR="00065147" w:rsidRPr="00E87D19" w:rsidRDefault="00065147" w:rsidP="00A74D20">
      <w:pPr>
        <w:spacing w:before="0" w:after="0" w:line="360" w:lineRule="auto"/>
        <w:jc w:val="both"/>
        <w:rPr>
          <w:rFonts w:cs="Times New Roman"/>
          <w:b/>
          <w:color w:val="000000" w:themeColor="text1"/>
          <w:szCs w:val="24"/>
        </w:rPr>
      </w:pPr>
      <w:r w:rsidRPr="00E87D19">
        <w:rPr>
          <w:rFonts w:eastAsia="Times New Roman" w:cs="Times New Roman"/>
          <w:b/>
          <w:color w:val="000000" w:themeColor="text1"/>
          <w:szCs w:val="24"/>
        </w:rPr>
        <w:lastRenderedPageBreak/>
        <w:t xml:space="preserve">Table 1: </w:t>
      </w:r>
      <w:r w:rsidR="00C854D0" w:rsidRPr="00E87D19">
        <w:rPr>
          <w:rFonts w:eastAsia="Times New Roman" w:cs="Times New Roman"/>
          <w:b/>
          <w:color w:val="000000" w:themeColor="text1"/>
          <w:szCs w:val="24"/>
        </w:rPr>
        <w:t xml:space="preserve">Microalgae </w:t>
      </w:r>
      <w:r w:rsidRPr="00E87D19">
        <w:rPr>
          <w:rFonts w:eastAsia="Times New Roman" w:cs="Times New Roman"/>
          <w:b/>
          <w:color w:val="000000" w:themeColor="text1"/>
          <w:szCs w:val="24"/>
        </w:rPr>
        <w:t>identified microscopically, and the location they were found.</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643"/>
        <w:gridCol w:w="1995"/>
        <w:gridCol w:w="3232"/>
        <w:gridCol w:w="3373"/>
      </w:tblGrid>
      <w:tr w:rsidR="00065147" w:rsidRPr="00E87D19" w14:paraId="5184E9AE" w14:textId="77777777" w:rsidTr="004935AD">
        <w:tc>
          <w:tcPr>
            <w:tcW w:w="643" w:type="dxa"/>
            <w:tcBorders>
              <w:top w:val="single" w:sz="4" w:space="0" w:color="auto"/>
              <w:bottom w:val="single" w:sz="4" w:space="0" w:color="auto"/>
            </w:tcBorders>
          </w:tcPr>
          <w:p w14:paraId="1371C0AB" w14:textId="77777777" w:rsidR="00065147" w:rsidRPr="00E87D19" w:rsidRDefault="00065147" w:rsidP="00A74D20">
            <w:pPr>
              <w:spacing w:before="0" w:after="0" w:line="360" w:lineRule="auto"/>
              <w:jc w:val="both"/>
              <w:rPr>
                <w:rFonts w:cs="Times New Roman"/>
                <w:color w:val="000000" w:themeColor="text1"/>
                <w:sz w:val="24"/>
                <w:szCs w:val="24"/>
              </w:rPr>
            </w:pPr>
            <w:r w:rsidRPr="00E87D19">
              <w:rPr>
                <w:rFonts w:cs="Times New Roman"/>
                <w:color w:val="000000" w:themeColor="text1"/>
                <w:sz w:val="24"/>
                <w:szCs w:val="24"/>
              </w:rPr>
              <w:t xml:space="preserve">S/N </w:t>
            </w:r>
          </w:p>
        </w:tc>
        <w:tc>
          <w:tcPr>
            <w:tcW w:w="1995" w:type="dxa"/>
            <w:tcBorders>
              <w:top w:val="single" w:sz="4" w:space="0" w:color="auto"/>
              <w:bottom w:val="single" w:sz="4" w:space="0" w:color="auto"/>
            </w:tcBorders>
          </w:tcPr>
          <w:p w14:paraId="0DF920F0" w14:textId="7068E5B9" w:rsidR="00065147" w:rsidRPr="00E87D19" w:rsidRDefault="000977DB" w:rsidP="00A74D20">
            <w:pPr>
              <w:spacing w:before="0" w:after="0" w:line="360" w:lineRule="auto"/>
              <w:jc w:val="both"/>
              <w:rPr>
                <w:rFonts w:cs="Times New Roman"/>
                <w:b/>
                <w:color w:val="000000" w:themeColor="text1"/>
                <w:sz w:val="24"/>
                <w:szCs w:val="24"/>
              </w:rPr>
            </w:pPr>
            <w:r>
              <w:rPr>
                <w:rFonts w:cs="Times New Roman"/>
                <w:b/>
                <w:color w:val="000000" w:themeColor="text1"/>
                <w:sz w:val="24"/>
                <w:szCs w:val="24"/>
              </w:rPr>
              <w:t>Pond type</w:t>
            </w:r>
            <w:r w:rsidR="00065147" w:rsidRPr="00E87D19">
              <w:rPr>
                <w:rFonts w:cs="Times New Roman"/>
                <w:b/>
                <w:color w:val="000000" w:themeColor="text1"/>
                <w:sz w:val="24"/>
                <w:szCs w:val="24"/>
              </w:rPr>
              <w:t xml:space="preserve">  </w:t>
            </w:r>
          </w:p>
        </w:tc>
        <w:tc>
          <w:tcPr>
            <w:tcW w:w="3232" w:type="dxa"/>
            <w:tcBorders>
              <w:top w:val="single" w:sz="4" w:space="0" w:color="auto"/>
              <w:bottom w:val="single" w:sz="4" w:space="0" w:color="auto"/>
            </w:tcBorders>
          </w:tcPr>
          <w:p w14:paraId="29714F3C" w14:textId="77777777" w:rsidR="00065147" w:rsidRPr="00E87D19" w:rsidRDefault="00065147" w:rsidP="00A74D20">
            <w:pPr>
              <w:spacing w:before="0" w:after="0" w:line="360" w:lineRule="auto"/>
              <w:jc w:val="both"/>
              <w:rPr>
                <w:rFonts w:cs="Times New Roman"/>
                <w:b/>
                <w:color w:val="000000" w:themeColor="text1"/>
                <w:sz w:val="24"/>
                <w:szCs w:val="24"/>
              </w:rPr>
            </w:pPr>
            <w:r w:rsidRPr="00E87D19">
              <w:rPr>
                <w:rFonts w:cs="Times New Roman"/>
                <w:b/>
                <w:color w:val="000000" w:themeColor="text1"/>
                <w:sz w:val="24"/>
                <w:szCs w:val="24"/>
              </w:rPr>
              <w:t xml:space="preserve">Location </w:t>
            </w:r>
          </w:p>
        </w:tc>
        <w:tc>
          <w:tcPr>
            <w:tcW w:w="3373" w:type="dxa"/>
            <w:tcBorders>
              <w:top w:val="single" w:sz="4" w:space="0" w:color="auto"/>
              <w:bottom w:val="single" w:sz="4" w:space="0" w:color="auto"/>
            </w:tcBorders>
          </w:tcPr>
          <w:p w14:paraId="7AF9858A" w14:textId="77777777" w:rsidR="00065147" w:rsidRPr="00E87D19" w:rsidRDefault="00065147" w:rsidP="00A74D20">
            <w:pPr>
              <w:spacing w:before="0" w:after="0" w:line="360" w:lineRule="auto"/>
              <w:jc w:val="both"/>
              <w:rPr>
                <w:rFonts w:cs="Times New Roman"/>
                <w:b/>
                <w:color w:val="000000" w:themeColor="text1"/>
                <w:sz w:val="24"/>
                <w:szCs w:val="24"/>
              </w:rPr>
            </w:pPr>
            <w:r w:rsidRPr="00E87D19">
              <w:rPr>
                <w:rFonts w:cs="Times New Roman"/>
                <w:b/>
                <w:color w:val="000000" w:themeColor="text1"/>
                <w:sz w:val="24"/>
                <w:szCs w:val="24"/>
              </w:rPr>
              <w:t xml:space="preserve">Microalgae found </w:t>
            </w:r>
          </w:p>
        </w:tc>
      </w:tr>
      <w:tr w:rsidR="00065147" w:rsidRPr="00E87D19" w14:paraId="11D07A55" w14:textId="77777777" w:rsidTr="004935AD">
        <w:tc>
          <w:tcPr>
            <w:tcW w:w="643" w:type="dxa"/>
            <w:tcBorders>
              <w:top w:val="single" w:sz="4" w:space="0" w:color="auto"/>
            </w:tcBorders>
          </w:tcPr>
          <w:p w14:paraId="73059D70" w14:textId="77777777" w:rsidR="00065147" w:rsidRPr="00E87D19" w:rsidRDefault="00065147" w:rsidP="00A74D20">
            <w:pPr>
              <w:spacing w:before="0" w:after="0" w:line="360" w:lineRule="auto"/>
              <w:jc w:val="both"/>
              <w:rPr>
                <w:rFonts w:cs="Times New Roman"/>
                <w:color w:val="000000" w:themeColor="text1"/>
                <w:sz w:val="24"/>
                <w:szCs w:val="24"/>
              </w:rPr>
            </w:pPr>
            <w:r w:rsidRPr="00E87D19">
              <w:rPr>
                <w:rFonts w:cs="Times New Roman"/>
                <w:color w:val="000000" w:themeColor="text1"/>
                <w:sz w:val="24"/>
                <w:szCs w:val="24"/>
              </w:rPr>
              <w:t>1</w:t>
            </w:r>
          </w:p>
        </w:tc>
        <w:tc>
          <w:tcPr>
            <w:tcW w:w="1995" w:type="dxa"/>
            <w:tcBorders>
              <w:top w:val="single" w:sz="4" w:space="0" w:color="auto"/>
            </w:tcBorders>
          </w:tcPr>
          <w:p w14:paraId="3975BABD" w14:textId="77777777" w:rsidR="00065147" w:rsidRPr="00E87D19" w:rsidRDefault="00065147" w:rsidP="00A74D20">
            <w:pPr>
              <w:spacing w:before="0" w:after="0" w:line="360" w:lineRule="auto"/>
              <w:jc w:val="both"/>
              <w:rPr>
                <w:rFonts w:cs="Times New Roman"/>
                <w:color w:val="000000" w:themeColor="text1"/>
                <w:sz w:val="24"/>
                <w:szCs w:val="24"/>
              </w:rPr>
            </w:pPr>
            <w:r w:rsidRPr="00E87D19">
              <w:rPr>
                <w:rFonts w:cs="Times New Roman"/>
                <w:color w:val="000000" w:themeColor="text1"/>
                <w:sz w:val="24"/>
                <w:szCs w:val="24"/>
              </w:rPr>
              <w:t>Aquarium Pond</w:t>
            </w:r>
          </w:p>
        </w:tc>
        <w:tc>
          <w:tcPr>
            <w:tcW w:w="3232" w:type="dxa"/>
            <w:tcBorders>
              <w:top w:val="single" w:sz="4" w:space="0" w:color="auto"/>
            </w:tcBorders>
          </w:tcPr>
          <w:p w14:paraId="7489B19C" w14:textId="77777777" w:rsidR="00065147" w:rsidRPr="00E87D19" w:rsidRDefault="00065147" w:rsidP="00A74D20">
            <w:pPr>
              <w:spacing w:before="0" w:after="0" w:line="360" w:lineRule="auto"/>
              <w:jc w:val="both"/>
              <w:rPr>
                <w:rFonts w:cs="Times New Roman"/>
                <w:color w:val="000000" w:themeColor="text1"/>
                <w:sz w:val="24"/>
                <w:szCs w:val="24"/>
              </w:rPr>
            </w:pPr>
            <w:r w:rsidRPr="00E87D19">
              <w:rPr>
                <w:rFonts w:cs="Times New Roman"/>
                <w:color w:val="000000" w:themeColor="text1"/>
                <w:sz w:val="24"/>
                <w:szCs w:val="24"/>
              </w:rPr>
              <w:t>Behind Post graduate hostel</w:t>
            </w:r>
          </w:p>
        </w:tc>
        <w:tc>
          <w:tcPr>
            <w:tcW w:w="3373" w:type="dxa"/>
            <w:tcBorders>
              <w:top w:val="single" w:sz="4" w:space="0" w:color="auto"/>
            </w:tcBorders>
          </w:tcPr>
          <w:p w14:paraId="616F9C6A" w14:textId="3729C5B8" w:rsidR="00065147" w:rsidRPr="00E87D19" w:rsidRDefault="00065147" w:rsidP="00A74D20">
            <w:pPr>
              <w:spacing w:before="0" w:after="0" w:line="360" w:lineRule="auto"/>
              <w:jc w:val="both"/>
              <w:rPr>
                <w:rFonts w:cs="Times New Roman"/>
                <w:color w:val="000000" w:themeColor="text1"/>
                <w:sz w:val="24"/>
                <w:szCs w:val="24"/>
              </w:rPr>
            </w:pPr>
            <w:r w:rsidRPr="00E87D19">
              <w:rPr>
                <w:rFonts w:cs="Times New Roman"/>
                <w:i/>
                <w:color w:val="000000" w:themeColor="text1"/>
                <w:sz w:val="24"/>
                <w:szCs w:val="24"/>
              </w:rPr>
              <w:t>Chlorella</w:t>
            </w:r>
            <w:r w:rsidRPr="00E87D19">
              <w:rPr>
                <w:rFonts w:cs="Times New Roman"/>
                <w:color w:val="000000" w:themeColor="text1"/>
                <w:sz w:val="24"/>
                <w:szCs w:val="24"/>
              </w:rPr>
              <w:t xml:space="preserve"> spp, </w:t>
            </w:r>
            <w:r w:rsidR="00167C51" w:rsidRPr="00E87D19">
              <w:rPr>
                <w:rFonts w:cs="Times New Roman"/>
                <w:i/>
                <w:color w:val="000000" w:themeColor="text1"/>
                <w:sz w:val="24"/>
                <w:szCs w:val="24"/>
              </w:rPr>
              <w:t xml:space="preserve">Spirogyra </w:t>
            </w:r>
            <w:r w:rsidRPr="00E87D19">
              <w:rPr>
                <w:rFonts w:cs="Times New Roman"/>
                <w:color w:val="000000" w:themeColor="text1"/>
                <w:sz w:val="24"/>
                <w:szCs w:val="24"/>
              </w:rPr>
              <w:t xml:space="preserve">spp, </w:t>
            </w:r>
            <w:r w:rsidR="00167C51" w:rsidRPr="00E87D19">
              <w:rPr>
                <w:rFonts w:cs="Times New Roman"/>
                <w:i/>
                <w:color w:val="000000" w:themeColor="text1"/>
                <w:sz w:val="24"/>
                <w:szCs w:val="24"/>
              </w:rPr>
              <w:t>Chlamydomonas</w:t>
            </w:r>
            <w:r w:rsidR="00167C51" w:rsidRPr="00E87D19">
              <w:rPr>
                <w:rFonts w:cs="Times New Roman"/>
                <w:color w:val="000000" w:themeColor="text1"/>
                <w:sz w:val="24"/>
                <w:szCs w:val="24"/>
              </w:rPr>
              <w:t xml:space="preserve"> </w:t>
            </w:r>
            <w:r w:rsidRPr="00E87D19">
              <w:rPr>
                <w:rFonts w:cs="Times New Roman"/>
                <w:color w:val="000000" w:themeColor="text1"/>
                <w:sz w:val="24"/>
                <w:szCs w:val="24"/>
              </w:rPr>
              <w:t xml:space="preserve">spp </w:t>
            </w:r>
          </w:p>
        </w:tc>
      </w:tr>
      <w:tr w:rsidR="00065147" w:rsidRPr="00E87D19" w14:paraId="4D4AA4F2" w14:textId="77777777" w:rsidTr="004935AD">
        <w:tc>
          <w:tcPr>
            <w:tcW w:w="643" w:type="dxa"/>
          </w:tcPr>
          <w:p w14:paraId="05F1D0F8" w14:textId="77777777" w:rsidR="00065147" w:rsidRPr="00E87D19" w:rsidRDefault="00065147" w:rsidP="00A74D20">
            <w:pPr>
              <w:spacing w:before="0" w:after="0" w:line="360" w:lineRule="auto"/>
              <w:jc w:val="both"/>
              <w:rPr>
                <w:rFonts w:cs="Times New Roman"/>
                <w:color w:val="000000" w:themeColor="text1"/>
                <w:sz w:val="24"/>
                <w:szCs w:val="24"/>
              </w:rPr>
            </w:pPr>
            <w:r w:rsidRPr="00E87D19">
              <w:rPr>
                <w:rFonts w:cs="Times New Roman"/>
                <w:color w:val="000000" w:themeColor="text1"/>
                <w:sz w:val="24"/>
                <w:szCs w:val="24"/>
              </w:rPr>
              <w:t>2</w:t>
            </w:r>
          </w:p>
        </w:tc>
        <w:tc>
          <w:tcPr>
            <w:tcW w:w="1995" w:type="dxa"/>
          </w:tcPr>
          <w:p w14:paraId="28EA7583" w14:textId="77777777" w:rsidR="00065147" w:rsidRPr="00E87D19" w:rsidRDefault="00065147" w:rsidP="00A74D20">
            <w:pPr>
              <w:spacing w:before="0" w:after="0" w:line="360" w:lineRule="auto"/>
              <w:jc w:val="both"/>
              <w:rPr>
                <w:rFonts w:cs="Times New Roman"/>
                <w:color w:val="000000" w:themeColor="text1"/>
                <w:sz w:val="24"/>
                <w:szCs w:val="24"/>
              </w:rPr>
            </w:pPr>
            <w:r w:rsidRPr="00E87D19">
              <w:rPr>
                <w:rFonts w:cs="Times New Roman"/>
                <w:color w:val="000000" w:themeColor="text1"/>
                <w:sz w:val="24"/>
                <w:szCs w:val="24"/>
              </w:rPr>
              <w:t>Tap run off water</w:t>
            </w:r>
          </w:p>
        </w:tc>
        <w:tc>
          <w:tcPr>
            <w:tcW w:w="3232" w:type="dxa"/>
          </w:tcPr>
          <w:p w14:paraId="45AAFE01" w14:textId="77777777" w:rsidR="00065147" w:rsidRPr="00E87D19" w:rsidRDefault="00065147" w:rsidP="00A74D20">
            <w:pPr>
              <w:spacing w:before="0" w:after="0" w:line="360" w:lineRule="auto"/>
              <w:jc w:val="both"/>
              <w:rPr>
                <w:rFonts w:cs="Times New Roman"/>
                <w:color w:val="000000" w:themeColor="text1"/>
                <w:sz w:val="24"/>
                <w:szCs w:val="24"/>
              </w:rPr>
            </w:pPr>
            <w:r w:rsidRPr="00E87D19">
              <w:rPr>
                <w:rFonts w:cs="Times New Roman"/>
                <w:color w:val="000000" w:themeColor="text1"/>
                <w:sz w:val="24"/>
                <w:szCs w:val="24"/>
              </w:rPr>
              <w:t>Close to student mosque and girls’ hostel</w:t>
            </w:r>
          </w:p>
        </w:tc>
        <w:tc>
          <w:tcPr>
            <w:tcW w:w="3373" w:type="dxa"/>
          </w:tcPr>
          <w:p w14:paraId="4BDF36EB" w14:textId="1A3D74D2" w:rsidR="00065147" w:rsidRPr="00E87D19" w:rsidRDefault="00065147" w:rsidP="00A74D20">
            <w:pPr>
              <w:spacing w:before="0" w:after="0" w:line="360" w:lineRule="auto"/>
              <w:jc w:val="both"/>
              <w:rPr>
                <w:rFonts w:cs="Times New Roman"/>
                <w:color w:val="000000" w:themeColor="text1"/>
                <w:sz w:val="24"/>
                <w:szCs w:val="24"/>
              </w:rPr>
            </w:pPr>
            <w:r w:rsidRPr="00E87D19">
              <w:rPr>
                <w:rFonts w:cs="Times New Roman"/>
                <w:i/>
                <w:color w:val="000000" w:themeColor="text1"/>
                <w:sz w:val="24"/>
                <w:szCs w:val="24"/>
              </w:rPr>
              <w:t xml:space="preserve">Spirogyra </w:t>
            </w:r>
            <w:r w:rsidRPr="00E87D19">
              <w:rPr>
                <w:rFonts w:cs="Times New Roman"/>
                <w:color w:val="000000" w:themeColor="text1"/>
                <w:sz w:val="24"/>
                <w:szCs w:val="24"/>
              </w:rPr>
              <w:t xml:space="preserve">spp, </w:t>
            </w:r>
            <w:r w:rsidR="00167C51" w:rsidRPr="00E87D19">
              <w:rPr>
                <w:rFonts w:cs="Times New Roman"/>
                <w:i/>
                <w:iCs/>
                <w:color w:val="000000" w:themeColor="text1"/>
                <w:sz w:val="24"/>
                <w:szCs w:val="24"/>
              </w:rPr>
              <w:t>Microscopa</w:t>
            </w:r>
            <w:r w:rsidR="00167C51" w:rsidRPr="00E87D19">
              <w:rPr>
                <w:rFonts w:cs="Times New Roman"/>
                <w:color w:val="000000" w:themeColor="text1"/>
                <w:sz w:val="24"/>
                <w:szCs w:val="24"/>
              </w:rPr>
              <w:t xml:space="preserve"> </w:t>
            </w:r>
            <w:r w:rsidRPr="00E87D19">
              <w:rPr>
                <w:rFonts w:cs="Times New Roman"/>
                <w:color w:val="000000" w:themeColor="text1"/>
                <w:sz w:val="24"/>
                <w:szCs w:val="24"/>
              </w:rPr>
              <w:t xml:space="preserve">spp </w:t>
            </w:r>
          </w:p>
        </w:tc>
      </w:tr>
      <w:tr w:rsidR="00065147" w:rsidRPr="00E87D19" w14:paraId="5228E3AF" w14:textId="77777777" w:rsidTr="004935AD">
        <w:tc>
          <w:tcPr>
            <w:tcW w:w="643" w:type="dxa"/>
          </w:tcPr>
          <w:p w14:paraId="43A6AE02" w14:textId="77777777" w:rsidR="00065147" w:rsidRPr="00E87D19" w:rsidRDefault="00065147" w:rsidP="00A74D20">
            <w:pPr>
              <w:spacing w:before="0" w:after="0" w:line="360" w:lineRule="auto"/>
              <w:jc w:val="both"/>
              <w:rPr>
                <w:rFonts w:cs="Times New Roman"/>
                <w:color w:val="000000" w:themeColor="text1"/>
                <w:sz w:val="24"/>
                <w:szCs w:val="24"/>
              </w:rPr>
            </w:pPr>
            <w:r w:rsidRPr="00E87D19">
              <w:rPr>
                <w:rFonts w:cs="Times New Roman"/>
                <w:color w:val="000000" w:themeColor="text1"/>
                <w:sz w:val="24"/>
                <w:szCs w:val="24"/>
              </w:rPr>
              <w:t>3</w:t>
            </w:r>
          </w:p>
        </w:tc>
        <w:tc>
          <w:tcPr>
            <w:tcW w:w="1995" w:type="dxa"/>
          </w:tcPr>
          <w:p w14:paraId="6C6E5140" w14:textId="77777777" w:rsidR="00065147" w:rsidRPr="00E87D19" w:rsidRDefault="00065147" w:rsidP="00A74D20">
            <w:pPr>
              <w:spacing w:before="0" w:after="0" w:line="360" w:lineRule="auto"/>
              <w:jc w:val="both"/>
              <w:rPr>
                <w:rFonts w:cs="Times New Roman"/>
                <w:color w:val="000000" w:themeColor="text1"/>
                <w:sz w:val="24"/>
                <w:szCs w:val="24"/>
              </w:rPr>
            </w:pPr>
            <w:r w:rsidRPr="00E87D19">
              <w:rPr>
                <w:rFonts w:cs="Times New Roman"/>
                <w:color w:val="000000" w:themeColor="text1"/>
                <w:sz w:val="24"/>
                <w:szCs w:val="24"/>
              </w:rPr>
              <w:t xml:space="preserve">Water drainage </w:t>
            </w:r>
          </w:p>
        </w:tc>
        <w:tc>
          <w:tcPr>
            <w:tcW w:w="3232" w:type="dxa"/>
          </w:tcPr>
          <w:p w14:paraId="5F2FEBE0" w14:textId="77777777" w:rsidR="00065147" w:rsidRPr="00E87D19" w:rsidRDefault="00065147" w:rsidP="00A74D20">
            <w:pPr>
              <w:spacing w:before="0" w:after="0" w:line="360" w:lineRule="auto"/>
              <w:jc w:val="both"/>
              <w:rPr>
                <w:rFonts w:cs="Times New Roman"/>
                <w:color w:val="000000" w:themeColor="text1"/>
                <w:sz w:val="24"/>
                <w:szCs w:val="24"/>
              </w:rPr>
            </w:pPr>
            <w:r w:rsidRPr="00E87D19">
              <w:rPr>
                <w:rFonts w:cs="Times New Roman"/>
                <w:color w:val="000000" w:themeColor="text1"/>
                <w:sz w:val="24"/>
                <w:szCs w:val="24"/>
              </w:rPr>
              <w:t>Along library to PG hostel road</w:t>
            </w:r>
          </w:p>
        </w:tc>
        <w:tc>
          <w:tcPr>
            <w:tcW w:w="3373" w:type="dxa"/>
          </w:tcPr>
          <w:p w14:paraId="4C78D24E" w14:textId="3AB90AB9" w:rsidR="00065147" w:rsidRPr="00E87D19" w:rsidRDefault="00065147" w:rsidP="00A74D20">
            <w:pPr>
              <w:spacing w:before="0" w:after="0" w:line="360" w:lineRule="auto"/>
              <w:rPr>
                <w:rFonts w:cs="Times New Roman"/>
                <w:color w:val="000000" w:themeColor="text1"/>
                <w:sz w:val="24"/>
                <w:szCs w:val="24"/>
              </w:rPr>
            </w:pPr>
            <w:r w:rsidRPr="00E87D19">
              <w:rPr>
                <w:rFonts w:cs="Times New Roman"/>
                <w:i/>
                <w:color w:val="000000" w:themeColor="text1"/>
                <w:sz w:val="24"/>
                <w:szCs w:val="24"/>
              </w:rPr>
              <w:t xml:space="preserve">Chlamydomonas </w:t>
            </w:r>
            <w:r w:rsidRPr="00E87D19">
              <w:rPr>
                <w:rFonts w:cs="Times New Roman"/>
                <w:color w:val="000000" w:themeColor="text1"/>
                <w:sz w:val="24"/>
                <w:szCs w:val="24"/>
              </w:rPr>
              <w:t xml:space="preserve">spp, </w:t>
            </w:r>
            <w:r w:rsidR="00167C51" w:rsidRPr="00E87D19">
              <w:rPr>
                <w:rFonts w:cs="Times New Roman"/>
                <w:i/>
                <w:color w:val="000000" w:themeColor="text1"/>
                <w:sz w:val="24"/>
                <w:szCs w:val="24"/>
              </w:rPr>
              <w:t>Oedogonium</w:t>
            </w:r>
            <w:r w:rsidR="00167C51" w:rsidRPr="00E87D19">
              <w:rPr>
                <w:rFonts w:cs="Times New Roman"/>
                <w:color w:val="000000" w:themeColor="text1"/>
                <w:sz w:val="24"/>
                <w:szCs w:val="24"/>
              </w:rPr>
              <w:t xml:space="preserve"> </w:t>
            </w:r>
            <w:r w:rsidRPr="00E87D19">
              <w:rPr>
                <w:rFonts w:cs="Times New Roman"/>
                <w:color w:val="000000" w:themeColor="text1"/>
                <w:sz w:val="24"/>
                <w:szCs w:val="24"/>
              </w:rPr>
              <w:t xml:space="preserve">spp, </w:t>
            </w:r>
            <w:r w:rsidR="00167C51" w:rsidRPr="00E87D19">
              <w:rPr>
                <w:rFonts w:cs="Times New Roman"/>
                <w:i/>
                <w:color w:val="000000" w:themeColor="text1"/>
                <w:sz w:val="24"/>
                <w:szCs w:val="24"/>
              </w:rPr>
              <w:t>Spirogyra</w:t>
            </w:r>
            <w:r w:rsidR="00167C51" w:rsidRPr="00E87D19">
              <w:rPr>
                <w:rFonts w:cs="Times New Roman"/>
                <w:color w:val="000000" w:themeColor="text1"/>
                <w:sz w:val="24"/>
                <w:szCs w:val="24"/>
              </w:rPr>
              <w:t xml:space="preserve"> </w:t>
            </w:r>
            <w:r w:rsidRPr="00E87D19">
              <w:rPr>
                <w:rFonts w:cs="Times New Roman"/>
                <w:color w:val="000000" w:themeColor="text1"/>
                <w:sz w:val="24"/>
                <w:szCs w:val="24"/>
              </w:rPr>
              <w:t>spp.</w:t>
            </w:r>
          </w:p>
        </w:tc>
      </w:tr>
      <w:tr w:rsidR="00065147" w:rsidRPr="00E87D19" w14:paraId="173F8873" w14:textId="77777777" w:rsidTr="004935AD">
        <w:tc>
          <w:tcPr>
            <w:tcW w:w="643" w:type="dxa"/>
          </w:tcPr>
          <w:p w14:paraId="05B39941" w14:textId="77777777" w:rsidR="00065147" w:rsidRPr="00E87D19" w:rsidRDefault="00065147" w:rsidP="00A74D20">
            <w:pPr>
              <w:spacing w:before="0" w:after="0" w:line="360" w:lineRule="auto"/>
              <w:jc w:val="both"/>
              <w:rPr>
                <w:rFonts w:cs="Times New Roman"/>
                <w:color w:val="000000" w:themeColor="text1"/>
                <w:sz w:val="24"/>
                <w:szCs w:val="24"/>
              </w:rPr>
            </w:pPr>
            <w:r w:rsidRPr="00E87D19">
              <w:rPr>
                <w:rFonts w:cs="Times New Roman"/>
                <w:color w:val="000000" w:themeColor="text1"/>
                <w:sz w:val="24"/>
                <w:szCs w:val="24"/>
              </w:rPr>
              <w:t>4</w:t>
            </w:r>
          </w:p>
        </w:tc>
        <w:tc>
          <w:tcPr>
            <w:tcW w:w="1995" w:type="dxa"/>
          </w:tcPr>
          <w:p w14:paraId="560AFC92" w14:textId="77777777" w:rsidR="00065147" w:rsidRPr="00E87D19" w:rsidRDefault="00065147" w:rsidP="00A74D20">
            <w:pPr>
              <w:spacing w:before="0" w:after="0" w:line="360" w:lineRule="auto"/>
              <w:jc w:val="both"/>
              <w:rPr>
                <w:rFonts w:cs="Times New Roman"/>
                <w:color w:val="000000" w:themeColor="text1"/>
                <w:sz w:val="24"/>
                <w:szCs w:val="24"/>
              </w:rPr>
            </w:pPr>
            <w:r w:rsidRPr="00E87D19">
              <w:rPr>
                <w:rFonts w:cs="Times New Roman"/>
                <w:color w:val="000000" w:themeColor="text1"/>
                <w:sz w:val="24"/>
                <w:szCs w:val="24"/>
              </w:rPr>
              <w:t xml:space="preserve">Reservoir pond </w:t>
            </w:r>
          </w:p>
        </w:tc>
        <w:tc>
          <w:tcPr>
            <w:tcW w:w="3232" w:type="dxa"/>
          </w:tcPr>
          <w:p w14:paraId="7E886273" w14:textId="77777777" w:rsidR="00065147" w:rsidRPr="00E87D19" w:rsidRDefault="00065147" w:rsidP="00A74D20">
            <w:pPr>
              <w:spacing w:before="0" w:after="0" w:line="360" w:lineRule="auto"/>
              <w:jc w:val="both"/>
              <w:rPr>
                <w:rFonts w:cs="Times New Roman"/>
                <w:color w:val="000000" w:themeColor="text1"/>
                <w:sz w:val="24"/>
                <w:szCs w:val="24"/>
              </w:rPr>
            </w:pPr>
            <w:r w:rsidRPr="00E87D19">
              <w:rPr>
                <w:rFonts w:cs="Times New Roman"/>
                <w:color w:val="000000" w:themeColor="text1"/>
                <w:sz w:val="24"/>
                <w:szCs w:val="24"/>
              </w:rPr>
              <w:t xml:space="preserve">Student hostels reservoir </w:t>
            </w:r>
          </w:p>
        </w:tc>
        <w:tc>
          <w:tcPr>
            <w:tcW w:w="3373" w:type="dxa"/>
          </w:tcPr>
          <w:p w14:paraId="5135C7D1" w14:textId="579BEDE8" w:rsidR="00065147" w:rsidRPr="00E87D19" w:rsidRDefault="00065147" w:rsidP="00A74D20">
            <w:pPr>
              <w:spacing w:before="0" w:after="0" w:line="360" w:lineRule="auto"/>
              <w:jc w:val="both"/>
              <w:rPr>
                <w:rFonts w:cs="Times New Roman"/>
                <w:color w:val="000000" w:themeColor="text1"/>
                <w:sz w:val="24"/>
                <w:szCs w:val="24"/>
              </w:rPr>
            </w:pPr>
            <w:r w:rsidRPr="00E87D19">
              <w:rPr>
                <w:rFonts w:cs="Times New Roman"/>
                <w:i/>
                <w:color w:val="000000" w:themeColor="text1"/>
                <w:sz w:val="24"/>
                <w:szCs w:val="24"/>
              </w:rPr>
              <w:t>Microspora</w:t>
            </w:r>
            <w:r w:rsidRPr="00E87D19">
              <w:rPr>
                <w:rFonts w:cs="Times New Roman"/>
                <w:color w:val="000000" w:themeColor="text1"/>
                <w:sz w:val="24"/>
                <w:szCs w:val="24"/>
              </w:rPr>
              <w:t xml:space="preserve"> spp, </w:t>
            </w:r>
            <w:r w:rsidR="00167C51" w:rsidRPr="00E87D19">
              <w:rPr>
                <w:rFonts w:cs="Times New Roman"/>
                <w:i/>
                <w:color w:val="000000" w:themeColor="text1"/>
                <w:sz w:val="24"/>
                <w:szCs w:val="24"/>
              </w:rPr>
              <w:t>Chlorella</w:t>
            </w:r>
            <w:r w:rsidR="00167C51" w:rsidRPr="00E87D19">
              <w:rPr>
                <w:rFonts w:cs="Times New Roman"/>
                <w:color w:val="000000" w:themeColor="text1"/>
                <w:sz w:val="24"/>
                <w:szCs w:val="24"/>
              </w:rPr>
              <w:t xml:space="preserve"> </w:t>
            </w:r>
            <w:r w:rsidRPr="00E87D19">
              <w:rPr>
                <w:rFonts w:cs="Times New Roman"/>
                <w:color w:val="000000" w:themeColor="text1"/>
                <w:sz w:val="24"/>
                <w:szCs w:val="24"/>
              </w:rPr>
              <w:t xml:space="preserve">spp, </w:t>
            </w:r>
            <w:r w:rsidR="00167C51" w:rsidRPr="00E87D19">
              <w:rPr>
                <w:rFonts w:cs="Times New Roman"/>
                <w:i/>
                <w:color w:val="000000" w:themeColor="text1"/>
                <w:sz w:val="24"/>
                <w:szCs w:val="24"/>
              </w:rPr>
              <w:t>Chlamydomonas</w:t>
            </w:r>
            <w:r w:rsidR="00167C51" w:rsidRPr="00E87D19">
              <w:rPr>
                <w:rFonts w:cs="Times New Roman"/>
                <w:color w:val="000000" w:themeColor="text1"/>
                <w:sz w:val="24"/>
                <w:szCs w:val="24"/>
              </w:rPr>
              <w:t xml:space="preserve"> </w:t>
            </w:r>
            <w:r w:rsidRPr="00E87D19">
              <w:rPr>
                <w:rFonts w:cs="Times New Roman"/>
                <w:color w:val="000000" w:themeColor="text1"/>
                <w:sz w:val="24"/>
                <w:szCs w:val="24"/>
              </w:rPr>
              <w:t>spp.</w:t>
            </w:r>
          </w:p>
        </w:tc>
      </w:tr>
      <w:tr w:rsidR="00065147" w:rsidRPr="00E87D19" w14:paraId="2818F045" w14:textId="77777777" w:rsidTr="004935AD">
        <w:tc>
          <w:tcPr>
            <w:tcW w:w="643" w:type="dxa"/>
          </w:tcPr>
          <w:p w14:paraId="7B62705A" w14:textId="77777777" w:rsidR="00065147" w:rsidRPr="00E87D19" w:rsidRDefault="00065147" w:rsidP="00A74D20">
            <w:pPr>
              <w:spacing w:before="0" w:after="0" w:line="360" w:lineRule="auto"/>
              <w:jc w:val="both"/>
              <w:rPr>
                <w:rFonts w:cs="Times New Roman"/>
                <w:color w:val="000000" w:themeColor="text1"/>
                <w:sz w:val="24"/>
                <w:szCs w:val="24"/>
              </w:rPr>
            </w:pPr>
            <w:r w:rsidRPr="00E87D19">
              <w:rPr>
                <w:rFonts w:cs="Times New Roman"/>
                <w:color w:val="000000" w:themeColor="text1"/>
                <w:sz w:val="24"/>
                <w:szCs w:val="24"/>
              </w:rPr>
              <w:t>5</w:t>
            </w:r>
          </w:p>
        </w:tc>
        <w:tc>
          <w:tcPr>
            <w:tcW w:w="1995" w:type="dxa"/>
          </w:tcPr>
          <w:p w14:paraId="0A7D1EF7" w14:textId="77777777" w:rsidR="00065147" w:rsidRPr="00E87D19" w:rsidRDefault="00065147" w:rsidP="00A74D20">
            <w:pPr>
              <w:spacing w:before="0" w:after="0" w:line="360" w:lineRule="auto"/>
              <w:jc w:val="both"/>
              <w:rPr>
                <w:rFonts w:cs="Times New Roman"/>
                <w:color w:val="000000" w:themeColor="text1"/>
                <w:sz w:val="24"/>
                <w:szCs w:val="24"/>
              </w:rPr>
            </w:pPr>
            <w:r w:rsidRPr="00E87D19">
              <w:rPr>
                <w:rFonts w:cs="Times New Roman"/>
                <w:color w:val="000000" w:themeColor="text1"/>
                <w:sz w:val="24"/>
                <w:szCs w:val="24"/>
              </w:rPr>
              <w:t>Botanical garden pond</w:t>
            </w:r>
          </w:p>
        </w:tc>
        <w:tc>
          <w:tcPr>
            <w:tcW w:w="3232" w:type="dxa"/>
          </w:tcPr>
          <w:p w14:paraId="7D199D5A" w14:textId="77777777" w:rsidR="00065147" w:rsidRPr="00E87D19" w:rsidRDefault="00065147" w:rsidP="00A74D20">
            <w:pPr>
              <w:spacing w:before="0" w:after="0" w:line="360" w:lineRule="auto"/>
              <w:jc w:val="both"/>
              <w:rPr>
                <w:rFonts w:cs="Times New Roman"/>
                <w:color w:val="000000" w:themeColor="text1"/>
                <w:sz w:val="24"/>
                <w:szCs w:val="24"/>
              </w:rPr>
            </w:pPr>
            <w:r w:rsidRPr="00E87D19">
              <w:rPr>
                <w:rFonts w:cs="Times New Roman"/>
                <w:color w:val="000000" w:themeColor="text1"/>
                <w:sz w:val="24"/>
                <w:szCs w:val="24"/>
              </w:rPr>
              <w:t xml:space="preserve">Botanical garden </w:t>
            </w:r>
          </w:p>
        </w:tc>
        <w:tc>
          <w:tcPr>
            <w:tcW w:w="3373" w:type="dxa"/>
          </w:tcPr>
          <w:p w14:paraId="5AB68BAA" w14:textId="6189ABD4" w:rsidR="00065147" w:rsidRPr="00E87D19" w:rsidRDefault="00065147" w:rsidP="00A74D20">
            <w:pPr>
              <w:spacing w:before="0" w:after="0" w:line="360" w:lineRule="auto"/>
              <w:jc w:val="both"/>
              <w:rPr>
                <w:rFonts w:cs="Times New Roman"/>
                <w:color w:val="000000" w:themeColor="text1"/>
                <w:sz w:val="24"/>
                <w:szCs w:val="24"/>
              </w:rPr>
            </w:pPr>
            <w:r w:rsidRPr="00E87D19">
              <w:rPr>
                <w:rFonts w:cs="Times New Roman"/>
                <w:i/>
                <w:color w:val="000000" w:themeColor="text1"/>
                <w:sz w:val="24"/>
                <w:szCs w:val="24"/>
              </w:rPr>
              <w:t xml:space="preserve">Chlorella </w:t>
            </w:r>
            <w:r w:rsidRPr="00E87D19">
              <w:rPr>
                <w:rFonts w:cs="Times New Roman"/>
                <w:color w:val="000000" w:themeColor="text1"/>
                <w:sz w:val="24"/>
                <w:szCs w:val="24"/>
              </w:rPr>
              <w:t xml:space="preserve">spp, </w:t>
            </w:r>
            <w:r w:rsidR="00167C51" w:rsidRPr="00E87D19">
              <w:rPr>
                <w:rFonts w:cs="Times New Roman"/>
                <w:i/>
                <w:color w:val="000000" w:themeColor="text1"/>
                <w:sz w:val="24"/>
                <w:szCs w:val="24"/>
              </w:rPr>
              <w:t>Microspora</w:t>
            </w:r>
            <w:r w:rsidR="00167C51" w:rsidRPr="00E87D19">
              <w:rPr>
                <w:rFonts w:cs="Times New Roman"/>
                <w:color w:val="000000" w:themeColor="text1"/>
                <w:sz w:val="24"/>
                <w:szCs w:val="24"/>
              </w:rPr>
              <w:t xml:space="preserve"> </w:t>
            </w:r>
            <w:r w:rsidRPr="00E87D19">
              <w:rPr>
                <w:rFonts w:cs="Times New Roman"/>
                <w:color w:val="000000" w:themeColor="text1"/>
                <w:sz w:val="24"/>
                <w:szCs w:val="24"/>
              </w:rPr>
              <w:t>spp.</w:t>
            </w:r>
          </w:p>
        </w:tc>
      </w:tr>
    </w:tbl>
    <w:p w14:paraId="5FC6560A" w14:textId="77777777" w:rsidR="00065147" w:rsidRPr="00E87D19" w:rsidRDefault="00065147" w:rsidP="00A74D20">
      <w:pPr>
        <w:spacing w:before="0" w:after="0" w:line="360" w:lineRule="auto"/>
        <w:rPr>
          <w:rFonts w:cs="Times New Roman"/>
          <w:b/>
          <w:color w:val="000000" w:themeColor="text1"/>
          <w:szCs w:val="24"/>
        </w:rPr>
      </w:pPr>
      <w:r w:rsidRPr="00E87D19">
        <w:rPr>
          <w:rFonts w:cs="Times New Roman"/>
          <w:b/>
          <w:color w:val="000000" w:themeColor="text1"/>
          <w:szCs w:val="24"/>
        </w:rPr>
        <w:br w:type="page"/>
      </w:r>
    </w:p>
    <w:p w14:paraId="56DFA8B4" w14:textId="77777777" w:rsidR="00065147" w:rsidRPr="00E87D19" w:rsidRDefault="00065147" w:rsidP="00A74D20">
      <w:pPr>
        <w:spacing w:line="360" w:lineRule="auto"/>
        <w:rPr>
          <w:rFonts w:cs="Times New Roman"/>
          <w:color w:val="000000" w:themeColor="text1"/>
          <w:szCs w:val="24"/>
        </w:rPr>
      </w:pPr>
      <w:r w:rsidRPr="00E87D19">
        <w:rPr>
          <w:rFonts w:cs="Times New Roman"/>
          <w:b/>
          <w:noProof/>
          <w:color w:val="000000" w:themeColor="text1"/>
          <w:szCs w:val="24"/>
        </w:rPr>
        <w:lastRenderedPageBreak/>
        <w:drawing>
          <wp:inline distT="0" distB="0" distL="0" distR="0" wp14:anchorId="3D1BF68B" wp14:editId="74CE08E3">
            <wp:extent cx="1828800" cy="16002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0230824_174807.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28800" cy="1600200"/>
                    </a:xfrm>
                    <a:prstGeom prst="rect">
                      <a:avLst/>
                    </a:prstGeom>
                  </pic:spPr>
                </pic:pic>
              </a:graphicData>
            </a:graphic>
          </wp:inline>
        </w:drawing>
      </w:r>
      <w:r w:rsidRPr="00E87D19">
        <w:rPr>
          <w:rFonts w:cs="Times New Roman"/>
          <w:b/>
          <w:noProof/>
          <w:color w:val="000000" w:themeColor="text1"/>
          <w:szCs w:val="24"/>
        </w:rPr>
        <w:drawing>
          <wp:inline distT="0" distB="0" distL="0" distR="0" wp14:anchorId="1F37D6DE" wp14:editId="3C3AB36D">
            <wp:extent cx="1819275" cy="16002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230824_200914.jpg"/>
                    <pic:cNvPicPr/>
                  </pic:nvPicPr>
                  <pic:blipFill rotWithShape="1">
                    <a:blip r:embed="rId13" cstate="print">
                      <a:extLst>
                        <a:ext uri="{28A0092B-C50C-407E-A947-70E740481C1C}">
                          <a14:useLocalDpi xmlns:a14="http://schemas.microsoft.com/office/drawing/2010/main" val="0"/>
                        </a:ext>
                      </a:extLst>
                    </a:blip>
                    <a:srcRect l="20937" t="24815" r="37355" b="17799"/>
                    <a:stretch/>
                  </pic:blipFill>
                  <pic:spPr bwMode="auto">
                    <a:xfrm>
                      <a:off x="0" y="0"/>
                      <a:ext cx="1819275" cy="1600200"/>
                    </a:xfrm>
                    <a:prstGeom prst="rect">
                      <a:avLst/>
                    </a:prstGeom>
                    <a:ln>
                      <a:noFill/>
                    </a:ln>
                    <a:extLst>
                      <a:ext uri="{53640926-AAD7-44D8-BBD7-CCE9431645EC}">
                        <a14:shadowObscured xmlns:a14="http://schemas.microsoft.com/office/drawing/2010/main"/>
                      </a:ext>
                    </a:extLst>
                  </pic:spPr>
                </pic:pic>
              </a:graphicData>
            </a:graphic>
          </wp:inline>
        </w:drawing>
      </w:r>
      <w:r w:rsidRPr="00E87D19">
        <w:rPr>
          <w:rFonts w:cs="Times New Roman"/>
          <w:b/>
          <w:noProof/>
          <w:color w:val="000000" w:themeColor="text1"/>
          <w:szCs w:val="24"/>
        </w:rPr>
        <w:drawing>
          <wp:inline distT="0" distB="0" distL="0" distR="0" wp14:anchorId="33023FF4" wp14:editId="785C47EF">
            <wp:extent cx="1885950" cy="160972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230831_202025.jpg"/>
                    <pic:cNvPicPr/>
                  </pic:nvPicPr>
                  <pic:blipFill rotWithShape="1">
                    <a:blip r:embed="rId14" cstate="print">
                      <a:extLst>
                        <a:ext uri="{28A0092B-C50C-407E-A947-70E740481C1C}">
                          <a14:useLocalDpi xmlns:a14="http://schemas.microsoft.com/office/drawing/2010/main" val="0"/>
                        </a:ext>
                      </a:extLst>
                    </a:blip>
                    <a:srcRect l="34729" t="11300" r="1794" b="4283"/>
                    <a:stretch/>
                  </pic:blipFill>
                  <pic:spPr bwMode="auto">
                    <a:xfrm>
                      <a:off x="0" y="0"/>
                      <a:ext cx="1885950" cy="1609725"/>
                    </a:xfrm>
                    <a:prstGeom prst="rect">
                      <a:avLst/>
                    </a:prstGeom>
                    <a:ln>
                      <a:noFill/>
                    </a:ln>
                    <a:extLst>
                      <a:ext uri="{53640926-AAD7-44D8-BBD7-CCE9431645EC}">
                        <a14:shadowObscured xmlns:a14="http://schemas.microsoft.com/office/drawing/2010/main"/>
                      </a:ext>
                    </a:extLst>
                  </pic:spPr>
                </pic:pic>
              </a:graphicData>
            </a:graphic>
          </wp:inline>
        </w:drawing>
      </w:r>
    </w:p>
    <w:p w14:paraId="5D57F0E2" w14:textId="42089D3D" w:rsidR="00065147" w:rsidRPr="00E87D19" w:rsidRDefault="00065147" w:rsidP="00A74D20">
      <w:pPr>
        <w:spacing w:after="0" w:line="360" w:lineRule="auto"/>
        <w:rPr>
          <w:rFonts w:cs="Times New Roman"/>
          <w:b/>
          <w:color w:val="000000" w:themeColor="text1"/>
          <w:szCs w:val="24"/>
        </w:rPr>
      </w:pPr>
      <w:r w:rsidRPr="00E87D19">
        <w:rPr>
          <w:rFonts w:cs="Times New Roman"/>
          <w:b/>
          <w:color w:val="000000" w:themeColor="text1"/>
          <w:szCs w:val="24"/>
        </w:rPr>
        <w:t>Fig</w:t>
      </w:r>
      <w:r w:rsidR="00952A46" w:rsidRPr="00E87D19">
        <w:rPr>
          <w:rFonts w:cs="Times New Roman"/>
          <w:b/>
          <w:color w:val="000000" w:themeColor="text1"/>
          <w:szCs w:val="24"/>
        </w:rPr>
        <w:t>ure</w:t>
      </w:r>
      <w:r w:rsidRPr="00E87D19">
        <w:rPr>
          <w:rFonts w:cs="Times New Roman"/>
          <w:b/>
          <w:color w:val="000000" w:themeColor="text1"/>
          <w:szCs w:val="24"/>
        </w:rPr>
        <w:t xml:space="preserve"> </w:t>
      </w:r>
      <w:r w:rsidR="00952A46" w:rsidRPr="00E87D19">
        <w:rPr>
          <w:rFonts w:cs="Times New Roman"/>
          <w:b/>
          <w:color w:val="000000" w:themeColor="text1"/>
          <w:szCs w:val="24"/>
        </w:rPr>
        <w:t>1</w:t>
      </w:r>
      <w:r w:rsidRPr="00E87D19">
        <w:rPr>
          <w:rFonts w:cs="Times New Roman"/>
          <w:b/>
          <w:color w:val="000000" w:themeColor="text1"/>
          <w:szCs w:val="24"/>
        </w:rPr>
        <w:t>: showing some physical and microscopic view of some microalgae found.</w:t>
      </w:r>
    </w:p>
    <w:p w14:paraId="11C0F2BC" w14:textId="77777777" w:rsidR="00065147" w:rsidRPr="00E87D19" w:rsidRDefault="00065147" w:rsidP="00A74D20">
      <w:pPr>
        <w:spacing w:before="0" w:after="0" w:line="360" w:lineRule="auto"/>
        <w:rPr>
          <w:rFonts w:cs="Times New Roman"/>
          <w:b/>
          <w:color w:val="000000" w:themeColor="text1"/>
          <w:szCs w:val="24"/>
        </w:rPr>
      </w:pPr>
    </w:p>
    <w:p w14:paraId="322CC79A" w14:textId="77777777" w:rsidR="00065147" w:rsidRPr="00E87D19" w:rsidRDefault="00065147" w:rsidP="00A74D20">
      <w:pPr>
        <w:pStyle w:val="Heading1"/>
        <w:spacing w:before="0" w:line="360" w:lineRule="auto"/>
        <w:rPr>
          <w:rFonts w:ascii="Times New Roman" w:hAnsi="Times New Roman" w:cs="Times New Roman"/>
          <w:b/>
          <w:bCs/>
          <w:color w:val="000000" w:themeColor="text1"/>
          <w:sz w:val="24"/>
          <w:szCs w:val="24"/>
        </w:rPr>
      </w:pPr>
      <w:bookmarkStart w:id="5" w:name="_Toc193158703"/>
      <w:r w:rsidRPr="00E87D19">
        <w:rPr>
          <w:rFonts w:ascii="Times New Roman" w:hAnsi="Times New Roman" w:cs="Times New Roman"/>
          <w:b/>
          <w:bCs/>
          <w:color w:val="000000" w:themeColor="text1"/>
          <w:sz w:val="24"/>
          <w:szCs w:val="24"/>
        </w:rPr>
        <w:t>Molecular identification</w:t>
      </w:r>
      <w:bookmarkEnd w:id="5"/>
    </w:p>
    <w:p w14:paraId="35831566" w14:textId="6676F3ED" w:rsidR="00952A46" w:rsidRPr="00E87D19" w:rsidRDefault="00952A46"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 xml:space="preserve">Molecular analysis based on ITS rRNA gene sequencing confirmed the identity of selected isolates as </w:t>
      </w:r>
      <w:r w:rsidR="007E4D8F" w:rsidRPr="007E4D8F">
        <w:rPr>
          <w:rFonts w:cs="Times New Roman"/>
          <w:i/>
          <w:iCs/>
          <w:color w:val="000000" w:themeColor="text1"/>
          <w:szCs w:val="24"/>
        </w:rPr>
        <w:t>Chlorella sorokiniana</w:t>
      </w:r>
      <w:r w:rsidRPr="00E87D19">
        <w:rPr>
          <w:rFonts w:cs="Times New Roman"/>
          <w:color w:val="000000" w:themeColor="text1"/>
          <w:szCs w:val="24"/>
        </w:rPr>
        <w:t>. PCR amplification produced a distinct band of approximately 450 bp, consistent with expected ITS fragment size for green microalgae.</w:t>
      </w:r>
    </w:p>
    <w:p w14:paraId="00D8BEF4" w14:textId="3E9DF75B" w:rsidR="00952A46" w:rsidRPr="00E87D19" w:rsidRDefault="00952A46"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 xml:space="preserve">BLAST analysis showed high sequence similarity with reference </w:t>
      </w:r>
      <w:r w:rsidR="007E4D8F" w:rsidRPr="007E4D8F">
        <w:rPr>
          <w:rFonts w:cs="Times New Roman"/>
          <w:i/>
          <w:iCs/>
          <w:color w:val="000000" w:themeColor="text1"/>
          <w:szCs w:val="24"/>
        </w:rPr>
        <w:t>Chlorella sorokiniana</w:t>
      </w:r>
      <w:r w:rsidRPr="00E87D19">
        <w:rPr>
          <w:rFonts w:cs="Times New Roman"/>
          <w:color w:val="000000" w:themeColor="text1"/>
          <w:szCs w:val="24"/>
        </w:rPr>
        <w:t xml:space="preserve"> strains, confirming taxonomic assignment. Although the phylogenetic reconstruction using maximum parsimony revealed strong clustering with reference sequences, full validation requires deposition of sequences in a public database (GenBank accession numbers</w:t>
      </w:r>
      <w:r w:rsidR="00167C51" w:rsidRPr="00E87D19">
        <w:rPr>
          <w:rFonts w:cs="Times New Roman"/>
          <w:color w:val="000000" w:themeColor="text1"/>
          <w:szCs w:val="24"/>
        </w:rPr>
        <w:t xml:space="preserve"> are</w:t>
      </w:r>
      <w:r w:rsidR="00922950" w:rsidRPr="00E87D19">
        <w:rPr>
          <w:rFonts w:cs="Times New Roman"/>
          <w:color w:val="000000" w:themeColor="text1"/>
          <w:szCs w:val="24"/>
        </w:rPr>
        <w:t> PZ524763, PZ524764,</w:t>
      </w:r>
      <w:r w:rsidR="00922950" w:rsidRPr="00E87D19">
        <w:rPr>
          <w:rFonts w:cs="Times New Roman"/>
          <w:color w:val="000000" w:themeColor="text1"/>
          <w:szCs w:val="24"/>
        </w:rPr>
        <w:br/>
        <w:t>and PZ524765</w:t>
      </w:r>
      <w:r w:rsidRPr="00E87D19">
        <w:rPr>
          <w:rFonts w:cs="Times New Roman"/>
          <w:color w:val="000000" w:themeColor="text1"/>
          <w:szCs w:val="24"/>
        </w:rPr>
        <w:t>).</w:t>
      </w:r>
    </w:p>
    <w:p w14:paraId="7AF22659" w14:textId="05AEA208"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 xml:space="preserve">Nanodrop spectrophotometer was used to measure the quality of the DNA based on concentration and purity which the DNA shows a good purity result. Out of </w:t>
      </w:r>
      <w:r w:rsidRPr="00E87D19">
        <w:rPr>
          <w:rFonts w:eastAsia="Times New Roman" w:cs="Times New Roman"/>
          <w:i/>
          <w:color w:val="000000" w:themeColor="text1"/>
          <w:szCs w:val="24"/>
        </w:rPr>
        <w:t>Chlorella</w:t>
      </w:r>
      <w:r w:rsidRPr="00E87D19">
        <w:rPr>
          <w:rFonts w:eastAsia="Times New Roman" w:cs="Times New Roman"/>
          <w:color w:val="000000" w:themeColor="text1"/>
          <w:szCs w:val="24"/>
        </w:rPr>
        <w:t xml:space="preserve"> spp</w:t>
      </w:r>
      <w:r w:rsidRPr="00E87D19">
        <w:rPr>
          <w:rFonts w:cs="Times New Roman"/>
          <w:color w:val="000000" w:themeColor="text1"/>
          <w:szCs w:val="24"/>
        </w:rPr>
        <w:t xml:space="preserve"> isolates identified using colony morphology, and microscopic identification. Three </w:t>
      </w:r>
      <w:r w:rsidRPr="00E87D19">
        <w:rPr>
          <w:rFonts w:eastAsia="Times New Roman" w:cs="Times New Roman"/>
          <w:i/>
          <w:color w:val="000000" w:themeColor="text1"/>
          <w:szCs w:val="24"/>
        </w:rPr>
        <w:t>Chlorella</w:t>
      </w:r>
      <w:r w:rsidRPr="00E87D19">
        <w:rPr>
          <w:rFonts w:eastAsia="Times New Roman" w:cs="Times New Roman"/>
          <w:color w:val="000000" w:themeColor="text1"/>
          <w:szCs w:val="24"/>
        </w:rPr>
        <w:t xml:space="preserve"> spp</w:t>
      </w:r>
      <w:r w:rsidRPr="00E87D19">
        <w:rPr>
          <w:rFonts w:cs="Times New Roman"/>
          <w:color w:val="000000" w:themeColor="text1"/>
          <w:szCs w:val="24"/>
        </w:rPr>
        <w:t xml:space="preserve"> were identified using conventional PCR and sequencing methods. The PCR results showed that a band of about 450 base pairs (bp) of DNA gene sequence was successfully obtained from </w:t>
      </w:r>
      <w:r w:rsidRPr="00E87D19">
        <w:rPr>
          <w:rFonts w:eastAsia="Times New Roman" w:cs="Times New Roman"/>
          <w:i/>
          <w:color w:val="000000" w:themeColor="text1"/>
          <w:szCs w:val="24"/>
        </w:rPr>
        <w:t>Chlorella</w:t>
      </w:r>
      <w:r w:rsidRPr="00E87D19">
        <w:rPr>
          <w:rFonts w:eastAsia="Times New Roman" w:cs="Times New Roman"/>
          <w:color w:val="000000" w:themeColor="text1"/>
          <w:szCs w:val="24"/>
        </w:rPr>
        <w:t xml:space="preserve"> spp.</w:t>
      </w:r>
      <w:r w:rsidRPr="00E87D19">
        <w:rPr>
          <w:rFonts w:cs="Times New Roman"/>
          <w:color w:val="000000" w:themeColor="text1"/>
          <w:szCs w:val="24"/>
        </w:rPr>
        <w:t xml:space="preserve"> The obtained sequences were subjected into the Basic local alignment search tool BLAST in the National Center for Biotechnology Information (NCBI) database to compare with known</w:t>
      </w:r>
      <w:r w:rsidRPr="00E87D19">
        <w:rPr>
          <w:rFonts w:cs="Times New Roman"/>
          <w:i/>
          <w:iCs/>
          <w:color w:val="000000" w:themeColor="text1"/>
          <w:szCs w:val="24"/>
        </w:rPr>
        <w:t> </w:t>
      </w:r>
      <w:r w:rsidRPr="00E87D19">
        <w:rPr>
          <w:rFonts w:eastAsia="Times New Roman" w:cs="Times New Roman"/>
          <w:i/>
          <w:color w:val="000000" w:themeColor="text1"/>
          <w:szCs w:val="24"/>
        </w:rPr>
        <w:t>Chlorella</w:t>
      </w:r>
      <w:r w:rsidRPr="00E87D19">
        <w:rPr>
          <w:rFonts w:eastAsia="Times New Roman" w:cs="Times New Roman"/>
          <w:color w:val="000000" w:themeColor="text1"/>
          <w:szCs w:val="24"/>
        </w:rPr>
        <w:t xml:space="preserve"> spp</w:t>
      </w:r>
      <w:r w:rsidRPr="00E87D19">
        <w:rPr>
          <w:rFonts w:cs="Times New Roman"/>
          <w:color w:val="000000" w:themeColor="text1"/>
          <w:szCs w:val="24"/>
        </w:rPr>
        <w:t xml:space="preserve"> sequences stored in the bank. Sequences of </w:t>
      </w:r>
      <w:r w:rsidRPr="00E87D19">
        <w:rPr>
          <w:rFonts w:eastAsia="Times New Roman" w:cs="Times New Roman"/>
          <w:i/>
          <w:color w:val="000000" w:themeColor="text1"/>
          <w:szCs w:val="24"/>
        </w:rPr>
        <w:t xml:space="preserve">Chlorella </w:t>
      </w:r>
      <w:r w:rsidRPr="00E87D19">
        <w:rPr>
          <w:rFonts w:eastAsia="Times New Roman" w:cs="Times New Roman"/>
          <w:i/>
          <w:color w:val="000000" w:themeColor="text1"/>
          <w:szCs w:val="24"/>
          <w:u w:val="single"/>
        </w:rPr>
        <w:t>soroki</w:t>
      </w:r>
      <w:r w:rsidR="00DC6624">
        <w:rPr>
          <w:rFonts w:eastAsia="Times New Roman" w:cs="Times New Roman"/>
          <w:i/>
          <w:color w:val="000000" w:themeColor="text1"/>
          <w:szCs w:val="24"/>
          <w:u w:val="single"/>
        </w:rPr>
        <w:t>n</w:t>
      </w:r>
      <w:r w:rsidRPr="00E87D19">
        <w:rPr>
          <w:rFonts w:eastAsia="Times New Roman" w:cs="Times New Roman"/>
          <w:i/>
          <w:color w:val="000000" w:themeColor="text1"/>
          <w:szCs w:val="24"/>
          <w:u w:val="single"/>
        </w:rPr>
        <w:t>iana</w:t>
      </w:r>
      <w:r w:rsidRPr="00E87D19">
        <w:rPr>
          <w:rFonts w:cs="Times New Roman"/>
          <w:color w:val="000000" w:themeColor="text1"/>
          <w:szCs w:val="24"/>
        </w:rPr>
        <w:t xml:space="preserve"> from NCBI that showed similarity with the isolate were downloaded and a phylogenetic tree was constructed to determine the evolutional relationship of a sequence of these isolate with </w:t>
      </w:r>
      <w:r w:rsidRPr="00E87D19">
        <w:rPr>
          <w:rFonts w:cs="Times New Roman"/>
          <w:color w:val="000000" w:themeColor="text1"/>
          <w:szCs w:val="24"/>
        </w:rPr>
        <w:lastRenderedPageBreak/>
        <w:t>known </w:t>
      </w:r>
      <w:r w:rsidRPr="00E87D19">
        <w:rPr>
          <w:rFonts w:eastAsia="Times New Roman" w:cs="Times New Roman"/>
          <w:i/>
          <w:color w:val="000000" w:themeColor="text1"/>
          <w:szCs w:val="24"/>
        </w:rPr>
        <w:t>Chlorella</w:t>
      </w:r>
      <w:r w:rsidRPr="00E87D19">
        <w:rPr>
          <w:rFonts w:eastAsia="Times New Roman" w:cs="Times New Roman"/>
          <w:color w:val="000000" w:themeColor="text1"/>
          <w:szCs w:val="24"/>
        </w:rPr>
        <w:t xml:space="preserve"> spp.</w:t>
      </w:r>
      <w:r w:rsidRPr="00E87D19">
        <w:rPr>
          <w:rFonts w:cs="Times New Roman"/>
          <w:color w:val="000000" w:themeColor="text1"/>
          <w:szCs w:val="24"/>
        </w:rPr>
        <w:t xml:space="preserve"> isolate from NCBI. The phylogenetic tree was constructed using Clustal- Muscle and neighbour-joining methods and bootstrapping performed by creating1000 trials. </w:t>
      </w:r>
    </w:p>
    <w:p w14:paraId="36B62882" w14:textId="0E4569A3" w:rsidR="00065147" w:rsidRPr="00E87D19" w:rsidRDefault="00065147" w:rsidP="00A74D20">
      <w:pPr>
        <w:spacing w:before="0" w:after="160" w:line="360" w:lineRule="auto"/>
        <w:rPr>
          <w:rFonts w:cs="Times New Roman"/>
          <w:b/>
          <w:color w:val="000000" w:themeColor="text1"/>
          <w:szCs w:val="24"/>
        </w:rPr>
      </w:pPr>
    </w:p>
    <w:p w14:paraId="053CC697" w14:textId="60BE88A2" w:rsidR="00065147" w:rsidRPr="00E87D19" w:rsidRDefault="00065147" w:rsidP="00A74D20">
      <w:pPr>
        <w:spacing w:before="0" w:after="0" w:line="360" w:lineRule="auto"/>
        <w:rPr>
          <w:rFonts w:cs="Times New Roman"/>
          <w:b/>
          <w:color w:val="000000" w:themeColor="text1"/>
          <w:szCs w:val="24"/>
        </w:rPr>
      </w:pPr>
      <w:r w:rsidRPr="00E87D19">
        <w:rPr>
          <w:rFonts w:cs="Times New Roman"/>
          <w:b/>
          <w:color w:val="000000" w:themeColor="text1"/>
          <w:szCs w:val="24"/>
        </w:rPr>
        <w:t>Table 2: Algae nan</w:t>
      </w:r>
      <w:r w:rsidR="00AC0DF0">
        <w:rPr>
          <w:rFonts w:cs="Times New Roman"/>
          <w:b/>
          <w:color w:val="000000" w:themeColor="text1"/>
          <w:szCs w:val="24"/>
        </w:rPr>
        <w:t>o</w:t>
      </w:r>
      <w:r w:rsidRPr="00E87D19">
        <w:rPr>
          <w:rFonts w:cs="Times New Roman"/>
          <w:b/>
          <w:color w:val="000000" w:themeColor="text1"/>
          <w:szCs w:val="24"/>
        </w:rPr>
        <w:t>drop result for algal DNA analysis</w:t>
      </w:r>
    </w:p>
    <w:p w14:paraId="079B4DA6" w14:textId="77777777" w:rsidR="00065147" w:rsidRPr="00E87D19" w:rsidRDefault="00065147" w:rsidP="00A74D20">
      <w:pPr>
        <w:spacing w:before="0" w:after="0" w:line="360" w:lineRule="auto"/>
        <w:rPr>
          <w:rFonts w:cs="Times New Roman"/>
          <w:b/>
          <w:color w:val="000000" w:themeColor="text1"/>
          <w:szCs w:val="24"/>
        </w:rPr>
      </w:pPr>
    </w:p>
    <w:tbl>
      <w:tblPr>
        <w:tblStyle w:val="TableGrid"/>
        <w:tblW w:w="9837" w:type="dxa"/>
        <w:tblInd w:w="-162"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0"/>
        <w:gridCol w:w="1225"/>
        <w:gridCol w:w="1283"/>
        <w:gridCol w:w="1283"/>
        <w:gridCol w:w="1112"/>
        <w:gridCol w:w="1112"/>
        <w:gridCol w:w="1540"/>
        <w:gridCol w:w="1112"/>
      </w:tblGrid>
      <w:tr w:rsidR="00065147" w:rsidRPr="00E87D19" w14:paraId="415CCC1E" w14:textId="77777777" w:rsidTr="004935AD">
        <w:trPr>
          <w:trHeight w:val="1101"/>
        </w:trPr>
        <w:tc>
          <w:tcPr>
            <w:tcW w:w="1170" w:type="dxa"/>
            <w:tcBorders>
              <w:bottom w:val="single" w:sz="4" w:space="0" w:color="auto"/>
            </w:tcBorders>
          </w:tcPr>
          <w:p w14:paraId="6BFE9505" w14:textId="38CAF021" w:rsidR="00065147" w:rsidRPr="00E87D19" w:rsidRDefault="00065147" w:rsidP="00A74D20">
            <w:pPr>
              <w:spacing w:before="0" w:after="0" w:line="360" w:lineRule="auto"/>
              <w:jc w:val="both"/>
              <w:rPr>
                <w:rFonts w:cs="Times New Roman"/>
                <w:b/>
                <w:color w:val="000000" w:themeColor="text1"/>
                <w:sz w:val="24"/>
                <w:szCs w:val="24"/>
              </w:rPr>
            </w:pPr>
            <w:r w:rsidRPr="00E87D19">
              <w:rPr>
                <w:rFonts w:cs="Times New Roman"/>
                <w:b/>
                <w:color w:val="000000" w:themeColor="text1"/>
                <w:sz w:val="24"/>
                <w:szCs w:val="24"/>
              </w:rPr>
              <w:t>Sample ID</w:t>
            </w:r>
          </w:p>
        </w:tc>
        <w:tc>
          <w:tcPr>
            <w:tcW w:w="1225" w:type="dxa"/>
            <w:tcBorders>
              <w:bottom w:val="single" w:sz="4" w:space="0" w:color="auto"/>
            </w:tcBorders>
          </w:tcPr>
          <w:p w14:paraId="20A7D81B" w14:textId="77777777" w:rsidR="00065147" w:rsidRPr="00E87D19" w:rsidRDefault="00065147" w:rsidP="00A74D20">
            <w:pPr>
              <w:spacing w:before="0" w:after="0" w:line="360" w:lineRule="auto"/>
              <w:jc w:val="both"/>
              <w:rPr>
                <w:rFonts w:cs="Times New Roman"/>
                <w:b/>
                <w:color w:val="000000" w:themeColor="text1"/>
                <w:sz w:val="24"/>
                <w:szCs w:val="24"/>
              </w:rPr>
            </w:pPr>
            <w:r w:rsidRPr="00E87D19">
              <w:rPr>
                <w:rFonts w:cs="Times New Roman"/>
                <w:b/>
                <w:color w:val="000000" w:themeColor="text1"/>
                <w:sz w:val="24"/>
                <w:szCs w:val="24"/>
              </w:rPr>
              <w:t>Nucleic acid</w:t>
            </w:r>
          </w:p>
        </w:tc>
        <w:tc>
          <w:tcPr>
            <w:tcW w:w="1283" w:type="dxa"/>
            <w:tcBorders>
              <w:bottom w:val="single" w:sz="4" w:space="0" w:color="auto"/>
            </w:tcBorders>
          </w:tcPr>
          <w:p w14:paraId="621A3DE0" w14:textId="77777777" w:rsidR="00065147" w:rsidRPr="00E87D19" w:rsidRDefault="00065147" w:rsidP="00A74D20">
            <w:pPr>
              <w:spacing w:before="0" w:after="0" w:line="360" w:lineRule="auto"/>
              <w:jc w:val="both"/>
              <w:rPr>
                <w:rFonts w:cs="Times New Roman"/>
                <w:b/>
                <w:color w:val="000000" w:themeColor="text1"/>
                <w:sz w:val="24"/>
                <w:szCs w:val="24"/>
              </w:rPr>
            </w:pPr>
            <w:r w:rsidRPr="00E87D19">
              <w:rPr>
                <w:rFonts w:cs="Times New Roman"/>
                <w:b/>
                <w:color w:val="000000" w:themeColor="text1"/>
                <w:sz w:val="24"/>
                <w:szCs w:val="24"/>
              </w:rPr>
              <w:t>A260Abs</w:t>
            </w:r>
          </w:p>
        </w:tc>
        <w:tc>
          <w:tcPr>
            <w:tcW w:w="1283" w:type="dxa"/>
            <w:tcBorders>
              <w:bottom w:val="single" w:sz="4" w:space="0" w:color="auto"/>
            </w:tcBorders>
          </w:tcPr>
          <w:p w14:paraId="23C4B1D0" w14:textId="77777777" w:rsidR="00065147" w:rsidRPr="00E87D19" w:rsidRDefault="00065147" w:rsidP="00A74D20">
            <w:pPr>
              <w:spacing w:before="0" w:after="0" w:line="360" w:lineRule="auto"/>
              <w:jc w:val="both"/>
              <w:rPr>
                <w:rFonts w:cs="Times New Roman"/>
                <w:b/>
                <w:color w:val="000000" w:themeColor="text1"/>
                <w:sz w:val="24"/>
                <w:szCs w:val="24"/>
              </w:rPr>
            </w:pPr>
            <w:r w:rsidRPr="00E87D19">
              <w:rPr>
                <w:rFonts w:cs="Times New Roman"/>
                <w:b/>
                <w:color w:val="000000" w:themeColor="text1"/>
                <w:sz w:val="24"/>
                <w:szCs w:val="24"/>
              </w:rPr>
              <w:t>A280Abs</w:t>
            </w:r>
          </w:p>
        </w:tc>
        <w:tc>
          <w:tcPr>
            <w:tcW w:w="1112" w:type="dxa"/>
            <w:tcBorders>
              <w:bottom w:val="single" w:sz="4" w:space="0" w:color="auto"/>
            </w:tcBorders>
          </w:tcPr>
          <w:p w14:paraId="4BE64091" w14:textId="77777777" w:rsidR="00065147" w:rsidRPr="00E87D19" w:rsidRDefault="00065147" w:rsidP="00A74D20">
            <w:pPr>
              <w:spacing w:before="0" w:after="0" w:line="360" w:lineRule="auto"/>
              <w:jc w:val="both"/>
              <w:rPr>
                <w:rFonts w:cs="Times New Roman"/>
                <w:b/>
                <w:color w:val="000000" w:themeColor="text1"/>
                <w:sz w:val="24"/>
                <w:szCs w:val="24"/>
              </w:rPr>
            </w:pPr>
            <w:r w:rsidRPr="00E87D19">
              <w:rPr>
                <w:rFonts w:cs="Times New Roman"/>
                <w:b/>
                <w:color w:val="000000" w:themeColor="text1"/>
                <w:sz w:val="24"/>
                <w:szCs w:val="24"/>
              </w:rPr>
              <w:t>260/280</w:t>
            </w:r>
          </w:p>
        </w:tc>
        <w:tc>
          <w:tcPr>
            <w:tcW w:w="1112" w:type="dxa"/>
            <w:tcBorders>
              <w:bottom w:val="single" w:sz="4" w:space="0" w:color="auto"/>
            </w:tcBorders>
          </w:tcPr>
          <w:p w14:paraId="5B47E9DE" w14:textId="77777777" w:rsidR="00065147" w:rsidRPr="00E87D19" w:rsidRDefault="00065147" w:rsidP="00A74D20">
            <w:pPr>
              <w:spacing w:before="0" w:after="0" w:line="360" w:lineRule="auto"/>
              <w:jc w:val="both"/>
              <w:rPr>
                <w:rFonts w:cs="Times New Roman"/>
                <w:b/>
                <w:color w:val="000000" w:themeColor="text1"/>
                <w:sz w:val="24"/>
                <w:szCs w:val="24"/>
              </w:rPr>
            </w:pPr>
            <w:r w:rsidRPr="00E87D19">
              <w:rPr>
                <w:rFonts w:cs="Times New Roman"/>
                <w:b/>
                <w:color w:val="000000" w:themeColor="text1"/>
                <w:sz w:val="24"/>
                <w:szCs w:val="24"/>
              </w:rPr>
              <w:t>260/230</w:t>
            </w:r>
          </w:p>
        </w:tc>
        <w:tc>
          <w:tcPr>
            <w:tcW w:w="1540" w:type="dxa"/>
            <w:tcBorders>
              <w:bottom w:val="single" w:sz="4" w:space="0" w:color="auto"/>
            </w:tcBorders>
          </w:tcPr>
          <w:p w14:paraId="70E3D8C4" w14:textId="77777777" w:rsidR="00065147" w:rsidRPr="00E87D19" w:rsidRDefault="00065147" w:rsidP="00A74D20">
            <w:pPr>
              <w:spacing w:before="0" w:after="0" w:line="360" w:lineRule="auto"/>
              <w:jc w:val="both"/>
              <w:rPr>
                <w:rFonts w:cs="Times New Roman"/>
                <w:b/>
                <w:color w:val="000000" w:themeColor="text1"/>
                <w:sz w:val="24"/>
                <w:szCs w:val="24"/>
              </w:rPr>
            </w:pPr>
            <w:r w:rsidRPr="00E87D19">
              <w:rPr>
                <w:rFonts w:cs="Times New Roman"/>
                <w:b/>
                <w:color w:val="000000" w:themeColor="text1"/>
                <w:sz w:val="24"/>
                <w:szCs w:val="24"/>
              </w:rPr>
              <w:t>Sample type</w:t>
            </w:r>
          </w:p>
        </w:tc>
        <w:tc>
          <w:tcPr>
            <w:tcW w:w="1112" w:type="dxa"/>
            <w:tcBorders>
              <w:bottom w:val="single" w:sz="4" w:space="0" w:color="auto"/>
            </w:tcBorders>
          </w:tcPr>
          <w:p w14:paraId="6FFFBF5A" w14:textId="77777777" w:rsidR="00065147" w:rsidRPr="00E87D19" w:rsidRDefault="00065147" w:rsidP="00A74D20">
            <w:pPr>
              <w:spacing w:before="0" w:after="0" w:line="360" w:lineRule="auto"/>
              <w:jc w:val="both"/>
              <w:rPr>
                <w:rFonts w:cs="Times New Roman"/>
                <w:b/>
                <w:color w:val="000000" w:themeColor="text1"/>
                <w:sz w:val="24"/>
                <w:szCs w:val="24"/>
              </w:rPr>
            </w:pPr>
            <w:r w:rsidRPr="00E87D19">
              <w:rPr>
                <w:rFonts w:cs="Times New Roman"/>
                <w:b/>
                <w:color w:val="000000" w:themeColor="text1"/>
                <w:sz w:val="24"/>
                <w:szCs w:val="24"/>
              </w:rPr>
              <w:t>Factor</w:t>
            </w:r>
          </w:p>
        </w:tc>
      </w:tr>
      <w:tr w:rsidR="00065147" w:rsidRPr="00E87D19" w14:paraId="1C7F2025" w14:textId="77777777" w:rsidTr="004935AD">
        <w:trPr>
          <w:trHeight w:val="558"/>
        </w:trPr>
        <w:tc>
          <w:tcPr>
            <w:tcW w:w="1170" w:type="dxa"/>
            <w:tcBorders>
              <w:top w:val="single" w:sz="4" w:space="0" w:color="auto"/>
              <w:bottom w:val="nil"/>
            </w:tcBorders>
          </w:tcPr>
          <w:p w14:paraId="200F6E72" w14:textId="77777777" w:rsidR="00065147" w:rsidRPr="00E87D19" w:rsidRDefault="00065147" w:rsidP="00A74D20">
            <w:pPr>
              <w:spacing w:before="0" w:after="0" w:line="360" w:lineRule="auto"/>
              <w:jc w:val="both"/>
              <w:rPr>
                <w:rFonts w:cs="Times New Roman"/>
                <w:color w:val="000000" w:themeColor="text1"/>
                <w:sz w:val="24"/>
                <w:szCs w:val="24"/>
              </w:rPr>
            </w:pPr>
            <w:r w:rsidRPr="00E87D19">
              <w:rPr>
                <w:rFonts w:cs="Times New Roman"/>
                <w:color w:val="000000" w:themeColor="text1"/>
                <w:sz w:val="24"/>
                <w:szCs w:val="24"/>
              </w:rPr>
              <w:t>BG11</w:t>
            </w:r>
          </w:p>
        </w:tc>
        <w:tc>
          <w:tcPr>
            <w:tcW w:w="1225" w:type="dxa"/>
            <w:tcBorders>
              <w:top w:val="single" w:sz="4" w:space="0" w:color="auto"/>
              <w:bottom w:val="nil"/>
            </w:tcBorders>
          </w:tcPr>
          <w:p w14:paraId="0B0CD333" w14:textId="149CB0C3" w:rsidR="00065147" w:rsidRPr="00E87D19" w:rsidRDefault="00065147" w:rsidP="00A74D20">
            <w:pPr>
              <w:spacing w:before="0" w:after="0" w:line="360" w:lineRule="auto"/>
              <w:jc w:val="both"/>
              <w:rPr>
                <w:rFonts w:cs="Times New Roman"/>
                <w:color w:val="000000" w:themeColor="text1"/>
                <w:sz w:val="24"/>
                <w:szCs w:val="24"/>
              </w:rPr>
            </w:pPr>
            <w:r w:rsidRPr="00E87D19">
              <w:rPr>
                <w:rFonts w:cs="Times New Roman"/>
                <w:color w:val="000000" w:themeColor="text1"/>
                <w:sz w:val="24"/>
                <w:szCs w:val="24"/>
              </w:rPr>
              <w:t>16 ng/</w:t>
            </w:r>
            <w:r w:rsidR="00196F0D" w:rsidRPr="00E87D19">
              <w:rPr>
                <w:rFonts w:cs="Times New Roman"/>
                <w:color w:val="000000" w:themeColor="text1"/>
                <w:sz w:val="24"/>
                <w:szCs w:val="24"/>
              </w:rPr>
              <w:t>u</w:t>
            </w:r>
            <w:r w:rsidRPr="00E87D19">
              <w:rPr>
                <w:rFonts w:cs="Times New Roman"/>
                <w:color w:val="000000" w:themeColor="text1"/>
                <w:sz w:val="24"/>
                <w:szCs w:val="24"/>
              </w:rPr>
              <w:t>l</w:t>
            </w:r>
          </w:p>
        </w:tc>
        <w:tc>
          <w:tcPr>
            <w:tcW w:w="1283" w:type="dxa"/>
            <w:tcBorders>
              <w:top w:val="single" w:sz="4" w:space="0" w:color="auto"/>
              <w:bottom w:val="nil"/>
            </w:tcBorders>
          </w:tcPr>
          <w:p w14:paraId="060EFF75" w14:textId="77777777" w:rsidR="00065147" w:rsidRPr="00E87D19" w:rsidRDefault="00065147" w:rsidP="00A74D20">
            <w:pPr>
              <w:spacing w:before="0" w:after="0" w:line="360" w:lineRule="auto"/>
              <w:jc w:val="both"/>
              <w:rPr>
                <w:rFonts w:cs="Times New Roman"/>
                <w:color w:val="000000" w:themeColor="text1"/>
                <w:sz w:val="24"/>
                <w:szCs w:val="24"/>
              </w:rPr>
            </w:pPr>
            <w:r w:rsidRPr="00E87D19">
              <w:rPr>
                <w:rFonts w:cs="Times New Roman"/>
                <w:color w:val="000000" w:themeColor="text1"/>
                <w:sz w:val="24"/>
                <w:szCs w:val="24"/>
              </w:rPr>
              <w:t>0.321</w:t>
            </w:r>
          </w:p>
        </w:tc>
        <w:tc>
          <w:tcPr>
            <w:tcW w:w="1283" w:type="dxa"/>
            <w:tcBorders>
              <w:top w:val="single" w:sz="4" w:space="0" w:color="auto"/>
              <w:bottom w:val="nil"/>
            </w:tcBorders>
          </w:tcPr>
          <w:p w14:paraId="086ADA43" w14:textId="77777777" w:rsidR="00065147" w:rsidRPr="00E87D19" w:rsidRDefault="00065147" w:rsidP="00A74D20">
            <w:pPr>
              <w:spacing w:before="0" w:after="0" w:line="360" w:lineRule="auto"/>
              <w:jc w:val="both"/>
              <w:rPr>
                <w:rFonts w:cs="Times New Roman"/>
                <w:color w:val="000000" w:themeColor="text1"/>
                <w:sz w:val="24"/>
                <w:szCs w:val="24"/>
              </w:rPr>
            </w:pPr>
            <w:r w:rsidRPr="00E87D19">
              <w:rPr>
                <w:rFonts w:cs="Times New Roman"/>
                <w:color w:val="000000" w:themeColor="text1"/>
                <w:sz w:val="24"/>
                <w:szCs w:val="24"/>
              </w:rPr>
              <w:t>0.171</w:t>
            </w:r>
          </w:p>
        </w:tc>
        <w:tc>
          <w:tcPr>
            <w:tcW w:w="1112" w:type="dxa"/>
            <w:tcBorders>
              <w:top w:val="single" w:sz="4" w:space="0" w:color="auto"/>
              <w:bottom w:val="nil"/>
            </w:tcBorders>
          </w:tcPr>
          <w:p w14:paraId="0643FD02" w14:textId="77777777" w:rsidR="00065147" w:rsidRPr="00E87D19" w:rsidRDefault="00065147" w:rsidP="00A74D20">
            <w:pPr>
              <w:spacing w:before="0" w:after="0" w:line="360" w:lineRule="auto"/>
              <w:jc w:val="both"/>
              <w:rPr>
                <w:rFonts w:cs="Times New Roman"/>
                <w:color w:val="000000" w:themeColor="text1"/>
                <w:sz w:val="24"/>
                <w:szCs w:val="24"/>
              </w:rPr>
            </w:pPr>
            <w:r w:rsidRPr="00E87D19">
              <w:rPr>
                <w:rFonts w:cs="Times New Roman"/>
                <w:color w:val="000000" w:themeColor="text1"/>
                <w:sz w:val="24"/>
                <w:szCs w:val="24"/>
              </w:rPr>
              <w:t>1.88</w:t>
            </w:r>
          </w:p>
        </w:tc>
        <w:tc>
          <w:tcPr>
            <w:tcW w:w="1112" w:type="dxa"/>
            <w:tcBorders>
              <w:top w:val="single" w:sz="4" w:space="0" w:color="auto"/>
              <w:bottom w:val="nil"/>
            </w:tcBorders>
          </w:tcPr>
          <w:p w14:paraId="794DDFD5" w14:textId="77777777" w:rsidR="00065147" w:rsidRPr="00E87D19" w:rsidRDefault="00065147" w:rsidP="00A74D20">
            <w:pPr>
              <w:spacing w:before="0" w:after="0" w:line="360" w:lineRule="auto"/>
              <w:jc w:val="both"/>
              <w:rPr>
                <w:rFonts w:cs="Times New Roman"/>
                <w:color w:val="000000" w:themeColor="text1"/>
                <w:sz w:val="24"/>
                <w:szCs w:val="24"/>
              </w:rPr>
            </w:pPr>
            <w:r w:rsidRPr="00E87D19">
              <w:rPr>
                <w:rFonts w:cs="Times New Roman"/>
                <w:color w:val="000000" w:themeColor="text1"/>
                <w:sz w:val="24"/>
                <w:szCs w:val="24"/>
              </w:rPr>
              <w:t>1.1</w:t>
            </w:r>
          </w:p>
        </w:tc>
        <w:tc>
          <w:tcPr>
            <w:tcW w:w="1540" w:type="dxa"/>
            <w:tcBorders>
              <w:top w:val="single" w:sz="4" w:space="0" w:color="auto"/>
              <w:bottom w:val="nil"/>
            </w:tcBorders>
          </w:tcPr>
          <w:p w14:paraId="3B90F1BB" w14:textId="77777777" w:rsidR="00065147" w:rsidRPr="00E87D19" w:rsidRDefault="00065147" w:rsidP="00A74D20">
            <w:pPr>
              <w:spacing w:before="0" w:after="0" w:line="360" w:lineRule="auto"/>
              <w:jc w:val="both"/>
              <w:rPr>
                <w:rFonts w:cs="Times New Roman"/>
                <w:color w:val="000000" w:themeColor="text1"/>
                <w:sz w:val="24"/>
                <w:szCs w:val="24"/>
              </w:rPr>
            </w:pPr>
            <w:r w:rsidRPr="00E87D19">
              <w:rPr>
                <w:rFonts w:cs="Times New Roman"/>
                <w:color w:val="000000" w:themeColor="text1"/>
                <w:sz w:val="24"/>
                <w:szCs w:val="24"/>
              </w:rPr>
              <w:t>DNA</w:t>
            </w:r>
          </w:p>
        </w:tc>
        <w:tc>
          <w:tcPr>
            <w:tcW w:w="1112" w:type="dxa"/>
            <w:tcBorders>
              <w:top w:val="single" w:sz="4" w:space="0" w:color="auto"/>
              <w:bottom w:val="nil"/>
            </w:tcBorders>
          </w:tcPr>
          <w:p w14:paraId="42965672" w14:textId="77777777" w:rsidR="00065147" w:rsidRPr="00E87D19" w:rsidRDefault="00065147" w:rsidP="00A74D20">
            <w:pPr>
              <w:spacing w:before="0" w:after="0" w:line="360" w:lineRule="auto"/>
              <w:jc w:val="both"/>
              <w:rPr>
                <w:rFonts w:cs="Times New Roman"/>
                <w:color w:val="000000" w:themeColor="text1"/>
                <w:sz w:val="24"/>
                <w:szCs w:val="24"/>
              </w:rPr>
            </w:pPr>
            <w:r w:rsidRPr="00E87D19">
              <w:rPr>
                <w:rFonts w:cs="Times New Roman"/>
                <w:color w:val="000000" w:themeColor="text1"/>
                <w:sz w:val="24"/>
                <w:szCs w:val="24"/>
              </w:rPr>
              <w:t>50</w:t>
            </w:r>
          </w:p>
        </w:tc>
      </w:tr>
      <w:tr w:rsidR="00065147" w:rsidRPr="00E87D19" w14:paraId="73631E16" w14:textId="77777777" w:rsidTr="004935AD">
        <w:trPr>
          <w:trHeight w:val="543"/>
        </w:trPr>
        <w:tc>
          <w:tcPr>
            <w:tcW w:w="1170" w:type="dxa"/>
            <w:tcBorders>
              <w:top w:val="nil"/>
            </w:tcBorders>
          </w:tcPr>
          <w:p w14:paraId="5400DEEB" w14:textId="77777777" w:rsidR="00065147" w:rsidRPr="00E87D19" w:rsidRDefault="00065147" w:rsidP="00A74D20">
            <w:pPr>
              <w:spacing w:before="0" w:after="0" w:line="360" w:lineRule="auto"/>
              <w:jc w:val="both"/>
              <w:rPr>
                <w:rFonts w:cs="Times New Roman"/>
                <w:color w:val="000000" w:themeColor="text1"/>
                <w:sz w:val="24"/>
                <w:szCs w:val="24"/>
              </w:rPr>
            </w:pPr>
            <w:r w:rsidRPr="00E87D19">
              <w:rPr>
                <w:rFonts w:cs="Times New Roman"/>
                <w:color w:val="000000" w:themeColor="text1"/>
                <w:sz w:val="24"/>
                <w:szCs w:val="24"/>
              </w:rPr>
              <w:t>NPK</w:t>
            </w:r>
          </w:p>
        </w:tc>
        <w:tc>
          <w:tcPr>
            <w:tcW w:w="1225" w:type="dxa"/>
            <w:tcBorders>
              <w:top w:val="nil"/>
            </w:tcBorders>
          </w:tcPr>
          <w:p w14:paraId="4074AF0B" w14:textId="5EDEE645" w:rsidR="00065147" w:rsidRPr="00E87D19" w:rsidRDefault="00065147" w:rsidP="00A74D20">
            <w:pPr>
              <w:spacing w:before="0" w:after="0" w:line="360" w:lineRule="auto"/>
              <w:jc w:val="both"/>
              <w:rPr>
                <w:rFonts w:cs="Times New Roman"/>
                <w:color w:val="000000" w:themeColor="text1"/>
                <w:sz w:val="24"/>
                <w:szCs w:val="24"/>
              </w:rPr>
            </w:pPr>
            <w:r w:rsidRPr="00E87D19">
              <w:rPr>
                <w:rFonts w:cs="Times New Roman"/>
                <w:color w:val="000000" w:themeColor="text1"/>
                <w:sz w:val="24"/>
                <w:szCs w:val="24"/>
              </w:rPr>
              <w:t>7.7 ng/</w:t>
            </w:r>
            <w:r w:rsidR="00196F0D" w:rsidRPr="00E87D19">
              <w:rPr>
                <w:rFonts w:cs="Times New Roman"/>
                <w:color w:val="000000" w:themeColor="text1"/>
                <w:sz w:val="24"/>
                <w:szCs w:val="24"/>
              </w:rPr>
              <w:t>u</w:t>
            </w:r>
            <w:r w:rsidRPr="00E87D19">
              <w:rPr>
                <w:rFonts w:cs="Times New Roman"/>
                <w:color w:val="000000" w:themeColor="text1"/>
                <w:sz w:val="24"/>
                <w:szCs w:val="24"/>
              </w:rPr>
              <w:t>l</w:t>
            </w:r>
          </w:p>
        </w:tc>
        <w:tc>
          <w:tcPr>
            <w:tcW w:w="1283" w:type="dxa"/>
            <w:tcBorders>
              <w:top w:val="nil"/>
            </w:tcBorders>
          </w:tcPr>
          <w:p w14:paraId="576C1262" w14:textId="77777777" w:rsidR="00065147" w:rsidRPr="00E87D19" w:rsidRDefault="00065147" w:rsidP="00A74D20">
            <w:pPr>
              <w:spacing w:before="0" w:after="0" w:line="360" w:lineRule="auto"/>
              <w:jc w:val="both"/>
              <w:rPr>
                <w:rFonts w:cs="Times New Roman"/>
                <w:color w:val="000000" w:themeColor="text1"/>
                <w:sz w:val="24"/>
                <w:szCs w:val="24"/>
              </w:rPr>
            </w:pPr>
            <w:r w:rsidRPr="00E87D19">
              <w:rPr>
                <w:rFonts w:cs="Times New Roman"/>
                <w:color w:val="000000" w:themeColor="text1"/>
                <w:sz w:val="24"/>
                <w:szCs w:val="24"/>
              </w:rPr>
              <w:t>0.153</w:t>
            </w:r>
          </w:p>
        </w:tc>
        <w:tc>
          <w:tcPr>
            <w:tcW w:w="1283" w:type="dxa"/>
            <w:tcBorders>
              <w:top w:val="nil"/>
            </w:tcBorders>
          </w:tcPr>
          <w:p w14:paraId="680A2E30" w14:textId="77777777" w:rsidR="00065147" w:rsidRPr="00E87D19" w:rsidRDefault="00065147" w:rsidP="00A74D20">
            <w:pPr>
              <w:spacing w:before="0" w:after="0" w:line="360" w:lineRule="auto"/>
              <w:jc w:val="both"/>
              <w:rPr>
                <w:rFonts w:cs="Times New Roman"/>
                <w:color w:val="000000" w:themeColor="text1"/>
                <w:sz w:val="24"/>
                <w:szCs w:val="24"/>
              </w:rPr>
            </w:pPr>
            <w:r w:rsidRPr="00E87D19">
              <w:rPr>
                <w:rFonts w:cs="Times New Roman"/>
                <w:color w:val="000000" w:themeColor="text1"/>
                <w:sz w:val="24"/>
                <w:szCs w:val="24"/>
              </w:rPr>
              <w:t>0.092</w:t>
            </w:r>
          </w:p>
        </w:tc>
        <w:tc>
          <w:tcPr>
            <w:tcW w:w="1112" w:type="dxa"/>
            <w:tcBorders>
              <w:top w:val="nil"/>
            </w:tcBorders>
          </w:tcPr>
          <w:p w14:paraId="699AD98D" w14:textId="77777777" w:rsidR="00065147" w:rsidRPr="00E87D19" w:rsidRDefault="00065147" w:rsidP="00A74D20">
            <w:pPr>
              <w:spacing w:before="0" w:after="0" w:line="360" w:lineRule="auto"/>
              <w:jc w:val="both"/>
              <w:rPr>
                <w:rFonts w:cs="Times New Roman"/>
                <w:color w:val="000000" w:themeColor="text1"/>
                <w:sz w:val="24"/>
                <w:szCs w:val="24"/>
              </w:rPr>
            </w:pPr>
            <w:r w:rsidRPr="00E87D19">
              <w:rPr>
                <w:rFonts w:cs="Times New Roman"/>
                <w:color w:val="000000" w:themeColor="text1"/>
                <w:sz w:val="24"/>
                <w:szCs w:val="24"/>
              </w:rPr>
              <w:t>1.66</w:t>
            </w:r>
          </w:p>
        </w:tc>
        <w:tc>
          <w:tcPr>
            <w:tcW w:w="1112" w:type="dxa"/>
            <w:tcBorders>
              <w:top w:val="nil"/>
            </w:tcBorders>
          </w:tcPr>
          <w:p w14:paraId="7498E88F" w14:textId="77777777" w:rsidR="00065147" w:rsidRPr="00E87D19" w:rsidRDefault="00065147" w:rsidP="00A74D20">
            <w:pPr>
              <w:spacing w:before="0" w:after="0" w:line="360" w:lineRule="auto"/>
              <w:jc w:val="both"/>
              <w:rPr>
                <w:rFonts w:cs="Times New Roman"/>
                <w:color w:val="000000" w:themeColor="text1"/>
                <w:sz w:val="24"/>
                <w:szCs w:val="24"/>
              </w:rPr>
            </w:pPr>
            <w:r w:rsidRPr="00E87D19">
              <w:rPr>
                <w:rFonts w:cs="Times New Roman"/>
                <w:color w:val="000000" w:themeColor="text1"/>
                <w:sz w:val="24"/>
                <w:szCs w:val="24"/>
              </w:rPr>
              <w:t>0.17</w:t>
            </w:r>
          </w:p>
        </w:tc>
        <w:tc>
          <w:tcPr>
            <w:tcW w:w="1540" w:type="dxa"/>
            <w:tcBorders>
              <w:top w:val="nil"/>
            </w:tcBorders>
          </w:tcPr>
          <w:p w14:paraId="291EBD32" w14:textId="77777777" w:rsidR="00065147" w:rsidRPr="00E87D19" w:rsidRDefault="00065147" w:rsidP="00A74D20">
            <w:pPr>
              <w:spacing w:before="0" w:after="0" w:line="360" w:lineRule="auto"/>
              <w:jc w:val="both"/>
              <w:rPr>
                <w:rFonts w:cs="Times New Roman"/>
                <w:color w:val="000000" w:themeColor="text1"/>
                <w:sz w:val="24"/>
                <w:szCs w:val="24"/>
              </w:rPr>
            </w:pPr>
            <w:r w:rsidRPr="00E87D19">
              <w:rPr>
                <w:rFonts w:cs="Times New Roman"/>
                <w:color w:val="000000" w:themeColor="text1"/>
                <w:sz w:val="24"/>
                <w:szCs w:val="24"/>
              </w:rPr>
              <w:t>DNA</w:t>
            </w:r>
          </w:p>
        </w:tc>
        <w:tc>
          <w:tcPr>
            <w:tcW w:w="1112" w:type="dxa"/>
            <w:tcBorders>
              <w:top w:val="nil"/>
            </w:tcBorders>
          </w:tcPr>
          <w:p w14:paraId="1B4CFBC3" w14:textId="77777777" w:rsidR="00065147" w:rsidRPr="00E87D19" w:rsidRDefault="00065147" w:rsidP="00A74D20">
            <w:pPr>
              <w:spacing w:before="0" w:after="0" w:line="360" w:lineRule="auto"/>
              <w:jc w:val="both"/>
              <w:rPr>
                <w:rFonts w:cs="Times New Roman"/>
                <w:color w:val="000000" w:themeColor="text1"/>
                <w:sz w:val="24"/>
                <w:szCs w:val="24"/>
              </w:rPr>
            </w:pPr>
            <w:r w:rsidRPr="00E87D19">
              <w:rPr>
                <w:rFonts w:cs="Times New Roman"/>
                <w:color w:val="000000" w:themeColor="text1"/>
                <w:sz w:val="24"/>
                <w:szCs w:val="24"/>
              </w:rPr>
              <w:t>50</w:t>
            </w:r>
          </w:p>
        </w:tc>
      </w:tr>
      <w:tr w:rsidR="00065147" w:rsidRPr="00E87D19" w14:paraId="7FEAB531" w14:textId="77777777" w:rsidTr="004935AD">
        <w:trPr>
          <w:trHeight w:val="573"/>
        </w:trPr>
        <w:tc>
          <w:tcPr>
            <w:tcW w:w="1170" w:type="dxa"/>
          </w:tcPr>
          <w:p w14:paraId="3C861F50" w14:textId="77777777" w:rsidR="00065147" w:rsidRPr="00E87D19" w:rsidRDefault="00065147" w:rsidP="00A74D20">
            <w:pPr>
              <w:spacing w:before="0" w:after="0" w:line="360" w:lineRule="auto"/>
              <w:jc w:val="both"/>
              <w:rPr>
                <w:rFonts w:cs="Times New Roman"/>
                <w:color w:val="000000" w:themeColor="text1"/>
                <w:sz w:val="24"/>
                <w:szCs w:val="24"/>
              </w:rPr>
            </w:pPr>
            <w:r w:rsidRPr="00E87D19">
              <w:rPr>
                <w:rFonts w:cs="Times New Roman"/>
                <w:color w:val="000000" w:themeColor="text1"/>
                <w:sz w:val="24"/>
                <w:szCs w:val="24"/>
              </w:rPr>
              <w:t>Biomark</w:t>
            </w:r>
          </w:p>
        </w:tc>
        <w:tc>
          <w:tcPr>
            <w:tcW w:w="1225" w:type="dxa"/>
          </w:tcPr>
          <w:p w14:paraId="006C1A81" w14:textId="0C304913" w:rsidR="00065147" w:rsidRPr="00E87D19" w:rsidRDefault="00065147" w:rsidP="00A74D20">
            <w:pPr>
              <w:spacing w:before="0" w:after="0" w:line="360" w:lineRule="auto"/>
              <w:jc w:val="both"/>
              <w:rPr>
                <w:rFonts w:cs="Times New Roman"/>
                <w:color w:val="000000" w:themeColor="text1"/>
                <w:sz w:val="24"/>
                <w:szCs w:val="24"/>
              </w:rPr>
            </w:pPr>
            <w:r w:rsidRPr="00E87D19">
              <w:rPr>
                <w:rFonts w:cs="Times New Roman"/>
                <w:color w:val="000000" w:themeColor="text1"/>
                <w:sz w:val="24"/>
                <w:szCs w:val="24"/>
              </w:rPr>
              <w:t>18 ng/</w:t>
            </w:r>
            <w:r w:rsidR="00196F0D" w:rsidRPr="00E87D19">
              <w:rPr>
                <w:rFonts w:cs="Times New Roman"/>
                <w:color w:val="000000" w:themeColor="text1"/>
                <w:sz w:val="24"/>
                <w:szCs w:val="24"/>
              </w:rPr>
              <w:t>u</w:t>
            </w:r>
            <w:r w:rsidRPr="00E87D19">
              <w:rPr>
                <w:rFonts w:cs="Times New Roman"/>
                <w:color w:val="000000" w:themeColor="text1"/>
                <w:sz w:val="24"/>
                <w:szCs w:val="24"/>
              </w:rPr>
              <w:t>l</w:t>
            </w:r>
          </w:p>
        </w:tc>
        <w:tc>
          <w:tcPr>
            <w:tcW w:w="1283" w:type="dxa"/>
          </w:tcPr>
          <w:p w14:paraId="4E41838E" w14:textId="77777777" w:rsidR="00065147" w:rsidRPr="00E87D19" w:rsidRDefault="00065147" w:rsidP="00A74D20">
            <w:pPr>
              <w:spacing w:before="0" w:after="0" w:line="360" w:lineRule="auto"/>
              <w:jc w:val="both"/>
              <w:rPr>
                <w:rFonts w:cs="Times New Roman"/>
                <w:color w:val="000000" w:themeColor="text1"/>
                <w:sz w:val="24"/>
                <w:szCs w:val="24"/>
              </w:rPr>
            </w:pPr>
            <w:r w:rsidRPr="00E87D19">
              <w:rPr>
                <w:rFonts w:cs="Times New Roman"/>
                <w:color w:val="000000" w:themeColor="text1"/>
                <w:sz w:val="24"/>
                <w:szCs w:val="24"/>
              </w:rPr>
              <w:t>0.36</w:t>
            </w:r>
          </w:p>
        </w:tc>
        <w:tc>
          <w:tcPr>
            <w:tcW w:w="1283" w:type="dxa"/>
          </w:tcPr>
          <w:p w14:paraId="4260BD5F" w14:textId="77777777" w:rsidR="00065147" w:rsidRPr="00E87D19" w:rsidRDefault="00065147" w:rsidP="00A74D20">
            <w:pPr>
              <w:spacing w:before="0" w:after="0" w:line="360" w:lineRule="auto"/>
              <w:jc w:val="both"/>
              <w:rPr>
                <w:rFonts w:cs="Times New Roman"/>
                <w:color w:val="000000" w:themeColor="text1"/>
                <w:sz w:val="24"/>
                <w:szCs w:val="24"/>
              </w:rPr>
            </w:pPr>
            <w:r w:rsidRPr="00E87D19">
              <w:rPr>
                <w:rFonts w:cs="Times New Roman"/>
                <w:color w:val="000000" w:themeColor="text1"/>
                <w:sz w:val="24"/>
                <w:szCs w:val="24"/>
              </w:rPr>
              <w:t>0.182</w:t>
            </w:r>
          </w:p>
        </w:tc>
        <w:tc>
          <w:tcPr>
            <w:tcW w:w="1112" w:type="dxa"/>
          </w:tcPr>
          <w:p w14:paraId="144DC233" w14:textId="77777777" w:rsidR="00065147" w:rsidRPr="00E87D19" w:rsidRDefault="00065147" w:rsidP="00A74D20">
            <w:pPr>
              <w:spacing w:before="0" w:after="0" w:line="360" w:lineRule="auto"/>
              <w:jc w:val="both"/>
              <w:rPr>
                <w:rFonts w:cs="Times New Roman"/>
                <w:color w:val="000000" w:themeColor="text1"/>
                <w:sz w:val="24"/>
                <w:szCs w:val="24"/>
              </w:rPr>
            </w:pPr>
            <w:r w:rsidRPr="00E87D19">
              <w:rPr>
                <w:rFonts w:cs="Times New Roman"/>
                <w:color w:val="000000" w:themeColor="text1"/>
                <w:sz w:val="24"/>
                <w:szCs w:val="24"/>
              </w:rPr>
              <w:t>1.98</w:t>
            </w:r>
          </w:p>
        </w:tc>
        <w:tc>
          <w:tcPr>
            <w:tcW w:w="1112" w:type="dxa"/>
          </w:tcPr>
          <w:p w14:paraId="061FEC75" w14:textId="77777777" w:rsidR="00065147" w:rsidRPr="00E87D19" w:rsidRDefault="00065147" w:rsidP="00A74D20">
            <w:pPr>
              <w:spacing w:before="0" w:after="0" w:line="360" w:lineRule="auto"/>
              <w:jc w:val="both"/>
              <w:rPr>
                <w:rFonts w:cs="Times New Roman"/>
                <w:color w:val="000000" w:themeColor="text1"/>
                <w:sz w:val="24"/>
                <w:szCs w:val="24"/>
              </w:rPr>
            </w:pPr>
            <w:r w:rsidRPr="00E87D19">
              <w:rPr>
                <w:rFonts w:cs="Times New Roman"/>
                <w:color w:val="000000" w:themeColor="text1"/>
                <w:sz w:val="24"/>
                <w:szCs w:val="24"/>
              </w:rPr>
              <w:t>0.79</w:t>
            </w:r>
          </w:p>
        </w:tc>
        <w:tc>
          <w:tcPr>
            <w:tcW w:w="1540" w:type="dxa"/>
          </w:tcPr>
          <w:p w14:paraId="11BEF463" w14:textId="77777777" w:rsidR="00065147" w:rsidRPr="00E87D19" w:rsidRDefault="00065147" w:rsidP="00A74D20">
            <w:pPr>
              <w:spacing w:before="0" w:after="0" w:line="360" w:lineRule="auto"/>
              <w:jc w:val="both"/>
              <w:rPr>
                <w:rFonts w:cs="Times New Roman"/>
                <w:color w:val="000000" w:themeColor="text1"/>
                <w:sz w:val="24"/>
                <w:szCs w:val="24"/>
              </w:rPr>
            </w:pPr>
            <w:r w:rsidRPr="00E87D19">
              <w:rPr>
                <w:rFonts w:cs="Times New Roman"/>
                <w:color w:val="000000" w:themeColor="text1"/>
                <w:sz w:val="24"/>
                <w:szCs w:val="24"/>
              </w:rPr>
              <w:t>DNA</w:t>
            </w:r>
          </w:p>
        </w:tc>
        <w:tc>
          <w:tcPr>
            <w:tcW w:w="1112" w:type="dxa"/>
          </w:tcPr>
          <w:p w14:paraId="65B23010" w14:textId="77777777" w:rsidR="00065147" w:rsidRPr="00E87D19" w:rsidRDefault="00065147" w:rsidP="00A74D20">
            <w:pPr>
              <w:spacing w:before="0" w:after="0" w:line="360" w:lineRule="auto"/>
              <w:jc w:val="both"/>
              <w:rPr>
                <w:rFonts w:cs="Times New Roman"/>
                <w:color w:val="000000" w:themeColor="text1"/>
                <w:sz w:val="24"/>
                <w:szCs w:val="24"/>
              </w:rPr>
            </w:pPr>
            <w:r w:rsidRPr="00E87D19">
              <w:rPr>
                <w:rFonts w:cs="Times New Roman"/>
                <w:color w:val="000000" w:themeColor="text1"/>
                <w:sz w:val="24"/>
                <w:szCs w:val="24"/>
              </w:rPr>
              <w:t>50</w:t>
            </w:r>
          </w:p>
        </w:tc>
      </w:tr>
    </w:tbl>
    <w:p w14:paraId="6A3621C4" w14:textId="77777777" w:rsidR="00065147" w:rsidRPr="00E87D19" w:rsidRDefault="00065147" w:rsidP="00A74D20">
      <w:pPr>
        <w:spacing w:before="0" w:after="0" w:line="360" w:lineRule="auto"/>
        <w:rPr>
          <w:rFonts w:cs="Times New Roman"/>
          <w:b/>
          <w:color w:val="000000" w:themeColor="text1"/>
          <w:szCs w:val="24"/>
        </w:rPr>
      </w:pPr>
      <w:r w:rsidRPr="00E87D19">
        <w:rPr>
          <w:rFonts w:cs="Times New Roman"/>
          <w:b/>
          <w:color w:val="000000" w:themeColor="text1"/>
          <w:szCs w:val="24"/>
        </w:rPr>
        <w:br w:type="page"/>
      </w:r>
    </w:p>
    <w:p w14:paraId="39BA5DE8" w14:textId="77777777" w:rsidR="00065147" w:rsidRPr="00E87D19" w:rsidRDefault="00065147" w:rsidP="00A74D20">
      <w:pPr>
        <w:spacing w:before="0" w:after="0" w:line="360" w:lineRule="auto"/>
        <w:jc w:val="both"/>
        <w:rPr>
          <w:rFonts w:cs="Times New Roman"/>
          <w:b/>
          <w:color w:val="000000" w:themeColor="text1"/>
          <w:szCs w:val="24"/>
        </w:rPr>
      </w:pPr>
      <w:r w:rsidRPr="00E87D19">
        <w:rPr>
          <w:rFonts w:cs="Times New Roman"/>
          <w:b/>
          <w:color w:val="000000" w:themeColor="text1"/>
          <w:szCs w:val="24"/>
        </w:rPr>
        <w:lastRenderedPageBreak/>
        <w:t>Electrophoresis results</w:t>
      </w:r>
    </w:p>
    <w:p w14:paraId="3DB150DE"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Electrophoresis results showed clear bands indicating successful DNA extraction and potential for further genetic analysis.</w:t>
      </w:r>
    </w:p>
    <w:p w14:paraId="56782858" w14:textId="77777777" w:rsidR="00065147" w:rsidRPr="00E87D19" w:rsidRDefault="00065147" w:rsidP="00A74D20">
      <w:pPr>
        <w:spacing w:before="0" w:after="0" w:line="360" w:lineRule="auto"/>
        <w:jc w:val="both"/>
        <w:rPr>
          <w:rFonts w:cs="Times New Roman"/>
          <w:b/>
          <w:color w:val="000000" w:themeColor="text1"/>
          <w:szCs w:val="24"/>
        </w:rPr>
      </w:pPr>
    </w:p>
    <w:p w14:paraId="5AB08DAF" w14:textId="77777777" w:rsidR="00065147" w:rsidRPr="00E87D19" w:rsidRDefault="00065147" w:rsidP="00A74D20">
      <w:pPr>
        <w:spacing w:before="0" w:after="0" w:line="360" w:lineRule="auto"/>
        <w:jc w:val="both"/>
        <w:rPr>
          <w:rFonts w:cs="Times New Roman"/>
          <w:b/>
          <w:color w:val="000000" w:themeColor="text1"/>
          <w:szCs w:val="24"/>
        </w:rPr>
      </w:pPr>
      <w:r w:rsidRPr="00E87D19">
        <w:rPr>
          <w:rFonts w:cs="Times New Roman"/>
          <w:b/>
          <w:noProof/>
          <w:color w:val="000000" w:themeColor="text1"/>
          <w:szCs w:val="24"/>
        </w:rPr>
        <w:drawing>
          <wp:inline distT="0" distB="0" distL="0" distR="0" wp14:anchorId="074082EE" wp14:editId="50EB958A">
            <wp:extent cx="6057900" cy="20859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amu selah Algae DNA.jpg"/>
                    <pic:cNvPicPr/>
                  </pic:nvPicPr>
                  <pic:blipFill>
                    <a:blip r:embed="rId15">
                      <a:extLst>
                        <a:ext uri="{28A0092B-C50C-407E-A947-70E740481C1C}">
                          <a14:useLocalDpi xmlns:a14="http://schemas.microsoft.com/office/drawing/2010/main" val="0"/>
                        </a:ext>
                      </a:extLst>
                    </a:blip>
                    <a:stretch>
                      <a:fillRect/>
                    </a:stretch>
                  </pic:blipFill>
                  <pic:spPr>
                    <a:xfrm>
                      <a:off x="0" y="0"/>
                      <a:ext cx="6057900" cy="2085975"/>
                    </a:xfrm>
                    <a:prstGeom prst="rect">
                      <a:avLst/>
                    </a:prstGeom>
                  </pic:spPr>
                </pic:pic>
              </a:graphicData>
            </a:graphic>
          </wp:inline>
        </w:drawing>
      </w:r>
    </w:p>
    <w:p w14:paraId="42386AFC" w14:textId="1882FB98" w:rsidR="00065147" w:rsidRPr="00E87D19" w:rsidRDefault="00065147" w:rsidP="00A74D20">
      <w:pPr>
        <w:spacing w:before="0" w:after="0" w:line="360" w:lineRule="auto"/>
        <w:jc w:val="both"/>
        <w:rPr>
          <w:rFonts w:cs="Times New Roman"/>
          <w:b/>
          <w:color w:val="000000" w:themeColor="text1"/>
          <w:szCs w:val="24"/>
        </w:rPr>
      </w:pPr>
      <w:r w:rsidRPr="00E87D19">
        <w:rPr>
          <w:rFonts w:cs="Times New Roman"/>
          <w:b/>
          <w:color w:val="000000" w:themeColor="text1"/>
          <w:szCs w:val="24"/>
        </w:rPr>
        <w:t>Fig</w:t>
      </w:r>
      <w:r w:rsidR="00A61DC8" w:rsidRPr="00E87D19">
        <w:rPr>
          <w:rFonts w:cs="Times New Roman"/>
          <w:b/>
          <w:color w:val="000000" w:themeColor="text1"/>
          <w:szCs w:val="24"/>
        </w:rPr>
        <w:t>ure</w:t>
      </w:r>
      <w:r w:rsidRPr="00E87D19">
        <w:rPr>
          <w:rFonts w:cs="Times New Roman"/>
          <w:b/>
          <w:color w:val="000000" w:themeColor="text1"/>
          <w:szCs w:val="24"/>
        </w:rPr>
        <w:t xml:space="preserve"> </w:t>
      </w:r>
      <w:r w:rsidR="00A61DC8" w:rsidRPr="00E87D19">
        <w:rPr>
          <w:rFonts w:cs="Times New Roman"/>
          <w:b/>
          <w:color w:val="000000" w:themeColor="text1"/>
          <w:szCs w:val="24"/>
        </w:rPr>
        <w:t>2</w:t>
      </w:r>
      <w:r w:rsidRPr="00E87D19">
        <w:rPr>
          <w:rFonts w:cs="Times New Roman"/>
          <w:b/>
          <w:color w:val="000000" w:themeColor="text1"/>
          <w:szCs w:val="24"/>
        </w:rPr>
        <w:t>:</w:t>
      </w:r>
      <w:r w:rsidRPr="00E87D19">
        <w:rPr>
          <w:rFonts w:cs="Times New Roman"/>
          <w:color w:val="000000" w:themeColor="text1"/>
          <w:szCs w:val="24"/>
        </w:rPr>
        <w:t xml:space="preserve"> Electrophoresis results showing the bands of the three </w:t>
      </w:r>
      <w:r w:rsidRPr="00E87D19">
        <w:rPr>
          <w:rFonts w:cs="Times New Roman"/>
          <w:i/>
          <w:color w:val="000000" w:themeColor="text1"/>
          <w:szCs w:val="24"/>
        </w:rPr>
        <w:t>Chlorella soroki</w:t>
      </w:r>
      <w:r w:rsidR="001F2BBE">
        <w:rPr>
          <w:rFonts w:cs="Times New Roman"/>
          <w:i/>
          <w:color w:val="000000" w:themeColor="text1"/>
          <w:szCs w:val="24"/>
        </w:rPr>
        <w:t>n</w:t>
      </w:r>
      <w:r w:rsidRPr="00E87D19">
        <w:rPr>
          <w:rFonts w:cs="Times New Roman"/>
          <w:i/>
          <w:color w:val="000000" w:themeColor="text1"/>
          <w:szCs w:val="24"/>
        </w:rPr>
        <w:t xml:space="preserve">iana </w:t>
      </w:r>
      <w:r w:rsidRPr="00E87D19">
        <w:rPr>
          <w:rFonts w:cs="Times New Roman"/>
          <w:color w:val="000000" w:themeColor="text1"/>
          <w:szCs w:val="24"/>
        </w:rPr>
        <w:t>(A Pond, R Pond and B Pond) DNA gene sequence of 450 base pair from all the sample.</w:t>
      </w:r>
    </w:p>
    <w:p w14:paraId="096D1B6B" w14:textId="77777777" w:rsidR="00065147" w:rsidRPr="00E87D19" w:rsidRDefault="00065147" w:rsidP="00A74D20">
      <w:pPr>
        <w:spacing w:before="0" w:after="0" w:line="360" w:lineRule="auto"/>
        <w:rPr>
          <w:rFonts w:cs="Times New Roman"/>
          <w:b/>
          <w:color w:val="000000" w:themeColor="text1"/>
          <w:szCs w:val="24"/>
        </w:rPr>
      </w:pPr>
      <w:r w:rsidRPr="00E87D19">
        <w:rPr>
          <w:rFonts w:cs="Times New Roman"/>
          <w:b/>
          <w:color w:val="000000" w:themeColor="text1"/>
          <w:szCs w:val="24"/>
        </w:rPr>
        <w:br w:type="page"/>
      </w:r>
    </w:p>
    <w:p w14:paraId="39C1917E" w14:textId="77777777" w:rsidR="00065147" w:rsidRPr="00E87D19" w:rsidRDefault="00065147" w:rsidP="00A74D20">
      <w:pPr>
        <w:spacing w:before="0" w:after="0" w:line="360" w:lineRule="auto"/>
        <w:jc w:val="both"/>
        <w:rPr>
          <w:rFonts w:cs="Times New Roman"/>
          <w:b/>
          <w:color w:val="000000" w:themeColor="text1"/>
          <w:szCs w:val="24"/>
        </w:rPr>
      </w:pPr>
      <w:r w:rsidRPr="00E87D19">
        <w:rPr>
          <w:rFonts w:cs="Times New Roman"/>
          <w:noProof/>
          <w:color w:val="000000" w:themeColor="text1"/>
          <w:szCs w:val="24"/>
        </w:rPr>
        <w:lastRenderedPageBreak/>
        <w:drawing>
          <wp:inline distT="0" distB="0" distL="0" distR="0" wp14:anchorId="78D4A7FF" wp14:editId="113DCBD0">
            <wp:extent cx="5731510" cy="174180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1510" cy="1741805"/>
                    </a:xfrm>
                    <a:prstGeom prst="rect">
                      <a:avLst/>
                    </a:prstGeom>
                    <a:noFill/>
                    <a:ln>
                      <a:noFill/>
                    </a:ln>
                  </pic:spPr>
                </pic:pic>
              </a:graphicData>
            </a:graphic>
          </wp:inline>
        </w:drawing>
      </w:r>
    </w:p>
    <w:p w14:paraId="51F75C66" w14:textId="1B280974" w:rsidR="00065147" w:rsidRPr="00E87D19" w:rsidRDefault="00065147" w:rsidP="00A74D20">
      <w:pPr>
        <w:spacing w:before="0" w:after="0" w:line="360" w:lineRule="auto"/>
        <w:jc w:val="both"/>
        <w:rPr>
          <w:rFonts w:eastAsia="Times New Roman" w:cs="Times New Roman"/>
          <w:color w:val="000000" w:themeColor="text1"/>
          <w:szCs w:val="24"/>
          <w:lang w:eastAsia="en-GB"/>
        </w:rPr>
      </w:pPr>
      <w:r w:rsidRPr="00E87D19">
        <w:rPr>
          <w:rFonts w:eastAsia="Times New Roman" w:cs="Times New Roman"/>
          <w:b/>
          <w:bCs/>
          <w:color w:val="000000" w:themeColor="text1"/>
          <w:szCs w:val="24"/>
          <w:lang w:eastAsia="en-GB"/>
        </w:rPr>
        <w:t xml:space="preserve">Figure </w:t>
      </w:r>
      <w:r w:rsidR="00A61DC8" w:rsidRPr="00E87D19">
        <w:rPr>
          <w:rFonts w:eastAsia="Times New Roman" w:cs="Times New Roman"/>
          <w:b/>
          <w:bCs/>
          <w:color w:val="000000" w:themeColor="text1"/>
          <w:szCs w:val="24"/>
          <w:lang w:eastAsia="en-GB"/>
        </w:rPr>
        <w:t>3</w:t>
      </w:r>
      <w:r w:rsidRPr="00E87D19">
        <w:rPr>
          <w:rFonts w:eastAsia="Times New Roman" w:cs="Times New Roman"/>
          <w:b/>
          <w:bCs/>
          <w:color w:val="000000" w:themeColor="text1"/>
          <w:szCs w:val="24"/>
          <w:lang w:eastAsia="en-GB"/>
        </w:rPr>
        <w:t>. Maximum Parsimony analysis of taxa</w:t>
      </w:r>
    </w:p>
    <w:p w14:paraId="66CED8B7" w14:textId="77777777" w:rsidR="00514FAA" w:rsidRPr="00E87D19" w:rsidRDefault="00514FAA" w:rsidP="00A74D20">
      <w:pPr>
        <w:spacing w:before="0" w:after="0" w:line="360" w:lineRule="auto"/>
        <w:jc w:val="both"/>
        <w:rPr>
          <w:rFonts w:eastAsia="Times New Roman" w:cs="Times New Roman"/>
          <w:color w:val="000000" w:themeColor="text1"/>
          <w:szCs w:val="24"/>
          <w:lang w:eastAsia="en-GB"/>
        </w:rPr>
      </w:pPr>
      <w:r w:rsidRPr="00E87D19">
        <w:rPr>
          <w:rFonts w:eastAsia="Times New Roman" w:cs="Times New Roman"/>
          <w:color w:val="000000" w:themeColor="text1"/>
          <w:szCs w:val="24"/>
          <w:lang w:eastAsia="en-GB"/>
        </w:rPr>
        <w:t>The evolutionary relationship of the isolated microalga and related taxa was inferred using the Maximum Parsimony (MP) method implemented in MEGA version 6.0. The analysis included 10 nucleotide sequences obtained from the ITS region. All codon positions (1st, 2nd, and 3rd) together with non-coding regions were included in the analysis. Positions containing gaps and missing data were excluded, resulting in a final dataset of 212 nucleotide positions.</w:t>
      </w:r>
    </w:p>
    <w:p w14:paraId="285CC537" w14:textId="6BEA980D" w:rsidR="00514FAA" w:rsidRPr="00E87D19" w:rsidRDefault="00514FAA" w:rsidP="00A74D20">
      <w:pPr>
        <w:spacing w:before="0" w:after="0" w:line="360" w:lineRule="auto"/>
        <w:jc w:val="both"/>
        <w:rPr>
          <w:rFonts w:eastAsia="Times New Roman" w:cs="Times New Roman"/>
          <w:color w:val="000000" w:themeColor="text1"/>
          <w:szCs w:val="24"/>
          <w:lang w:eastAsia="en-GB"/>
        </w:rPr>
      </w:pPr>
      <w:r w:rsidRPr="00E87D19">
        <w:rPr>
          <w:rFonts w:eastAsia="Times New Roman" w:cs="Times New Roman"/>
          <w:color w:val="000000" w:themeColor="text1"/>
          <w:szCs w:val="24"/>
          <w:lang w:eastAsia="en-GB"/>
        </w:rPr>
        <w:t xml:space="preserve">The most parsimonious tree was generated using the Subtree-Pruning-Regrafting (SPR) algorithm with random addition of sequences (10 replicates). One of the ten equally parsimonious trees obtained is presented in Figure </w:t>
      </w:r>
      <w:r w:rsidR="000B2BB9">
        <w:rPr>
          <w:rFonts w:eastAsia="Times New Roman" w:cs="Times New Roman"/>
          <w:color w:val="000000" w:themeColor="text1"/>
          <w:szCs w:val="24"/>
          <w:lang w:eastAsia="en-GB"/>
        </w:rPr>
        <w:t>3</w:t>
      </w:r>
      <w:r w:rsidRPr="00E87D19">
        <w:rPr>
          <w:rFonts w:eastAsia="Times New Roman" w:cs="Times New Roman"/>
          <w:color w:val="000000" w:themeColor="text1"/>
          <w:szCs w:val="24"/>
          <w:lang w:eastAsia="en-GB"/>
        </w:rPr>
        <w:t>. The tree had a length of 93, with a consistency index (CI) of 1.000, retention index (RI) of 1.000, and composite index (CI × RI) of 1.000, indicating a high level of consistency and reliability among the analyzed sequences. The phylogenetic analysis confirmed the taxonomic placement of the isolate and demonstrated its evolutionary relationship with closely related microalgal species.</w:t>
      </w:r>
    </w:p>
    <w:p w14:paraId="1AAB38BD" w14:textId="624AFBD8" w:rsidR="00A61DC8" w:rsidRPr="00E87D19" w:rsidRDefault="00A61DC8" w:rsidP="00A74D20">
      <w:pPr>
        <w:spacing w:before="0" w:after="0" w:line="360" w:lineRule="auto"/>
        <w:rPr>
          <w:rFonts w:eastAsiaTheme="majorEastAsia" w:cs="Times New Roman"/>
          <w:b/>
          <w:bCs/>
          <w:color w:val="000000" w:themeColor="text1"/>
          <w:szCs w:val="24"/>
        </w:rPr>
      </w:pPr>
      <w:bookmarkStart w:id="6" w:name="_Toc170294691"/>
      <w:r w:rsidRPr="00E87D19">
        <w:rPr>
          <w:rFonts w:eastAsiaTheme="majorEastAsia" w:cs="Times New Roman"/>
          <w:b/>
          <w:bCs/>
          <w:color w:val="000000" w:themeColor="text1"/>
          <w:szCs w:val="24"/>
        </w:rPr>
        <w:t>Growth Performance</w:t>
      </w:r>
      <w:r w:rsidR="00922950" w:rsidRPr="00E87D19">
        <w:rPr>
          <w:rFonts w:eastAsiaTheme="majorEastAsia" w:cs="Times New Roman"/>
          <w:b/>
          <w:bCs/>
          <w:color w:val="000000" w:themeColor="text1"/>
          <w:szCs w:val="24"/>
        </w:rPr>
        <w:t xml:space="preserve"> of the culture media</w:t>
      </w:r>
    </w:p>
    <w:p w14:paraId="35AC6DDF" w14:textId="2EF2E934" w:rsidR="00A61DC8" w:rsidRPr="00E87D19" w:rsidRDefault="00A61DC8" w:rsidP="00A74D20">
      <w:pPr>
        <w:spacing w:before="0" w:after="0" w:line="360" w:lineRule="auto"/>
        <w:jc w:val="both"/>
        <w:rPr>
          <w:rFonts w:eastAsiaTheme="majorEastAsia" w:cs="Times New Roman"/>
          <w:color w:val="000000" w:themeColor="text1"/>
          <w:szCs w:val="24"/>
        </w:rPr>
      </w:pPr>
      <w:r w:rsidRPr="00E87D19">
        <w:rPr>
          <w:rFonts w:eastAsiaTheme="majorEastAsia" w:cs="Times New Roman"/>
          <w:color w:val="000000" w:themeColor="text1"/>
          <w:szCs w:val="24"/>
        </w:rPr>
        <w:t xml:space="preserve">Significant differences in growth performance were observed among the </w:t>
      </w:r>
      <w:r w:rsidR="005373FB" w:rsidRPr="00E87D19">
        <w:rPr>
          <w:rFonts w:eastAsiaTheme="majorEastAsia" w:cs="Times New Roman"/>
          <w:color w:val="000000" w:themeColor="text1"/>
          <w:szCs w:val="24"/>
        </w:rPr>
        <w:t>three-culture</w:t>
      </w:r>
      <w:r w:rsidRPr="00E87D19">
        <w:rPr>
          <w:rFonts w:eastAsiaTheme="majorEastAsia" w:cs="Times New Roman"/>
          <w:color w:val="000000" w:themeColor="text1"/>
          <w:szCs w:val="24"/>
        </w:rPr>
        <w:t xml:space="preserve"> media (BG11, algal broth, and NPK fertilizer medium). Growth followed a typical </w:t>
      </w:r>
      <w:r w:rsidR="00C854D0" w:rsidRPr="00E87D19">
        <w:rPr>
          <w:rFonts w:eastAsiaTheme="majorEastAsia" w:cs="Times New Roman"/>
          <w:color w:val="000000" w:themeColor="text1"/>
          <w:szCs w:val="24"/>
        </w:rPr>
        <w:t>sigmoid</w:t>
      </w:r>
      <w:r w:rsidRPr="00E87D19">
        <w:rPr>
          <w:rFonts w:eastAsiaTheme="majorEastAsia" w:cs="Times New Roman"/>
          <w:color w:val="000000" w:themeColor="text1"/>
          <w:szCs w:val="24"/>
        </w:rPr>
        <w:t xml:space="preserve"> pattern characterized by lag, exponential, and stationary phases across all treatments.</w:t>
      </w:r>
    </w:p>
    <w:p w14:paraId="1C8A2A65" w14:textId="37E94B01" w:rsidR="00A61DC8" w:rsidRPr="00E87D19" w:rsidRDefault="00A61DC8" w:rsidP="00A74D20">
      <w:pPr>
        <w:spacing w:before="0" w:after="0" w:line="360" w:lineRule="auto"/>
        <w:jc w:val="both"/>
        <w:rPr>
          <w:rFonts w:eastAsiaTheme="majorEastAsia" w:cs="Times New Roman"/>
          <w:color w:val="000000" w:themeColor="text1"/>
          <w:szCs w:val="24"/>
        </w:rPr>
      </w:pPr>
      <w:r w:rsidRPr="00E87D19">
        <w:rPr>
          <w:rFonts w:eastAsiaTheme="majorEastAsia" w:cs="Times New Roman"/>
          <w:color w:val="000000" w:themeColor="text1"/>
          <w:szCs w:val="24"/>
        </w:rPr>
        <w:t xml:space="preserve">BG11 medium supported the highest biomass accumulation throughout the cultivation period, reaching a maximum value of 35.48 g/L (dry weight). This was followed by algal broth (19.61 g/L) and NPK medium (7.26 g/L). </w:t>
      </w:r>
    </w:p>
    <w:p w14:paraId="4956767A" w14:textId="77777777" w:rsidR="00065147" w:rsidRPr="00E87D19" w:rsidRDefault="00065147" w:rsidP="00A74D20">
      <w:pPr>
        <w:spacing w:before="0" w:after="0" w:line="360" w:lineRule="auto"/>
        <w:rPr>
          <w:rFonts w:cs="Times New Roman"/>
          <w:b/>
          <w:color w:val="000000" w:themeColor="text1"/>
          <w:szCs w:val="24"/>
        </w:rPr>
      </w:pPr>
      <w:r w:rsidRPr="00E87D19">
        <w:rPr>
          <w:rFonts w:cs="Times New Roman"/>
          <w:b/>
          <w:color w:val="000000" w:themeColor="text1"/>
          <w:szCs w:val="24"/>
        </w:rPr>
        <w:br w:type="page"/>
      </w:r>
    </w:p>
    <w:p w14:paraId="150BFAB1" w14:textId="77777777" w:rsidR="00065147" w:rsidRPr="00E87D19" w:rsidRDefault="00065147" w:rsidP="00A74D20">
      <w:pPr>
        <w:spacing w:after="0" w:line="360" w:lineRule="auto"/>
        <w:jc w:val="both"/>
        <w:rPr>
          <w:rFonts w:cs="Times New Roman"/>
          <w:b/>
          <w:color w:val="000000" w:themeColor="text1"/>
          <w:szCs w:val="24"/>
        </w:rPr>
      </w:pPr>
      <w:r w:rsidRPr="00E87D19">
        <w:rPr>
          <w:rFonts w:cs="Times New Roman"/>
          <w:b/>
          <w:color w:val="000000" w:themeColor="text1"/>
          <w:szCs w:val="24"/>
        </w:rPr>
        <w:lastRenderedPageBreak/>
        <w:t>Table 3: The average growth of the microalgae cultivated in three different media (n ꞊ 3)</w:t>
      </w:r>
    </w:p>
    <w:tbl>
      <w:tblPr>
        <w:tblW w:w="7110" w:type="dxa"/>
        <w:tblInd w:w="108" w:type="dxa"/>
        <w:tblBorders>
          <w:top w:val="single" w:sz="4" w:space="0" w:color="auto"/>
          <w:bottom w:val="single" w:sz="4" w:space="0" w:color="auto"/>
        </w:tblBorders>
        <w:tblLook w:val="04A0" w:firstRow="1" w:lastRow="0" w:firstColumn="1" w:lastColumn="0" w:noHBand="0" w:noVBand="1"/>
      </w:tblPr>
      <w:tblGrid>
        <w:gridCol w:w="710"/>
        <w:gridCol w:w="2170"/>
        <w:gridCol w:w="2340"/>
        <w:gridCol w:w="1890"/>
      </w:tblGrid>
      <w:tr w:rsidR="00065147" w:rsidRPr="00E87D19" w14:paraId="094B22CC" w14:textId="77777777" w:rsidTr="004935AD">
        <w:trPr>
          <w:trHeight w:val="300"/>
        </w:trPr>
        <w:tc>
          <w:tcPr>
            <w:tcW w:w="710" w:type="dxa"/>
            <w:tcBorders>
              <w:bottom w:val="single" w:sz="4" w:space="0" w:color="auto"/>
            </w:tcBorders>
          </w:tcPr>
          <w:p w14:paraId="079D2003"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 xml:space="preserve">Days </w:t>
            </w:r>
          </w:p>
        </w:tc>
        <w:tc>
          <w:tcPr>
            <w:tcW w:w="2170" w:type="dxa"/>
            <w:tcBorders>
              <w:bottom w:val="single" w:sz="4" w:space="0" w:color="auto"/>
            </w:tcBorders>
            <w:noWrap/>
            <w:vAlign w:val="center"/>
            <w:hideMark/>
          </w:tcPr>
          <w:p w14:paraId="31E1C00C"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BG11 average</w:t>
            </w:r>
          </w:p>
        </w:tc>
        <w:tc>
          <w:tcPr>
            <w:tcW w:w="2340" w:type="dxa"/>
            <w:tcBorders>
              <w:bottom w:val="single" w:sz="4" w:space="0" w:color="auto"/>
            </w:tcBorders>
            <w:noWrap/>
            <w:vAlign w:val="center"/>
            <w:hideMark/>
          </w:tcPr>
          <w:p w14:paraId="3C916599"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Broth average</w:t>
            </w:r>
          </w:p>
        </w:tc>
        <w:tc>
          <w:tcPr>
            <w:tcW w:w="1890" w:type="dxa"/>
            <w:tcBorders>
              <w:bottom w:val="single" w:sz="4" w:space="0" w:color="auto"/>
            </w:tcBorders>
            <w:noWrap/>
            <w:vAlign w:val="center"/>
            <w:hideMark/>
          </w:tcPr>
          <w:p w14:paraId="30F3853C"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NPK average</w:t>
            </w:r>
          </w:p>
        </w:tc>
      </w:tr>
      <w:tr w:rsidR="00065147" w:rsidRPr="00E87D19" w14:paraId="1C69E535" w14:textId="77777777" w:rsidTr="004935AD">
        <w:trPr>
          <w:trHeight w:val="300"/>
        </w:trPr>
        <w:tc>
          <w:tcPr>
            <w:tcW w:w="710" w:type="dxa"/>
            <w:tcBorders>
              <w:top w:val="single" w:sz="4" w:space="0" w:color="auto"/>
              <w:bottom w:val="nil"/>
            </w:tcBorders>
          </w:tcPr>
          <w:p w14:paraId="228290FA"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2</w:t>
            </w:r>
          </w:p>
        </w:tc>
        <w:tc>
          <w:tcPr>
            <w:tcW w:w="2170" w:type="dxa"/>
            <w:tcBorders>
              <w:top w:val="single" w:sz="4" w:space="0" w:color="auto"/>
              <w:bottom w:val="nil"/>
            </w:tcBorders>
            <w:noWrap/>
            <w:vAlign w:val="center"/>
            <w:hideMark/>
          </w:tcPr>
          <w:p w14:paraId="06008863"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0.1±0.01</w:t>
            </w:r>
          </w:p>
        </w:tc>
        <w:tc>
          <w:tcPr>
            <w:tcW w:w="2340" w:type="dxa"/>
            <w:tcBorders>
              <w:top w:val="single" w:sz="4" w:space="0" w:color="auto"/>
              <w:bottom w:val="nil"/>
            </w:tcBorders>
            <w:noWrap/>
            <w:vAlign w:val="center"/>
            <w:hideMark/>
          </w:tcPr>
          <w:p w14:paraId="5D7CEEF7"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0.1±0.01</w:t>
            </w:r>
          </w:p>
        </w:tc>
        <w:tc>
          <w:tcPr>
            <w:tcW w:w="1890" w:type="dxa"/>
            <w:tcBorders>
              <w:top w:val="single" w:sz="4" w:space="0" w:color="auto"/>
              <w:bottom w:val="nil"/>
            </w:tcBorders>
            <w:noWrap/>
            <w:vAlign w:val="center"/>
            <w:hideMark/>
          </w:tcPr>
          <w:p w14:paraId="1CE871FE"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0.1±0.01</w:t>
            </w:r>
          </w:p>
        </w:tc>
      </w:tr>
      <w:tr w:rsidR="00065147" w:rsidRPr="00E87D19" w14:paraId="382C9037" w14:textId="77777777" w:rsidTr="004935AD">
        <w:trPr>
          <w:trHeight w:val="300"/>
        </w:trPr>
        <w:tc>
          <w:tcPr>
            <w:tcW w:w="710" w:type="dxa"/>
            <w:tcBorders>
              <w:top w:val="nil"/>
            </w:tcBorders>
          </w:tcPr>
          <w:p w14:paraId="258AE41E"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4</w:t>
            </w:r>
          </w:p>
        </w:tc>
        <w:tc>
          <w:tcPr>
            <w:tcW w:w="2170" w:type="dxa"/>
            <w:tcBorders>
              <w:top w:val="nil"/>
            </w:tcBorders>
            <w:noWrap/>
            <w:vAlign w:val="center"/>
            <w:hideMark/>
          </w:tcPr>
          <w:p w14:paraId="5C5E1FC6"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0.226±0.06</w:t>
            </w:r>
          </w:p>
        </w:tc>
        <w:tc>
          <w:tcPr>
            <w:tcW w:w="2340" w:type="dxa"/>
            <w:tcBorders>
              <w:top w:val="nil"/>
            </w:tcBorders>
            <w:noWrap/>
            <w:vAlign w:val="center"/>
            <w:hideMark/>
          </w:tcPr>
          <w:p w14:paraId="21F5D6B5"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0.193±0.11</w:t>
            </w:r>
          </w:p>
        </w:tc>
        <w:tc>
          <w:tcPr>
            <w:tcW w:w="1890" w:type="dxa"/>
            <w:tcBorders>
              <w:top w:val="nil"/>
            </w:tcBorders>
            <w:noWrap/>
            <w:vAlign w:val="center"/>
            <w:hideMark/>
          </w:tcPr>
          <w:p w14:paraId="6F3AA72E"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0.12±0.20</w:t>
            </w:r>
          </w:p>
        </w:tc>
      </w:tr>
      <w:tr w:rsidR="00065147" w:rsidRPr="00E87D19" w14:paraId="7B9302A2" w14:textId="77777777" w:rsidTr="004935AD">
        <w:trPr>
          <w:trHeight w:val="300"/>
        </w:trPr>
        <w:tc>
          <w:tcPr>
            <w:tcW w:w="710" w:type="dxa"/>
          </w:tcPr>
          <w:p w14:paraId="20A5553D"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6</w:t>
            </w:r>
          </w:p>
        </w:tc>
        <w:tc>
          <w:tcPr>
            <w:tcW w:w="2170" w:type="dxa"/>
            <w:noWrap/>
            <w:vAlign w:val="center"/>
            <w:hideMark/>
          </w:tcPr>
          <w:p w14:paraId="01C3D50A"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0.403±0.01</w:t>
            </w:r>
          </w:p>
        </w:tc>
        <w:tc>
          <w:tcPr>
            <w:tcW w:w="2340" w:type="dxa"/>
            <w:noWrap/>
            <w:vAlign w:val="center"/>
            <w:hideMark/>
          </w:tcPr>
          <w:p w14:paraId="50D085DF"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0.37±0,31</w:t>
            </w:r>
          </w:p>
        </w:tc>
        <w:tc>
          <w:tcPr>
            <w:tcW w:w="1890" w:type="dxa"/>
            <w:noWrap/>
            <w:vAlign w:val="center"/>
            <w:hideMark/>
          </w:tcPr>
          <w:p w14:paraId="6AACA06A"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0.27±0.31</w:t>
            </w:r>
          </w:p>
        </w:tc>
      </w:tr>
      <w:tr w:rsidR="00065147" w:rsidRPr="00E87D19" w14:paraId="030D2CCC" w14:textId="77777777" w:rsidTr="004935AD">
        <w:trPr>
          <w:trHeight w:val="300"/>
        </w:trPr>
        <w:tc>
          <w:tcPr>
            <w:tcW w:w="710" w:type="dxa"/>
          </w:tcPr>
          <w:p w14:paraId="51D8F1EB"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8</w:t>
            </w:r>
          </w:p>
        </w:tc>
        <w:tc>
          <w:tcPr>
            <w:tcW w:w="2170" w:type="dxa"/>
            <w:noWrap/>
            <w:vAlign w:val="center"/>
            <w:hideMark/>
          </w:tcPr>
          <w:p w14:paraId="0AC5A1F6"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0.733±0.03</w:t>
            </w:r>
          </w:p>
        </w:tc>
        <w:tc>
          <w:tcPr>
            <w:tcW w:w="2340" w:type="dxa"/>
            <w:noWrap/>
            <w:vAlign w:val="center"/>
            <w:hideMark/>
          </w:tcPr>
          <w:p w14:paraId="5AE308D2"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0.617±0.21</w:t>
            </w:r>
          </w:p>
        </w:tc>
        <w:tc>
          <w:tcPr>
            <w:tcW w:w="1890" w:type="dxa"/>
            <w:noWrap/>
            <w:vAlign w:val="center"/>
            <w:hideMark/>
          </w:tcPr>
          <w:p w14:paraId="52D651CE"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0.407±0.12</w:t>
            </w:r>
          </w:p>
        </w:tc>
      </w:tr>
      <w:tr w:rsidR="00065147" w:rsidRPr="00E87D19" w14:paraId="7D2CB2B5" w14:textId="77777777" w:rsidTr="004935AD">
        <w:trPr>
          <w:trHeight w:val="300"/>
        </w:trPr>
        <w:tc>
          <w:tcPr>
            <w:tcW w:w="710" w:type="dxa"/>
          </w:tcPr>
          <w:p w14:paraId="2B7C433C"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10</w:t>
            </w:r>
          </w:p>
        </w:tc>
        <w:tc>
          <w:tcPr>
            <w:tcW w:w="2170" w:type="dxa"/>
            <w:noWrap/>
            <w:vAlign w:val="center"/>
            <w:hideMark/>
          </w:tcPr>
          <w:p w14:paraId="592C2652"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0.967±0.04</w:t>
            </w:r>
          </w:p>
        </w:tc>
        <w:tc>
          <w:tcPr>
            <w:tcW w:w="2340" w:type="dxa"/>
            <w:noWrap/>
            <w:vAlign w:val="center"/>
            <w:hideMark/>
          </w:tcPr>
          <w:p w14:paraId="0DC6FA40"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0.773±0.17</w:t>
            </w:r>
          </w:p>
        </w:tc>
        <w:tc>
          <w:tcPr>
            <w:tcW w:w="1890" w:type="dxa"/>
            <w:noWrap/>
            <w:vAlign w:val="center"/>
            <w:hideMark/>
          </w:tcPr>
          <w:p w14:paraId="257B104A"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0.623±0.15</w:t>
            </w:r>
          </w:p>
        </w:tc>
      </w:tr>
      <w:tr w:rsidR="00065147" w:rsidRPr="00E87D19" w14:paraId="34A9C3FA" w14:textId="77777777" w:rsidTr="004935AD">
        <w:trPr>
          <w:trHeight w:val="300"/>
        </w:trPr>
        <w:tc>
          <w:tcPr>
            <w:tcW w:w="710" w:type="dxa"/>
          </w:tcPr>
          <w:p w14:paraId="36D0C310"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12</w:t>
            </w:r>
          </w:p>
        </w:tc>
        <w:tc>
          <w:tcPr>
            <w:tcW w:w="2170" w:type="dxa"/>
            <w:noWrap/>
            <w:vAlign w:val="center"/>
            <w:hideMark/>
          </w:tcPr>
          <w:p w14:paraId="01D819A7"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1.31±0.12</w:t>
            </w:r>
          </w:p>
        </w:tc>
        <w:tc>
          <w:tcPr>
            <w:tcW w:w="2340" w:type="dxa"/>
            <w:noWrap/>
            <w:vAlign w:val="center"/>
            <w:hideMark/>
          </w:tcPr>
          <w:p w14:paraId="5A5CD12A"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0.91±0.27</w:t>
            </w:r>
          </w:p>
        </w:tc>
        <w:tc>
          <w:tcPr>
            <w:tcW w:w="1890" w:type="dxa"/>
            <w:noWrap/>
            <w:vAlign w:val="center"/>
            <w:hideMark/>
          </w:tcPr>
          <w:p w14:paraId="35D12CA0"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0.737±0.25</w:t>
            </w:r>
          </w:p>
        </w:tc>
      </w:tr>
      <w:tr w:rsidR="00065147" w:rsidRPr="00E87D19" w14:paraId="12897989" w14:textId="77777777" w:rsidTr="004935AD">
        <w:trPr>
          <w:trHeight w:val="300"/>
        </w:trPr>
        <w:tc>
          <w:tcPr>
            <w:tcW w:w="710" w:type="dxa"/>
          </w:tcPr>
          <w:p w14:paraId="6FD01D18"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14</w:t>
            </w:r>
          </w:p>
        </w:tc>
        <w:tc>
          <w:tcPr>
            <w:tcW w:w="2170" w:type="dxa"/>
            <w:noWrap/>
            <w:vAlign w:val="center"/>
            <w:hideMark/>
          </w:tcPr>
          <w:p w14:paraId="1DF9024E"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1.837±0.04</w:t>
            </w:r>
          </w:p>
        </w:tc>
        <w:tc>
          <w:tcPr>
            <w:tcW w:w="2340" w:type="dxa"/>
            <w:noWrap/>
            <w:vAlign w:val="center"/>
            <w:hideMark/>
          </w:tcPr>
          <w:p w14:paraId="74DA230E"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1.337±0.31</w:t>
            </w:r>
          </w:p>
        </w:tc>
        <w:tc>
          <w:tcPr>
            <w:tcW w:w="1890" w:type="dxa"/>
            <w:noWrap/>
            <w:vAlign w:val="center"/>
            <w:hideMark/>
          </w:tcPr>
          <w:p w14:paraId="6F7FBD2E"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0.95±0.22</w:t>
            </w:r>
          </w:p>
        </w:tc>
      </w:tr>
      <w:tr w:rsidR="00065147" w:rsidRPr="00E87D19" w14:paraId="03F1EF75" w14:textId="77777777" w:rsidTr="004935AD">
        <w:trPr>
          <w:trHeight w:val="300"/>
        </w:trPr>
        <w:tc>
          <w:tcPr>
            <w:tcW w:w="710" w:type="dxa"/>
          </w:tcPr>
          <w:p w14:paraId="3F083EEE"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16</w:t>
            </w:r>
          </w:p>
        </w:tc>
        <w:tc>
          <w:tcPr>
            <w:tcW w:w="2170" w:type="dxa"/>
            <w:noWrap/>
            <w:vAlign w:val="center"/>
            <w:hideMark/>
          </w:tcPr>
          <w:p w14:paraId="3A631936"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2.4±0.13</w:t>
            </w:r>
          </w:p>
        </w:tc>
        <w:tc>
          <w:tcPr>
            <w:tcW w:w="2340" w:type="dxa"/>
            <w:noWrap/>
            <w:vAlign w:val="center"/>
            <w:hideMark/>
          </w:tcPr>
          <w:p w14:paraId="06CB03EA"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1.823±0.32</w:t>
            </w:r>
          </w:p>
        </w:tc>
        <w:tc>
          <w:tcPr>
            <w:tcW w:w="1890" w:type="dxa"/>
            <w:noWrap/>
            <w:vAlign w:val="center"/>
            <w:hideMark/>
          </w:tcPr>
          <w:p w14:paraId="3561CC93"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1.223±0.42</w:t>
            </w:r>
          </w:p>
        </w:tc>
      </w:tr>
      <w:tr w:rsidR="00065147" w:rsidRPr="00E87D19" w14:paraId="7D4A2260" w14:textId="77777777" w:rsidTr="004935AD">
        <w:trPr>
          <w:trHeight w:val="300"/>
        </w:trPr>
        <w:tc>
          <w:tcPr>
            <w:tcW w:w="710" w:type="dxa"/>
          </w:tcPr>
          <w:p w14:paraId="737C1CFD"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18</w:t>
            </w:r>
          </w:p>
        </w:tc>
        <w:tc>
          <w:tcPr>
            <w:tcW w:w="2170" w:type="dxa"/>
            <w:noWrap/>
            <w:vAlign w:val="center"/>
            <w:hideMark/>
          </w:tcPr>
          <w:p w14:paraId="7B710CAB"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3.82±0.33</w:t>
            </w:r>
          </w:p>
        </w:tc>
        <w:tc>
          <w:tcPr>
            <w:tcW w:w="2340" w:type="dxa"/>
            <w:noWrap/>
            <w:vAlign w:val="center"/>
            <w:hideMark/>
          </w:tcPr>
          <w:p w14:paraId="3AFFF894"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2.613±0.14</w:t>
            </w:r>
          </w:p>
        </w:tc>
        <w:tc>
          <w:tcPr>
            <w:tcW w:w="1890" w:type="dxa"/>
            <w:noWrap/>
            <w:vAlign w:val="center"/>
            <w:hideMark/>
          </w:tcPr>
          <w:p w14:paraId="08F0145E"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1.797±0.15</w:t>
            </w:r>
          </w:p>
        </w:tc>
      </w:tr>
      <w:tr w:rsidR="00065147" w:rsidRPr="00E87D19" w14:paraId="79A4873B" w14:textId="77777777" w:rsidTr="004935AD">
        <w:trPr>
          <w:trHeight w:val="300"/>
        </w:trPr>
        <w:tc>
          <w:tcPr>
            <w:tcW w:w="710" w:type="dxa"/>
          </w:tcPr>
          <w:p w14:paraId="2015C0FA"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20</w:t>
            </w:r>
          </w:p>
        </w:tc>
        <w:tc>
          <w:tcPr>
            <w:tcW w:w="2170" w:type="dxa"/>
            <w:noWrap/>
            <w:vAlign w:val="center"/>
            <w:hideMark/>
          </w:tcPr>
          <w:p w14:paraId="7D98F349"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5.167±0.43</w:t>
            </w:r>
          </w:p>
        </w:tc>
        <w:tc>
          <w:tcPr>
            <w:tcW w:w="2340" w:type="dxa"/>
            <w:noWrap/>
            <w:vAlign w:val="center"/>
            <w:hideMark/>
          </w:tcPr>
          <w:p w14:paraId="6FBA27C2"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3.777±0.42</w:t>
            </w:r>
          </w:p>
        </w:tc>
        <w:tc>
          <w:tcPr>
            <w:tcW w:w="1890" w:type="dxa"/>
            <w:noWrap/>
            <w:vAlign w:val="center"/>
            <w:hideMark/>
          </w:tcPr>
          <w:p w14:paraId="53944193"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2.703±0.42</w:t>
            </w:r>
          </w:p>
        </w:tc>
      </w:tr>
      <w:tr w:rsidR="00065147" w:rsidRPr="00E87D19" w14:paraId="4A065995" w14:textId="77777777" w:rsidTr="004935AD">
        <w:trPr>
          <w:trHeight w:val="300"/>
        </w:trPr>
        <w:tc>
          <w:tcPr>
            <w:tcW w:w="710" w:type="dxa"/>
          </w:tcPr>
          <w:p w14:paraId="37E4D2AD"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22</w:t>
            </w:r>
          </w:p>
        </w:tc>
        <w:tc>
          <w:tcPr>
            <w:tcW w:w="2170" w:type="dxa"/>
            <w:noWrap/>
            <w:vAlign w:val="center"/>
            <w:hideMark/>
          </w:tcPr>
          <w:p w14:paraId="60731495"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7.71±0.12</w:t>
            </w:r>
          </w:p>
        </w:tc>
        <w:tc>
          <w:tcPr>
            <w:tcW w:w="2340" w:type="dxa"/>
            <w:noWrap/>
            <w:vAlign w:val="center"/>
            <w:hideMark/>
          </w:tcPr>
          <w:p w14:paraId="39E97AE3"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5.35±0.12</w:t>
            </w:r>
          </w:p>
        </w:tc>
        <w:tc>
          <w:tcPr>
            <w:tcW w:w="1890" w:type="dxa"/>
            <w:noWrap/>
            <w:vAlign w:val="center"/>
            <w:hideMark/>
          </w:tcPr>
          <w:p w14:paraId="4D1C1960"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3.397±0.30</w:t>
            </w:r>
          </w:p>
        </w:tc>
      </w:tr>
      <w:tr w:rsidR="00065147" w:rsidRPr="00E87D19" w14:paraId="19184462" w14:textId="77777777" w:rsidTr="004935AD">
        <w:trPr>
          <w:trHeight w:val="300"/>
        </w:trPr>
        <w:tc>
          <w:tcPr>
            <w:tcW w:w="710" w:type="dxa"/>
          </w:tcPr>
          <w:p w14:paraId="70A77D92"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24</w:t>
            </w:r>
          </w:p>
        </w:tc>
        <w:tc>
          <w:tcPr>
            <w:tcW w:w="2170" w:type="dxa"/>
            <w:noWrap/>
            <w:vAlign w:val="center"/>
            <w:hideMark/>
          </w:tcPr>
          <w:p w14:paraId="64893F13"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9.863±0.34</w:t>
            </w:r>
          </w:p>
        </w:tc>
        <w:tc>
          <w:tcPr>
            <w:tcW w:w="2340" w:type="dxa"/>
            <w:noWrap/>
            <w:vAlign w:val="center"/>
            <w:hideMark/>
          </w:tcPr>
          <w:p w14:paraId="0045B19E"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7.38±0.38</w:t>
            </w:r>
          </w:p>
        </w:tc>
        <w:tc>
          <w:tcPr>
            <w:tcW w:w="1890" w:type="dxa"/>
            <w:noWrap/>
            <w:vAlign w:val="center"/>
            <w:hideMark/>
          </w:tcPr>
          <w:p w14:paraId="0CBBBB97"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4.193±0.24</w:t>
            </w:r>
          </w:p>
        </w:tc>
      </w:tr>
      <w:tr w:rsidR="00065147" w:rsidRPr="00E87D19" w14:paraId="69B62064" w14:textId="77777777" w:rsidTr="004935AD">
        <w:trPr>
          <w:trHeight w:val="300"/>
        </w:trPr>
        <w:tc>
          <w:tcPr>
            <w:tcW w:w="710" w:type="dxa"/>
          </w:tcPr>
          <w:p w14:paraId="5304321E"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26</w:t>
            </w:r>
          </w:p>
        </w:tc>
        <w:tc>
          <w:tcPr>
            <w:tcW w:w="2170" w:type="dxa"/>
            <w:noWrap/>
            <w:vAlign w:val="center"/>
            <w:hideMark/>
          </w:tcPr>
          <w:p w14:paraId="63038146"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17.75±0.21</w:t>
            </w:r>
          </w:p>
        </w:tc>
        <w:tc>
          <w:tcPr>
            <w:tcW w:w="2340" w:type="dxa"/>
            <w:noWrap/>
            <w:vAlign w:val="center"/>
            <w:hideMark/>
          </w:tcPr>
          <w:p w14:paraId="188350D2"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9.203±0.19</w:t>
            </w:r>
          </w:p>
        </w:tc>
        <w:tc>
          <w:tcPr>
            <w:tcW w:w="1890" w:type="dxa"/>
            <w:noWrap/>
            <w:vAlign w:val="center"/>
            <w:hideMark/>
          </w:tcPr>
          <w:p w14:paraId="00C03B78"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4.87±0.32</w:t>
            </w:r>
          </w:p>
        </w:tc>
      </w:tr>
      <w:tr w:rsidR="00065147" w:rsidRPr="00E87D19" w14:paraId="38450CCB" w14:textId="77777777" w:rsidTr="004935AD">
        <w:trPr>
          <w:trHeight w:val="300"/>
        </w:trPr>
        <w:tc>
          <w:tcPr>
            <w:tcW w:w="710" w:type="dxa"/>
          </w:tcPr>
          <w:p w14:paraId="0B058635"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28</w:t>
            </w:r>
          </w:p>
        </w:tc>
        <w:tc>
          <w:tcPr>
            <w:tcW w:w="2170" w:type="dxa"/>
            <w:noWrap/>
            <w:vAlign w:val="center"/>
            <w:hideMark/>
          </w:tcPr>
          <w:p w14:paraId="6DFA5114"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25.403±0.43</w:t>
            </w:r>
          </w:p>
        </w:tc>
        <w:tc>
          <w:tcPr>
            <w:tcW w:w="2340" w:type="dxa"/>
            <w:noWrap/>
            <w:vAlign w:val="center"/>
            <w:hideMark/>
          </w:tcPr>
          <w:p w14:paraId="37056474"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13.663±0.17</w:t>
            </w:r>
          </w:p>
        </w:tc>
        <w:tc>
          <w:tcPr>
            <w:tcW w:w="1890" w:type="dxa"/>
            <w:noWrap/>
            <w:vAlign w:val="center"/>
            <w:hideMark/>
          </w:tcPr>
          <w:p w14:paraId="64EB771A"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5.683±0.12</w:t>
            </w:r>
          </w:p>
        </w:tc>
      </w:tr>
      <w:tr w:rsidR="00065147" w:rsidRPr="00E87D19" w14:paraId="1E4DE2DE" w14:textId="77777777" w:rsidTr="004935AD">
        <w:trPr>
          <w:trHeight w:val="300"/>
        </w:trPr>
        <w:tc>
          <w:tcPr>
            <w:tcW w:w="710" w:type="dxa"/>
          </w:tcPr>
          <w:p w14:paraId="4C08943F"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30</w:t>
            </w:r>
          </w:p>
        </w:tc>
        <w:tc>
          <w:tcPr>
            <w:tcW w:w="2170" w:type="dxa"/>
            <w:noWrap/>
            <w:vAlign w:val="center"/>
            <w:hideMark/>
          </w:tcPr>
          <w:p w14:paraId="002C2030"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34±0.11</w:t>
            </w:r>
          </w:p>
        </w:tc>
        <w:tc>
          <w:tcPr>
            <w:tcW w:w="2340" w:type="dxa"/>
            <w:noWrap/>
            <w:vAlign w:val="center"/>
            <w:hideMark/>
          </w:tcPr>
          <w:p w14:paraId="37DB891C"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18.523±0.23</w:t>
            </w:r>
          </w:p>
        </w:tc>
        <w:tc>
          <w:tcPr>
            <w:tcW w:w="1890" w:type="dxa"/>
            <w:noWrap/>
            <w:vAlign w:val="center"/>
            <w:hideMark/>
          </w:tcPr>
          <w:p w14:paraId="7C27CF6F"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7.173±0.11</w:t>
            </w:r>
          </w:p>
        </w:tc>
      </w:tr>
      <w:tr w:rsidR="00065147" w:rsidRPr="00E87D19" w14:paraId="5AB723B3" w14:textId="77777777" w:rsidTr="004935AD">
        <w:trPr>
          <w:trHeight w:val="300"/>
        </w:trPr>
        <w:tc>
          <w:tcPr>
            <w:tcW w:w="710" w:type="dxa"/>
          </w:tcPr>
          <w:p w14:paraId="2D0516C5"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32</w:t>
            </w:r>
          </w:p>
        </w:tc>
        <w:tc>
          <w:tcPr>
            <w:tcW w:w="2170" w:type="dxa"/>
            <w:noWrap/>
            <w:vAlign w:val="center"/>
            <w:hideMark/>
          </w:tcPr>
          <w:p w14:paraId="37475F48"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35.397±0.02</w:t>
            </w:r>
          </w:p>
        </w:tc>
        <w:tc>
          <w:tcPr>
            <w:tcW w:w="2340" w:type="dxa"/>
            <w:noWrap/>
            <w:vAlign w:val="center"/>
            <w:hideMark/>
          </w:tcPr>
          <w:p w14:paraId="481F0D38"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19.48±0.23</w:t>
            </w:r>
          </w:p>
        </w:tc>
        <w:tc>
          <w:tcPr>
            <w:tcW w:w="1890" w:type="dxa"/>
            <w:noWrap/>
            <w:vAlign w:val="center"/>
            <w:hideMark/>
          </w:tcPr>
          <w:p w14:paraId="6A4B02CB"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7.267±0.14</w:t>
            </w:r>
          </w:p>
        </w:tc>
      </w:tr>
      <w:tr w:rsidR="00065147" w:rsidRPr="00E87D19" w14:paraId="5AF6B3DA" w14:textId="77777777" w:rsidTr="004935AD">
        <w:trPr>
          <w:trHeight w:val="300"/>
        </w:trPr>
        <w:tc>
          <w:tcPr>
            <w:tcW w:w="710" w:type="dxa"/>
          </w:tcPr>
          <w:p w14:paraId="3EE170D4"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34</w:t>
            </w:r>
          </w:p>
        </w:tc>
        <w:tc>
          <w:tcPr>
            <w:tcW w:w="2170" w:type="dxa"/>
            <w:noWrap/>
            <w:vAlign w:val="center"/>
            <w:hideMark/>
          </w:tcPr>
          <w:p w14:paraId="69B256F2"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35.45±0.018</w:t>
            </w:r>
          </w:p>
        </w:tc>
        <w:tc>
          <w:tcPr>
            <w:tcW w:w="2340" w:type="dxa"/>
            <w:noWrap/>
            <w:vAlign w:val="center"/>
            <w:hideMark/>
          </w:tcPr>
          <w:p w14:paraId="79BE6B43"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19.556±0.19</w:t>
            </w:r>
          </w:p>
        </w:tc>
        <w:tc>
          <w:tcPr>
            <w:tcW w:w="1890" w:type="dxa"/>
            <w:noWrap/>
            <w:vAlign w:val="center"/>
            <w:hideMark/>
          </w:tcPr>
          <w:p w14:paraId="1925D204"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7.32±0.18</w:t>
            </w:r>
          </w:p>
        </w:tc>
      </w:tr>
      <w:tr w:rsidR="00065147" w:rsidRPr="00E87D19" w14:paraId="5871593A" w14:textId="77777777" w:rsidTr="004935AD">
        <w:trPr>
          <w:trHeight w:val="300"/>
        </w:trPr>
        <w:tc>
          <w:tcPr>
            <w:tcW w:w="710" w:type="dxa"/>
          </w:tcPr>
          <w:p w14:paraId="455E8837"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36</w:t>
            </w:r>
          </w:p>
        </w:tc>
        <w:tc>
          <w:tcPr>
            <w:tcW w:w="2170" w:type="dxa"/>
            <w:noWrap/>
            <w:vAlign w:val="center"/>
            <w:hideMark/>
          </w:tcPr>
          <w:p w14:paraId="569C6D89"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35.477±0.22</w:t>
            </w:r>
          </w:p>
        </w:tc>
        <w:tc>
          <w:tcPr>
            <w:tcW w:w="2340" w:type="dxa"/>
            <w:noWrap/>
            <w:vAlign w:val="center"/>
            <w:hideMark/>
          </w:tcPr>
          <w:p w14:paraId="4A230C84"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19.66±0.25</w:t>
            </w:r>
          </w:p>
        </w:tc>
        <w:tc>
          <w:tcPr>
            <w:tcW w:w="1890" w:type="dxa"/>
            <w:noWrap/>
            <w:vAlign w:val="center"/>
            <w:hideMark/>
          </w:tcPr>
          <w:p w14:paraId="3DA4056F"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7.31±0.10</w:t>
            </w:r>
          </w:p>
        </w:tc>
      </w:tr>
      <w:tr w:rsidR="00065147" w:rsidRPr="00E87D19" w14:paraId="17C750D4" w14:textId="77777777" w:rsidTr="004935AD">
        <w:trPr>
          <w:trHeight w:val="300"/>
        </w:trPr>
        <w:tc>
          <w:tcPr>
            <w:tcW w:w="710" w:type="dxa"/>
          </w:tcPr>
          <w:p w14:paraId="0F78E11D"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38</w:t>
            </w:r>
          </w:p>
        </w:tc>
        <w:tc>
          <w:tcPr>
            <w:tcW w:w="2170" w:type="dxa"/>
            <w:noWrap/>
            <w:vAlign w:val="center"/>
            <w:hideMark/>
          </w:tcPr>
          <w:p w14:paraId="2B60BD40"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35.487±0.38</w:t>
            </w:r>
          </w:p>
        </w:tc>
        <w:tc>
          <w:tcPr>
            <w:tcW w:w="2340" w:type="dxa"/>
            <w:noWrap/>
            <w:vAlign w:val="center"/>
            <w:hideMark/>
          </w:tcPr>
          <w:p w14:paraId="3948FE11"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19.653±0.21</w:t>
            </w:r>
          </w:p>
        </w:tc>
        <w:tc>
          <w:tcPr>
            <w:tcW w:w="1890" w:type="dxa"/>
            <w:noWrap/>
            <w:vAlign w:val="center"/>
            <w:hideMark/>
          </w:tcPr>
          <w:p w14:paraId="4047A665"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7.293±0.21</w:t>
            </w:r>
          </w:p>
        </w:tc>
      </w:tr>
      <w:tr w:rsidR="00065147" w:rsidRPr="00E87D19" w14:paraId="2D95C90E" w14:textId="77777777" w:rsidTr="004935AD">
        <w:trPr>
          <w:trHeight w:val="300"/>
        </w:trPr>
        <w:tc>
          <w:tcPr>
            <w:tcW w:w="710" w:type="dxa"/>
          </w:tcPr>
          <w:p w14:paraId="54748A37"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40</w:t>
            </w:r>
          </w:p>
        </w:tc>
        <w:tc>
          <w:tcPr>
            <w:tcW w:w="2170" w:type="dxa"/>
            <w:noWrap/>
            <w:vAlign w:val="center"/>
            <w:hideMark/>
          </w:tcPr>
          <w:p w14:paraId="15E73879"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35.497±0.32</w:t>
            </w:r>
          </w:p>
        </w:tc>
        <w:tc>
          <w:tcPr>
            <w:tcW w:w="2340" w:type="dxa"/>
            <w:noWrap/>
            <w:vAlign w:val="center"/>
            <w:hideMark/>
          </w:tcPr>
          <w:p w14:paraId="626E4149"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19.641±0.23</w:t>
            </w:r>
          </w:p>
        </w:tc>
        <w:tc>
          <w:tcPr>
            <w:tcW w:w="1890" w:type="dxa"/>
            <w:noWrap/>
            <w:vAlign w:val="center"/>
            <w:hideMark/>
          </w:tcPr>
          <w:p w14:paraId="3ACB8ABA"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7.293±0.41</w:t>
            </w:r>
          </w:p>
        </w:tc>
      </w:tr>
      <w:tr w:rsidR="00065147" w:rsidRPr="00E87D19" w14:paraId="1EBC0902" w14:textId="77777777" w:rsidTr="004935AD">
        <w:trPr>
          <w:trHeight w:val="300"/>
        </w:trPr>
        <w:tc>
          <w:tcPr>
            <w:tcW w:w="710" w:type="dxa"/>
          </w:tcPr>
          <w:p w14:paraId="664EDC80"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42</w:t>
            </w:r>
          </w:p>
        </w:tc>
        <w:tc>
          <w:tcPr>
            <w:tcW w:w="2170" w:type="dxa"/>
            <w:noWrap/>
            <w:vAlign w:val="center"/>
            <w:hideMark/>
          </w:tcPr>
          <w:p w14:paraId="7A6E0019"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35.494±0.28</w:t>
            </w:r>
          </w:p>
        </w:tc>
        <w:tc>
          <w:tcPr>
            <w:tcW w:w="2340" w:type="dxa"/>
            <w:noWrap/>
            <w:vAlign w:val="center"/>
            <w:hideMark/>
          </w:tcPr>
          <w:p w14:paraId="6906CAF9"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19.627±0.32</w:t>
            </w:r>
          </w:p>
        </w:tc>
        <w:tc>
          <w:tcPr>
            <w:tcW w:w="1890" w:type="dxa"/>
            <w:noWrap/>
            <w:vAlign w:val="center"/>
            <w:hideMark/>
          </w:tcPr>
          <w:p w14:paraId="44A59117"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7.283±0.12</w:t>
            </w:r>
          </w:p>
        </w:tc>
      </w:tr>
      <w:tr w:rsidR="00065147" w:rsidRPr="00E87D19" w14:paraId="1AA7858E" w14:textId="77777777" w:rsidTr="004935AD">
        <w:trPr>
          <w:trHeight w:val="300"/>
        </w:trPr>
        <w:tc>
          <w:tcPr>
            <w:tcW w:w="710" w:type="dxa"/>
          </w:tcPr>
          <w:p w14:paraId="2EB2498D"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44</w:t>
            </w:r>
          </w:p>
        </w:tc>
        <w:tc>
          <w:tcPr>
            <w:tcW w:w="2170" w:type="dxa"/>
            <w:noWrap/>
            <w:vAlign w:val="center"/>
            <w:hideMark/>
          </w:tcPr>
          <w:p w14:paraId="08BC6611"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35.484±0.12</w:t>
            </w:r>
          </w:p>
        </w:tc>
        <w:tc>
          <w:tcPr>
            <w:tcW w:w="2340" w:type="dxa"/>
            <w:noWrap/>
            <w:vAlign w:val="center"/>
            <w:hideMark/>
          </w:tcPr>
          <w:p w14:paraId="3EA4445C"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19.61±0.11</w:t>
            </w:r>
          </w:p>
        </w:tc>
        <w:tc>
          <w:tcPr>
            <w:tcW w:w="1890" w:type="dxa"/>
            <w:noWrap/>
            <w:vAlign w:val="center"/>
            <w:hideMark/>
          </w:tcPr>
          <w:p w14:paraId="3EDF6160"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7.26±0.02</w:t>
            </w:r>
          </w:p>
        </w:tc>
      </w:tr>
    </w:tbl>
    <w:p w14:paraId="27BB5EB8"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Mean ± standard deviation.</w:t>
      </w:r>
    </w:p>
    <w:p w14:paraId="5A2D9348" w14:textId="77777777" w:rsidR="00065147" w:rsidRPr="00E87D19" w:rsidRDefault="00065147" w:rsidP="00A74D20">
      <w:pPr>
        <w:spacing w:before="0" w:after="0" w:line="360" w:lineRule="auto"/>
        <w:rPr>
          <w:rFonts w:eastAsiaTheme="majorEastAsia" w:cs="Times New Roman"/>
          <w:b/>
          <w:color w:val="000000" w:themeColor="text1"/>
          <w:szCs w:val="24"/>
          <w:shd w:val="clear" w:color="auto" w:fill="FFFFFF"/>
        </w:rPr>
      </w:pPr>
      <w:r w:rsidRPr="00E87D19">
        <w:rPr>
          <w:rFonts w:cs="Times New Roman"/>
          <w:color w:val="000000" w:themeColor="text1"/>
          <w:szCs w:val="24"/>
          <w:shd w:val="clear" w:color="auto" w:fill="FFFFFF"/>
        </w:rPr>
        <w:br w:type="page"/>
      </w:r>
    </w:p>
    <w:bookmarkEnd w:id="6"/>
    <w:p w14:paraId="21781437"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noProof/>
          <w:color w:val="000000" w:themeColor="text1"/>
          <w:szCs w:val="24"/>
        </w:rPr>
        <w:lastRenderedPageBreak/>
        <w:drawing>
          <wp:inline distT="0" distB="0" distL="0" distR="0" wp14:anchorId="0AC0ACE1" wp14:editId="1CB4DDB3">
            <wp:extent cx="5732145" cy="2581588"/>
            <wp:effectExtent l="0" t="0" r="1905" b="9525"/>
            <wp:docPr id="2008298103" name="Chart 3">
              <a:extLst xmlns:a="http://schemas.openxmlformats.org/drawingml/2006/main">
                <a:ext uri="{FF2B5EF4-FFF2-40B4-BE49-F238E27FC236}">
                  <a16:creationId xmlns:a16="http://schemas.microsoft.com/office/drawing/2014/main" id="{2D2E922C-2A98-1875-D7B0-242854EF8AB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FF43385" w14:textId="13217174" w:rsidR="00065147" w:rsidRPr="00E87D19" w:rsidRDefault="00065147" w:rsidP="00A74D20">
      <w:pPr>
        <w:spacing w:before="0" w:after="0" w:line="360" w:lineRule="auto"/>
        <w:rPr>
          <w:rFonts w:cs="Times New Roman"/>
          <w:color w:val="000000" w:themeColor="text1"/>
          <w:szCs w:val="24"/>
        </w:rPr>
      </w:pPr>
      <w:r w:rsidRPr="00E87D19">
        <w:rPr>
          <w:rFonts w:eastAsia="Times New Roman" w:cs="Times New Roman"/>
          <w:b/>
          <w:bCs/>
          <w:color w:val="000000" w:themeColor="text1"/>
          <w:szCs w:val="24"/>
          <w:lang w:eastAsia="en-GB"/>
        </w:rPr>
        <w:t xml:space="preserve">Figure </w:t>
      </w:r>
      <w:r w:rsidR="00DC6624">
        <w:rPr>
          <w:rFonts w:eastAsia="Times New Roman" w:cs="Times New Roman"/>
          <w:b/>
          <w:bCs/>
          <w:color w:val="000000" w:themeColor="text1"/>
          <w:szCs w:val="24"/>
          <w:lang w:eastAsia="en-GB"/>
        </w:rPr>
        <w:t>4</w:t>
      </w:r>
      <w:r w:rsidRPr="00E87D19">
        <w:rPr>
          <w:rFonts w:eastAsia="Times New Roman" w:cs="Times New Roman"/>
          <w:b/>
          <w:bCs/>
          <w:color w:val="000000" w:themeColor="text1"/>
          <w:szCs w:val="24"/>
          <w:lang w:eastAsia="en-GB"/>
        </w:rPr>
        <w:t xml:space="preserve">: Growth curve of the three-culture media.  </w:t>
      </w:r>
    </w:p>
    <w:p w14:paraId="36695C45" w14:textId="77777777" w:rsidR="00065147" w:rsidRPr="00E87D19" w:rsidRDefault="00065147" w:rsidP="00A74D20">
      <w:pPr>
        <w:spacing w:before="0" w:after="0" w:line="360" w:lineRule="auto"/>
        <w:rPr>
          <w:rFonts w:cs="Times New Roman"/>
          <w:color w:val="000000" w:themeColor="text1"/>
          <w:szCs w:val="24"/>
        </w:rPr>
      </w:pPr>
      <w:r w:rsidRPr="00E87D19">
        <w:rPr>
          <w:rFonts w:cs="Times New Roman"/>
          <w:b/>
          <w:color w:val="000000" w:themeColor="text1"/>
          <w:szCs w:val="24"/>
        </w:rPr>
        <w:t>Table 4: Result of algal culture media, specific growth rate, biomass productivity, and total biomass produced.</w:t>
      </w:r>
    </w:p>
    <w:tbl>
      <w:tblPr>
        <w:tblStyle w:val="TableGrid"/>
        <w:tblW w:w="9168"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646"/>
        <w:gridCol w:w="1704"/>
        <w:gridCol w:w="1944"/>
        <w:gridCol w:w="1914"/>
        <w:gridCol w:w="2960"/>
      </w:tblGrid>
      <w:tr w:rsidR="00065147" w:rsidRPr="00E87D19" w14:paraId="600BCD63" w14:textId="77777777" w:rsidTr="004935AD">
        <w:trPr>
          <w:trHeight w:val="930"/>
        </w:trPr>
        <w:tc>
          <w:tcPr>
            <w:tcW w:w="646" w:type="dxa"/>
            <w:tcBorders>
              <w:bottom w:val="single" w:sz="4" w:space="0" w:color="auto"/>
            </w:tcBorders>
          </w:tcPr>
          <w:p w14:paraId="03058C93" w14:textId="77777777" w:rsidR="00065147" w:rsidRPr="00E87D19" w:rsidRDefault="00065147" w:rsidP="00A74D20">
            <w:pPr>
              <w:spacing w:before="0" w:after="0" w:line="360" w:lineRule="auto"/>
              <w:jc w:val="both"/>
              <w:rPr>
                <w:rFonts w:cs="Times New Roman"/>
                <w:b/>
                <w:color w:val="000000" w:themeColor="text1"/>
                <w:sz w:val="24"/>
                <w:szCs w:val="24"/>
              </w:rPr>
            </w:pPr>
            <w:r w:rsidRPr="00E87D19">
              <w:rPr>
                <w:rFonts w:cs="Times New Roman"/>
                <w:b/>
                <w:color w:val="000000" w:themeColor="text1"/>
                <w:sz w:val="24"/>
                <w:szCs w:val="24"/>
              </w:rPr>
              <w:t>S/N</w:t>
            </w:r>
          </w:p>
        </w:tc>
        <w:tc>
          <w:tcPr>
            <w:tcW w:w="1704" w:type="dxa"/>
            <w:tcBorders>
              <w:bottom w:val="single" w:sz="4" w:space="0" w:color="auto"/>
            </w:tcBorders>
          </w:tcPr>
          <w:p w14:paraId="06EE9E26" w14:textId="77777777" w:rsidR="00065147" w:rsidRPr="00E87D19" w:rsidRDefault="00065147" w:rsidP="00A74D20">
            <w:pPr>
              <w:spacing w:before="0" w:after="0" w:line="360" w:lineRule="auto"/>
              <w:jc w:val="both"/>
              <w:rPr>
                <w:rFonts w:cs="Times New Roman"/>
                <w:b/>
                <w:color w:val="000000" w:themeColor="text1"/>
                <w:sz w:val="24"/>
                <w:szCs w:val="24"/>
              </w:rPr>
            </w:pPr>
            <w:r w:rsidRPr="00E87D19">
              <w:rPr>
                <w:rFonts w:cs="Times New Roman"/>
                <w:b/>
                <w:color w:val="000000" w:themeColor="text1"/>
                <w:sz w:val="24"/>
                <w:szCs w:val="24"/>
              </w:rPr>
              <w:t>Culture media</w:t>
            </w:r>
          </w:p>
        </w:tc>
        <w:tc>
          <w:tcPr>
            <w:tcW w:w="1944" w:type="dxa"/>
            <w:tcBorders>
              <w:bottom w:val="single" w:sz="4" w:space="0" w:color="auto"/>
            </w:tcBorders>
          </w:tcPr>
          <w:p w14:paraId="0B35DADF" w14:textId="6F17F3BC" w:rsidR="00065147" w:rsidRPr="00E87D19" w:rsidRDefault="00065147" w:rsidP="00A74D20">
            <w:pPr>
              <w:spacing w:before="0" w:after="0" w:line="360" w:lineRule="auto"/>
              <w:jc w:val="both"/>
              <w:rPr>
                <w:rFonts w:cs="Times New Roman"/>
                <w:b/>
                <w:color w:val="000000" w:themeColor="text1"/>
                <w:sz w:val="24"/>
                <w:szCs w:val="24"/>
              </w:rPr>
            </w:pPr>
            <w:r w:rsidRPr="00E87D19">
              <w:rPr>
                <w:rFonts w:cs="Times New Roman"/>
                <w:b/>
                <w:color w:val="000000" w:themeColor="text1"/>
                <w:sz w:val="24"/>
                <w:szCs w:val="24"/>
              </w:rPr>
              <w:t>SGR</w:t>
            </w:r>
            <w:r w:rsidR="0067782F" w:rsidRPr="00E87D19">
              <w:rPr>
                <w:rFonts w:cs="Times New Roman"/>
                <w:b/>
                <w:color w:val="000000" w:themeColor="text1"/>
                <w:sz w:val="24"/>
                <w:szCs w:val="24"/>
              </w:rPr>
              <w:t xml:space="preserve"> </w:t>
            </w:r>
            <w:r w:rsidR="00196F0D" w:rsidRPr="00E87D19">
              <w:rPr>
                <w:rFonts w:cs="Times New Roman"/>
                <w:b/>
                <w:color w:val="000000" w:themeColor="text1"/>
                <w:sz w:val="24"/>
                <w:szCs w:val="24"/>
              </w:rPr>
              <w:t>u</w:t>
            </w:r>
            <w:r w:rsidR="0067782F" w:rsidRPr="00E87D19">
              <w:rPr>
                <w:rFonts w:cs="Times New Roman"/>
                <w:b/>
                <w:color w:val="000000" w:themeColor="text1"/>
                <w:sz w:val="24"/>
                <w:szCs w:val="24"/>
              </w:rPr>
              <w:t xml:space="preserve"> (day⁻¹)</w:t>
            </w:r>
          </w:p>
        </w:tc>
        <w:tc>
          <w:tcPr>
            <w:tcW w:w="1914" w:type="dxa"/>
            <w:tcBorders>
              <w:bottom w:val="single" w:sz="4" w:space="0" w:color="auto"/>
            </w:tcBorders>
          </w:tcPr>
          <w:p w14:paraId="2C1A56EC" w14:textId="3D5E05CD" w:rsidR="00065147" w:rsidRPr="00E87D19" w:rsidRDefault="00065147" w:rsidP="00A74D20">
            <w:pPr>
              <w:spacing w:before="0" w:after="0" w:line="360" w:lineRule="auto"/>
              <w:jc w:val="both"/>
              <w:rPr>
                <w:rFonts w:cs="Times New Roman"/>
                <w:b/>
                <w:color w:val="000000" w:themeColor="text1"/>
                <w:sz w:val="24"/>
                <w:szCs w:val="24"/>
              </w:rPr>
            </w:pPr>
            <w:r w:rsidRPr="00E87D19">
              <w:rPr>
                <w:rFonts w:cs="Times New Roman"/>
                <w:b/>
                <w:color w:val="000000" w:themeColor="text1"/>
                <w:sz w:val="24"/>
                <w:szCs w:val="24"/>
              </w:rPr>
              <w:t xml:space="preserve"> P</w:t>
            </w:r>
            <w:r w:rsidRPr="00E87D19">
              <w:rPr>
                <w:rFonts w:cs="Times New Roman"/>
                <w:b/>
                <w:color w:val="000000" w:themeColor="text1"/>
                <w:sz w:val="24"/>
                <w:szCs w:val="24"/>
                <w:vertAlign w:val="subscript"/>
              </w:rPr>
              <w:t xml:space="preserve">B </w:t>
            </w:r>
            <w:r w:rsidRPr="00E87D19">
              <w:rPr>
                <w:rFonts w:cs="Times New Roman"/>
                <w:b/>
                <w:color w:val="000000" w:themeColor="text1"/>
                <w:sz w:val="24"/>
                <w:szCs w:val="24"/>
              </w:rPr>
              <w:t>(</w:t>
            </w:r>
            <w:r w:rsidR="0067782F" w:rsidRPr="00E87D19">
              <w:rPr>
                <w:rFonts w:cs="Times New Roman"/>
                <w:b/>
                <w:color w:val="000000" w:themeColor="text1"/>
                <w:sz w:val="24"/>
                <w:szCs w:val="24"/>
              </w:rPr>
              <w:t>g/L (Dry weight)</w:t>
            </w:r>
            <w:r w:rsidRPr="00E87D19">
              <w:rPr>
                <w:rFonts w:cs="Times New Roman"/>
                <w:b/>
                <w:color w:val="000000" w:themeColor="text1"/>
                <w:sz w:val="24"/>
                <w:szCs w:val="24"/>
              </w:rPr>
              <w:t>/day)</w:t>
            </w:r>
          </w:p>
        </w:tc>
        <w:tc>
          <w:tcPr>
            <w:tcW w:w="2960" w:type="dxa"/>
            <w:tcBorders>
              <w:bottom w:val="single" w:sz="4" w:space="0" w:color="auto"/>
            </w:tcBorders>
          </w:tcPr>
          <w:p w14:paraId="098575FB" w14:textId="023ADDA8" w:rsidR="00065147" w:rsidRPr="00E87D19" w:rsidRDefault="00065147" w:rsidP="00A74D20">
            <w:pPr>
              <w:spacing w:before="0" w:after="0" w:line="360" w:lineRule="auto"/>
              <w:jc w:val="both"/>
              <w:rPr>
                <w:rFonts w:cs="Times New Roman"/>
                <w:b/>
                <w:color w:val="000000" w:themeColor="text1"/>
                <w:sz w:val="24"/>
                <w:szCs w:val="24"/>
              </w:rPr>
            </w:pPr>
            <w:r w:rsidRPr="00E87D19">
              <w:rPr>
                <w:rFonts w:cs="Times New Roman"/>
                <w:b/>
                <w:color w:val="000000" w:themeColor="text1"/>
                <w:sz w:val="24"/>
                <w:szCs w:val="24"/>
              </w:rPr>
              <w:t xml:space="preserve"> Total Biomass produced </w:t>
            </w:r>
            <w:r w:rsidR="0067782F" w:rsidRPr="00E87D19">
              <w:rPr>
                <w:rFonts w:cs="Times New Roman"/>
                <w:b/>
                <w:color w:val="000000" w:themeColor="text1"/>
                <w:sz w:val="24"/>
                <w:szCs w:val="24"/>
              </w:rPr>
              <w:t>g/L (dry weight)</w:t>
            </w:r>
          </w:p>
        </w:tc>
      </w:tr>
      <w:tr w:rsidR="00065147" w:rsidRPr="00E87D19" w14:paraId="5887C8B0" w14:textId="77777777" w:rsidTr="004935AD">
        <w:trPr>
          <w:trHeight w:val="437"/>
        </w:trPr>
        <w:tc>
          <w:tcPr>
            <w:tcW w:w="646" w:type="dxa"/>
            <w:tcBorders>
              <w:top w:val="single" w:sz="4" w:space="0" w:color="auto"/>
              <w:bottom w:val="nil"/>
            </w:tcBorders>
          </w:tcPr>
          <w:p w14:paraId="3FD33970" w14:textId="77777777" w:rsidR="00065147" w:rsidRPr="00E87D19" w:rsidRDefault="00065147" w:rsidP="00A74D20">
            <w:pPr>
              <w:spacing w:before="0" w:after="0" w:line="360" w:lineRule="auto"/>
              <w:jc w:val="both"/>
              <w:rPr>
                <w:rFonts w:cs="Times New Roman"/>
                <w:color w:val="000000" w:themeColor="text1"/>
                <w:sz w:val="24"/>
                <w:szCs w:val="24"/>
              </w:rPr>
            </w:pPr>
            <w:r w:rsidRPr="00E87D19">
              <w:rPr>
                <w:rFonts w:cs="Times New Roman"/>
                <w:color w:val="000000" w:themeColor="text1"/>
                <w:sz w:val="24"/>
                <w:szCs w:val="24"/>
              </w:rPr>
              <w:t>1</w:t>
            </w:r>
          </w:p>
        </w:tc>
        <w:tc>
          <w:tcPr>
            <w:tcW w:w="1704" w:type="dxa"/>
            <w:tcBorders>
              <w:top w:val="single" w:sz="4" w:space="0" w:color="auto"/>
              <w:bottom w:val="nil"/>
            </w:tcBorders>
          </w:tcPr>
          <w:p w14:paraId="254F5BCD" w14:textId="77777777" w:rsidR="00065147" w:rsidRPr="00E87D19" w:rsidRDefault="00065147" w:rsidP="00A74D20">
            <w:pPr>
              <w:spacing w:before="0" w:after="0" w:line="360" w:lineRule="auto"/>
              <w:jc w:val="both"/>
              <w:rPr>
                <w:rFonts w:cs="Times New Roman"/>
                <w:color w:val="000000" w:themeColor="text1"/>
                <w:sz w:val="24"/>
                <w:szCs w:val="24"/>
              </w:rPr>
            </w:pPr>
            <w:r w:rsidRPr="00E87D19">
              <w:rPr>
                <w:rFonts w:cs="Times New Roman"/>
                <w:color w:val="000000" w:themeColor="text1"/>
                <w:sz w:val="24"/>
                <w:szCs w:val="24"/>
              </w:rPr>
              <w:t xml:space="preserve">BG11 </w:t>
            </w:r>
          </w:p>
        </w:tc>
        <w:tc>
          <w:tcPr>
            <w:tcW w:w="1944" w:type="dxa"/>
            <w:tcBorders>
              <w:top w:val="single" w:sz="4" w:space="0" w:color="auto"/>
              <w:bottom w:val="nil"/>
            </w:tcBorders>
          </w:tcPr>
          <w:p w14:paraId="70818057" w14:textId="77777777" w:rsidR="00065147" w:rsidRPr="00E87D19" w:rsidRDefault="00065147" w:rsidP="00A74D20">
            <w:pPr>
              <w:spacing w:before="0" w:after="0" w:line="360" w:lineRule="auto"/>
              <w:jc w:val="both"/>
              <w:rPr>
                <w:rFonts w:cs="Times New Roman"/>
                <w:color w:val="000000" w:themeColor="text1"/>
                <w:sz w:val="24"/>
                <w:szCs w:val="24"/>
              </w:rPr>
            </w:pPr>
            <w:r w:rsidRPr="00E87D19">
              <w:rPr>
                <w:rFonts w:eastAsia="Times New Roman" w:cs="Times New Roman"/>
                <w:color w:val="000000" w:themeColor="text1"/>
                <w:sz w:val="24"/>
                <w:szCs w:val="24"/>
              </w:rPr>
              <w:t>0.140</w:t>
            </w:r>
          </w:p>
        </w:tc>
        <w:tc>
          <w:tcPr>
            <w:tcW w:w="1914" w:type="dxa"/>
            <w:tcBorders>
              <w:top w:val="single" w:sz="4" w:space="0" w:color="auto"/>
              <w:bottom w:val="nil"/>
            </w:tcBorders>
          </w:tcPr>
          <w:p w14:paraId="332584A4" w14:textId="77777777" w:rsidR="00065147" w:rsidRPr="00E87D19" w:rsidRDefault="00065147" w:rsidP="00A74D20">
            <w:pPr>
              <w:spacing w:before="0" w:after="0" w:line="360" w:lineRule="auto"/>
              <w:jc w:val="both"/>
              <w:rPr>
                <w:rFonts w:cs="Times New Roman"/>
                <w:color w:val="000000" w:themeColor="text1"/>
                <w:sz w:val="24"/>
                <w:szCs w:val="24"/>
              </w:rPr>
            </w:pPr>
            <w:r w:rsidRPr="00E87D19">
              <w:rPr>
                <w:rFonts w:eastAsia="Times New Roman" w:cs="Times New Roman"/>
                <w:color w:val="000000" w:themeColor="text1"/>
                <w:sz w:val="24"/>
                <w:szCs w:val="24"/>
              </w:rPr>
              <w:t>0.842</w:t>
            </w:r>
          </w:p>
        </w:tc>
        <w:tc>
          <w:tcPr>
            <w:tcW w:w="2960" w:type="dxa"/>
            <w:tcBorders>
              <w:top w:val="single" w:sz="4" w:space="0" w:color="auto"/>
              <w:bottom w:val="nil"/>
            </w:tcBorders>
          </w:tcPr>
          <w:p w14:paraId="415E44F2" w14:textId="77777777" w:rsidR="00065147" w:rsidRPr="00E87D19" w:rsidRDefault="00065147" w:rsidP="00A74D20">
            <w:pPr>
              <w:spacing w:before="0" w:after="0" w:line="360" w:lineRule="auto"/>
              <w:jc w:val="both"/>
              <w:rPr>
                <w:rFonts w:cs="Times New Roman"/>
                <w:color w:val="000000" w:themeColor="text1"/>
                <w:sz w:val="24"/>
                <w:szCs w:val="24"/>
              </w:rPr>
            </w:pPr>
            <w:r w:rsidRPr="00E87D19">
              <w:rPr>
                <w:rFonts w:cs="Times New Roman"/>
                <w:color w:val="000000" w:themeColor="text1"/>
                <w:sz w:val="24"/>
                <w:szCs w:val="24"/>
              </w:rPr>
              <w:t>35.333</w:t>
            </w:r>
          </w:p>
        </w:tc>
      </w:tr>
      <w:tr w:rsidR="00065147" w:rsidRPr="00E87D19" w14:paraId="7BA0E943" w14:textId="77777777" w:rsidTr="004935AD">
        <w:trPr>
          <w:trHeight w:val="430"/>
        </w:trPr>
        <w:tc>
          <w:tcPr>
            <w:tcW w:w="646" w:type="dxa"/>
            <w:tcBorders>
              <w:top w:val="nil"/>
            </w:tcBorders>
          </w:tcPr>
          <w:p w14:paraId="6C2ADA6E" w14:textId="77777777" w:rsidR="00065147" w:rsidRPr="00E87D19" w:rsidRDefault="00065147" w:rsidP="00A74D20">
            <w:pPr>
              <w:spacing w:before="0" w:after="0" w:line="360" w:lineRule="auto"/>
              <w:jc w:val="both"/>
              <w:rPr>
                <w:rFonts w:cs="Times New Roman"/>
                <w:color w:val="000000" w:themeColor="text1"/>
                <w:sz w:val="24"/>
                <w:szCs w:val="24"/>
              </w:rPr>
            </w:pPr>
            <w:r w:rsidRPr="00E87D19">
              <w:rPr>
                <w:rFonts w:cs="Times New Roman"/>
                <w:color w:val="000000" w:themeColor="text1"/>
                <w:sz w:val="24"/>
                <w:szCs w:val="24"/>
              </w:rPr>
              <w:t>2</w:t>
            </w:r>
          </w:p>
          <w:p w14:paraId="430AADA4" w14:textId="77777777" w:rsidR="00065147" w:rsidRPr="00E87D19" w:rsidRDefault="00065147" w:rsidP="00A74D20">
            <w:pPr>
              <w:spacing w:before="0" w:after="0" w:line="360" w:lineRule="auto"/>
              <w:jc w:val="both"/>
              <w:rPr>
                <w:rFonts w:cs="Times New Roman"/>
                <w:color w:val="000000" w:themeColor="text1"/>
                <w:sz w:val="24"/>
                <w:szCs w:val="24"/>
              </w:rPr>
            </w:pPr>
          </w:p>
        </w:tc>
        <w:tc>
          <w:tcPr>
            <w:tcW w:w="1704" w:type="dxa"/>
            <w:tcBorders>
              <w:top w:val="nil"/>
            </w:tcBorders>
          </w:tcPr>
          <w:p w14:paraId="0BB433D7" w14:textId="77777777" w:rsidR="00065147" w:rsidRPr="00E87D19" w:rsidRDefault="00065147" w:rsidP="00A74D20">
            <w:pPr>
              <w:spacing w:before="0" w:after="0" w:line="360" w:lineRule="auto"/>
              <w:jc w:val="both"/>
              <w:rPr>
                <w:rFonts w:cs="Times New Roman"/>
                <w:color w:val="000000" w:themeColor="text1"/>
                <w:sz w:val="24"/>
                <w:szCs w:val="24"/>
              </w:rPr>
            </w:pPr>
            <w:r w:rsidRPr="00E87D19">
              <w:rPr>
                <w:rFonts w:cs="Times New Roman"/>
                <w:color w:val="000000" w:themeColor="text1"/>
                <w:sz w:val="24"/>
                <w:szCs w:val="24"/>
              </w:rPr>
              <w:t>Algal broth</w:t>
            </w:r>
          </w:p>
        </w:tc>
        <w:tc>
          <w:tcPr>
            <w:tcW w:w="1944" w:type="dxa"/>
            <w:tcBorders>
              <w:top w:val="nil"/>
            </w:tcBorders>
          </w:tcPr>
          <w:p w14:paraId="1B35689E" w14:textId="77777777" w:rsidR="00065147" w:rsidRPr="00E87D19" w:rsidRDefault="00065147" w:rsidP="00A74D20">
            <w:pPr>
              <w:spacing w:before="0" w:after="0" w:line="360" w:lineRule="auto"/>
              <w:jc w:val="both"/>
              <w:rPr>
                <w:rFonts w:eastAsia="Times New Roman" w:cs="Times New Roman"/>
                <w:color w:val="000000" w:themeColor="text1"/>
                <w:sz w:val="24"/>
                <w:szCs w:val="24"/>
              </w:rPr>
            </w:pPr>
            <w:r w:rsidRPr="00E87D19">
              <w:rPr>
                <w:rFonts w:eastAsia="Times New Roman" w:cs="Times New Roman"/>
                <w:color w:val="000000" w:themeColor="text1"/>
                <w:sz w:val="24"/>
                <w:szCs w:val="24"/>
              </w:rPr>
              <w:t>0.126</w:t>
            </w:r>
          </w:p>
        </w:tc>
        <w:tc>
          <w:tcPr>
            <w:tcW w:w="1914" w:type="dxa"/>
            <w:tcBorders>
              <w:top w:val="nil"/>
            </w:tcBorders>
          </w:tcPr>
          <w:p w14:paraId="6AFB4100" w14:textId="77777777" w:rsidR="00065147" w:rsidRPr="00E87D19" w:rsidRDefault="00065147" w:rsidP="00A74D20">
            <w:pPr>
              <w:spacing w:before="0" w:after="0" w:line="360" w:lineRule="auto"/>
              <w:jc w:val="both"/>
              <w:rPr>
                <w:rFonts w:eastAsia="Times New Roman" w:cs="Times New Roman"/>
                <w:color w:val="000000" w:themeColor="text1"/>
                <w:sz w:val="24"/>
                <w:szCs w:val="24"/>
              </w:rPr>
            </w:pPr>
            <w:r w:rsidRPr="00E87D19">
              <w:rPr>
                <w:rFonts w:eastAsia="Times New Roman" w:cs="Times New Roman"/>
                <w:color w:val="000000" w:themeColor="text1"/>
                <w:sz w:val="24"/>
                <w:szCs w:val="24"/>
              </w:rPr>
              <w:t>0.465</w:t>
            </w:r>
          </w:p>
        </w:tc>
        <w:tc>
          <w:tcPr>
            <w:tcW w:w="2960" w:type="dxa"/>
            <w:tcBorders>
              <w:top w:val="nil"/>
            </w:tcBorders>
          </w:tcPr>
          <w:p w14:paraId="43F98167" w14:textId="77777777" w:rsidR="00065147" w:rsidRPr="00E87D19" w:rsidRDefault="00065147" w:rsidP="00A74D20">
            <w:pPr>
              <w:spacing w:before="0" w:after="0" w:line="360" w:lineRule="auto"/>
              <w:jc w:val="both"/>
              <w:rPr>
                <w:rFonts w:cs="Times New Roman"/>
                <w:color w:val="000000" w:themeColor="text1"/>
                <w:sz w:val="24"/>
                <w:szCs w:val="24"/>
              </w:rPr>
            </w:pPr>
            <w:r w:rsidRPr="00E87D19">
              <w:rPr>
                <w:rFonts w:cs="Times New Roman"/>
                <w:color w:val="000000" w:themeColor="text1"/>
                <w:sz w:val="24"/>
                <w:szCs w:val="24"/>
              </w:rPr>
              <w:t>19.227</w:t>
            </w:r>
          </w:p>
          <w:p w14:paraId="55E6358B" w14:textId="77777777" w:rsidR="00065147" w:rsidRPr="00E87D19" w:rsidRDefault="00065147" w:rsidP="00A74D20">
            <w:pPr>
              <w:spacing w:before="0" w:after="0" w:line="360" w:lineRule="auto"/>
              <w:jc w:val="both"/>
              <w:rPr>
                <w:rFonts w:cs="Times New Roman"/>
                <w:color w:val="000000" w:themeColor="text1"/>
                <w:sz w:val="24"/>
                <w:szCs w:val="24"/>
              </w:rPr>
            </w:pPr>
          </w:p>
        </w:tc>
      </w:tr>
      <w:tr w:rsidR="00065147" w:rsidRPr="00E87D19" w14:paraId="216FE599" w14:textId="77777777" w:rsidTr="004935AD">
        <w:trPr>
          <w:trHeight w:val="485"/>
        </w:trPr>
        <w:tc>
          <w:tcPr>
            <w:tcW w:w="646" w:type="dxa"/>
          </w:tcPr>
          <w:p w14:paraId="6721B263" w14:textId="77777777" w:rsidR="00065147" w:rsidRPr="00E87D19" w:rsidRDefault="00065147" w:rsidP="00A74D20">
            <w:pPr>
              <w:spacing w:before="0" w:after="0" w:line="360" w:lineRule="auto"/>
              <w:jc w:val="both"/>
              <w:rPr>
                <w:rFonts w:cs="Times New Roman"/>
                <w:color w:val="000000" w:themeColor="text1"/>
                <w:sz w:val="24"/>
                <w:szCs w:val="24"/>
              </w:rPr>
            </w:pPr>
            <w:r w:rsidRPr="00E87D19">
              <w:rPr>
                <w:rFonts w:cs="Times New Roman"/>
                <w:color w:val="000000" w:themeColor="text1"/>
                <w:sz w:val="24"/>
                <w:szCs w:val="24"/>
              </w:rPr>
              <w:t>3</w:t>
            </w:r>
          </w:p>
        </w:tc>
        <w:tc>
          <w:tcPr>
            <w:tcW w:w="1704" w:type="dxa"/>
          </w:tcPr>
          <w:p w14:paraId="12C57455" w14:textId="77777777" w:rsidR="00065147" w:rsidRPr="00E87D19" w:rsidRDefault="00065147" w:rsidP="00A74D20">
            <w:pPr>
              <w:spacing w:before="0" w:after="0" w:line="360" w:lineRule="auto"/>
              <w:jc w:val="both"/>
              <w:rPr>
                <w:rFonts w:cs="Times New Roman"/>
                <w:color w:val="000000" w:themeColor="text1"/>
                <w:sz w:val="24"/>
                <w:szCs w:val="24"/>
              </w:rPr>
            </w:pPr>
            <w:r w:rsidRPr="00E87D19">
              <w:rPr>
                <w:rFonts w:cs="Times New Roman"/>
                <w:color w:val="000000" w:themeColor="text1"/>
                <w:sz w:val="24"/>
                <w:szCs w:val="24"/>
              </w:rPr>
              <w:t>NPK</w:t>
            </w:r>
          </w:p>
        </w:tc>
        <w:tc>
          <w:tcPr>
            <w:tcW w:w="1944" w:type="dxa"/>
          </w:tcPr>
          <w:p w14:paraId="3C0C97BA" w14:textId="77777777" w:rsidR="00065147" w:rsidRPr="00E87D19" w:rsidRDefault="00065147" w:rsidP="00A74D20">
            <w:pPr>
              <w:spacing w:before="0" w:after="0" w:line="360" w:lineRule="auto"/>
              <w:jc w:val="both"/>
              <w:rPr>
                <w:rFonts w:eastAsia="Times New Roman" w:cs="Times New Roman"/>
                <w:color w:val="000000" w:themeColor="text1"/>
                <w:sz w:val="24"/>
                <w:szCs w:val="24"/>
              </w:rPr>
            </w:pPr>
            <w:r w:rsidRPr="00E87D19">
              <w:rPr>
                <w:rFonts w:eastAsia="Times New Roman" w:cs="Times New Roman"/>
                <w:color w:val="000000" w:themeColor="text1"/>
                <w:sz w:val="24"/>
                <w:szCs w:val="24"/>
              </w:rPr>
              <w:t>0.102</w:t>
            </w:r>
          </w:p>
        </w:tc>
        <w:tc>
          <w:tcPr>
            <w:tcW w:w="1914" w:type="dxa"/>
          </w:tcPr>
          <w:p w14:paraId="4A2592E9" w14:textId="77777777" w:rsidR="00065147" w:rsidRPr="00E87D19" w:rsidRDefault="00065147" w:rsidP="00A74D20">
            <w:pPr>
              <w:spacing w:before="0" w:after="0" w:line="360" w:lineRule="auto"/>
              <w:jc w:val="both"/>
              <w:rPr>
                <w:rFonts w:eastAsia="Times New Roman" w:cs="Times New Roman"/>
                <w:color w:val="000000" w:themeColor="text1"/>
                <w:sz w:val="24"/>
                <w:szCs w:val="24"/>
              </w:rPr>
            </w:pPr>
            <w:r w:rsidRPr="00E87D19">
              <w:rPr>
                <w:rFonts w:eastAsia="Times New Roman" w:cs="Times New Roman"/>
                <w:color w:val="000000" w:themeColor="text1"/>
                <w:sz w:val="24"/>
                <w:szCs w:val="24"/>
              </w:rPr>
              <w:t>0.170</w:t>
            </w:r>
          </w:p>
        </w:tc>
        <w:tc>
          <w:tcPr>
            <w:tcW w:w="2960" w:type="dxa"/>
          </w:tcPr>
          <w:p w14:paraId="1E81D468" w14:textId="77777777" w:rsidR="00065147" w:rsidRPr="00E87D19" w:rsidRDefault="00065147" w:rsidP="00A74D20">
            <w:pPr>
              <w:spacing w:before="0" w:after="0" w:line="360" w:lineRule="auto"/>
              <w:jc w:val="both"/>
              <w:rPr>
                <w:rFonts w:cs="Times New Roman"/>
                <w:color w:val="000000" w:themeColor="text1"/>
                <w:sz w:val="24"/>
                <w:szCs w:val="24"/>
              </w:rPr>
            </w:pPr>
            <w:r w:rsidRPr="00E87D19">
              <w:rPr>
                <w:rFonts w:cs="Times New Roman"/>
                <w:color w:val="000000" w:themeColor="text1"/>
                <w:sz w:val="24"/>
                <w:szCs w:val="24"/>
              </w:rPr>
              <w:t>7.197</w:t>
            </w:r>
          </w:p>
          <w:p w14:paraId="75BE5280" w14:textId="77777777" w:rsidR="00065147" w:rsidRPr="00E87D19" w:rsidRDefault="00065147" w:rsidP="00A74D20">
            <w:pPr>
              <w:spacing w:before="0" w:after="0" w:line="360" w:lineRule="auto"/>
              <w:jc w:val="both"/>
              <w:rPr>
                <w:rFonts w:cs="Times New Roman"/>
                <w:color w:val="000000" w:themeColor="text1"/>
                <w:sz w:val="24"/>
                <w:szCs w:val="24"/>
              </w:rPr>
            </w:pPr>
          </w:p>
        </w:tc>
      </w:tr>
    </w:tbl>
    <w:p w14:paraId="5CC7E40A" w14:textId="77777777" w:rsidR="00065147" w:rsidRPr="00E87D19" w:rsidRDefault="00065147" w:rsidP="00A74D20">
      <w:pPr>
        <w:spacing w:before="0" w:after="0" w:line="360" w:lineRule="auto"/>
        <w:jc w:val="both"/>
        <w:rPr>
          <w:rFonts w:cs="Times New Roman"/>
          <w:b/>
          <w:color w:val="000000" w:themeColor="text1"/>
          <w:szCs w:val="24"/>
        </w:rPr>
      </w:pPr>
      <w:r w:rsidRPr="00E87D19">
        <w:rPr>
          <w:rFonts w:cs="Times New Roman"/>
          <w:b/>
          <w:color w:val="000000" w:themeColor="text1"/>
          <w:szCs w:val="24"/>
        </w:rPr>
        <w:t>SGR= specific growth rate, P</w:t>
      </w:r>
      <w:r w:rsidRPr="00E87D19">
        <w:rPr>
          <w:rFonts w:cs="Times New Roman"/>
          <w:b/>
          <w:color w:val="000000" w:themeColor="text1"/>
          <w:szCs w:val="24"/>
          <w:vertAlign w:val="subscript"/>
        </w:rPr>
        <w:t>B</w:t>
      </w:r>
      <w:r w:rsidRPr="00E87D19">
        <w:rPr>
          <w:rFonts w:cs="Times New Roman"/>
          <w:b/>
          <w:color w:val="000000" w:themeColor="text1"/>
          <w:szCs w:val="24"/>
        </w:rPr>
        <w:t xml:space="preserve"> = biomass productivity.</w:t>
      </w:r>
    </w:p>
    <w:p w14:paraId="7B843C14" w14:textId="77777777" w:rsidR="00065147" w:rsidRPr="00E87D19" w:rsidRDefault="00065147" w:rsidP="00A74D20">
      <w:pPr>
        <w:spacing w:after="0" w:line="360" w:lineRule="auto"/>
        <w:rPr>
          <w:rFonts w:cs="Times New Roman"/>
          <w:b/>
          <w:color w:val="000000" w:themeColor="text1"/>
          <w:szCs w:val="24"/>
        </w:rPr>
      </w:pPr>
      <w:r w:rsidRPr="00E87D19">
        <w:rPr>
          <w:rFonts w:cs="Times New Roman"/>
          <w:b/>
          <w:noProof/>
          <w:color w:val="000000" w:themeColor="text1"/>
          <w:szCs w:val="24"/>
        </w:rPr>
        <w:lastRenderedPageBreak/>
        <w:drawing>
          <wp:inline distT="0" distB="0" distL="0" distR="0" wp14:anchorId="61A9EB13" wp14:editId="4EAC29F1">
            <wp:extent cx="2857500" cy="23050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20230911_174709.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857500" cy="2305050"/>
                    </a:xfrm>
                    <a:prstGeom prst="rect">
                      <a:avLst/>
                    </a:prstGeom>
                  </pic:spPr>
                </pic:pic>
              </a:graphicData>
            </a:graphic>
          </wp:inline>
        </w:drawing>
      </w:r>
      <w:r w:rsidRPr="00E87D19">
        <w:rPr>
          <w:rFonts w:cs="Times New Roman"/>
          <w:b/>
          <w:noProof/>
          <w:color w:val="000000" w:themeColor="text1"/>
          <w:szCs w:val="24"/>
        </w:rPr>
        <w:drawing>
          <wp:inline distT="0" distB="0" distL="0" distR="0" wp14:anchorId="3DD1EDEC" wp14:editId="39A15BBD">
            <wp:extent cx="2695575" cy="23272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20230915_132016.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695575" cy="2327275"/>
                    </a:xfrm>
                    <a:prstGeom prst="rect">
                      <a:avLst/>
                    </a:prstGeom>
                  </pic:spPr>
                </pic:pic>
              </a:graphicData>
            </a:graphic>
          </wp:inline>
        </w:drawing>
      </w:r>
    </w:p>
    <w:p w14:paraId="1B01D36A" w14:textId="7B9E9A3F" w:rsidR="00065147" w:rsidRPr="00E87D19" w:rsidRDefault="00065147" w:rsidP="00A74D20">
      <w:pPr>
        <w:spacing w:after="0" w:line="360" w:lineRule="auto"/>
        <w:rPr>
          <w:rFonts w:cs="Times New Roman"/>
          <w:b/>
          <w:color w:val="000000" w:themeColor="text1"/>
          <w:szCs w:val="24"/>
        </w:rPr>
      </w:pPr>
      <w:r w:rsidRPr="00E87D19">
        <w:rPr>
          <w:rFonts w:cs="Times New Roman"/>
          <w:b/>
          <w:color w:val="000000" w:themeColor="text1"/>
          <w:szCs w:val="24"/>
        </w:rPr>
        <w:t>Fig</w:t>
      </w:r>
      <w:r w:rsidR="00DC6624">
        <w:rPr>
          <w:rFonts w:cs="Times New Roman"/>
          <w:b/>
          <w:color w:val="000000" w:themeColor="text1"/>
          <w:szCs w:val="24"/>
        </w:rPr>
        <w:t>ure</w:t>
      </w:r>
      <w:r w:rsidRPr="00E87D19">
        <w:rPr>
          <w:rFonts w:cs="Times New Roman"/>
          <w:b/>
          <w:color w:val="000000" w:themeColor="text1"/>
          <w:szCs w:val="24"/>
        </w:rPr>
        <w:t xml:space="preserve"> </w:t>
      </w:r>
      <w:r w:rsidR="00DC6624">
        <w:rPr>
          <w:rFonts w:cs="Times New Roman"/>
          <w:b/>
          <w:color w:val="000000" w:themeColor="text1"/>
          <w:szCs w:val="24"/>
        </w:rPr>
        <w:t>5</w:t>
      </w:r>
      <w:r w:rsidRPr="00E87D19">
        <w:rPr>
          <w:rFonts w:cs="Times New Roman"/>
          <w:b/>
          <w:color w:val="000000" w:themeColor="text1"/>
          <w:szCs w:val="24"/>
        </w:rPr>
        <w:t>: Showing the growth of microalgae after a week.</w:t>
      </w:r>
    </w:p>
    <w:p w14:paraId="30183EA2" w14:textId="77777777" w:rsidR="00065147" w:rsidRPr="00E87D19" w:rsidRDefault="00065147" w:rsidP="00A74D20">
      <w:pPr>
        <w:spacing w:after="0" w:line="360" w:lineRule="auto"/>
        <w:rPr>
          <w:rFonts w:cs="Times New Roman"/>
          <w:b/>
          <w:color w:val="000000" w:themeColor="text1"/>
          <w:szCs w:val="24"/>
        </w:rPr>
      </w:pPr>
      <w:r w:rsidRPr="00E87D19">
        <w:rPr>
          <w:rFonts w:cs="Times New Roman"/>
          <w:b/>
          <w:noProof/>
          <w:color w:val="000000" w:themeColor="text1"/>
          <w:szCs w:val="24"/>
        </w:rPr>
        <w:drawing>
          <wp:inline distT="0" distB="0" distL="0" distR="0" wp14:anchorId="7E4935CD" wp14:editId="59A1F900">
            <wp:extent cx="2695575" cy="370522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20231023_123024.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695575" cy="3705225"/>
                    </a:xfrm>
                    <a:prstGeom prst="rect">
                      <a:avLst/>
                    </a:prstGeom>
                  </pic:spPr>
                </pic:pic>
              </a:graphicData>
            </a:graphic>
          </wp:inline>
        </w:drawing>
      </w:r>
      <w:r w:rsidRPr="00E87D19">
        <w:rPr>
          <w:rFonts w:cs="Times New Roman"/>
          <w:b/>
          <w:noProof/>
          <w:color w:val="000000" w:themeColor="text1"/>
          <w:szCs w:val="24"/>
        </w:rPr>
        <w:drawing>
          <wp:inline distT="0" distB="0" distL="0" distR="0" wp14:anchorId="35DA54D6" wp14:editId="13F5556F">
            <wp:extent cx="2847975" cy="36703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20231023_123114.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847975" cy="3670300"/>
                    </a:xfrm>
                    <a:prstGeom prst="rect">
                      <a:avLst/>
                    </a:prstGeom>
                  </pic:spPr>
                </pic:pic>
              </a:graphicData>
            </a:graphic>
          </wp:inline>
        </w:drawing>
      </w:r>
    </w:p>
    <w:p w14:paraId="2D279E60" w14:textId="7DA544CC" w:rsidR="00065147" w:rsidRPr="00E87D19" w:rsidRDefault="00065147" w:rsidP="00A74D20">
      <w:pPr>
        <w:spacing w:after="0" w:line="360" w:lineRule="auto"/>
        <w:rPr>
          <w:rFonts w:cs="Times New Roman"/>
          <w:b/>
          <w:color w:val="000000" w:themeColor="text1"/>
          <w:szCs w:val="24"/>
        </w:rPr>
      </w:pPr>
      <w:r w:rsidRPr="00E87D19">
        <w:rPr>
          <w:rFonts w:cs="Times New Roman"/>
          <w:b/>
          <w:color w:val="000000" w:themeColor="text1"/>
          <w:szCs w:val="24"/>
        </w:rPr>
        <w:t>Fig</w:t>
      </w:r>
      <w:r w:rsidR="00DC6624">
        <w:rPr>
          <w:rFonts w:cs="Times New Roman"/>
          <w:b/>
          <w:color w:val="000000" w:themeColor="text1"/>
          <w:szCs w:val="24"/>
        </w:rPr>
        <w:t>ure</w:t>
      </w:r>
      <w:r w:rsidRPr="00E87D19">
        <w:rPr>
          <w:rFonts w:cs="Times New Roman"/>
          <w:b/>
          <w:color w:val="000000" w:themeColor="text1"/>
          <w:szCs w:val="24"/>
        </w:rPr>
        <w:t xml:space="preserve"> </w:t>
      </w:r>
      <w:r w:rsidR="00DC6624">
        <w:rPr>
          <w:rFonts w:cs="Times New Roman"/>
          <w:b/>
          <w:color w:val="000000" w:themeColor="text1"/>
          <w:szCs w:val="24"/>
        </w:rPr>
        <w:t>6</w:t>
      </w:r>
      <w:r w:rsidRPr="00E87D19">
        <w:rPr>
          <w:rFonts w:cs="Times New Roman"/>
          <w:b/>
          <w:color w:val="000000" w:themeColor="text1"/>
          <w:szCs w:val="24"/>
        </w:rPr>
        <w:t>: Showing the growth of the microalgae after a month.</w:t>
      </w:r>
    </w:p>
    <w:p w14:paraId="63F39453" w14:textId="77777777" w:rsidR="00065147" w:rsidRPr="00E87D19" w:rsidRDefault="00065147" w:rsidP="00A74D20">
      <w:pPr>
        <w:spacing w:before="0" w:after="0" w:line="360" w:lineRule="auto"/>
        <w:jc w:val="both"/>
        <w:rPr>
          <w:rFonts w:cs="Times New Roman"/>
          <w:b/>
          <w:color w:val="000000" w:themeColor="text1"/>
          <w:szCs w:val="24"/>
        </w:rPr>
      </w:pPr>
    </w:p>
    <w:p w14:paraId="128E30FC" w14:textId="77777777" w:rsidR="00065147" w:rsidRPr="00E87D19" w:rsidRDefault="00065147" w:rsidP="00A74D20">
      <w:pPr>
        <w:spacing w:before="0" w:after="0" w:line="360" w:lineRule="auto"/>
        <w:rPr>
          <w:rFonts w:cs="Times New Roman"/>
          <w:b/>
          <w:color w:val="000000" w:themeColor="text1"/>
          <w:szCs w:val="24"/>
        </w:rPr>
      </w:pPr>
      <w:r w:rsidRPr="00E87D19">
        <w:rPr>
          <w:rFonts w:cs="Times New Roman"/>
          <w:b/>
          <w:color w:val="000000" w:themeColor="text1"/>
          <w:szCs w:val="24"/>
        </w:rPr>
        <w:br w:type="page"/>
      </w:r>
    </w:p>
    <w:p w14:paraId="73F9FE8C" w14:textId="6AB6CC90" w:rsidR="00065147" w:rsidRPr="00E87D19" w:rsidRDefault="00797201" w:rsidP="00A74D20">
      <w:pPr>
        <w:pStyle w:val="Heading1"/>
        <w:spacing w:before="0" w:line="360" w:lineRule="auto"/>
        <w:rPr>
          <w:rFonts w:ascii="Times New Roman" w:hAnsi="Times New Roman" w:cs="Times New Roman"/>
          <w:b/>
          <w:bCs/>
          <w:color w:val="000000" w:themeColor="text1"/>
          <w:sz w:val="24"/>
          <w:szCs w:val="24"/>
          <w:shd w:val="clear" w:color="auto" w:fill="FFFFFF"/>
        </w:rPr>
      </w:pPr>
      <w:bookmarkStart w:id="7" w:name="_Toc193158705"/>
      <w:r w:rsidRPr="00E87D19">
        <w:rPr>
          <w:rFonts w:ascii="Times New Roman" w:hAnsi="Times New Roman" w:cs="Times New Roman"/>
          <w:b/>
          <w:bCs/>
          <w:color w:val="000000" w:themeColor="text1"/>
          <w:sz w:val="24"/>
          <w:szCs w:val="24"/>
          <w:shd w:val="clear" w:color="auto" w:fill="FFFFFF"/>
        </w:rPr>
        <w:lastRenderedPageBreak/>
        <w:t>Lipid</w:t>
      </w:r>
      <w:r w:rsidR="00065147" w:rsidRPr="00E87D19">
        <w:rPr>
          <w:rFonts w:ascii="Times New Roman" w:hAnsi="Times New Roman" w:cs="Times New Roman"/>
          <w:b/>
          <w:bCs/>
          <w:color w:val="000000" w:themeColor="text1"/>
          <w:sz w:val="24"/>
          <w:szCs w:val="24"/>
          <w:shd w:val="clear" w:color="auto" w:fill="FFFFFF"/>
        </w:rPr>
        <w:t xml:space="preserve"> yield from the three different media</w:t>
      </w:r>
      <w:bookmarkEnd w:id="7"/>
    </w:p>
    <w:p w14:paraId="3E3738C0" w14:textId="556D737B" w:rsidR="00A61DC8" w:rsidRPr="00E87D19" w:rsidRDefault="00A61DC8" w:rsidP="00A74D20">
      <w:pPr>
        <w:spacing w:line="360" w:lineRule="auto"/>
        <w:jc w:val="both"/>
        <w:rPr>
          <w:rFonts w:eastAsia="Times New Roman" w:cs="Times New Roman"/>
          <w:color w:val="000000" w:themeColor="text1"/>
          <w:szCs w:val="24"/>
        </w:rPr>
      </w:pPr>
      <w:r w:rsidRPr="00E87D19">
        <w:rPr>
          <w:rFonts w:eastAsia="Times New Roman" w:cs="Times New Roman"/>
          <w:color w:val="000000" w:themeColor="text1"/>
          <w:szCs w:val="24"/>
        </w:rPr>
        <w:t xml:space="preserve">BG11 medium produced the highest lipid </w:t>
      </w:r>
      <w:r w:rsidR="00797201" w:rsidRPr="00E87D19">
        <w:rPr>
          <w:rFonts w:eastAsia="Times New Roman" w:cs="Times New Roman"/>
          <w:color w:val="000000" w:themeColor="text1"/>
          <w:szCs w:val="24"/>
        </w:rPr>
        <w:t xml:space="preserve">yield of </w:t>
      </w:r>
      <w:r w:rsidR="00AC24F5" w:rsidRPr="00E87D19">
        <w:rPr>
          <w:rFonts w:eastAsia="Times New Roman" w:cs="Times New Roman"/>
          <w:color w:val="000000" w:themeColor="text1"/>
          <w:szCs w:val="24"/>
        </w:rPr>
        <w:t xml:space="preserve">28.46g/L </w:t>
      </w:r>
      <w:r w:rsidRPr="00E87D19">
        <w:rPr>
          <w:rFonts w:eastAsia="Times New Roman" w:cs="Times New Roman"/>
          <w:color w:val="000000" w:themeColor="text1"/>
          <w:szCs w:val="24"/>
        </w:rPr>
        <w:t>(2</w:t>
      </w:r>
      <w:r w:rsidR="00AC24F5" w:rsidRPr="00E87D19">
        <w:rPr>
          <w:rFonts w:eastAsia="Times New Roman" w:cs="Times New Roman"/>
          <w:color w:val="000000" w:themeColor="text1"/>
          <w:szCs w:val="24"/>
        </w:rPr>
        <w:t>7</w:t>
      </w:r>
      <w:r w:rsidRPr="00E87D19">
        <w:rPr>
          <w:rFonts w:eastAsia="Times New Roman" w:cs="Times New Roman"/>
          <w:color w:val="000000" w:themeColor="text1"/>
          <w:szCs w:val="24"/>
        </w:rPr>
        <w:t>.</w:t>
      </w:r>
      <w:r w:rsidR="00AC24F5" w:rsidRPr="00E87D19">
        <w:rPr>
          <w:rFonts w:eastAsia="Times New Roman" w:cs="Times New Roman"/>
          <w:color w:val="000000" w:themeColor="text1"/>
          <w:szCs w:val="24"/>
        </w:rPr>
        <w:t>05</w:t>
      </w:r>
      <w:r w:rsidRPr="00E87D19">
        <w:rPr>
          <w:rFonts w:eastAsia="Times New Roman" w:cs="Times New Roman"/>
          <w:color w:val="000000" w:themeColor="text1"/>
          <w:szCs w:val="24"/>
        </w:rPr>
        <w:t xml:space="preserve">%), followed closely by algal broth </w:t>
      </w:r>
      <w:r w:rsidR="00AC24F5" w:rsidRPr="00E87D19">
        <w:rPr>
          <w:rFonts w:eastAsia="Times New Roman" w:cs="Times New Roman"/>
          <w:color w:val="000000" w:themeColor="text1"/>
          <w:szCs w:val="24"/>
        </w:rPr>
        <w:t xml:space="preserve">13.23g/L </w:t>
      </w:r>
      <w:r w:rsidRPr="00E87D19">
        <w:rPr>
          <w:rFonts w:eastAsia="Times New Roman" w:cs="Times New Roman"/>
          <w:color w:val="000000" w:themeColor="text1"/>
          <w:szCs w:val="24"/>
        </w:rPr>
        <w:t>(23.</w:t>
      </w:r>
      <w:r w:rsidR="00AC24F5" w:rsidRPr="00E87D19">
        <w:rPr>
          <w:rFonts w:eastAsia="Times New Roman" w:cs="Times New Roman"/>
          <w:color w:val="000000" w:themeColor="text1"/>
          <w:szCs w:val="24"/>
        </w:rPr>
        <w:t>12</w:t>
      </w:r>
      <w:r w:rsidRPr="00E87D19">
        <w:rPr>
          <w:rFonts w:eastAsia="Times New Roman" w:cs="Times New Roman"/>
          <w:color w:val="000000" w:themeColor="text1"/>
          <w:szCs w:val="24"/>
        </w:rPr>
        <w:t xml:space="preserve">%), while NPK medium recorded markedly lower lipid content </w:t>
      </w:r>
      <w:r w:rsidR="00AC24F5" w:rsidRPr="00E87D19">
        <w:rPr>
          <w:rFonts w:eastAsia="Times New Roman" w:cs="Times New Roman"/>
          <w:color w:val="000000" w:themeColor="text1"/>
          <w:szCs w:val="24"/>
        </w:rPr>
        <w:t xml:space="preserve">3.45g/L </w:t>
      </w:r>
      <w:r w:rsidRPr="00E87D19">
        <w:rPr>
          <w:rFonts w:eastAsia="Times New Roman" w:cs="Times New Roman"/>
          <w:color w:val="000000" w:themeColor="text1"/>
          <w:szCs w:val="24"/>
        </w:rPr>
        <w:t>(</w:t>
      </w:r>
      <w:r w:rsidR="00AC24F5" w:rsidRPr="00E87D19">
        <w:rPr>
          <w:rFonts w:eastAsia="Times New Roman" w:cs="Times New Roman"/>
          <w:color w:val="000000" w:themeColor="text1"/>
          <w:szCs w:val="24"/>
        </w:rPr>
        <w:t>16.12</w:t>
      </w:r>
      <w:r w:rsidRPr="00E87D19">
        <w:rPr>
          <w:rFonts w:eastAsia="Times New Roman" w:cs="Times New Roman"/>
          <w:color w:val="000000" w:themeColor="text1"/>
          <w:szCs w:val="24"/>
        </w:rPr>
        <w:t>%)</w:t>
      </w:r>
      <w:r w:rsidR="00C8449D" w:rsidRPr="00E87D19">
        <w:rPr>
          <w:rFonts w:eastAsia="Times New Roman" w:cs="Times New Roman"/>
          <w:color w:val="000000" w:themeColor="text1"/>
          <w:szCs w:val="24"/>
        </w:rPr>
        <w:t>.</w:t>
      </w:r>
    </w:p>
    <w:p w14:paraId="22724041" w14:textId="11E3447B" w:rsidR="00065147" w:rsidRPr="00E87D19" w:rsidRDefault="00065147" w:rsidP="00A74D20">
      <w:pPr>
        <w:spacing w:line="360" w:lineRule="auto"/>
        <w:jc w:val="both"/>
        <w:rPr>
          <w:rFonts w:cs="Times New Roman"/>
          <w:b/>
          <w:color w:val="000000" w:themeColor="text1"/>
          <w:szCs w:val="24"/>
        </w:rPr>
      </w:pPr>
      <w:r w:rsidRPr="00E87D19">
        <w:rPr>
          <w:rFonts w:cs="Times New Roman"/>
          <w:b/>
          <w:color w:val="000000" w:themeColor="text1"/>
          <w:szCs w:val="24"/>
        </w:rPr>
        <w:t xml:space="preserve">Table 5: Result of algal culture media, </w:t>
      </w:r>
      <w:r w:rsidR="00C53A3A" w:rsidRPr="00E87D19">
        <w:rPr>
          <w:rFonts w:cs="Times New Roman"/>
          <w:b/>
          <w:color w:val="000000" w:themeColor="text1"/>
          <w:szCs w:val="24"/>
        </w:rPr>
        <w:t xml:space="preserve">dry </w:t>
      </w:r>
      <w:r w:rsidRPr="00E87D19">
        <w:rPr>
          <w:rFonts w:cs="Times New Roman"/>
          <w:b/>
          <w:color w:val="000000" w:themeColor="text1"/>
          <w:szCs w:val="24"/>
        </w:rPr>
        <w:t>biomass used</w:t>
      </w:r>
      <w:r w:rsidR="001F2BBE">
        <w:rPr>
          <w:rFonts w:cs="Times New Roman"/>
          <w:b/>
          <w:color w:val="000000" w:themeColor="text1"/>
          <w:szCs w:val="24"/>
        </w:rPr>
        <w:t xml:space="preserve"> and</w:t>
      </w:r>
      <w:r w:rsidRPr="00E87D19">
        <w:rPr>
          <w:rFonts w:cs="Times New Roman"/>
          <w:b/>
          <w:color w:val="000000" w:themeColor="text1"/>
          <w:szCs w:val="24"/>
        </w:rPr>
        <w:t xml:space="preserve"> oil yield from algal biomass</w:t>
      </w:r>
    </w:p>
    <w:tbl>
      <w:tblPr>
        <w:tblStyle w:val="TableGrid"/>
        <w:tblW w:w="9085"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624"/>
        <w:gridCol w:w="1542"/>
        <w:gridCol w:w="2419"/>
        <w:gridCol w:w="2250"/>
        <w:gridCol w:w="2250"/>
      </w:tblGrid>
      <w:tr w:rsidR="005373FB" w:rsidRPr="00E87D19" w14:paraId="33AA7FE3" w14:textId="77777777" w:rsidTr="00DC6624">
        <w:tc>
          <w:tcPr>
            <w:tcW w:w="624" w:type="dxa"/>
            <w:tcBorders>
              <w:top w:val="single" w:sz="4" w:space="0" w:color="auto"/>
              <w:bottom w:val="single" w:sz="4" w:space="0" w:color="auto"/>
            </w:tcBorders>
          </w:tcPr>
          <w:p w14:paraId="1417CE64" w14:textId="77777777" w:rsidR="005373FB" w:rsidRPr="00E87D19" w:rsidRDefault="005373FB" w:rsidP="00A74D20">
            <w:pPr>
              <w:spacing w:before="0" w:after="0" w:line="360" w:lineRule="auto"/>
              <w:jc w:val="both"/>
              <w:rPr>
                <w:rFonts w:cs="Times New Roman"/>
                <w:b/>
                <w:color w:val="000000" w:themeColor="text1"/>
                <w:sz w:val="24"/>
                <w:szCs w:val="24"/>
              </w:rPr>
            </w:pPr>
            <w:r w:rsidRPr="00E87D19">
              <w:rPr>
                <w:rFonts w:cs="Times New Roman"/>
                <w:b/>
                <w:color w:val="000000" w:themeColor="text1"/>
                <w:sz w:val="24"/>
                <w:szCs w:val="24"/>
              </w:rPr>
              <w:t>S/N</w:t>
            </w:r>
          </w:p>
        </w:tc>
        <w:tc>
          <w:tcPr>
            <w:tcW w:w="1542" w:type="dxa"/>
            <w:tcBorders>
              <w:top w:val="single" w:sz="4" w:space="0" w:color="auto"/>
              <w:bottom w:val="single" w:sz="4" w:space="0" w:color="auto"/>
            </w:tcBorders>
          </w:tcPr>
          <w:p w14:paraId="70557E75" w14:textId="77777777" w:rsidR="005373FB" w:rsidRPr="00E87D19" w:rsidRDefault="005373FB" w:rsidP="00A74D20">
            <w:pPr>
              <w:spacing w:before="0" w:after="0" w:line="360" w:lineRule="auto"/>
              <w:jc w:val="both"/>
              <w:rPr>
                <w:rFonts w:cs="Times New Roman"/>
                <w:b/>
                <w:color w:val="000000" w:themeColor="text1"/>
                <w:sz w:val="24"/>
                <w:szCs w:val="24"/>
              </w:rPr>
            </w:pPr>
            <w:r w:rsidRPr="00E87D19">
              <w:rPr>
                <w:rFonts w:cs="Times New Roman"/>
                <w:b/>
                <w:color w:val="000000" w:themeColor="text1"/>
                <w:sz w:val="24"/>
                <w:szCs w:val="24"/>
              </w:rPr>
              <w:t>Culture Media</w:t>
            </w:r>
          </w:p>
        </w:tc>
        <w:tc>
          <w:tcPr>
            <w:tcW w:w="2419" w:type="dxa"/>
            <w:tcBorders>
              <w:top w:val="single" w:sz="4" w:space="0" w:color="auto"/>
              <w:bottom w:val="single" w:sz="4" w:space="0" w:color="auto"/>
            </w:tcBorders>
          </w:tcPr>
          <w:p w14:paraId="1AE14E2F" w14:textId="36DDE7F1" w:rsidR="005373FB" w:rsidRPr="00E87D19" w:rsidRDefault="005373FB" w:rsidP="00A74D20">
            <w:pPr>
              <w:spacing w:before="0" w:after="0" w:line="360" w:lineRule="auto"/>
              <w:jc w:val="both"/>
              <w:rPr>
                <w:rFonts w:cs="Times New Roman"/>
                <w:b/>
                <w:color w:val="000000" w:themeColor="text1"/>
                <w:sz w:val="24"/>
                <w:szCs w:val="24"/>
              </w:rPr>
            </w:pPr>
            <w:r w:rsidRPr="00E87D19">
              <w:rPr>
                <w:rFonts w:cs="Times New Roman"/>
                <w:b/>
                <w:color w:val="000000" w:themeColor="text1"/>
                <w:sz w:val="24"/>
                <w:szCs w:val="24"/>
              </w:rPr>
              <w:t>Dry Biomass used g/L (dry weight)</w:t>
            </w:r>
          </w:p>
        </w:tc>
        <w:tc>
          <w:tcPr>
            <w:tcW w:w="2250" w:type="dxa"/>
            <w:tcBorders>
              <w:top w:val="single" w:sz="4" w:space="0" w:color="auto"/>
              <w:bottom w:val="single" w:sz="4" w:space="0" w:color="auto"/>
            </w:tcBorders>
          </w:tcPr>
          <w:p w14:paraId="50812855" w14:textId="2A2C8819" w:rsidR="005373FB" w:rsidRPr="00E87D19" w:rsidRDefault="005373FB" w:rsidP="00A74D20">
            <w:pPr>
              <w:spacing w:before="0" w:after="0" w:line="360" w:lineRule="auto"/>
              <w:jc w:val="both"/>
              <w:rPr>
                <w:rFonts w:cs="Times New Roman"/>
                <w:b/>
                <w:color w:val="000000" w:themeColor="text1"/>
                <w:sz w:val="24"/>
                <w:szCs w:val="24"/>
              </w:rPr>
            </w:pPr>
            <w:r w:rsidRPr="00E87D19">
              <w:rPr>
                <w:rFonts w:cs="Times New Roman"/>
                <w:b/>
                <w:color w:val="000000" w:themeColor="text1"/>
                <w:sz w:val="24"/>
                <w:szCs w:val="24"/>
              </w:rPr>
              <w:t>Oil yield</w:t>
            </w:r>
            <w:r w:rsidR="00AC24F5" w:rsidRPr="00E87D19">
              <w:rPr>
                <w:rFonts w:cs="Times New Roman"/>
                <w:b/>
                <w:color w:val="000000" w:themeColor="text1"/>
                <w:sz w:val="24"/>
                <w:szCs w:val="24"/>
              </w:rPr>
              <w:t xml:space="preserve"> g/L</w:t>
            </w:r>
          </w:p>
        </w:tc>
        <w:tc>
          <w:tcPr>
            <w:tcW w:w="2250" w:type="dxa"/>
            <w:tcBorders>
              <w:top w:val="single" w:sz="4" w:space="0" w:color="auto"/>
              <w:bottom w:val="single" w:sz="4" w:space="0" w:color="auto"/>
            </w:tcBorders>
          </w:tcPr>
          <w:p w14:paraId="05F514C2" w14:textId="77777777" w:rsidR="005373FB" w:rsidRPr="00E87D19" w:rsidRDefault="005373FB" w:rsidP="00A74D20">
            <w:pPr>
              <w:spacing w:before="0" w:after="0" w:line="360" w:lineRule="auto"/>
              <w:jc w:val="both"/>
              <w:rPr>
                <w:rFonts w:cs="Times New Roman"/>
                <w:b/>
                <w:color w:val="000000" w:themeColor="text1"/>
                <w:sz w:val="24"/>
                <w:szCs w:val="24"/>
              </w:rPr>
            </w:pPr>
            <w:r w:rsidRPr="00E87D19">
              <w:rPr>
                <w:rFonts w:cs="Times New Roman"/>
                <w:b/>
                <w:color w:val="000000" w:themeColor="text1"/>
                <w:sz w:val="24"/>
                <w:szCs w:val="24"/>
              </w:rPr>
              <w:t>Percentage lipid content</w:t>
            </w:r>
          </w:p>
        </w:tc>
      </w:tr>
      <w:tr w:rsidR="005373FB" w:rsidRPr="00E87D19" w14:paraId="53C2594A" w14:textId="77777777" w:rsidTr="00DC6624">
        <w:tc>
          <w:tcPr>
            <w:tcW w:w="624" w:type="dxa"/>
            <w:tcBorders>
              <w:top w:val="single" w:sz="4" w:space="0" w:color="auto"/>
            </w:tcBorders>
          </w:tcPr>
          <w:p w14:paraId="2EF8EA3A" w14:textId="77777777" w:rsidR="005373FB" w:rsidRPr="00E87D19" w:rsidRDefault="005373FB" w:rsidP="00A74D20">
            <w:pPr>
              <w:spacing w:before="0" w:after="0" w:line="360" w:lineRule="auto"/>
              <w:jc w:val="both"/>
              <w:rPr>
                <w:rFonts w:cs="Times New Roman"/>
                <w:b/>
                <w:color w:val="000000" w:themeColor="text1"/>
                <w:sz w:val="24"/>
                <w:szCs w:val="24"/>
              </w:rPr>
            </w:pPr>
            <w:r w:rsidRPr="00E87D19">
              <w:rPr>
                <w:rFonts w:cs="Times New Roman"/>
                <w:b/>
                <w:color w:val="000000" w:themeColor="text1"/>
                <w:sz w:val="24"/>
                <w:szCs w:val="24"/>
              </w:rPr>
              <w:t>1</w:t>
            </w:r>
          </w:p>
        </w:tc>
        <w:tc>
          <w:tcPr>
            <w:tcW w:w="1542" w:type="dxa"/>
            <w:tcBorders>
              <w:top w:val="single" w:sz="4" w:space="0" w:color="auto"/>
            </w:tcBorders>
          </w:tcPr>
          <w:p w14:paraId="1E3E86D8" w14:textId="77777777" w:rsidR="005373FB" w:rsidRPr="00E87D19" w:rsidRDefault="005373FB" w:rsidP="00A74D20">
            <w:pPr>
              <w:spacing w:before="0" w:after="0" w:line="360" w:lineRule="auto"/>
              <w:jc w:val="both"/>
              <w:rPr>
                <w:rFonts w:cs="Times New Roman"/>
                <w:color w:val="000000" w:themeColor="text1"/>
                <w:sz w:val="24"/>
                <w:szCs w:val="24"/>
              </w:rPr>
            </w:pPr>
            <w:r w:rsidRPr="00E87D19">
              <w:rPr>
                <w:rFonts w:cs="Times New Roman"/>
                <w:color w:val="000000" w:themeColor="text1"/>
                <w:sz w:val="24"/>
                <w:szCs w:val="24"/>
              </w:rPr>
              <w:t>BG11</w:t>
            </w:r>
          </w:p>
        </w:tc>
        <w:tc>
          <w:tcPr>
            <w:tcW w:w="2419" w:type="dxa"/>
            <w:tcBorders>
              <w:top w:val="single" w:sz="4" w:space="0" w:color="auto"/>
            </w:tcBorders>
          </w:tcPr>
          <w:p w14:paraId="5FC7C2CA" w14:textId="0061789A" w:rsidR="005373FB" w:rsidRPr="00E87D19" w:rsidRDefault="00997867" w:rsidP="00A74D20">
            <w:pPr>
              <w:spacing w:before="0" w:after="0" w:line="360" w:lineRule="auto"/>
              <w:jc w:val="both"/>
              <w:rPr>
                <w:rFonts w:cs="Times New Roman"/>
                <w:color w:val="000000" w:themeColor="text1"/>
                <w:sz w:val="24"/>
                <w:szCs w:val="24"/>
              </w:rPr>
            </w:pPr>
            <w:r w:rsidRPr="00E87D19">
              <w:rPr>
                <w:rFonts w:cs="Times New Roman"/>
                <w:color w:val="000000" w:themeColor="text1"/>
                <w:sz w:val="24"/>
                <w:szCs w:val="24"/>
              </w:rPr>
              <w:t>30</w:t>
            </w:r>
          </w:p>
        </w:tc>
        <w:tc>
          <w:tcPr>
            <w:tcW w:w="2250" w:type="dxa"/>
            <w:tcBorders>
              <w:top w:val="single" w:sz="4" w:space="0" w:color="auto"/>
            </w:tcBorders>
          </w:tcPr>
          <w:p w14:paraId="0D88B3AD" w14:textId="72CA296B" w:rsidR="005373FB" w:rsidRPr="00E87D19" w:rsidRDefault="005373FB" w:rsidP="00A74D20">
            <w:pPr>
              <w:spacing w:before="0" w:after="0" w:line="360" w:lineRule="auto"/>
              <w:jc w:val="both"/>
              <w:rPr>
                <w:rFonts w:cs="Times New Roman"/>
                <w:color w:val="000000" w:themeColor="text1"/>
                <w:sz w:val="24"/>
                <w:szCs w:val="24"/>
              </w:rPr>
            </w:pPr>
            <w:r w:rsidRPr="00E87D19">
              <w:rPr>
                <w:rFonts w:cs="Times New Roman"/>
                <w:color w:val="000000" w:themeColor="text1"/>
                <w:sz w:val="24"/>
                <w:szCs w:val="24"/>
                <w:shd w:val="clear" w:color="auto" w:fill="FFFFFF"/>
              </w:rPr>
              <w:t>28</w:t>
            </w:r>
            <w:r w:rsidR="00AC24F5" w:rsidRPr="00E87D19">
              <w:rPr>
                <w:rFonts w:cs="Times New Roman"/>
                <w:color w:val="000000" w:themeColor="text1"/>
                <w:sz w:val="24"/>
                <w:szCs w:val="24"/>
                <w:shd w:val="clear" w:color="auto" w:fill="FFFFFF"/>
              </w:rPr>
              <w:t>.46</w:t>
            </w:r>
          </w:p>
        </w:tc>
        <w:tc>
          <w:tcPr>
            <w:tcW w:w="2250" w:type="dxa"/>
            <w:tcBorders>
              <w:top w:val="single" w:sz="4" w:space="0" w:color="auto"/>
            </w:tcBorders>
          </w:tcPr>
          <w:p w14:paraId="5061A3BA" w14:textId="7EC04BEE" w:rsidR="005373FB" w:rsidRPr="00E87D19" w:rsidRDefault="005373FB" w:rsidP="00A74D20">
            <w:pPr>
              <w:spacing w:before="0" w:after="0" w:line="360" w:lineRule="auto"/>
              <w:jc w:val="both"/>
              <w:rPr>
                <w:rFonts w:cs="Times New Roman"/>
                <w:color w:val="000000" w:themeColor="text1"/>
                <w:sz w:val="24"/>
                <w:szCs w:val="24"/>
              </w:rPr>
            </w:pPr>
            <w:r w:rsidRPr="00E87D19">
              <w:rPr>
                <w:rFonts w:cs="Times New Roman"/>
                <w:color w:val="000000" w:themeColor="text1"/>
                <w:sz w:val="24"/>
                <w:szCs w:val="24"/>
              </w:rPr>
              <w:t>2</w:t>
            </w:r>
            <w:r w:rsidR="00AC24F5" w:rsidRPr="00E87D19">
              <w:rPr>
                <w:rFonts w:cs="Times New Roman"/>
                <w:color w:val="000000" w:themeColor="text1"/>
                <w:sz w:val="24"/>
                <w:szCs w:val="24"/>
              </w:rPr>
              <w:t>7</w:t>
            </w:r>
            <w:r w:rsidRPr="00E87D19">
              <w:rPr>
                <w:rFonts w:cs="Times New Roman"/>
                <w:color w:val="000000" w:themeColor="text1"/>
                <w:sz w:val="24"/>
                <w:szCs w:val="24"/>
              </w:rPr>
              <w:t>.</w:t>
            </w:r>
            <w:r w:rsidR="00AC24F5" w:rsidRPr="00E87D19">
              <w:rPr>
                <w:rFonts w:cs="Times New Roman"/>
                <w:color w:val="000000" w:themeColor="text1"/>
                <w:sz w:val="24"/>
                <w:szCs w:val="24"/>
              </w:rPr>
              <w:t>0</w:t>
            </w:r>
            <w:r w:rsidRPr="00E87D19">
              <w:rPr>
                <w:rFonts w:cs="Times New Roman"/>
                <w:color w:val="000000" w:themeColor="text1"/>
                <w:sz w:val="24"/>
                <w:szCs w:val="24"/>
              </w:rPr>
              <w:t>5%</w:t>
            </w:r>
          </w:p>
        </w:tc>
      </w:tr>
      <w:tr w:rsidR="005373FB" w:rsidRPr="00E87D19" w14:paraId="59C0F975" w14:textId="77777777" w:rsidTr="00DC6624">
        <w:tc>
          <w:tcPr>
            <w:tcW w:w="624" w:type="dxa"/>
          </w:tcPr>
          <w:p w14:paraId="61E84E7D" w14:textId="77777777" w:rsidR="005373FB" w:rsidRPr="00E87D19" w:rsidRDefault="005373FB" w:rsidP="00A74D20">
            <w:pPr>
              <w:spacing w:before="0" w:after="0" w:line="360" w:lineRule="auto"/>
              <w:jc w:val="both"/>
              <w:rPr>
                <w:rFonts w:cs="Times New Roman"/>
                <w:b/>
                <w:color w:val="000000" w:themeColor="text1"/>
                <w:sz w:val="24"/>
                <w:szCs w:val="24"/>
              </w:rPr>
            </w:pPr>
            <w:r w:rsidRPr="00E87D19">
              <w:rPr>
                <w:rFonts w:cs="Times New Roman"/>
                <w:b/>
                <w:color w:val="000000" w:themeColor="text1"/>
                <w:sz w:val="24"/>
                <w:szCs w:val="24"/>
              </w:rPr>
              <w:t>2</w:t>
            </w:r>
          </w:p>
        </w:tc>
        <w:tc>
          <w:tcPr>
            <w:tcW w:w="1542" w:type="dxa"/>
          </w:tcPr>
          <w:p w14:paraId="2817ECC0" w14:textId="77777777" w:rsidR="005373FB" w:rsidRPr="00E87D19" w:rsidRDefault="005373FB" w:rsidP="00A74D20">
            <w:pPr>
              <w:spacing w:before="0" w:after="0" w:line="360" w:lineRule="auto"/>
              <w:jc w:val="both"/>
              <w:rPr>
                <w:rFonts w:cs="Times New Roman"/>
                <w:color w:val="000000" w:themeColor="text1"/>
                <w:sz w:val="24"/>
                <w:szCs w:val="24"/>
              </w:rPr>
            </w:pPr>
            <w:r w:rsidRPr="00E87D19">
              <w:rPr>
                <w:rFonts w:cs="Times New Roman"/>
                <w:color w:val="000000" w:themeColor="text1"/>
                <w:sz w:val="24"/>
                <w:szCs w:val="24"/>
              </w:rPr>
              <w:t>Algal broth</w:t>
            </w:r>
          </w:p>
        </w:tc>
        <w:tc>
          <w:tcPr>
            <w:tcW w:w="2419" w:type="dxa"/>
          </w:tcPr>
          <w:p w14:paraId="38E24556" w14:textId="0D72AA31" w:rsidR="005373FB" w:rsidRPr="00E87D19" w:rsidRDefault="00997867" w:rsidP="00A74D20">
            <w:pPr>
              <w:spacing w:before="0" w:after="0" w:line="360" w:lineRule="auto"/>
              <w:jc w:val="both"/>
              <w:rPr>
                <w:rFonts w:cs="Times New Roman"/>
                <w:color w:val="000000" w:themeColor="text1"/>
                <w:sz w:val="24"/>
                <w:szCs w:val="24"/>
              </w:rPr>
            </w:pPr>
            <w:r w:rsidRPr="00E87D19">
              <w:rPr>
                <w:rFonts w:cs="Times New Roman"/>
                <w:color w:val="000000" w:themeColor="text1"/>
                <w:sz w:val="24"/>
                <w:szCs w:val="24"/>
              </w:rPr>
              <w:t>15</w:t>
            </w:r>
          </w:p>
        </w:tc>
        <w:tc>
          <w:tcPr>
            <w:tcW w:w="2250" w:type="dxa"/>
          </w:tcPr>
          <w:p w14:paraId="5B8AC7F0" w14:textId="2555FCEC" w:rsidR="005373FB" w:rsidRPr="00E87D19" w:rsidRDefault="005373FB" w:rsidP="00A74D20">
            <w:pPr>
              <w:spacing w:before="0" w:after="0" w:line="360" w:lineRule="auto"/>
              <w:jc w:val="both"/>
              <w:rPr>
                <w:rFonts w:cs="Times New Roman"/>
                <w:color w:val="000000" w:themeColor="text1"/>
                <w:sz w:val="24"/>
                <w:szCs w:val="24"/>
              </w:rPr>
            </w:pPr>
            <w:r w:rsidRPr="00E87D19">
              <w:rPr>
                <w:rFonts w:cs="Times New Roman"/>
                <w:color w:val="000000" w:themeColor="text1"/>
                <w:sz w:val="24"/>
                <w:szCs w:val="24"/>
              </w:rPr>
              <w:t>1</w:t>
            </w:r>
            <w:r w:rsidR="00AC24F5" w:rsidRPr="00E87D19">
              <w:rPr>
                <w:rFonts w:cs="Times New Roman"/>
                <w:color w:val="000000" w:themeColor="text1"/>
                <w:sz w:val="24"/>
                <w:szCs w:val="24"/>
              </w:rPr>
              <w:t>3.23</w:t>
            </w:r>
          </w:p>
        </w:tc>
        <w:tc>
          <w:tcPr>
            <w:tcW w:w="2250" w:type="dxa"/>
          </w:tcPr>
          <w:p w14:paraId="762517E7" w14:textId="654CBFAF" w:rsidR="005373FB" w:rsidRPr="00E87D19" w:rsidRDefault="005373FB" w:rsidP="00A74D20">
            <w:pPr>
              <w:spacing w:before="0" w:after="0" w:line="360" w:lineRule="auto"/>
              <w:jc w:val="both"/>
              <w:rPr>
                <w:rFonts w:cs="Times New Roman"/>
                <w:color w:val="000000" w:themeColor="text1"/>
                <w:sz w:val="24"/>
                <w:szCs w:val="24"/>
              </w:rPr>
            </w:pPr>
            <w:r w:rsidRPr="00E87D19">
              <w:rPr>
                <w:rFonts w:cs="Times New Roman"/>
                <w:color w:val="000000" w:themeColor="text1"/>
                <w:sz w:val="24"/>
                <w:szCs w:val="24"/>
              </w:rPr>
              <w:t>23.</w:t>
            </w:r>
            <w:r w:rsidR="00AC24F5" w:rsidRPr="00E87D19">
              <w:rPr>
                <w:rFonts w:cs="Times New Roman"/>
                <w:color w:val="000000" w:themeColor="text1"/>
                <w:sz w:val="24"/>
                <w:szCs w:val="24"/>
              </w:rPr>
              <w:t>12</w:t>
            </w:r>
            <w:r w:rsidRPr="00E87D19">
              <w:rPr>
                <w:rFonts w:cs="Times New Roman"/>
                <w:color w:val="000000" w:themeColor="text1"/>
                <w:sz w:val="24"/>
                <w:szCs w:val="24"/>
              </w:rPr>
              <w:t>%</w:t>
            </w:r>
          </w:p>
        </w:tc>
      </w:tr>
      <w:tr w:rsidR="005373FB" w:rsidRPr="00E87D19" w14:paraId="4644EADF" w14:textId="77777777" w:rsidTr="00DC6624">
        <w:tc>
          <w:tcPr>
            <w:tcW w:w="624" w:type="dxa"/>
          </w:tcPr>
          <w:p w14:paraId="5B2EE474" w14:textId="77777777" w:rsidR="005373FB" w:rsidRPr="00E87D19" w:rsidRDefault="005373FB" w:rsidP="00A74D20">
            <w:pPr>
              <w:spacing w:before="0" w:after="0" w:line="360" w:lineRule="auto"/>
              <w:jc w:val="both"/>
              <w:rPr>
                <w:rFonts w:cs="Times New Roman"/>
                <w:b/>
                <w:color w:val="000000" w:themeColor="text1"/>
                <w:sz w:val="24"/>
                <w:szCs w:val="24"/>
              </w:rPr>
            </w:pPr>
            <w:r w:rsidRPr="00E87D19">
              <w:rPr>
                <w:rFonts w:cs="Times New Roman"/>
                <w:b/>
                <w:color w:val="000000" w:themeColor="text1"/>
                <w:sz w:val="24"/>
                <w:szCs w:val="24"/>
              </w:rPr>
              <w:t>3</w:t>
            </w:r>
          </w:p>
        </w:tc>
        <w:tc>
          <w:tcPr>
            <w:tcW w:w="1542" w:type="dxa"/>
          </w:tcPr>
          <w:p w14:paraId="30FF2603" w14:textId="77777777" w:rsidR="005373FB" w:rsidRPr="00E87D19" w:rsidRDefault="005373FB" w:rsidP="00A74D20">
            <w:pPr>
              <w:spacing w:before="0" w:after="0" w:line="360" w:lineRule="auto"/>
              <w:jc w:val="both"/>
              <w:rPr>
                <w:rFonts w:cs="Times New Roman"/>
                <w:color w:val="000000" w:themeColor="text1"/>
                <w:sz w:val="24"/>
                <w:szCs w:val="24"/>
              </w:rPr>
            </w:pPr>
            <w:r w:rsidRPr="00E87D19">
              <w:rPr>
                <w:rFonts w:cs="Times New Roman"/>
                <w:color w:val="000000" w:themeColor="text1"/>
                <w:sz w:val="24"/>
                <w:szCs w:val="24"/>
              </w:rPr>
              <w:t>NPK</w:t>
            </w:r>
          </w:p>
        </w:tc>
        <w:tc>
          <w:tcPr>
            <w:tcW w:w="2419" w:type="dxa"/>
          </w:tcPr>
          <w:p w14:paraId="4761FBD5" w14:textId="7A790FA7" w:rsidR="005373FB" w:rsidRPr="00E87D19" w:rsidRDefault="00997867" w:rsidP="00A74D20">
            <w:pPr>
              <w:spacing w:before="0" w:after="0" w:line="360" w:lineRule="auto"/>
              <w:jc w:val="both"/>
              <w:rPr>
                <w:rFonts w:cs="Times New Roman"/>
                <w:color w:val="000000" w:themeColor="text1"/>
                <w:sz w:val="24"/>
                <w:szCs w:val="24"/>
              </w:rPr>
            </w:pPr>
            <w:r w:rsidRPr="00E87D19">
              <w:rPr>
                <w:rFonts w:cs="Times New Roman"/>
                <w:color w:val="000000" w:themeColor="text1"/>
                <w:sz w:val="24"/>
                <w:szCs w:val="24"/>
              </w:rPr>
              <w:t>7</w:t>
            </w:r>
          </w:p>
        </w:tc>
        <w:tc>
          <w:tcPr>
            <w:tcW w:w="2250" w:type="dxa"/>
          </w:tcPr>
          <w:p w14:paraId="150703CE" w14:textId="012C48D0" w:rsidR="005373FB" w:rsidRPr="00E87D19" w:rsidRDefault="005373FB" w:rsidP="00A74D20">
            <w:pPr>
              <w:spacing w:before="0" w:after="0" w:line="360" w:lineRule="auto"/>
              <w:jc w:val="both"/>
              <w:rPr>
                <w:rFonts w:cs="Times New Roman"/>
                <w:color w:val="000000" w:themeColor="text1"/>
                <w:sz w:val="24"/>
                <w:szCs w:val="24"/>
              </w:rPr>
            </w:pPr>
            <w:r w:rsidRPr="00E87D19">
              <w:rPr>
                <w:rFonts w:cs="Times New Roman"/>
                <w:color w:val="000000" w:themeColor="text1"/>
                <w:sz w:val="24"/>
                <w:szCs w:val="24"/>
                <w:shd w:val="clear" w:color="auto" w:fill="FFFFFF"/>
              </w:rPr>
              <w:t>3</w:t>
            </w:r>
            <w:r w:rsidR="00AC24F5" w:rsidRPr="00E87D19">
              <w:rPr>
                <w:rFonts w:cs="Times New Roman"/>
                <w:color w:val="000000" w:themeColor="text1"/>
                <w:sz w:val="24"/>
                <w:szCs w:val="24"/>
                <w:shd w:val="clear" w:color="auto" w:fill="FFFFFF"/>
              </w:rPr>
              <w:t>.45</w:t>
            </w:r>
          </w:p>
        </w:tc>
        <w:tc>
          <w:tcPr>
            <w:tcW w:w="2250" w:type="dxa"/>
          </w:tcPr>
          <w:p w14:paraId="4929BF1E" w14:textId="29FBBF3A" w:rsidR="005373FB" w:rsidRPr="00E87D19" w:rsidRDefault="00AC24F5" w:rsidP="00A74D20">
            <w:pPr>
              <w:spacing w:before="0" w:after="0" w:line="360" w:lineRule="auto"/>
              <w:jc w:val="both"/>
              <w:rPr>
                <w:rFonts w:cs="Times New Roman"/>
                <w:color w:val="000000" w:themeColor="text1"/>
                <w:sz w:val="24"/>
                <w:szCs w:val="24"/>
              </w:rPr>
            </w:pPr>
            <w:r w:rsidRPr="00E87D19">
              <w:rPr>
                <w:rFonts w:cs="Times New Roman"/>
                <w:color w:val="000000" w:themeColor="text1"/>
                <w:sz w:val="24"/>
                <w:szCs w:val="24"/>
              </w:rPr>
              <w:t>16.12</w:t>
            </w:r>
            <w:r w:rsidR="005373FB" w:rsidRPr="00E87D19">
              <w:rPr>
                <w:rFonts w:cs="Times New Roman"/>
                <w:color w:val="000000" w:themeColor="text1"/>
                <w:sz w:val="24"/>
                <w:szCs w:val="24"/>
              </w:rPr>
              <w:t>%</w:t>
            </w:r>
          </w:p>
        </w:tc>
      </w:tr>
    </w:tbl>
    <w:p w14:paraId="006F3177" w14:textId="77777777" w:rsidR="00065147" w:rsidRPr="00E87D19" w:rsidRDefault="00065147" w:rsidP="00A74D20">
      <w:pPr>
        <w:spacing w:before="0" w:after="160" w:line="360" w:lineRule="auto"/>
        <w:rPr>
          <w:rFonts w:eastAsia="Times New Roman" w:cs="Times New Roman"/>
          <w:b/>
          <w:bCs/>
          <w:color w:val="000000" w:themeColor="text1"/>
          <w:szCs w:val="24"/>
        </w:rPr>
      </w:pPr>
      <w:r w:rsidRPr="00E87D19">
        <w:rPr>
          <w:rFonts w:eastAsia="Times New Roman" w:cs="Times New Roman"/>
          <w:b/>
          <w:bCs/>
          <w:color w:val="000000" w:themeColor="text1"/>
          <w:szCs w:val="24"/>
        </w:rPr>
        <w:br w:type="page"/>
      </w:r>
    </w:p>
    <w:p w14:paraId="4CFEAA88" w14:textId="77777777" w:rsidR="00065147" w:rsidRPr="00E87D19" w:rsidRDefault="00065147" w:rsidP="00A74D20">
      <w:pPr>
        <w:pStyle w:val="Heading1"/>
        <w:spacing w:before="0" w:line="360" w:lineRule="auto"/>
        <w:rPr>
          <w:rFonts w:ascii="Times New Roman" w:eastAsia="Times New Roman" w:hAnsi="Times New Roman" w:cs="Times New Roman"/>
          <w:color w:val="000000" w:themeColor="text1"/>
          <w:sz w:val="24"/>
          <w:szCs w:val="24"/>
        </w:rPr>
      </w:pPr>
      <w:bookmarkStart w:id="8" w:name="_Toc170294695"/>
      <w:bookmarkStart w:id="9" w:name="_Toc193158708"/>
      <w:r w:rsidRPr="00DC6624">
        <w:rPr>
          <w:rFonts w:ascii="Times New Roman" w:eastAsia="Times New Roman" w:hAnsi="Times New Roman" w:cs="Times New Roman"/>
          <w:b/>
          <w:bCs/>
          <w:color w:val="000000" w:themeColor="text1"/>
          <w:sz w:val="24"/>
          <w:szCs w:val="24"/>
        </w:rPr>
        <w:lastRenderedPageBreak/>
        <w:t>Discussion</w:t>
      </w:r>
      <w:bookmarkEnd w:id="8"/>
      <w:bookmarkEnd w:id="9"/>
    </w:p>
    <w:p w14:paraId="32492C98" w14:textId="5885FCB2" w:rsidR="00065147" w:rsidRPr="00E87D19" w:rsidRDefault="000267D2" w:rsidP="00A74D20">
      <w:pPr>
        <w:shd w:val="clear" w:color="auto" w:fill="FFFFFF"/>
        <w:spacing w:before="0" w:after="0" w:line="360" w:lineRule="auto"/>
        <w:jc w:val="both"/>
        <w:rPr>
          <w:rFonts w:eastAsia="Times New Roman" w:cs="Times New Roman"/>
          <w:color w:val="000000" w:themeColor="text1"/>
          <w:szCs w:val="24"/>
        </w:rPr>
      </w:pPr>
      <w:r w:rsidRPr="00E87D19">
        <w:rPr>
          <w:rFonts w:eastAsia="Times New Roman" w:cs="Times New Roman"/>
          <w:szCs w:val="24"/>
        </w:rPr>
        <w:t>Microscopic examination of 18 water samples collected from diverse aquatic habitats within A</w:t>
      </w:r>
      <w:r w:rsidRPr="00E87D19">
        <w:rPr>
          <w:rFonts w:cs="Times New Roman"/>
          <w:szCs w:val="24"/>
        </w:rPr>
        <w:t>F</w:t>
      </w:r>
      <w:r w:rsidRPr="00E87D19">
        <w:rPr>
          <w:rFonts w:eastAsia="Times New Roman" w:cs="Times New Roman"/>
          <w:szCs w:val="24"/>
        </w:rPr>
        <w:t xml:space="preserve">USTA revealed a rich assemblage of freshwater microalgae, including </w:t>
      </w:r>
      <w:r w:rsidRPr="00DC6624">
        <w:rPr>
          <w:rFonts w:eastAsia="Times New Roman" w:cs="Times New Roman"/>
          <w:i/>
          <w:iCs/>
          <w:szCs w:val="24"/>
        </w:rPr>
        <w:t>Chlorella</w:t>
      </w:r>
      <w:r w:rsidRPr="00E87D19">
        <w:rPr>
          <w:rFonts w:eastAsia="Times New Roman" w:cs="Times New Roman"/>
          <w:szCs w:val="24"/>
        </w:rPr>
        <w:t xml:space="preserve"> spp., </w:t>
      </w:r>
      <w:r w:rsidRPr="00DC6624">
        <w:rPr>
          <w:rFonts w:eastAsia="Times New Roman" w:cs="Times New Roman"/>
          <w:i/>
          <w:iCs/>
          <w:szCs w:val="24"/>
        </w:rPr>
        <w:t>Spirogyra</w:t>
      </w:r>
      <w:r w:rsidRPr="00E87D19">
        <w:rPr>
          <w:rFonts w:eastAsia="Times New Roman" w:cs="Times New Roman"/>
          <w:szCs w:val="24"/>
        </w:rPr>
        <w:t xml:space="preserve"> spp., </w:t>
      </w:r>
      <w:r w:rsidRPr="00DC6624">
        <w:rPr>
          <w:rFonts w:eastAsia="Times New Roman" w:cs="Times New Roman"/>
          <w:i/>
          <w:iCs/>
          <w:szCs w:val="24"/>
        </w:rPr>
        <w:t>Chlamydomonas</w:t>
      </w:r>
      <w:r w:rsidRPr="00E87D19">
        <w:rPr>
          <w:rFonts w:eastAsia="Times New Roman" w:cs="Times New Roman"/>
          <w:szCs w:val="24"/>
        </w:rPr>
        <w:t xml:space="preserve"> spp., </w:t>
      </w:r>
      <w:r w:rsidRPr="00DC6624">
        <w:rPr>
          <w:rFonts w:eastAsia="Times New Roman" w:cs="Times New Roman"/>
          <w:i/>
          <w:iCs/>
          <w:szCs w:val="24"/>
        </w:rPr>
        <w:t>Oedogonium</w:t>
      </w:r>
      <w:r w:rsidRPr="00E87D19">
        <w:rPr>
          <w:rFonts w:eastAsia="Times New Roman" w:cs="Times New Roman"/>
          <w:szCs w:val="24"/>
        </w:rPr>
        <w:t xml:space="preserve"> spp., </w:t>
      </w:r>
      <w:r w:rsidRPr="00DC6624">
        <w:rPr>
          <w:rFonts w:eastAsia="Times New Roman" w:cs="Times New Roman"/>
          <w:i/>
          <w:iCs/>
          <w:szCs w:val="24"/>
        </w:rPr>
        <w:t>Microspora</w:t>
      </w:r>
      <w:r w:rsidRPr="00E87D19">
        <w:rPr>
          <w:rFonts w:eastAsia="Times New Roman" w:cs="Times New Roman"/>
          <w:szCs w:val="24"/>
        </w:rPr>
        <w:t xml:space="preserve"> spp., </w:t>
      </w:r>
      <w:r w:rsidRPr="00DC6624">
        <w:rPr>
          <w:rFonts w:eastAsia="Times New Roman" w:cs="Times New Roman"/>
          <w:i/>
          <w:iCs/>
          <w:szCs w:val="24"/>
        </w:rPr>
        <w:t>Euglena</w:t>
      </w:r>
      <w:r w:rsidRPr="00E87D19">
        <w:rPr>
          <w:rFonts w:eastAsia="Times New Roman" w:cs="Times New Roman"/>
          <w:szCs w:val="24"/>
        </w:rPr>
        <w:t xml:space="preserve"> spp., and </w:t>
      </w:r>
      <w:r w:rsidRPr="00DC6624">
        <w:rPr>
          <w:rFonts w:eastAsia="Times New Roman" w:cs="Times New Roman"/>
          <w:i/>
          <w:iCs/>
          <w:szCs w:val="24"/>
        </w:rPr>
        <w:t>Characium</w:t>
      </w:r>
      <w:r w:rsidRPr="00E87D19">
        <w:rPr>
          <w:rFonts w:eastAsia="Times New Roman" w:cs="Times New Roman"/>
          <w:szCs w:val="24"/>
        </w:rPr>
        <w:t xml:space="preserve"> spp. The prevalence of </w:t>
      </w:r>
      <w:r w:rsidRPr="00DC6624">
        <w:rPr>
          <w:rFonts w:eastAsia="Times New Roman" w:cs="Times New Roman"/>
          <w:i/>
          <w:iCs/>
          <w:szCs w:val="24"/>
        </w:rPr>
        <w:t>Chlorella</w:t>
      </w:r>
      <w:r w:rsidRPr="00E87D19">
        <w:rPr>
          <w:rFonts w:eastAsia="Times New Roman" w:cs="Times New Roman"/>
          <w:szCs w:val="24"/>
        </w:rPr>
        <w:t xml:space="preserve"> spp. across multiple sampling sites including the aquarium pond, reservoir pond, and botanical garden pond is consistent with the cosmopolitan distribution of this genus in nutrient</w:t>
      </w:r>
      <w:r w:rsidR="00DC6624">
        <w:rPr>
          <w:rFonts w:eastAsia="Times New Roman" w:cs="Times New Roman"/>
          <w:szCs w:val="24"/>
        </w:rPr>
        <w:t xml:space="preserve"> </w:t>
      </w:r>
      <w:r w:rsidRPr="00E87D19">
        <w:rPr>
          <w:rFonts w:eastAsia="Times New Roman" w:cs="Times New Roman"/>
          <w:szCs w:val="24"/>
        </w:rPr>
        <w:t xml:space="preserve">enriched freshwater bodies (Mathimani and Pugazhendhi, 2019). The cooccurrence of filamentous green algae such as </w:t>
      </w:r>
      <w:r w:rsidRPr="00DC6624">
        <w:rPr>
          <w:rFonts w:eastAsia="Times New Roman" w:cs="Times New Roman"/>
          <w:i/>
          <w:iCs/>
          <w:szCs w:val="24"/>
        </w:rPr>
        <w:t>Spirogyra</w:t>
      </w:r>
      <w:r w:rsidRPr="00E87D19">
        <w:rPr>
          <w:rFonts w:eastAsia="Times New Roman" w:cs="Times New Roman"/>
          <w:szCs w:val="24"/>
        </w:rPr>
        <w:t xml:space="preserve"> spp. and flagellated forms like </w:t>
      </w:r>
      <w:r w:rsidRPr="00DC6624">
        <w:rPr>
          <w:rFonts w:eastAsia="Times New Roman" w:cs="Times New Roman"/>
          <w:i/>
          <w:iCs/>
          <w:szCs w:val="24"/>
        </w:rPr>
        <w:t>Chlamydomonas</w:t>
      </w:r>
      <w:r w:rsidRPr="00E87D19">
        <w:rPr>
          <w:rFonts w:eastAsia="Times New Roman" w:cs="Times New Roman"/>
          <w:szCs w:val="24"/>
        </w:rPr>
        <w:t xml:space="preserve"> spp. reflects the ecological diversity of these habitats, which is likely influenced by the agrarian character of the surrounding landscape and associated nutrient runoff from agricultural activities, particularly onion cultivation for which the Aliero region is well known (Umar </w:t>
      </w:r>
      <w:r w:rsidR="007E4D8F" w:rsidRPr="007E4D8F">
        <w:rPr>
          <w:rFonts w:eastAsia="Times New Roman" w:cs="Times New Roman"/>
          <w:i/>
          <w:iCs/>
          <w:szCs w:val="24"/>
        </w:rPr>
        <w:t>et al</w:t>
      </w:r>
      <w:r w:rsidRPr="00E87D19">
        <w:rPr>
          <w:rFonts w:eastAsia="Times New Roman" w:cs="Times New Roman"/>
          <w:szCs w:val="24"/>
        </w:rPr>
        <w:t>., 2023).</w:t>
      </w:r>
    </w:p>
    <w:p w14:paraId="3C409737" w14:textId="728F005C" w:rsidR="00065147" w:rsidRPr="00E87D19" w:rsidRDefault="00065147" w:rsidP="00A74D20">
      <w:pPr>
        <w:shd w:val="clear" w:color="auto" w:fill="FFFFFF"/>
        <w:spacing w:before="0" w:after="0" w:line="360" w:lineRule="auto"/>
        <w:jc w:val="both"/>
        <w:rPr>
          <w:rFonts w:cs="Times New Roman"/>
          <w:color w:val="000000" w:themeColor="text1"/>
          <w:szCs w:val="24"/>
          <w:shd w:val="clear" w:color="auto" w:fill="FFFFFF"/>
        </w:rPr>
      </w:pPr>
      <w:r w:rsidRPr="00E87D19">
        <w:rPr>
          <w:rFonts w:eastAsia="Times New Roman" w:cs="Times New Roman"/>
          <w:color w:val="000000" w:themeColor="text1"/>
          <w:szCs w:val="24"/>
        </w:rPr>
        <w:t xml:space="preserve">This study corresponds to the work of </w:t>
      </w:r>
      <w:r w:rsidRPr="00E87D19">
        <w:rPr>
          <w:rFonts w:cs="Times New Roman"/>
          <w:color w:val="000000" w:themeColor="text1"/>
          <w:szCs w:val="24"/>
          <w:shd w:val="clear" w:color="auto" w:fill="FFFFFF"/>
        </w:rPr>
        <w:t xml:space="preserve">Kadam </w:t>
      </w:r>
      <w:r w:rsidR="007E4D8F" w:rsidRPr="007E4D8F">
        <w:rPr>
          <w:rFonts w:cs="Times New Roman"/>
          <w:i/>
          <w:iCs/>
          <w:color w:val="000000" w:themeColor="text1"/>
          <w:szCs w:val="24"/>
          <w:shd w:val="clear" w:color="auto" w:fill="FFFFFF"/>
        </w:rPr>
        <w:t>et al</w:t>
      </w:r>
      <w:r w:rsidRPr="00E87D19">
        <w:rPr>
          <w:rFonts w:cs="Times New Roman"/>
          <w:i/>
          <w:color w:val="000000" w:themeColor="text1"/>
          <w:szCs w:val="24"/>
          <w:shd w:val="clear" w:color="auto" w:fill="FFFFFF"/>
        </w:rPr>
        <w:t>.,</w:t>
      </w:r>
      <w:r w:rsidRPr="00E87D19">
        <w:rPr>
          <w:rFonts w:cs="Times New Roman"/>
          <w:color w:val="000000" w:themeColor="text1"/>
          <w:szCs w:val="24"/>
          <w:shd w:val="clear" w:color="auto" w:fill="FFFFFF"/>
        </w:rPr>
        <w:t xml:space="preserve"> 2020 that identified </w:t>
      </w:r>
      <w:r w:rsidR="00DC6624" w:rsidRPr="00E87D19">
        <w:rPr>
          <w:rFonts w:cs="Times New Roman"/>
          <w:i/>
          <w:color w:val="000000" w:themeColor="text1"/>
          <w:szCs w:val="24"/>
          <w:shd w:val="clear" w:color="auto" w:fill="FFFFFF"/>
        </w:rPr>
        <w:t xml:space="preserve">Chlorella </w:t>
      </w:r>
      <w:r w:rsidRPr="00E87D19">
        <w:rPr>
          <w:rFonts w:cs="Times New Roman"/>
          <w:i/>
          <w:color w:val="000000" w:themeColor="text1"/>
          <w:szCs w:val="24"/>
          <w:shd w:val="clear" w:color="auto" w:fill="FFFFFF"/>
        </w:rPr>
        <w:t>soroki</w:t>
      </w:r>
      <w:r w:rsidR="001F2BBE">
        <w:rPr>
          <w:rFonts w:cs="Times New Roman"/>
          <w:i/>
          <w:color w:val="000000" w:themeColor="text1"/>
          <w:szCs w:val="24"/>
          <w:shd w:val="clear" w:color="auto" w:fill="FFFFFF"/>
        </w:rPr>
        <w:t>n</w:t>
      </w:r>
      <w:r w:rsidRPr="00E87D19">
        <w:rPr>
          <w:rFonts w:cs="Times New Roman"/>
          <w:i/>
          <w:color w:val="000000" w:themeColor="text1"/>
          <w:szCs w:val="24"/>
          <w:shd w:val="clear" w:color="auto" w:fill="FFFFFF"/>
        </w:rPr>
        <w:t xml:space="preserve">iana, </w:t>
      </w:r>
      <w:r w:rsidR="00DC6624" w:rsidRPr="00E87D19">
        <w:rPr>
          <w:rFonts w:cs="Times New Roman"/>
          <w:i/>
          <w:color w:val="000000" w:themeColor="text1"/>
          <w:szCs w:val="24"/>
          <w:shd w:val="clear" w:color="auto" w:fill="FFFFFF"/>
        </w:rPr>
        <w:t xml:space="preserve">Chlorella </w:t>
      </w:r>
      <w:r w:rsidRPr="00E87D19">
        <w:rPr>
          <w:rFonts w:cs="Times New Roman"/>
          <w:i/>
          <w:color w:val="000000" w:themeColor="text1"/>
          <w:szCs w:val="24"/>
          <w:shd w:val="clear" w:color="auto" w:fill="FFFFFF"/>
        </w:rPr>
        <w:t>vulgaris</w:t>
      </w:r>
      <w:r w:rsidRPr="00E87D19">
        <w:rPr>
          <w:rFonts w:cs="Times New Roman"/>
          <w:color w:val="000000" w:themeColor="text1"/>
          <w:szCs w:val="24"/>
          <w:shd w:val="clear" w:color="auto" w:fill="FFFFFF"/>
        </w:rPr>
        <w:t xml:space="preserve">, </w:t>
      </w:r>
      <w:r w:rsidR="00DC6624" w:rsidRPr="00E87D19">
        <w:rPr>
          <w:rFonts w:cs="Times New Roman"/>
          <w:i/>
          <w:color w:val="000000" w:themeColor="text1"/>
          <w:szCs w:val="24"/>
          <w:shd w:val="clear" w:color="auto" w:fill="FFFFFF"/>
        </w:rPr>
        <w:t>Spirogyra</w:t>
      </w:r>
      <w:r w:rsidR="00DC6624" w:rsidRPr="00E87D19">
        <w:rPr>
          <w:rFonts w:cs="Times New Roman"/>
          <w:color w:val="000000" w:themeColor="text1"/>
          <w:szCs w:val="24"/>
          <w:shd w:val="clear" w:color="auto" w:fill="FFFFFF"/>
        </w:rPr>
        <w:t xml:space="preserve"> </w:t>
      </w:r>
      <w:r w:rsidRPr="00E87D19">
        <w:rPr>
          <w:rFonts w:cs="Times New Roman"/>
          <w:color w:val="000000" w:themeColor="text1"/>
          <w:szCs w:val="24"/>
          <w:shd w:val="clear" w:color="auto" w:fill="FFFFFF"/>
        </w:rPr>
        <w:t xml:space="preserve">and </w:t>
      </w:r>
      <w:r w:rsidR="00DC6624" w:rsidRPr="00E87D19">
        <w:rPr>
          <w:rFonts w:cs="Times New Roman"/>
          <w:i/>
          <w:color w:val="000000" w:themeColor="text1"/>
          <w:szCs w:val="24"/>
          <w:shd w:val="clear" w:color="auto" w:fill="FFFFFF"/>
        </w:rPr>
        <w:t>Chlamydomonas</w:t>
      </w:r>
      <w:r w:rsidR="00DC6624" w:rsidRPr="00E87D19">
        <w:rPr>
          <w:rFonts w:cs="Times New Roman"/>
          <w:color w:val="000000" w:themeColor="text1"/>
          <w:szCs w:val="24"/>
          <w:shd w:val="clear" w:color="auto" w:fill="FFFFFF"/>
        </w:rPr>
        <w:t xml:space="preserve"> </w:t>
      </w:r>
      <w:r w:rsidRPr="00E87D19">
        <w:rPr>
          <w:rFonts w:cs="Times New Roman"/>
          <w:color w:val="000000" w:themeColor="text1"/>
          <w:szCs w:val="24"/>
          <w:shd w:val="clear" w:color="auto" w:fill="FFFFFF"/>
        </w:rPr>
        <w:t xml:space="preserve">with other many classes of algae within his study area, the optimized pH range 7.0 used in this study have differ slightly from pH detect by Kadam </w:t>
      </w:r>
      <w:r w:rsidR="007E4D8F" w:rsidRPr="007E4D8F">
        <w:rPr>
          <w:rFonts w:cs="Times New Roman"/>
          <w:i/>
          <w:iCs/>
          <w:color w:val="000000" w:themeColor="text1"/>
          <w:szCs w:val="24"/>
          <w:shd w:val="clear" w:color="auto" w:fill="FFFFFF"/>
        </w:rPr>
        <w:t>et al</w:t>
      </w:r>
      <w:r w:rsidRPr="00E87D19">
        <w:rPr>
          <w:rFonts w:cs="Times New Roman"/>
          <w:i/>
          <w:color w:val="000000" w:themeColor="text1"/>
          <w:szCs w:val="24"/>
          <w:shd w:val="clear" w:color="auto" w:fill="FFFFFF"/>
        </w:rPr>
        <w:t>.,</w:t>
      </w:r>
      <w:r w:rsidRPr="00E87D19">
        <w:rPr>
          <w:rFonts w:cs="Times New Roman"/>
          <w:color w:val="000000" w:themeColor="text1"/>
          <w:szCs w:val="24"/>
          <w:shd w:val="clear" w:color="auto" w:fill="FFFFFF"/>
        </w:rPr>
        <w:t xml:space="preserve"> (2020) that show the pH range </w:t>
      </w:r>
      <w:r w:rsidRPr="00E87D19">
        <w:rPr>
          <w:rFonts w:cs="Times New Roman"/>
          <w:color w:val="000000" w:themeColor="text1"/>
          <w:szCs w:val="24"/>
        </w:rPr>
        <w:t xml:space="preserve">7.52 (± 0.09) to 8.03 ( ± 0.05), which may be the strains in that region grow best in such pH range. </w:t>
      </w:r>
      <w:r w:rsidR="00CD3409" w:rsidRPr="00E87D19">
        <w:rPr>
          <w:rFonts w:cs="Times New Roman"/>
          <w:color w:val="000000" w:themeColor="text1"/>
          <w:szCs w:val="24"/>
        </w:rPr>
        <w:t>Also,</w:t>
      </w:r>
      <w:r w:rsidRPr="00E87D19">
        <w:rPr>
          <w:rFonts w:cs="Times New Roman"/>
          <w:color w:val="000000" w:themeColor="text1"/>
          <w:szCs w:val="24"/>
        </w:rPr>
        <w:t xml:space="preserve"> the work </w:t>
      </w:r>
      <w:r w:rsidRPr="00E87D19">
        <w:rPr>
          <w:rFonts w:cs="Times New Roman"/>
          <w:color w:val="000000" w:themeColor="text1"/>
          <w:szCs w:val="24"/>
          <w:shd w:val="clear" w:color="auto" w:fill="FFFFFF"/>
        </w:rPr>
        <w:t xml:space="preserve">agreed with the work of Saber </w:t>
      </w:r>
      <w:r w:rsidR="007E4D8F" w:rsidRPr="007E4D8F">
        <w:rPr>
          <w:rFonts w:cs="Times New Roman"/>
          <w:i/>
          <w:iCs/>
          <w:color w:val="000000" w:themeColor="text1"/>
          <w:szCs w:val="24"/>
          <w:shd w:val="clear" w:color="auto" w:fill="FFFFFF"/>
        </w:rPr>
        <w:t>et al</w:t>
      </w:r>
      <w:r w:rsidRPr="00E87D19">
        <w:rPr>
          <w:rFonts w:cs="Times New Roman"/>
          <w:i/>
          <w:color w:val="000000" w:themeColor="text1"/>
          <w:szCs w:val="24"/>
          <w:shd w:val="clear" w:color="auto" w:fill="FFFFFF"/>
        </w:rPr>
        <w:t>.,</w:t>
      </w:r>
      <w:r w:rsidRPr="00E87D19">
        <w:rPr>
          <w:rFonts w:cs="Times New Roman"/>
          <w:color w:val="000000" w:themeColor="text1"/>
          <w:szCs w:val="24"/>
          <w:shd w:val="clear" w:color="auto" w:fill="FFFFFF"/>
        </w:rPr>
        <w:t xml:space="preserve"> 2022 that isolated </w:t>
      </w:r>
      <w:r w:rsidR="007E4D8F" w:rsidRPr="007E4D8F">
        <w:rPr>
          <w:rFonts w:cs="Times New Roman"/>
          <w:i/>
          <w:iCs/>
          <w:color w:val="000000" w:themeColor="text1"/>
          <w:szCs w:val="24"/>
          <w:shd w:val="clear" w:color="auto" w:fill="FFFFFF"/>
        </w:rPr>
        <w:t>Chlorella sorokiniana</w:t>
      </w:r>
      <w:r w:rsidRPr="00E87D19">
        <w:rPr>
          <w:rFonts w:cs="Times New Roman"/>
          <w:i/>
          <w:color w:val="000000" w:themeColor="text1"/>
          <w:szCs w:val="24"/>
          <w:shd w:val="clear" w:color="auto" w:fill="FFFFFF"/>
        </w:rPr>
        <w:t xml:space="preserve">, </w:t>
      </w:r>
      <w:r w:rsidR="00DC6624" w:rsidRPr="00E87D19">
        <w:rPr>
          <w:rFonts w:cs="Times New Roman"/>
          <w:i/>
          <w:color w:val="000000" w:themeColor="text1"/>
          <w:szCs w:val="24"/>
          <w:shd w:val="clear" w:color="auto" w:fill="FFFFFF"/>
        </w:rPr>
        <w:t xml:space="preserve">Chlorella </w:t>
      </w:r>
      <w:r w:rsidRPr="00E87D19">
        <w:rPr>
          <w:rFonts w:cs="Times New Roman"/>
          <w:i/>
          <w:color w:val="000000" w:themeColor="text1"/>
          <w:szCs w:val="24"/>
          <w:shd w:val="clear" w:color="auto" w:fill="FFFFFF"/>
        </w:rPr>
        <w:t>vulgaris</w:t>
      </w:r>
      <w:r w:rsidRPr="00E87D19">
        <w:rPr>
          <w:rFonts w:cs="Times New Roman"/>
          <w:color w:val="000000" w:themeColor="text1"/>
          <w:szCs w:val="24"/>
          <w:shd w:val="clear" w:color="auto" w:fill="FFFFFF"/>
        </w:rPr>
        <w:t xml:space="preserve">, and </w:t>
      </w:r>
      <w:r w:rsidR="00DC6624" w:rsidRPr="00E87D19">
        <w:rPr>
          <w:rFonts w:cs="Times New Roman"/>
          <w:i/>
          <w:color w:val="000000" w:themeColor="text1"/>
          <w:szCs w:val="24"/>
          <w:shd w:val="clear" w:color="auto" w:fill="FFFFFF"/>
        </w:rPr>
        <w:t>Characium</w:t>
      </w:r>
      <w:r w:rsidR="00DC6624" w:rsidRPr="00E87D19">
        <w:rPr>
          <w:rFonts w:cs="Times New Roman"/>
          <w:color w:val="000000" w:themeColor="text1"/>
          <w:szCs w:val="24"/>
          <w:shd w:val="clear" w:color="auto" w:fill="FFFFFF"/>
        </w:rPr>
        <w:t xml:space="preserve"> </w:t>
      </w:r>
      <w:r w:rsidRPr="00E87D19">
        <w:rPr>
          <w:rFonts w:cs="Times New Roman"/>
          <w:color w:val="000000" w:themeColor="text1"/>
          <w:szCs w:val="24"/>
          <w:shd w:val="clear" w:color="auto" w:fill="FFFFFF"/>
        </w:rPr>
        <w:t>spp.</w:t>
      </w:r>
    </w:p>
    <w:p w14:paraId="14F5E436" w14:textId="3D1AC970" w:rsidR="00065147" w:rsidRPr="00E87D19" w:rsidRDefault="00065147" w:rsidP="00A74D20">
      <w:pPr>
        <w:shd w:val="clear" w:color="auto" w:fill="FFFFFF"/>
        <w:spacing w:before="0" w:after="0" w:line="360" w:lineRule="auto"/>
        <w:jc w:val="both"/>
        <w:rPr>
          <w:rFonts w:cs="Times New Roman"/>
          <w:color w:val="000000" w:themeColor="text1"/>
          <w:szCs w:val="24"/>
          <w:shd w:val="clear" w:color="auto" w:fill="FFFFFF"/>
        </w:rPr>
      </w:pPr>
      <w:r w:rsidRPr="00E87D19">
        <w:rPr>
          <w:rFonts w:cs="Times New Roman"/>
          <w:color w:val="000000" w:themeColor="text1"/>
          <w:szCs w:val="24"/>
          <w:shd w:val="clear" w:color="auto" w:fill="FFFFFF"/>
        </w:rPr>
        <w:t xml:space="preserve">Oyewumi </w:t>
      </w:r>
      <w:r w:rsidR="007E4D8F" w:rsidRPr="007E4D8F">
        <w:rPr>
          <w:rFonts w:cs="Times New Roman"/>
          <w:i/>
          <w:iCs/>
          <w:color w:val="000000" w:themeColor="text1"/>
          <w:szCs w:val="24"/>
          <w:shd w:val="clear" w:color="auto" w:fill="FFFFFF"/>
        </w:rPr>
        <w:t>et al</w:t>
      </w:r>
      <w:r w:rsidRPr="00E87D19">
        <w:rPr>
          <w:rFonts w:cs="Times New Roman"/>
          <w:i/>
          <w:color w:val="000000" w:themeColor="text1"/>
          <w:szCs w:val="24"/>
          <w:shd w:val="clear" w:color="auto" w:fill="FFFFFF"/>
        </w:rPr>
        <w:t>.,</w:t>
      </w:r>
      <w:r w:rsidRPr="00E87D19">
        <w:rPr>
          <w:rFonts w:cs="Times New Roman"/>
          <w:color w:val="000000" w:themeColor="text1"/>
          <w:szCs w:val="24"/>
          <w:shd w:val="clear" w:color="auto" w:fill="FFFFFF"/>
        </w:rPr>
        <w:t xml:space="preserve"> (2018), also isolated </w:t>
      </w:r>
      <w:r w:rsidR="00DC6624" w:rsidRPr="00E87D19">
        <w:rPr>
          <w:rFonts w:cs="Times New Roman"/>
          <w:i/>
          <w:color w:val="000000" w:themeColor="text1"/>
          <w:szCs w:val="24"/>
          <w:shd w:val="clear" w:color="auto" w:fill="FFFFFF"/>
        </w:rPr>
        <w:t>Chorella</w:t>
      </w:r>
      <w:r w:rsidR="00DC6624" w:rsidRPr="00E87D19">
        <w:rPr>
          <w:rFonts w:cs="Times New Roman"/>
          <w:color w:val="000000" w:themeColor="text1"/>
          <w:szCs w:val="24"/>
          <w:shd w:val="clear" w:color="auto" w:fill="FFFFFF"/>
        </w:rPr>
        <w:t xml:space="preserve"> </w:t>
      </w:r>
      <w:r w:rsidRPr="00E87D19">
        <w:rPr>
          <w:rFonts w:cs="Times New Roman"/>
          <w:color w:val="000000" w:themeColor="text1"/>
          <w:szCs w:val="24"/>
          <w:shd w:val="clear" w:color="auto" w:fill="FFFFFF"/>
        </w:rPr>
        <w:t xml:space="preserve">spp, </w:t>
      </w:r>
      <w:r w:rsidR="00DC6624" w:rsidRPr="00E87D19">
        <w:rPr>
          <w:rFonts w:cs="Times New Roman"/>
          <w:i/>
          <w:color w:val="000000" w:themeColor="text1"/>
          <w:szCs w:val="24"/>
          <w:shd w:val="clear" w:color="auto" w:fill="FFFFFF"/>
        </w:rPr>
        <w:t>Characium</w:t>
      </w:r>
      <w:r w:rsidR="00DC6624" w:rsidRPr="00E87D19">
        <w:rPr>
          <w:rFonts w:cs="Times New Roman"/>
          <w:color w:val="000000" w:themeColor="text1"/>
          <w:szCs w:val="24"/>
          <w:shd w:val="clear" w:color="auto" w:fill="FFFFFF"/>
        </w:rPr>
        <w:t xml:space="preserve"> </w:t>
      </w:r>
      <w:r w:rsidRPr="00E87D19">
        <w:rPr>
          <w:rFonts w:cs="Times New Roman"/>
          <w:color w:val="000000" w:themeColor="text1"/>
          <w:szCs w:val="24"/>
          <w:shd w:val="clear" w:color="auto" w:fill="FFFFFF"/>
        </w:rPr>
        <w:t xml:space="preserve">spp, and </w:t>
      </w:r>
      <w:r w:rsidR="00DC6624" w:rsidRPr="00E87D19">
        <w:rPr>
          <w:rFonts w:cs="Times New Roman"/>
          <w:i/>
          <w:color w:val="000000" w:themeColor="text1"/>
          <w:szCs w:val="24"/>
          <w:shd w:val="clear" w:color="auto" w:fill="FFFFFF"/>
        </w:rPr>
        <w:t>Euglena</w:t>
      </w:r>
      <w:r w:rsidR="00DC6624" w:rsidRPr="00E87D19">
        <w:rPr>
          <w:rFonts w:cs="Times New Roman"/>
          <w:color w:val="000000" w:themeColor="text1"/>
          <w:szCs w:val="24"/>
          <w:shd w:val="clear" w:color="auto" w:fill="FFFFFF"/>
        </w:rPr>
        <w:t xml:space="preserve"> </w:t>
      </w:r>
      <w:r w:rsidRPr="00E87D19">
        <w:rPr>
          <w:rFonts w:cs="Times New Roman"/>
          <w:color w:val="000000" w:themeColor="text1"/>
          <w:szCs w:val="24"/>
          <w:shd w:val="clear" w:color="auto" w:fill="FFFFFF"/>
        </w:rPr>
        <w:t>spp from different ponds in</w:t>
      </w:r>
      <w:r w:rsidRPr="00E87D19">
        <w:rPr>
          <w:rFonts w:cs="Times New Roman"/>
          <w:color w:val="000000" w:themeColor="text1"/>
          <w:szCs w:val="24"/>
        </w:rPr>
        <w:t xml:space="preserve"> Ijigba Layout, off Oda Road and Federal University of Technology in Akure, Ondo State, Nigeria and isolated </w:t>
      </w:r>
      <w:r w:rsidRPr="00E87D19">
        <w:rPr>
          <w:rFonts w:cs="Times New Roman"/>
          <w:i/>
          <w:color w:val="000000" w:themeColor="text1"/>
          <w:szCs w:val="24"/>
        </w:rPr>
        <w:t>Botryococcus</w:t>
      </w:r>
      <w:r w:rsidRPr="00E87D19">
        <w:rPr>
          <w:rFonts w:cs="Times New Roman"/>
          <w:color w:val="000000" w:themeColor="text1"/>
          <w:szCs w:val="24"/>
        </w:rPr>
        <w:t xml:space="preserve"> spp., </w:t>
      </w:r>
      <w:r w:rsidRPr="00E87D19">
        <w:rPr>
          <w:rFonts w:cs="Times New Roman"/>
          <w:i/>
          <w:color w:val="000000" w:themeColor="text1"/>
          <w:szCs w:val="24"/>
        </w:rPr>
        <w:t>Botrydiopsis</w:t>
      </w:r>
      <w:r w:rsidRPr="00E87D19">
        <w:rPr>
          <w:rFonts w:cs="Times New Roman"/>
          <w:color w:val="000000" w:themeColor="text1"/>
          <w:szCs w:val="24"/>
        </w:rPr>
        <w:t xml:space="preserve"> spp., </w:t>
      </w:r>
      <w:r w:rsidRPr="00E87D19">
        <w:rPr>
          <w:rFonts w:cs="Times New Roman"/>
          <w:i/>
          <w:color w:val="000000" w:themeColor="text1"/>
          <w:szCs w:val="24"/>
        </w:rPr>
        <w:t>Nannochloropsis</w:t>
      </w:r>
      <w:r w:rsidRPr="00E87D19">
        <w:rPr>
          <w:rFonts w:cs="Times New Roman"/>
          <w:color w:val="000000" w:themeColor="text1"/>
          <w:szCs w:val="24"/>
        </w:rPr>
        <w:t xml:space="preserve"> spp., </w:t>
      </w:r>
      <w:r w:rsidRPr="00E87D19">
        <w:rPr>
          <w:rFonts w:cs="Times New Roman"/>
          <w:i/>
          <w:color w:val="000000" w:themeColor="text1"/>
          <w:szCs w:val="24"/>
        </w:rPr>
        <w:t>Oscillatoria</w:t>
      </w:r>
      <w:r w:rsidRPr="00E87D19">
        <w:rPr>
          <w:rFonts w:cs="Times New Roman"/>
          <w:color w:val="000000" w:themeColor="text1"/>
          <w:szCs w:val="24"/>
        </w:rPr>
        <w:t xml:space="preserve"> spp that were not isolated in </w:t>
      </w:r>
      <w:r w:rsidR="00922950" w:rsidRPr="00E87D19">
        <w:rPr>
          <w:rFonts w:cs="Times New Roman"/>
          <w:color w:val="000000" w:themeColor="text1"/>
          <w:szCs w:val="24"/>
        </w:rPr>
        <w:t>the present</w:t>
      </w:r>
      <w:r w:rsidRPr="00E87D19">
        <w:rPr>
          <w:rFonts w:cs="Times New Roman"/>
          <w:color w:val="000000" w:themeColor="text1"/>
          <w:szCs w:val="24"/>
        </w:rPr>
        <w:t xml:space="preserve"> study area which could be due to the different region of the study area.</w:t>
      </w:r>
      <w:r w:rsidRPr="00E87D19">
        <w:rPr>
          <w:rFonts w:cs="Times New Roman"/>
          <w:color w:val="000000" w:themeColor="text1"/>
          <w:szCs w:val="24"/>
          <w:shd w:val="clear" w:color="auto" w:fill="FFFFFF"/>
        </w:rPr>
        <w:t xml:space="preserve"> </w:t>
      </w:r>
    </w:p>
    <w:p w14:paraId="3840AD2E" w14:textId="2232FB41" w:rsidR="00065147" w:rsidRPr="00E87D19" w:rsidRDefault="00065147" w:rsidP="00A74D20">
      <w:pPr>
        <w:shd w:val="clear" w:color="auto" w:fill="FFFFFF"/>
        <w:spacing w:before="0" w:after="0" w:line="360" w:lineRule="auto"/>
        <w:jc w:val="both"/>
        <w:rPr>
          <w:rFonts w:cs="Times New Roman"/>
          <w:color w:val="000000" w:themeColor="text1"/>
          <w:szCs w:val="24"/>
          <w:shd w:val="clear" w:color="auto" w:fill="FFFFFF"/>
        </w:rPr>
      </w:pPr>
      <w:r w:rsidRPr="00E87D19">
        <w:rPr>
          <w:rFonts w:cs="Times New Roman"/>
          <w:color w:val="000000" w:themeColor="text1"/>
          <w:szCs w:val="24"/>
          <w:shd w:val="clear" w:color="auto" w:fill="FFFFFF"/>
        </w:rPr>
        <w:t xml:space="preserve">The work is similar with the work of </w:t>
      </w:r>
      <w:r w:rsidR="00DC6624" w:rsidRPr="00E87D19">
        <w:rPr>
          <w:rFonts w:cs="Times New Roman"/>
          <w:color w:val="000000" w:themeColor="text1"/>
          <w:szCs w:val="24"/>
          <w:shd w:val="clear" w:color="auto" w:fill="FFFFFF"/>
        </w:rPr>
        <w:t xml:space="preserve">Umar </w:t>
      </w:r>
      <w:r w:rsidR="007E4D8F" w:rsidRPr="007E4D8F">
        <w:rPr>
          <w:rFonts w:cs="Times New Roman"/>
          <w:i/>
          <w:iCs/>
          <w:color w:val="000000" w:themeColor="text1"/>
          <w:szCs w:val="24"/>
          <w:shd w:val="clear" w:color="auto" w:fill="FFFFFF"/>
        </w:rPr>
        <w:t>et al</w:t>
      </w:r>
      <w:r w:rsidRPr="00E87D19">
        <w:rPr>
          <w:rFonts w:cs="Times New Roman"/>
          <w:i/>
          <w:color w:val="000000" w:themeColor="text1"/>
          <w:szCs w:val="24"/>
          <w:shd w:val="clear" w:color="auto" w:fill="FFFFFF"/>
        </w:rPr>
        <w:t>.,</w:t>
      </w:r>
      <w:r w:rsidRPr="00E87D19">
        <w:rPr>
          <w:rFonts w:cs="Times New Roman"/>
          <w:color w:val="000000" w:themeColor="text1"/>
          <w:szCs w:val="24"/>
          <w:shd w:val="clear" w:color="auto" w:fill="FFFFFF"/>
        </w:rPr>
        <w:t xml:space="preserve"> (2021) which showed a pH range of 6.42 to 7.36 that is within the neutral pH that support the growth of most microalgae, A total of eighteen algal species were identified, out of which Ten (10) species belong to the Class</w:t>
      </w:r>
      <w:r w:rsidRPr="00E87D19">
        <w:rPr>
          <w:rStyle w:val="Emphasis"/>
          <w:rFonts w:cs="Times New Roman"/>
          <w:color w:val="000000" w:themeColor="text1"/>
          <w:szCs w:val="24"/>
          <w:shd w:val="clear" w:color="auto" w:fill="FFFFFF"/>
        </w:rPr>
        <w:t> Chlorophyceae </w:t>
      </w:r>
      <w:r w:rsidRPr="00E87D19">
        <w:rPr>
          <w:rFonts w:cs="Times New Roman"/>
          <w:color w:val="000000" w:themeColor="text1"/>
          <w:szCs w:val="24"/>
          <w:shd w:val="clear" w:color="auto" w:fill="FFFFFF"/>
        </w:rPr>
        <w:t xml:space="preserve">which include </w:t>
      </w:r>
      <w:r w:rsidR="00DC6624" w:rsidRPr="00E87D19">
        <w:rPr>
          <w:rFonts w:cs="Times New Roman"/>
          <w:i/>
          <w:color w:val="000000" w:themeColor="text1"/>
          <w:szCs w:val="24"/>
          <w:shd w:val="clear" w:color="auto" w:fill="FFFFFF"/>
        </w:rPr>
        <w:t>Chlorella</w:t>
      </w:r>
      <w:r w:rsidR="00DC6624" w:rsidRPr="00E87D19">
        <w:rPr>
          <w:rFonts w:cs="Times New Roman"/>
          <w:color w:val="000000" w:themeColor="text1"/>
          <w:szCs w:val="24"/>
          <w:shd w:val="clear" w:color="auto" w:fill="FFFFFF"/>
        </w:rPr>
        <w:t xml:space="preserve"> </w:t>
      </w:r>
      <w:r w:rsidRPr="00E87D19">
        <w:rPr>
          <w:rFonts w:cs="Times New Roman"/>
          <w:color w:val="000000" w:themeColor="text1"/>
          <w:szCs w:val="24"/>
          <w:shd w:val="clear" w:color="auto" w:fill="FFFFFF"/>
        </w:rPr>
        <w:t xml:space="preserve">spp, and </w:t>
      </w:r>
      <w:r w:rsidR="00DC6624" w:rsidRPr="00DC6624">
        <w:rPr>
          <w:rFonts w:cs="Times New Roman"/>
          <w:i/>
          <w:iCs/>
          <w:color w:val="000000" w:themeColor="text1"/>
          <w:szCs w:val="24"/>
          <w:shd w:val="clear" w:color="auto" w:fill="FFFFFF"/>
        </w:rPr>
        <w:t>Spirogyra</w:t>
      </w:r>
      <w:r w:rsidR="00DC6624" w:rsidRPr="00E87D19">
        <w:rPr>
          <w:rFonts w:cs="Times New Roman"/>
          <w:color w:val="000000" w:themeColor="text1"/>
          <w:szCs w:val="24"/>
          <w:shd w:val="clear" w:color="auto" w:fill="FFFFFF"/>
        </w:rPr>
        <w:t xml:space="preserve"> </w:t>
      </w:r>
      <w:r w:rsidRPr="00E87D19">
        <w:rPr>
          <w:rFonts w:cs="Times New Roman"/>
          <w:color w:val="000000" w:themeColor="text1"/>
          <w:szCs w:val="24"/>
          <w:shd w:val="clear" w:color="auto" w:fill="FFFFFF"/>
        </w:rPr>
        <w:t>, five (5) species belong to the Class</w:t>
      </w:r>
      <w:r w:rsidRPr="00E87D19">
        <w:rPr>
          <w:rStyle w:val="Emphasis"/>
          <w:rFonts w:cs="Times New Roman"/>
          <w:color w:val="000000" w:themeColor="text1"/>
          <w:szCs w:val="24"/>
          <w:shd w:val="clear" w:color="auto" w:fill="FFFFFF"/>
        </w:rPr>
        <w:t> Cyanophyceae</w:t>
      </w:r>
      <w:r w:rsidRPr="00E87D19">
        <w:rPr>
          <w:rFonts w:cs="Times New Roman"/>
          <w:color w:val="000000" w:themeColor="text1"/>
          <w:szCs w:val="24"/>
          <w:shd w:val="clear" w:color="auto" w:fill="FFFFFF"/>
        </w:rPr>
        <w:t>, such as</w:t>
      </w:r>
      <w:r w:rsidRPr="00E87D19">
        <w:rPr>
          <w:rStyle w:val="Emphasis"/>
          <w:rFonts w:cs="Times New Roman"/>
          <w:color w:val="000000" w:themeColor="text1"/>
          <w:szCs w:val="24"/>
          <w:shd w:val="clear" w:color="auto" w:fill="FFFFFF"/>
        </w:rPr>
        <w:t> Oscillatoria species</w:t>
      </w:r>
      <w:r w:rsidRPr="00E87D19">
        <w:rPr>
          <w:rFonts w:cs="Times New Roman"/>
          <w:color w:val="000000" w:themeColor="text1"/>
          <w:szCs w:val="24"/>
          <w:shd w:val="clear" w:color="auto" w:fill="FFFFFF"/>
        </w:rPr>
        <w:t>  and three (3) species belong to the Class</w:t>
      </w:r>
      <w:r w:rsidRPr="00E87D19">
        <w:rPr>
          <w:rStyle w:val="Emphasis"/>
          <w:rFonts w:cs="Times New Roman"/>
          <w:color w:val="000000" w:themeColor="text1"/>
          <w:szCs w:val="24"/>
          <w:shd w:val="clear" w:color="auto" w:fill="FFFFFF"/>
        </w:rPr>
        <w:t> Bacillariophyceae</w:t>
      </w:r>
      <w:r w:rsidRPr="00E87D19">
        <w:rPr>
          <w:rFonts w:cs="Times New Roman"/>
          <w:color w:val="000000" w:themeColor="text1"/>
          <w:szCs w:val="24"/>
          <w:shd w:val="clear" w:color="auto" w:fill="FFFFFF"/>
        </w:rPr>
        <w:t xml:space="preserve"> which study </w:t>
      </w:r>
      <w:r w:rsidRPr="00E87D19">
        <w:rPr>
          <w:rFonts w:cs="Times New Roman"/>
          <w:color w:val="000000" w:themeColor="text1"/>
          <w:szCs w:val="24"/>
          <w:shd w:val="clear" w:color="auto" w:fill="FFFFFF"/>
        </w:rPr>
        <w:lastRenderedPageBreak/>
        <w:t xml:space="preserve">was so similar with this work which could be due to all the studies are in a close geographical region that is northern part of Nigeria (Bashir </w:t>
      </w:r>
      <w:r w:rsidR="007E4D8F" w:rsidRPr="007E4D8F">
        <w:rPr>
          <w:rFonts w:cs="Times New Roman"/>
          <w:i/>
          <w:iCs/>
          <w:color w:val="000000" w:themeColor="text1"/>
          <w:szCs w:val="24"/>
          <w:shd w:val="clear" w:color="auto" w:fill="FFFFFF"/>
        </w:rPr>
        <w:t>et al</w:t>
      </w:r>
      <w:r w:rsidRPr="00E87D19">
        <w:rPr>
          <w:rFonts w:cs="Times New Roman"/>
          <w:i/>
          <w:color w:val="000000" w:themeColor="text1"/>
          <w:szCs w:val="24"/>
          <w:shd w:val="clear" w:color="auto" w:fill="FFFFFF"/>
        </w:rPr>
        <w:t>.,</w:t>
      </w:r>
      <w:r w:rsidRPr="00E87D19">
        <w:rPr>
          <w:rFonts w:cs="Times New Roman"/>
          <w:color w:val="000000" w:themeColor="text1"/>
          <w:szCs w:val="24"/>
          <w:shd w:val="clear" w:color="auto" w:fill="FFFFFF"/>
        </w:rPr>
        <w:t xml:space="preserve"> 2022).</w:t>
      </w:r>
    </w:p>
    <w:p w14:paraId="4854F5D4" w14:textId="242AEF1C" w:rsidR="00F4557E" w:rsidRPr="00E87D19" w:rsidRDefault="00F4557E" w:rsidP="00A74D20">
      <w:pPr>
        <w:spacing w:before="80" w:after="120" w:line="360" w:lineRule="auto"/>
        <w:jc w:val="both"/>
        <w:rPr>
          <w:rFonts w:cs="Times New Roman"/>
          <w:szCs w:val="24"/>
        </w:rPr>
      </w:pPr>
      <w:r w:rsidRPr="00E87D19">
        <w:rPr>
          <w:rFonts w:eastAsia="Times New Roman" w:cs="Times New Roman"/>
          <w:szCs w:val="24"/>
        </w:rPr>
        <w:t xml:space="preserve">Molecular characterization via ITS rRNA gene sequencing confirmed the selected isolates as </w:t>
      </w:r>
      <w:r w:rsidR="007E4D8F" w:rsidRPr="007E4D8F">
        <w:rPr>
          <w:rFonts w:eastAsia="Times New Roman" w:cs="Times New Roman"/>
          <w:i/>
          <w:iCs/>
          <w:szCs w:val="24"/>
        </w:rPr>
        <w:t>Chlorella sorokiniana</w:t>
      </w:r>
      <w:r w:rsidRPr="00E87D19">
        <w:rPr>
          <w:rFonts w:eastAsia="Times New Roman" w:cs="Times New Roman"/>
          <w:szCs w:val="24"/>
        </w:rPr>
        <w:t xml:space="preserve">, a species well-recognized for its high photosynthetic efficiency, thermotolerance, and superior lipid accumulation capacity under optimized or stress conditions (Okoro </w:t>
      </w:r>
      <w:r w:rsidR="007E4D8F" w:rsidRPr="007E4D8F">
        <w:rPr>
          <w:rFonts w:eastAsia="Times New Roman" w:cs="Times New Roman"/>
          <w:i/>
          <w:iCs/>
          <w:szCs w:val="24"/>
        </w:rPr>
        <w:t>et al</w:t>
      </w:r>
      <w:r w:rsidRPr="00E87D19">
        <w:rPr>
          <w:rFonts w:eastAsia="Times New Roman" w:cs="Times New Roman"/>
          <w:szCs w:val="24"/>
        </w:rPr>
        <w:t xml:space="preserve">., 2019). The successful generation of distinct PCR amplicons of approximately 450 bp consistent with expected ITS fragment sizes for green microalgae and the high-confidence BLAST matches to reference </w:t>
      </w:r>
      <w:r w:rsidR="007E4D8F" w:rsidRPr="007E4D8F">
        <w:rPr>
          <w:rFonts w:eastAsia="Times New Roman" w:cs="Times New Roman"/>
          <w:i/>
          <w:iCs/>
          <w:szCs w:val="24"/>
        </w:rPr>
        <w:t>Chlorella sorokiniana</w:t>
      </w:r>
      <w:r w:rsidRPr="00E87D19">
        <w:rPr>
          <w:rFonts w:eastAsia="Times New Roman" w:cs="Times New Roman"/>
          <w:szCs w:val="24"/>
        </w:rPr>
        <w:t xml:space="preserve"> sequences in the NCBI database collectively validate the accuracy and reliability of the molecular identification protocol. The phylogenetic tree constructed using the Maximum Parsimony method yielded a consistency index (CI) and retention index (RI) of 1.000, indicating a high level of phylogenetic signal and unambiguous taxonomic placement of all three isolates. The deposition of sequences under GenBank accession numbers PZ524763–PZ524765 ensures the reproducibility and verifiability of this work by the broader scientific community.</w:t>
      </w:r>
    </w:p>
    <w:p w14:paraId="5CA3F229" w14:textId="54D5EDD4" w:rsidR="00065147" w:rsidRPr="00E87D19" w:rsidRDefault="00065147" w:rsidP="00A74D20">
      <w:pPr>
        <w:shd w:val="clear" w:color="auto" w:fill="FFFFFF"/>
        <w:spacing w:before="0" w:after="0" w:line="360" w:lineRule="auto"/>
        <w:jc w:val="both"/>
        <w:rPr>
          <w:rFonts w:eastAsia="Times New Roman" w:cs="Times New Roman"/>
          <w:color w:val="000000" w:themeColor="text1"/>
          <w:szCs w:val="24"/>
        </w:rPr>
      </w:pPr>
      <w:r w:rsidRPr="00E87D19">
        <w:rPr>
          <w:rFonts w:eastAsia="Times New Roman" w:cs="Times New Roman"/>
          <w:color w:val="000000" w:themeColor="text1"/>
          <w:szCs w:val="24"/>
          <w:lang w:eastAsia="en-GB"/>
        </w:rPr>
        <w:t xml:space="preserve">The work </w:t>
      </w:r>
      <w:r w:rsidR="00F4557E" w:rsidRPr="00E87D19">
        <w:rPr>
          <w:rFonts w:eastAsia="Times New Roman" w:cs="Times New Roman"/>
          <w:color w:val="000000" w:themeColor="text1"/>
          <w:szCs w:val="24"/>
          <w:lang w:eastAsia="en-GB"/>
        </w:rPr>
        <w:t>agrees</w:t>
      </w:r>
      <w:r w:rsidRPr="00E87D19">
        <w:rPr>
          <w:rFonts w:eastAsia="Times New Roman" w:cs="Times New Roman"/>
          <w:color w:val="000000" w:themeColor="text1"/>
          <w:szCs w:val="24"/>
          <w:lang w:eastAsia="en-GB"/>
        </w:rPr>
        <w:t xml:space="preserve"> with the work of </w:t>
      </w:r>
      <w:r w:rsidRPr="00E87D19">
        <w:rPr>
          <w:rFonts w:cs="Times New Roman"/>
          <w:color w:val="000000" w:themeColor="text1"/>
          <w:szCs w:val="24"/>
          <w:shd w:val="clear" w:color="auto" w:fill="FFFFFF"/>
        </w:rPr>
        <w:t xml:space="preserve">Fathy </w:t>
      </w:r>
      <w:r w:rsidR="007E4D8F" w:rsidRPr="007E4D8F">
        <w:rPr>
          <w:rFonts w:cs="Times New Roman"/>
          <w:i/>
          <w:iCs/>
          <w:color w:val="000000" w:themeColor="text1"/>
          <w:szCs w:val="24"/>
          <w:shd w:val="clear" w:color="auto" w:fill="FFFFFF"/>
        </w:rPr>
        <w:t>et al</w:t>
      </w:r>
      <w:r w:rsidRPr="00E87D19">
        <w:rPr>
          <w:rFonts w:cs="Times New Roman"/>
          <w:i/>
          <w:color w:val="000000" w:themeColor="text1"/>
          <w:szCs w:val="24"/>
          <w:shd w:val="clear" w:color="auto" w:fill="FFFFFF"/>
        </w:rPr>
        <w:t xml:space="preserve">., </w:t>
      </w:r>
      <w:r w:rsidRPr="00E87D19">
        <w:rPr>
          <w:rFonts w:cs="Times New Roman"/>
          <w:color w:val="000000" w:themeColor="text1"/>
          <w:szCs w:val="24"/>
          <w:shd w:val="clear" w:color="auto" w:fill="FFFFFF"/>
        </w:rPr>
        <w:t xml:space="preserve">(2023) that used ITS1 and 4 for the identification of </w:t>
      </w:r>
      <w:r w:rsidRPr="00E87D19">
        <w:rPr>
          <w:rFonts w:cs="Times New Roman"/>
          <w:i/>
          <w:color w:val="000000" w:themeColor="text1"/>
          <w:szCs w:val="24"/>
          <w:shd w:val="clear" w:color="auto" w:fill="FFFFFF"/>
        </w:rPr>
        <w:t>chlorella spp</w:t>
      </w:r>
      <w:r w:rsidRPr="00E87D19">
        <w:rPr>
          <w:rFonts w:eastAsia="Times New Roman" w:cs="Times New Roman"/>
          <w:color w:val="000000" w:themeColor="text1"/>
          <w:szCs w:val="24"/>
          <w:lang w:eastAsia="en-GB"/>
        </w:rPr>
        <w:t xml:space="preserve"> which yield positive result and also tally with the work of </w:t>
      </w:r>
      <w:r w:rsidRPr="00E87D19">
        <w:rPr>
          <w:rFonts w:cs="Times New Roman"/>
          <w:color w:val="000000" w:themeColor="text1"/>
          <w:szCs w:val="24"/>
          <w:shd w:val="clear" w:color="auto" w:fill="FFFFFF"/>
        </w:rPr>
        <w:t xml:space="preserve">Mutizabal-Aros </w:t>
      </w:r>
      <w:r w:rsidR="007E4D8F" w:rsidRPr="007E4D8F">
        <w:rPr>
          <w:rFonts w:cs="Times New Roman"/>
          <w:i/>
          <w:iCs/>
          <w:color w:val="000000" w:themeColor="text1"/>
          <w:szCs w:val="24"/>
          <w:shd w:val="clear" w:color="auto" w:fill="FFFFFF"/>
        </w:rPr>
        <w:t>et al</w:t>
      </w:r>
      <w:r w:rsidRPr="00E87D19">
        <w:rPr>
          <w:rFonts w:cs="Times New Roman"/>
          <w:i/>
          <w:color w:val="000000" w:themeColor="text1"/>
          <w:szCs w:val="24"/>
          <w:shd w:val="clear" w:color="auto" w:fill="FFFFFF"/>
        </w:rPr>
        <w:t>.,</w:t>
      </w:r>
      <w:r w:rsidRPr="00E87D19">
        <w:rPr>
          <w:rFonts w:cs="Times New Roman"/>
          <w:color w:val="000000" w:themeColor="text1"/>
          <w:szCs w:val="24"/>
          <w:shd w:val="clear" w:color="auto" w:fill="FFFFFF"/>
        </w:rPr>
        <w:t xml:space="preserve"> (2024) that used the ITS primer for identification of the whole class and family of microalgae which he targets </w:t>
      </w:r>
      <w:r w:rsidRPr="00E87D19">
        <w:rPr>
          <w:rFonts w:cs="Times New Roman"/>
          <w:i/>
          <w:color w:val="000000" w:themeColor="text1"/>
          <w:szCs w:val="24"/>
          <w:shd w:val="clear" w:color="auto" w:fill="FFFFFF"/>
        </w:rPr>
        <w:t>chlorophyta</w:t>
      </w:r>
      <w:r w:rsidRPr="00E87D19">
        <w:rPr>
          <w:rFonts w:cs="Times New Roman"/>
          <w:color w:val="000000" w:themeColor="text1"/>
          <w:szCs w:val="24"/>
          <w:shd w:val="clear" w:color="auto" w:fill="FFFFFF"/>
        </w:rPr>
        <w:t xml:space="preserve">, and </w:t>
      </w:r>
      <w:r w:rsidRPr="00E87D19">
        <w:rPr>
          <w:rFonts w:cs="Times New Roman"/>
          <w:i/>
          <w:color w:val="000000" w:themeColor="text1"/>
          <w:szCs w:val="24"/>
          <w:shd w:val="clear" w:color="auto" w:fill="FFFFFF"/>
        </w:rPr>
        <w:t>ulvophyceae</w:t>
      </w:r>
      <w:r w:rsidRPr="00E87D19">
        <w:rPr>
          <w:rFonts w:eastAsia="Times New Roman" w:cs="Times New Roman"/>
          <w:color w:val="000000" w:themeColor="text1"/>
          <w:szCs w:val="24"/>
          <w:lang w:eastAsia="en-GB"/>
        </w:rPr>
        <w:t xml:space="preserve">. </w:t>
      </w:r>
      <w:r w:rsidRPr="00E87D19">
        <w:rPr>
          <w:rFonts w:cs="Times New Roman"/>
          <w:color w:val="000000" w:themeColor="text1"/>
          <w:szCs w:val="24"/>
          <w:shd w:val="clear" w:color="auto" w:fill="FFFFFF"/>
        </w:rPr>
        <w:t>Fawley and Fawley, (2020) also identified a number of eukaryotic microorganisms including algae.</w:t>
      </w:r>
    </w:p>
    <w:p w14:paraId="0CC195D5" w14:textId="27397AFD" w:rsidR="00475B43" w:rsidRPr="00E87D19" w:rsidRDefault="00475B43" w:rsidP="00A74D20">
      <w:pPr>
        <w:spacing w:before="80" w:after="120" w:line="360" w:lineRule="auto"/>
        <w:jc w:val="both"/>
        <w:rPr>
          <w:rFonts w:cs="Times New Roman"/>
          <w:szCs w:val="24"/>
        </w:rPr>
      </w:pPr>
      <w:r w:rsidRPr="00E87D19">
        <w:rPr>
          <w:rFonts w:eastAsia="Times New Roman" w:cs="Times New Roman"/>
          <w:szCs w:val="24"/>
        </w:rPr>
        <w:t>All three</w:t>
      </w:r>
      <w:r w:rsidR="0062409E">
        <w:rPr>
          <w:rFonts w:eastAsia="Times New Roman" w:cs="Times New Roman"/>
          <w:szCs w:val="24"/>
        </w:rPr>
        <w:t xml:space="preserve"> </w:t>
      </w:r>
      <w:r w:rsidRPr="00E87D19">
        <w:rPr>
          <w:rFonts w:eastAsia="Times New Roman" w:cs="Times New Roman"/>
          <w:szCs w:val="24"/>
        </w:rPr>
        <w:t xml:space="preserve">culture media supported the characteristic sigmoid growth pattern of </w:t>
      </w:r>
      <w:r w:rsidR="007E4D8F" w:rsidRPr="007E4D8F">
        <w:rPr>
          <w:rFonts w:eastAsia="Times New Roman" w:cs="Times New Roman"/>
          <w:i/>
          <w:iCs/>
          <w:szCs w:val="24"/>
        </w:rPr>
        <w:t>Chlorella sorokiniana</w:t>
      </w:r>
      <w:r w:rsidRPr="00E87D19">
        <w:rPr>
          <w:rFonts w:eastAsia="Times New Roman" w:cs="Times New Roman"/>
          <w:szCs w:val="24"/>
        </w:rPr>
        <w:t xml:space="preserve">, encompassing lag, exponential, and stationary phases over the 44-day cultivation period. However, pronounced and statistically significant differences in biomass accumulation were observed among the three media. BG11 medium consistently supported the most vigorous growth, achieving a maximum dry cell weight of 35.48 g/L, a specific growth rate (SGR) of 0.140 day⁻¹, and a biomass productivity of 0.842 g/L/day. These superior outcomes are attributable to the chemically defined and comprehensively balanced nutrient composition of BG11, which supplies optimal concentrations of nitrogen (as NaNO₃), phosphorus, magnesium, calcium, iron, and a complete suite of trace elements and micronutrients essential for microalgal metabolic </w:t>
      </w:r>
      <w:r w:rsidRPr="00E87D19">
        <w:rPr>
          <w:rFonts w:eastAsia="Times New Roman" w:cs="Times New Roman"/>
          <w:szCs w:val="24"/>
        </w:rPr>
        <w:lastRenderedPageBreak/>
        <w:t xml:space="preserve">activity and cell division (Ghomari </w:t>
      </w:r>
      <w:r w:rsidR="007E4D8F" w:rsidRPr="007E4D8F">
        <w:rPr>
          <w:rFonts w:eastAsia="Times New Roman" w:cs="Times New Roman"/>
          <w:i/>
          <w:iCs/>
          <w:szCs w:val="24"/>
        </w:rPr>
        <w:t>et al</w:t>
      </w:r>
      <w:r w:rsidRPr="00E87D19">
        <w:rPr>
          <w:rFonts w:eastAsia="Times New Roman" w:cs="Times New Roman"/>
          <w:szCs w:val="24"/>
        </w:rPr>
        <w:t>., 2022). The precise availability of these nutrients in bioavailable forms minimizes nutritional bottlenecks during the exponential phase, enabling sustained and rapid cell proliferation. These results are broadly consistent with the literature, where BG11 is consistently reported as one of the most effective defined media for Chlorella spp. cultivation (Mathimani and Pugazhendhi, 2019).</w:t>
      </w:r>
    </w:p>
    <w:p w14:paraId="799DBA28" w14:textId="77777777" w:rsidR="00475B43" w:rsidRPr="00E87D19" w:rsidRDefault="00475B43" w:rsidP="00A74D20">
      <w:pPr>
        <w:spacing w:before="80" w:after="120" w:line="360" w:lineRule="auto"/>
        <w:jc w:val="both"/>
        <w:rPr>
          <w:rFonts w:cs="Times New Roman"/>
          <w:szCs w:val="24"/>
        </w:rPr>
      </w:pPr>
      <w:r w:rsidRPr="00E87D19">
        <w:rPr>
          <w:rFonts w:eastAsia="Times New Roman" w:cs="Times New Roman"/>
          <w:szCs w:val="24"/>
        </w:rPr>
        <w:t>Algal broth (Biomarks) produced intermediate growth performance, yielding a maximum biomass of 19.61 g/L, SGR of 0.126 day⁻¹, and biomass productivity of 0.465 g/L/day — approximately 55% of the biomass productivity achieved with BG11. Although this represents a substantial reduction relative to the defined medium, these values remain noteworthy given the lower cost and simpler preparation of commercial algal broth formulations. The nutrient profile of algal broth, while less precisely defined than BG11, still provides a reasonably balanced supply of macro and micronutrients that sustains progressive microalgal growth across all cultivation phases. This makes algal broth a viable candidate for intermediate-scale cultivation where the recurring cost of BG11's nine-component stock solution system is prohibitive (Mahmood and Khudhair, 2017). The relative reduction in biomass productivity compared to BG11 may reflect suboptimal nitrogen-to-phosphorus ratios or the absence of specific trace elements that are critical cofactors in the photosynthetic electron transport chain and carbon fixation enzymes.</w:t>
      </w:r>
    </w:p>
    <w:p w14:paraId="32FB900F" w14:textId="0B1E5530" w:rsidR="00475B43" w:rsidRPr="00E87D19" w:rsidRDefault="00475B43" w:rsidP="00A74D20">
      <w:pPr>
        <w:spacing w:before="80" w:after="120" w:line="360" w:lineRule="auto"/>
        <w:jc w:val="both"/>
        <w:rPr>
          <w:rFonts w:cs="Times New Roman"/>
          <w:szCs w:val="24"/>
        </w:rPr>
      </w:pPr>
      <w:r w:rsidRPr="00E87D19">
        <w:rPr>
          <w:rFonts w:eastAsia="Times New Roman" w:cs="Times New Roman"/>
          <w:szCs w:val="24"/>
        </w:rPr>
        <w:t xml:space="preserve">NPK fertilizer medium recorded the lowest growth metrics across all parameters, with a maximum biomass of 7.26 g/L, SGR of 0.102 day⁻¹, and biomass productivity of 0.170 g/L/day — approximately 20% of BG11 productivity. These outcomes, while modest, nonetheless confirm that NPK fertilizer at the concentrations tested (0.5–1.0 g/L) can support meaningful microalgal growth, consistent with prior reports on fertilizer-based cultivation systems in tropical settings (Lathifah </w:t>
      </w:r>
      <w:r w:rsidR="007E4D8F" w:rsidRPr="007E4D8F">
        <w:rPr>
          <w:rFonts w:eastAsia="Times New Roman" w:cs="Times New Roman"/>
          <w:i/>
          <w:iCs/>
          <w:szCs w:val="24"/>
        </w:rPr>
        <w:t>et al</w:t>
      </w:r>
      <w:r w:rsidRPr="00E87D19">
        <w:rPr>
          <w:rFonts w:eastAsia="Times New Roman" w:cs="Times New Roman"/>
          <w:szCs w:val="24"/>
        </w:rPr>
        <w:t xml:space="preserve">., 2021). The substantially lower performance of NPK medium is attributable to multiple factors: the absence of essential micronutrients and trace metals (iron, manganese, cobalt, molybdenum) that function as critical cofactors in photosynthetic enzyme systems; potential ionic imbalances arising from the fixed 20:20:20 NPK macronutrient ratio, which may not align with the specific stoichiometric demands of </w:t>
      </w:r>
      <w:r w:rsidR="007E4D8F" w:rsidRPr="007E4D8F">
        <w:rPr>
          <w:rFonts w:eastAsia="Times New Roman" w:cs="Times New Roman"/>
          <w:i/>
          <w:iCs/>
          <w:szCs w:val="24"/>
        </w:rPr>
        <w:t>Chlorella sorokiniana</w:t>
      </w:r>
      <w:r w:rsidRPr="00E87D19">
        <w:rPr>
          <w:rFonts w:eastAsia="Times New Roman" w:cs="Times New Roman"/>
          <w:szCs w:val="24"/>
        </w:rPr>
        <w:t xml:space="preserve">; and the possible precipitation of phosphate at the tested concentrations in the absence of chelating agents such as EDTA. Despite these limitations, the cost advantage of NPK fertilizer over both BG11 and commercial algal broth </w:t>
      </w:r>
      <w:r w:rsidRPr="00E87D19">
        <w:rPr>
          <w:rFonts w:eastAsia="Times New Roman" w:cs="Times New Roman"/>
          <w:szCs w:val="24"/>
        </w:rPr>
        <w:lastRenderedPageBreak/>
        <w:t>is considerable, particularly in Kebbi State and similar rural Northern Nigerian settings where agricultural-grade fertilizers are locally available, familiar to producers, and significantly more affordable than laboratory-grade nutrient formulations.</w:t>
      </w:r>
    </w:p>
    <w:p w14:paraId="68D53483" w14:textId="440D5776" w:rsidR="00CD3409" w:rsidRPr="00E87D19" w:rsidRDefault="00065147" w:rsidP="00A74D20">
      <w:pPr>
        <w:shd w:val="clear" w:color="auto" w:fill="FFFFFF"/>
        <w:spacing w:before="0" w:after="0" w:line="360" w:lineRule="auto"/>
        <w:jc w:val="both"/>
        <w:rPr>
          <w:rFonts w:eastAsia="Times New Roman" w:cs="Times New Roman"/>
          <w:color w:val="000000" w:themeColor="text1"/>
          <w:szCs w:val="24"/>
        </w:rPr>
      </w:pPr>
      <w:r w:rsidRPr="00E87D19">
        <w:rPr>
          <w:rFonts w:cs="Times New Roman"/>
          <w:color w:val="000000" w:themeColor="text1"/>
          <w:szCs w:val="24"/>
          <w:shd w:val="clear" w:color="auto" w:fill="FFFFFF"/>
        </w:rPr>
        <w:t xml:space="preserve">El-Fayoumy </w:t>
      </w:r>
      <w:r w:rsidR="007E4D8F" w:rsidRPr="007E4D8F">
        <w:rPr>
          <w:rFonts w:cs="Times New Roman"/>
          <w:i/>
          <w:iCs/>
          <w:color w:val="000000" w:themeColor="text1"/>
          <w:szCs w:val="24"/>
          <w:shd w:val="clear" w:color="auto" w:fill="FFFFFF"/>
        </w:rPr>
        <w:t>et al</w:t>
      </w:r>
      <w:r w:rsidRPr="00E87D19">
        <w:rPr>
          <w:rFonts w:cs="Times New Roman"/>
          <w:i/>
          <w:color w:val="000000" w:themeColor="text1"/>
          <w:szCs w:val="24"/>
          <w:shd w:val="clear" w:color="auto" w:fill="FFFFFF"/>
        </w:rPr>
        <w:t xml:space="preserve">., </w:t>
      </w:r>
      <w:r w:rsidRPr="00E87D19">
        <w:rPr>
          <w:rFonts w:cs="Times New Roman"/>
          <w:color w:val="000000" w:themeColor="text1"/>
          <w:szCs w:val="24"/>
        </w:rPr>
        <w:t xml:space="preserve">2020, and Zhou </w:t>
      </w:r>
      <w:r w:rsidR="007E4D8F" w:rsidRPr="007E4D8F">
        <w:rPr>
          <w:rFonts w:cs="Times New Roman"/>
          <w:i/>
          <w:iCs/>
          <w:color w:val="000000" w:themeColor="text1"/>
          <w:szCs w:val="24"/>
        </w:rPr>
        <w:t>et al</w:t>
      </w:r>
      <w:r w:rsidRPr="00E87D19">
        <w:rPr>
          <w:rFonts w:cs="Times New Roman"/>
          <w:i/>
          <w:color w:val="000000" w:themeColor="text1"/>
          <w:szCs w:val="24"/>
        </w:rPr>
        <w:t>.,</w:t>
      </w:r>
      <w:r w:rsidRPr="00E87D19">
        <w:rPr>
          <w:rFonts w:cs="Times New Roman"/>
          <w:color w:val="000000" w:themeColor="text1"/>
          <w:szCs w:val="24"/>
        </w:rPr>
        <w:t xml:space="preserve"> 2021, also report the suitability and high growth rate of using BG11 media for the growth of </w:t>
      </w:r>
      <w:r w:rsidRPr="00E87D19">
        <w:rPr>
          <w:rFonts w:cs="Times New Roman"/>
          <w:i/>
          <w:color w:val="000000" w:themeColor="text1"/>
          <w:szCs w:val="24"/>
        </w:rPr>
        <w:t>chlorella species</w:t>
      </w:r>
      <w:r w:rsidR="00475B43" w:rsidRPr="00E87D19">
        <w:rPr>
          <w:rFonts w:eastAsia="Times New Roman" w:cs="Times New Roman"/>
          <w:color w:val="000000" w:themeColor="text1"/>
          <w:szCs w:val="24"/>
        </w:rPr>
        <w:t xml:space="preserve"> </w:t>
      </w:r>
      <w:r w:rsidRPr="00E87D19">
        <w:rPr>
          <w:rFonts w:eastAsia="Times New Roman" w:cs="Times New Roman"/>
          <w:color w:val="000000" w:themeColor="text1"/>
          <w:szCs w:val="24"/>
        </w:rPr>
        <w:t xml:space="preserve">which the result disagreed with the work of </w:t>
      </w:r>
      <w:r w:rsidRPr="00E87D19">
        <w:rPr>
          <w:rFonts w:cs="Times New Roman"/>
          <w:color w:val="000000" w:themeColor="text1"/>
          <w:szCs w:val="24"/>
          <w:shd w:val="clear" w:color="auto" w:fill="FFFFFF"/>
        </w:rPr>
        <w:t xml:space="preserve">Mahmood and Khudhair, (2017), </w:t>
      </w:r>
      <w:r w:rsidRPr="00E87D19">
        <w:rPr>
          <w:rFonts w:eastAsia="Times New Roman" w:cs="Times New Roman"/>
          <w:color w:val="000000" w:themeColor="text1"/>
          <w:szCs w:val="24"/>
        </w:rPr>
        <w:t xml:space="preserve">that </w:t>
      </w:r>
      <w:r w:rsidRPr="00E87D19">
        <w:rPr>
          <w:rFonts w:cs="Times New Roman"/>
          <w:color w:val="000000" w:themeColor="text1"/>
          <w:szCs w:val="24"/>
        </w:rPr>
        <w:t xml:space="preserve">showed the maximum biomass concentration reaches to </w:t>
      </w:r>
      <w:smartTag w:uri="urn:schemas-microsoft-com:office:smarttags" w:element="metricconverter">
        <w:smartTagPr>
          <w:attr w:name="ProductID" w:val="0.3249 g"/>
        </w:smartTagPr>
        <w:r w:rsidRPr="00E87D19">
          <w:rPr>
            <w:rFonts w:cs="Times New Roman"/>
            <w:color w:val="000000" w:themeColor="text1"/>
            <w:szCs w:val="24"/>
          </w:rPr>
          <w:t>0.3249 g</w:t>
        </w:r>
      </w:smartTag>
      <w:r w:rsidRPr="00E87D19">
        <w:rPr>
          <w:rFonts w:cs="Times New Roman"/>
          <w:color w:val="000000" w:themeColor="text1"/>
          <w:szCs w:val="24"/>
        </w:rPr>
        <w:t xml:space="preserve"> L-1 when cultivated in </w:t>
      </w:r>
      <w:smartTag w:uri="urn:schemas-microsoft-com:office:smarttags" w:element="stockticker">
        <w:r w:rsidRPr="00E87D19">
          <w:rPr>
            <w:rFonts w:cs="Times New Roman"/>
            <w:color w:val="000000" w:themeColor="text1"/>
            <w:szCs w:val="24"/>
          </w:rPr>
          <w:t>NPK</w:t>
        </w:r>
      </w:smartTag>
      <w:r w:rsidRPr="00E87D19">
        <w:rPr>
          <w:rFonts w:cs="Times New Roman"/>
          <w:color w:val="000000" w:themeColor="text1"/>
          <w:szCs w:val="24"/>
        </w:rPr>
        <w:t xml:space="preserve"> fertilizer. Also the study of </w:t>
      </w:r>
      <w:r w:rsidRPr="00E87D19">
        <w:rPr>
          <w:rFonts w:cs="Times New Roman"/>
          <w:color w:val="000000" w:themeColor="text1"/>
          <w:szCs w:val="24"/>
          <w:shd w:val="clear" w:color="auto" w:fill="FFFFFF"/>
        </w:rPr>
        <w:t xml:space="preserve">Mtaki </w:t>
      </w:r>
      <w:r w:rsidR="007E4D8F" w:rsidRPr="007E4D8F">
        <w:rPr>
          <w:rFonts w:cs="Times New Roman"/>
          <w:i/>
          <w:iCs/>
          <w:color w:val="000000" w:themeColor="text1"/>
          <w:szCs w:val="24"/>
          <w:shd w:val="clear" w:color="auto" w:fill="FFFFFF"/>
        </w:rPr>
        <w:t>et al</w:t>
      </w:r>
      <w:r w:rsidRPr="00E87D19">
        <w:rPr>
          <w:rFonts w:cs="Times New Roman"/>
          <w:i/>
          <w:color w:val="000000" w:themeColor="text1"/>
          <w:szCs w:val="24"/>
          <w:shd w:val="clear" w:color="auto" w:fill="FFFFFF"/>
        </w:rPr>
        <w:t xml:space="preserve">., </w:t>
      </w:r>
      <w:r w:rsidRPr="00E87D19">
        <w:rPr>
          <w:rFonts w:cs="Times New Roman"/>
          <w:color w:val="000000" w:themeColor="text1"/>
          <w:szCs w:val="24"/>
          <w:shd w:val="clear" w:color="auto" w:fill="FFFFFF"/>
        </w:rPr>
        <w:t xml:space="preserve">(2021) </w:t>
      </w:r>
      <w:r w:rsidRPr="00E87D19">
        <w:rPr>
          <w:rFonts w:cs="Times New Roman"/>
          <w:color w:val="000000" w:themeColor="text1"/>
          <w:szCs w:val="24"/>
        </w:rPr>
        <w:t>showed biomass productivity of (0.1701 ± 0.0007 g/L/day) in </w:t>
      </w:r>
      <w:r w:rsidRPr="00E87D19">
        <w:rPr>
          <w:rFonts w:cs="Times New Roman"/>
          <w:i/>
          <w:iCs/>
          <w:color w:val="000000" w:themeColor="text1"/>
          <w:szCs w:val="24"/>
        </w:rPr>
        <w:t>C. vulgaris</w:t>
      </w:r>
      <w:r w:rsidRPr="00E87D19">
        <w:rPr>
          <w:rFonts w:cs="Times New Roman"/>
          <w:color w:val="000000" w:themeColor="text1"/>
          <w:szCs w:val="24"/>
        </w:rPr>
        <w:t xml:space="preserve"> grown in AWW + 1.0 </w:t>
      </w:r>
      <w:smartTag w:uri="urn:schemas-microsoft-com:office:smarttags" w:element="stockticker">
        <w:r w:rsidRPr="00E87D19">
          <w:rPr>
            <w:rFonts w:cs="Times New Roman"/>
            <w:color w:val="000000" w:themeColor="text1"/>
            <w:szCs w:val="24"/>
          </w:rPr>
          <w:t>NPK</w:t>
        </w:r>
      </w:smartTag>
      <w:r w:rsidRPr="00E87D19">
        <w:rPr>
          <w:rFonts w:cs="Times New Roman"/>
          <w:color w:val="000000" w:themeColor="text1"/>
          <w:szCs w:val="24"/>
        </w:rPr>
        <w:t xml:space="preserve"> medium. </w:t>
      </w:r>
      <w:r w:rsidRPr="00E87D19">
        <w:rPr>
          <w:rFonts w:eastAsia="Times New Roman" w:cs="Times New Roman"/>
          <w:color w:val="000000" w:themeColor="text1"/>
          <w:szCs w:val="24"/>
        </w:rPr>
        <w:t>These findings underscore the necessity of selecting appropriate media for algal cultivation to enhance biofuel production yields</w:t>
      </w:r>
      <w:r w:rsidR="00475B43" w:rsidRPr="00E87D19">
        <w:rPr>
          <w:rFonts w:eastAsia="Times New Roman" w:cs="Times New Roman"/>
          <w:color w:val="000000" w:themeColor="text1"/>
          <w:szCs w:val="24"/>
        </w:rPr>
        <w:t xml:space="preserve"> and </w:t>
      </w:r>
      <w:r w:rsidRPr="00E87D19">
        <w:rPr>
          <w:rFonts w:cs="Times New Roman"/>
          <w:color w:val="000000" w:themeColor="text1"/>
          <w:szCs w:val="24"/>
          <w:shd w:val="clear" w:color="auto" w:fill="FFFFFF"/>
        </w:rPr>
        <w:t xml:space="preserve">de Carvalho </w:t>
      </w:r>
      <w:r w:rsidR="007E4D8F" w:rsidRPr="007E4D8F">
        <w:rPr>
          <w:rFonts w:cs="Times New Roman"/>
          <w:i/>
          <w:iCs/>
          <w:color w:val="000000" w:themeColor="text1"/>
          <w:szCs w:val="24"/>
          <w:shd w:val="clear" w:color="auto" w:fill="FFFFFF"/>
        </w:rPr>
        <w:t>et al</w:t>
      </w:r>
      <w:r w:rsidRPr="00E87D19">
        <w:rPr>
          <w:rFonts w:cs="Times New Roman"/>
          <w:i/>
          <w:color w:val="000000" w:themeColor="text1"/>
          <w:szCs w:val="24"/>
          <w:shd w:val="clear" w:color="auto" w:fill="FFFFFF"/>
        </w:rPr>
        <w:t>.,</w:t>
      </w:r>
      <w:r w:rsidRPr="00E87D19">
        <w:rPr>
          <w:rFonts w:cs="Times New Roman"/>
          <w:color w:val="000000" w:themeColor="text1"/>
          <w:szCs w:val="24"/>
          <w:shd w:val="clear" w:color="auto" w:fill="FFFFFF"/>
        </w:rPr>
        <w:t xml:space="preserve"> (2019) showed BG11 media to be one of the best media for the cultivation of </w:t>
      </w:r>
      <w:r w:rsidR="0062409E" w:rsidRPr="00E87D19">
        <w:rPr>
          <w:rFonts w:cs="Times New Roman"/>
          <w:i/>
          <w:color w:val="000000" w:themeColor="text1"/>
          <w:szCs w:val="24"/>
          <w:shd w:val="clear" w:color="auto" w:fill="FFFFFF"/>
        </w:rPr>
        <w:t xml:space="preserve">Chlorella </w:t>
      </w:r>
      <w:r w:rsidRPr="00E87D19">
        <w:rPr>
          <w:rFonts w:cs="Times New Roman"/>
          <w:i/>
          <w:color w:val="000000" w:themeColor="text1"/>
          <w:szCs w:val="24"/>
          <w:shd w:val="clear" w:color="auto" w:fill="FFFFFF"/>
        </w:rPr>
        <w:t>species</w:t>
      </w:r>
      <w:r w:rsidRPr="00E87D19">
        <w:rPr>
          <w:rFonts w:cs="Times New Roman"/>
          <w:color w:val="000000" w:themeColor="text1"/>
          <w:szCs w:val="24"/>
          <w:shd w:val="clear" w:color="auto" w:fill="FFFFFF"/>
        </w:rPr>
        <w:t xml:space="preserve">, Pandey </w:t>
      </w:r>
      <w:r w:rsidR="007E4D8F" w:rsidRPr="007E4D8F">
        <w:rPr>
          <w:rFonts w:cs="Times New Roman"/>
          <w:i/>
          <w:iCs/>
          <w:color w:val="000000" w:themeColor="text1"/>
          <w:szCs w:val="24"/>
          <w:shd w:val="clear" w:color="auto" w:fill="FFFFFF"/>
        </w:rPr>
        <w:t>et al</w:t>
      </w:r>
      <w:r w:rsidRPr="00E87D19">
        <w:rPr>
          <w:rFonts w:cs="Times New Roman"/>
          <w:i/>
          <w:color w:val="000000" w:themeColor="text1"/>
          <w:szCs w:val="24"/>
          <w:shd w:val="clear" w:color="auto" w:fill="FFFFFF"/>
        </w:rPr>
        <w:t>.,(</w:t>
      </w:r>
      <w:r w:rsidRPr="00E87D19">
        <w:rPr>
          <w:rFonts w:cs="Times New Roman"/>
          <w:color w:val="000000" w:themeColor="text1"/>
          <w:szCs w:val="24"/>
        </w:rPr>
        <w:t>2023), also showed that BG11 media is one of the best media for the cultivation of fresh water algae</w:t>
      </w:r>
      <w:r w:rsidRPr="00E87D19">
        <w:rPr>
          <w:rFonts w:eastAsia="Times New Roman" w:cs="Times New Roman"/>
          <w:color w:val="000000" w:themeColor="text1"/>
          <w:szCs w:val="24"/>
        </w:rPr>
        <w:t xml:space="preserve">. </w:t>
      </w:r>
    </w:p>
    <w:p w14:paraId="52CCDD32" w14:textId="0E74848C" w:rsidR="00475B43" w:rsidRPr="00E87D19" w:rsidRDefault="00475B43" w:rsidP="00A74D20">
      <w:pPr>
        <w:spacing w:before="80" w:after="120" w:line="360" w:lineRule="auto"/>
        <w:jc w:val="both"/>
        <w:rPr>
          <w:rFonts w:cs="Times New Roman"/>
          <w:szCs w:val="24"/>
        </w:rPr>
      </w:pPr>
      <w:r w:rsidRPr="00E87D19">
        <w:rPr>
          <w:rFonts w:eastAsia="Times New Roman" w:cs="Times New Roman"/>
          <w:szCs w:val="24"/>
        </w:rPr>
        <w:t xml:space="preserve">Lipid extraction using the Bligh and Dyer chloroform-methanol method revealed that BG11-cultivated biomass yielded the highest oil content of 28.46 g/L (27.05% of dry biomass weight), followed by algal broth (13.23 g/L; 23.12%) and NPK medium (3.45 g/L; 16.12%). The lipid content percentages across all three media fall within the ranges reported in the literature for </w:t>
      </w:r>
      <w:r w:rsidR="007E4D8F" w:rsidRPr="007E4D8F">
        <w:rPr>
          <w:rFonts w:eastAsia="Times New Roman" w:cs="Times New Roman"/>
          <w:i/>
          <w:iCs/>
          <w:szCs w:val="24"/>
        </w:rPr>
        <w:t>Chlorella sorokiniana</w:t>
      </w:r>
      <w:r w:rsidRPr="00E87D19">
        <w:rPr>
          <w:rFonts w:eastAsia="Times New Roman" w:cs="Times New Roman"/>
          <w:szCs w:val="24"/>
        </w:rPr>
        <w:t xml:space="preserve"> under similar growth conditions, which typically span 15–35% of dry weight depending on nutrient regime, light intensity, CO₂ availability, and the growth phase at harvest (Mathimani and Pugazhendhi, 2019; Datta </w:t>
      </w:r>
      <w:r w:rsidR="007E4D8F" w:rsidRPr="007E4D8F">
        <w:rPr>
          <w:rFonts w:eastAsia="Times New Roman" w:cs="Times New Roman"/>
          <w:i/>
          <w:iCs/>
          <w:szCs w:val="24"/>
        </w:rPr>
        <w:t>et al</w:t>
      </w:r>
      <w:r w:rsidRPr="00E87D19">
        <w:rPr>
          <w:rFonts w:eastAsia="Times New Roman" w:cs="Times New Roman"/>
          <w:szCs w:val="24"/>
        </w:rPr>
        <w:t>., 2024).</w:t>
      </w:r>
    </w:p>
    <w:p w14:paraId="184E95FE" w14:textId="297A5E36" w:rsidR="00475B43" w:rsidRPr="00E87D19" w:rsidRDefault="00475B43" w:rsidP="00A74D20">
      <w:pPr>
        <w:spacing w:before="80" w:after="120" w:line="360" w:lineRule="auto"/>
        <w:jc w:val="both"/>
        <w:rPr>
          <w:rFonts w:cs="Times New Roman"/>
          <w:szCs w:val="24"/>
        </w:rPr>
      </w:pPr>
      <w:r w:rsidRPr="00E87D19">
        <w:rPr>
          <w:rFonts w:eastAsia="Times New Roman" w:cs="Times New Roman"/>
          <w:szCs w:val="24"/>
        </w:rPr>
        <w:t xml:space="preserve">The superior lipid yield in BG11 medium reflects both the larger absolute biomass produced and the adequacy of the nutritional environment in supporting the full complement of biochemical pathways involved in lipid biosynthesis. In microalgae, the accumulation of triacylglycerols (TAGs) suitable for transesterification into fatty acid methyl esters (FAMEs) is regulated by the interplay between photosynthetic carbon fixation rates, nitrogen availability, and the intracellular carbon-to-nitrogen (C:N) ratio (Deora </w:t>
      </w:r>
      <w:r w:rsidR="007E4D8F" w:rsidRPr="007E4D8F">
        <w:rPr>
          <w:rFonts w:eastAsia="Times New Roman" w:cs="Times New Roman"/>
          <w:i/>
          <w:iCs/>
          <w:szCs w:val="24"/>
        </w:rPr>
        <w:t>et al</w:t>
      </w:r>
      <w:r w:rsidRPr="00E87D19">
        <w:rPr>
          <w:rFonts w:eastAsia="Times New Roman" w:cs="Times New Roman"/>
          <w:szCs w:val="24"/>
        </w:rPr>
        <w:t xml:space="preserve">., 2022). Under the nitrogen-replete conditions provided by BG11 throughout the cultivation period, </w:t>
      </w:r>
      <w:r w:rsidR="007E4D8F" w:rsidRPr="007E4D8F">
        <w:rPr>
          <w:rFonts w:eastAsia="Times New Roman" w:cs="Times New Roman"/>
          <w:i/>
          <w:iCs/>
          <w:szCs w:val="24"/>
        </w:rPr>
        <w:t>Chlorella sorokiniana</w:t>
      </w:r>
      <w:r w:rsidRPr="00E87D19">
        <w:rPr>
          <w:rFonts w:eastAsia="Times New Roman" w:cs="Times New Roman"/>
          <w:szCs w:val="24"/>
        </w:rPr>
        <w:t xml:space="preserve"> efficiently allocated photosynthetically fixed carbon between biomass production and constitutive lipid storage. It is important to note that lipid yields in BG11 could potentially be further elevated through deliberate </w:t>
      </w:r>
      <w:r w:rsidRPr="00E87D19">
        <w:rPr>
          <w:rFonts w:eastAsia="Times New Roman" w:cs="Times New Roman"/>
          <w:szCs w:val="24"/>
        </w:rPr>
        <w:lastRenderedPageBreak/>
        <w:t xml:space="preserve">nitrogen starvation during a secondary stress phase a well-established strategy for inducing TAG accumulation in microalgae which was not employed in the present study and represents a promising avenue for future optimization (Okoro </w:t>
      </w:r>
      <w:r w:rsidR="007E4D8F" w:rsidRPr="007E4D8F">
        <w:rPr>
          <w:rFonts w:eastAsia="Times New Roman" w:cs="Times New Roman"/>
          <w:i/>
          <w:iCs/>
          <w:szCs w:val="24"/>
        </w:rPr>
        <w:t>et al</w:t>
      </w:r>
      <w:r w:rsidRPr="00E87D19">
        <w:rPr>
          <w:rFonts w:eastAsia="Times New Roman" w:cs="Times New Roman"/>
          <w:szCs w:val="24"/>
        </w:rPr>
        <w:t>., 2019).</w:t>
      </w:r>
    </w:p>
    <w:p w14:paraId="596A019E" w14:textId="0AB34155" w:rsidR="00475B43" w:rsidRPr="00E87D19" w:rsidRDefault="00475B43" w:rsidP="00A74D20">
      <w:pPr>
        <w:spacing w:before="80" w:after="120" w:line="360" w:lineRule="auto"/>
        <w:jc w:val="both"/>
        <w:rPr>
          <w:rFonts w:cs="Times New Roman"/>
          <w:szCs w:val="24"/>
        </w:rPr>
      </w:pPr>
      <w:r w:rsidRPr="00E87D19">
        <w:rPr>
          <w:rFonts w:eastAsia="Times New Roman" w:cs="Times New Roman"/>
          <w:szCs w:val="24"/>
        </w:rPr>
        <w:t xml:space="preserve">The lipid content of 23.12% recorded for algal broth medium is particularly significant from a practical and commercial standpoint. This percentage approaches and arguably meets the threshold commonly cited for economically viable microalgal biodiesel production (20–25% lipid content by dry weight), suggesting that algal broth could support a cost-effective dual-purpose cultivation system without fundamentally compromising fuel yield potential (Datta </w:t>
      </w:r>
      <w:r w:rsidR="007E4D8F" w:rsidRPr="007E4D8F">
        <w:rPr>
          <w:rFonts w:eastAsia="Times New Roman" w:cs="Times New Roman"/>
          <w:i/>
          <w:iCs/>
          <w:szCs w:val="24"/>
        </w:rPr>
        <w:t>et al</w:t>
      </w:r>
      <w:r w:rsidRPr="00E87D19">
        <w:rPr>
          <w:rFonts w:eastAsia="Times New Roman" w:cs="Times New Roman"/>
          <w:szCs w:val="24"/>
        </w:rPr>
        <w:t xml:space="preserve">., 2024). The 16.12% lipid content obtained from NPK medium, while the lowest recorded among the three media, nonetheless compares favorably with or exceeds the lipid content of several conventional oilseed crops used in first-generation biodiesel production including soybean (approximately 18–20%) and sunflower (approximately 25–32% under optimal conditions) when considered on a land-use-normalized or productivity-per-area basis, given the significantly higher biomass productivity of microalgal systems per unit area compared to terrestrial crops (Chowdhury </w:t>
      </w:r>
      <w:r w:rsidR="007E4D8F" w:rsidRPr="007E4D8F">
        <w:rPr>
          <w:rFonts w:eastAsia="Times New Roman" w:cs="Times New Roman"/>
          <w:i/>
          <w:iCs/>
          <w:szCs w:val="24"/>
        </w:rPr>
        <w:t>et al</w:t>
      </w:r>
      <w:r w:rsidRPr="00E87D19">
        <w:rPr>
          <w:rFonts w:eastAsia="Times New Roman" w:cs="Times New Roman"/>
          <w:szCs w:val="24"/>
        </w:rPr>
        <w:t>., 2019). This reinforces the comparative advantage of microalgal cultivation systems even under nutritionally suboptimal conditions.</w:t>
      </w:r>
      <w:r w:rsidRPr="00E87D19">
        <w:rPr>
          <w:rFonts w:cs="Times New Roman"/>
          <w:szCs w:val="24"/>
        </w:rPr>
        <w:t xml:space="preserve"> </w:t>
      </w:r>
    </w:p>
    <w:p w14:paraId="66F2F2A1" w14:textId="77777777" w:rsidR="00475B43" w:rsidRPr="00E87D19" w:rsidRDefault="00475B43" w:rsidP="00A74D20">
      <w:pPr>
        <w:spacing w:before="80" w:after="120" w:line="360" w:lineRule="auto"/>
        <w:jc w:val="both"/>
        <w:rPr>
          <w:rFonts w:cs="Times New Roman"/>
          <w:szCs w:val="24"/>
        </w:rPr>
      </w:pPr>
      <w:r w:rsidRPr="00E87D19">
        <w:rPr>
          <w:rFonts w:eastAsia="Times New Roman" w:cs="Times New Roman"/>
          <w:szCs w:val="24"/>
        </w:rPr>
        <w:t>One-way ANOVA confirmed that differences in biomass accumulation, specific growth rate, and lipid yield among the three culture media were statistically significant at the 95% confidence level (p &lt; 0.05), and Tukey's post hoc test further validated that each medium performed distinctly and significantly differently from the others across all measured parameters. This rigorous statistical treatment strengthens the reliability and discriminatory power of the comparative conclusions drawn in this study and ensures that the observed differences reflect genuine biological and nutritional effects rather than experimental variability.</w:t>
      </w:r>
    </w:p>
    <w:p w14:paraId="6A876322" w14:textId="0FE59A88" w:rsidR="00475B43" w:rsidRPr="00E87D19" w:rsidRDefault="00475B43" w:rsidP="00A74D20">
      <w:pPr>
        <w:spacing w:before="80" w:after="120" w:line="360" w:lineRule="auto"/>
        <w:jc w:val="both"/>
        <w:rPr>
          <w:rFonts w:cs="Times New Roman"/>
          <w:szCs w:val="24"/>
        </w:rPr>
      </w:pPr>
      <w:r w:rsidRPr="00E87D19">
        <w:rPr>
          <w:rFonts w:eastAsia="Times New Roman" w:cs="Times New Roman"/>
          <w:szCs w:val="24"/>
        </w:rPr>
        <w:t xml:space="preserve">The results collectively position BG11 as the superior medium for maximum biomass and lipid productivity in controlled research settings; algal broth as the most promising cost-effective intermediate option with commercially viable lipid content for scale-up trials; and NPK as the most affordable formulation, suitable for scenarios where cost minimization is the primary objective, though its performance warrants further optimization before deployment in production systems. </w:t>
      </w:r>
      <w:r w:rsidRPr="00E87D19">
        <w:rPr>
          <w:rFonts w:eastAsia="Times New Roman" w:cs="Times New Roman"/>
          <w:szCs w:val="24"/>
        </w:rPr>
        <w:lastRenderedPageBreak/>
        <w:t xml:space="preserve">Compared to analogous studies conducted in other tropical and West African settings, the biomass and lipid values obtained in BG11 in this study are competitive and attest to the suitability of the local environmental conditions and the inherent productivity of the indigenous </w:t>
      </w:r>
      <w:r w:rsidR="007E4D8F" w:rsidRPr="007E4D8F">
        <w:rPr>
          <w:rFonts w:eastAsia="Times New Roman" w:cs="Times New Roman"/>
          <w:i/>
          <w:iCs/>
          <w:szCs w:val="24"/>
        </w:rPr>
        <w:t>Chlorella sorokiniana</w:t>
      </w:r>
      <w:r w:rsidRPr="00E87D19">
        <w:rPr>
          <w:rFonts w:eastAsia="Times New Roman" w:cs="Times New Roman"/>
          <w:szCs w:val="24"/>
        </w:rPr>
        <w:t xml:space="preserve"> strains isolated (Okoro </w:t>
      </w:r>
      <w:r w:rsidR="007E4D8F" w:rsidRPr="007E4D8F">
        <w:rPr>
          <w:rFonts w:eastAsia="Times New Roman" w:cs="Times New Roman"/>
          <w:i/>
          <w:iCs/>
          <w:szCs w:val="24"/>
        </w:rPr>
        <w:t>et al</w:t>
      </w:r>
      <w:r w:rsidRPr="00E87D19">
        <w:rPr>
          <w:rFonts w:eastAsia="Times New Roman" w:cs="Times New Roman"/>
          <w:szCs w:val="24"/>
        </w:rPr>
        <w:t>., 2019). The use of locally adapted strains may confer physiological resilience advantages over laboratory-adapted or imported strains, including greater tolerance to ambient temperature fluctuations and local water chemistry, further supporting the rationale for indigenous strain isolation and characterization.</w:t>
      </w:r>
    </w:p>
    <w:p w14:paraId="2123423C" w14:textId="77777777" w:rsidR="00A60183" w:rsidRPr="0042764D" w:rsidRDefault="00A60183" w:rsidP="00A60183">
      <w:pPr>
        <w:spacing w:before="100" w:beforeAutospacing="1" w:after="100" w:afterAutospacing="1" w:line="240" w:lineRule="auto"/>
        <w:outlineLvl w:val="2"/>
        <w:rPr>
          <w:rFonts w:eastAsia="Times New Roman" w:cs="Times New Roman"/>
          <w:b/>
          <w:bCs/>
          <w:sz w:val="27"/>
          <w:szCs w:val="27"/>
          <w:lang w:eastAsia="en-GB"/>
        </w:rPr>
      </w:pPr>
      <w:r w:rsidRPr="0042764D">
        <w:rPr>
          <w:rFonts w:eastAsia="Times New Roman" w:cs="Times New Roman"/>
          <w:b/>
          <w:bCs/>
          <w:sz w:val="27"/>
          <w:szCs w:val="27"/>
          <w:lang w:eastAsia="en-GB"/>
        </w:rPr>
        <w:t>Conclusions</w:t>
      </w:r>
    </w:p>
    <w:p w14:paraId="60B0C92B" w14:textId="77777777" w:rsidR="00A60183" w:rsidRDefault="00A60183" w:rsidP="00A60183">
      <w:pPr>
        <w:pStyle w:val="NormalWeb"/>
      </w:pPr>
      <w:r>
        <w:t>This study demonstrated the presence of diverse freshwater microalgae in aquatic habitats within Abdullahi Fodio University of Science and Technology, Aliero, Kebbi State, Nigeria. Microscopic screening identified several algal taxa, while molecular analysis of selected isolates confirmed their identity as Chlorella sorokiniana. The comparative cultivation experiment showed that culture medium composition strongly influenced biomass accumulation, specific growth rate, biomass productivity, and lipid yield. Among the three media tested, BG11 produced the highest biomass and lipid performance, reflecting its balanced nutrient composition and suitability for laboratory-scale cultivation of Chlorella sorokiniana. Algal broth supported moderate growth and lipid accumulation, suggesting that it may serve as a simpler alternative medium where fully defined BG11 preparation is not practical. NPK fertilizer medium supported algal growth but produced the lowest biomass and lipid values, indicating that the formulation tested was less suitable without further optimization or micronutrient supplementation. Overall, the results provide preliminary comparative data on indigenous Chlorella sorokiniana cultivation under different nutrient conditions in Northern Nigeria. Further work should verify lipid calculations, characterize fatty acid composition, and evaluate optimized low-cost media under larger-scale cultivation conditions before any practical biodiesel application is proposed.</w:t>
      </w:r>
    </w:p>
    <w:p w14:paraId="79225A7F" w14:textId="77777777" w:rsidR="00A60183" w:rsidRPr="0042764D" w:rsidRDefault="00A60183" w:rsidP="00A60183">
      <w:pPr>
        <w:spacing w:before="100" w:beforeAutospacing="1" w:after="100" w:afterAutospacing="1" w:line="240" w:lineRule="auto"/>
        <w:outlineLvl w:val="2"/>
        <w:rPr>
          <w:rFonts w:eastAsia="Times New Roman" w:cs="Times New Roman"/>
          <w:b/>
          <w:bCs/>
          <w:sz w:val="27"/>
          <w:szCs w:val="27"/>
          <w:lang w:eastAsia="en-GB"/>
        </w:rPr>
      </w:pPr>
      <w:r w:rsidRPr="0042764D">
        <w:rPr>
          <w:rFonts w:eastAsia="Times New Roman" w:cs="Times New Roman"/>
          <w:b/>
          <w:bCs/>
          <w:sz w:val="27"/>
          <w:szCs w:val="27"/>
          <w:lang w:eastAsia="en-GB"/>
        </w:rPr>
        <w:t>Limitations</w:t>
      </w:r>
    </w:p>
    <w:p w14:paraId="35F6BF36" w14:textId="77777777" w:rsidR="00A60183" w:rsidRPr="0042764D" w:rsidRDefault="00A60183" w:rsidP="00A60183">
      <w:pPr>
        <w:spacing w:before="100" w:beforeAutospacing="1" w:after="100" w:afterAutospacing="1" w:line="240" w:lineRule="auto"/>
        <w:rPr>
          <w:rFonts w:eastAsia="Times New Roman" w:cs="Times New Roman"/>
          <w:szCs w:val="24"/>
          <w:lang w:eastAsia="en-GB"/>
        </w:rPr>
      </w:pPr>
      <w:r w:rsidRPr="0042764D">
        <w:rPr>
          <w:rFonts w:eastAsia="Times New Roman" w:cs="Times New Roman"/>
          <w:szCs w:val="24"/>
          <w:lang w:eastAsia="en-GB"/>
        </w:rPr>
        <w:t>This study has several limitations that should be considered when interpreting the findings. The cultivation experiment was conducted under controlled laboratory conditions, and the results may not directly represent performance in outdoor ponds, raceway systems, or larger photobioreactors where light intensity, contamination, evaporation, mixing, and temperature variation may affect productivity. Lipid extraction was limited to total lipid estimation, and the study did not determine fatty acid composition or biodiesel quality parameters. Therefore, the suitability of the extracted lipids for biodiesel production requires further confirmation through fatty acid methyl ester profiling and fuel property analysis. The NPK medium was evaluated only within the reported concentration range, and additional optimization of fertilizer concentration and micronutrient supplementation may be required. Molecular identification was based on ITS sequencing, but detailed BLAST identity values, query coverage, and sequence-</w:t>
      </w:r>
      <w:r w:rsidRPr="0042764D">
        <w:rPr>
          <w:rFonts w:eastAsia="Times New Roman" w:cs="Times New Roman"/>
          <w:szCs w:val="24"/>
          <w:lang w:eastAsia="en-GB"/>
        </w:rPr>
        <w:lastRenderedPageBreak/>
        <w:t>verification information should be included. Future studies should also include stronger statistical reporting and pilot-scale validation.</w:t>
      </w:r>
    </w:p>
    <w:p w14:paraId="738E83A3" w14:textId="77777777" w:rsidR="004600E3" w:rsidRPr="00E87D19" w:rsidRDefault="004600E3" w:rsidP="00A74D20">
      <w:pPr>
        <w:pStyle w:val="Heading1"/>
        <w:spacing w:before="320" w:after="160" w:line="360" w:lineRule="auto"/>
        <w:rPr>
          <w:rFonts w:ascii="Times New Roman" w:hAnsi="Times New Roman" w:cs="Times New Roman"/>
          <w:sz w:val="24"/>
          <w:szCs w:val="24"/>
        </w:rPr>
      </w:pPr>
      <w:r w:rsidRPr="00E87D19">
        <w:rPr>
          <w:rFonts w:ascii="Times New Roman" w:eastAsia="Arial" w:hAnsi="Times New Roman" w:cs="Times New Roman"/>
          <w:b/>
          <w:bCs/>
          <w:color w:val="000000" w:themeColor="text1"/>
          <w:sz w:val="24"/>
          <w:szCs w:val="24"/>
        </w:rPr>
        <w:t>Recommendations</w:t>
      </w:r>
    </w:p>
    <w:p w14:paraId="3D5CEFE3" w14:textId="77777777" w:rsidR="004600E3" w:rsidRPr="00E87D19" w:rsidRDefault="004600E3" w:rsidP="00A74D20">
      <w:pPr>
        <w:spacing w:before="80" w:after="120" w:line="360" w:lineRule="auto"/>
        <w:jc w:val="both"/>
        <w:rPr>
          <w:rFonts w:cs="Times New Roman"/>
          <w:szCs w:val="24"/>
        </w:rPr>
      </w:pPr>
      <w:r w:rsidRPr="00E87D19">
        <w:rPr>
          <w:rFonts w:eastAsia="Times New Roman" w:cs="Times New Roman"/>
          <w:szCs w:val="24"/>
        </w:rPr>
        <w:t>Based on the findings of this study, the following recommendations are made to guide future research endeavors, practical implementation, and policy development in support of microalgal biodiesel production in Northern Nigeria and comparable resource-limited tropical settings:</w:t>
      </w:r>
    </w:p>
    <w:p w14:paraId="316BB20E" w14:textId="030C1FB6" w:rsidR="004600E3" w:rsidRPr="00E87D19" w:rsidRDefault="004600E3" w:rsidP="00A74D20">
      <w:pPr>
        <w:spacing w:before="80" w:after="120" w:line="360" w:lineRule="auto"/>
        <w:jc w:val="both"/>
        <w:rPr>
          <w:rFonts w:cs="Times New Roman"/>
          <w:szCs w:val="24"/>
        </w:rPr>
      </w:pPr>
      <w:r w:rsidRPr="00E87D19">
        <w:rPr>
          <w:rFonts w:eastAsia="Times New Roman" w:cs="Times New Roman"/>
          <w:szCs w:val="24"/>
        </w:rPr>
        <w:t xml:space="preserve">1. Continuation of BG11-based research for biological optimization: BG11 medium should continue to serve as the reference standard for laboratory-scale studies aimed at maximizing biomass and lipid productivity of </w:t>
      </w:r>
      <w:r w:rsidR="007E4D8F" w:rsidRPr="007E4D8F">
        <w:rPr>
          <w:rFonts w:eastAsia="Times New Roman" w:cs="Times New Roman"/>
          <w:i/>
          <w:iCs/>
          <w:szCs w:val="24"/>
        </w:rPr>
        <w:t>Chlorella sorokiniana</w:t>
      </w:r>
      <w:r w:rsidRPr="00E87D19">
        <w:rPr>
          <w:rFonts w:eastAsia="Times New Roman" w:cs="Times New Roman"/>
          <w:szCs w:val="24"/>
        </w:rPr>
        <w:t>. Its chemically defined composition provides the controlled nutritional environment necessary for elucidating metabolic responses to variables such as light intensity, CO₂ concentration, temperature, and nitrogen stress. In particular, two</w:t>
      </w:r>
      <w:r w:rsidR="00A74D20">
        <w:rPr>
          <w:rFonts w:eastAsia="Times New Roman" w:cs="Times New Roman"/>
          <w:szCs w:val="24"/>
        </w:rPr>
        <w:t xml:space="preserve"> </w:t>
      </w:r>
      <w:r w:rsidRPr="00E87D19">
        <w:rPr>
          <w:rFonts w:eastAsia="Times New Roman" w:cs="Times New Roman"/>
          <w:szCs w:val="24"/>
        </w:rPr>
        <w:t xml:space="preserve">stage cultivation strategies combining nitrogen-replete growth in BG11 followed by deliberate nitrogen starvation should be investigated as a means to substantially increase lipid accumulation beyond the 27.05% recorded in this study, potentially approaching the 40–50% lipid content achievable under optimized stress induction in </w:t>
      </w:r>
      <w:r w:rsidR="007E4D8F" w:rsidRPr="007E4D8F">
        <w:rPr>
          <w:rFonts w:eastAsia="Times New Roman" w:cs="Times New Roman"/>
          <w:i/>
          <w:iCs/>
          <w:szCs w:val="24"/>
        </w:rPr>
        <w:t>Chlorella sorokiniana</w:t>
      </w:r>
      <w:r w:rsidRPr="00E87D19">
        <w:rPr>
          <w:rFonts w:eastAsia="Times New Roman" w:cs="Times New Roman"/>
          <w:szCs w:val="24"/>
        </w:rPr>
        <w:t>.</w:t>
      </w:r>
    </w:p>
    <w:p w14:paraId="0B9A8DB8" w14:textId="5DB35FA9" w:rsidR="004600E3" w:rsidRPr="00E87D19" w:rsidRDefault="004600E3" w:rsidP="00A74D20">
      <w:pPr>
        <w:spacing w:before="80" w:after="120" w:line="360" w:lineRule="auto"/>
        <w:jc w:val="both"/>
        <w:rPr>
          <w:rFonts w:cs="Times New Roman"/>
          <w:szCs w:val="24"/>
        </w:rPr>
      </w:pPr>
      <w:r w:rsidRPr="00E87D19">
        <w:rPr>
          <w:rFonts w:eastAsia="Times New Roman" w:cs="Times New Roman"/>
          <w:szCs w:val="24"/>
        </w:rPr>
        <w:t>2. Pilot</w:t>
      </w:r>
      <w:r w:rsidR="00A74D20">
        <w:rPr>
          <w:rFonts w:eastAsia="Times New Roman" w:cs="Times New Roman"/>
          <w:szCs w:val="24"/>
        </w:rPr>
        <w:t xml:space="preserve"> </w:t>
      </w:r>
      <w:r w:rsidRPr="00E87D19">
        <w:rPr>
          <w:rFonts w:eastAsia="Times New Roman" w:cs="Times New Roman"/>
          <w:szCs w:val="24"/>
        </w:rPr>
        <w:t>scale evaluation of algal broth as an intermediate-cost cultivation medium: Given the competitive lipid content (23.12%) and acceptable biomass productivity achieved in algal broth, this formulation presents the most favorable balance between performance and cost for transition to pilot-scale production. Future studies should evaluate algal broth performance in open raceway ponds and closed photobioreactor systems under ambient Nigerian climatic conditions, paying particular attention to contamination control, culture stability over extended periods, and the economics of medium preparation relative to productivity outcomes. Optimization of algal broth concentration and potential supplementation with targeted micronutrients should also be systematically investigated.</w:t>
      </w:r>
    </w:p>
    <w:p w14:paraId="433B7C06" w14:textId="6DA08FF5" w:rsidR="004600E3" w:rsidRPr="00E87D19" w:rsidRDefault="004600E3" w:rsidP="00A74D20">
      <w:pPr>
        <w:spacing w:before="80" w:after="120" w:line="360" w:lineRule="auto"/>
        <w:jc w:val="both"/>
        <w:rPr>
          <w:rFonts w:cs="Times New Roman"/>
          <w:szCs w:val="24"/>
        </w:rPr>
      </w:pPr>
      <w:r w:rsidRPr="00E87D19">
        <w:rPr>
          <w:rFonts w:eastAsia="Times New Roman" w:cs="Times New Roman"/>
          <w:szCs w:val="24"/>
        </w:rPr>
        <w:t xml:space="preserve">3. Systematic optimization of NPK medium formulation with micronutrient supplementation: The markedly lower performance of the standard NPK (20:20:20) formulation at 0.5–1.0 g/L suggests that the current macronutrient ratio and concentration are suboptimal for </w:t>
      </w:r>
      <w:r w:rsidR="007E4D8F" w:rsidRPr="007E4D8F">
        <w:rPr>
          <w:rFonts w:eastAsia="Times New Roman" w:cs="Times New Roman"/>
          <w:i/>
          <w:iCs/>
          <w:szCs w:val="24"/>
        </w:rPr>
        <w:t>Chlorella sorokiniana</w:t>
      </w:r>
      <w:r w:rsidRPr="00E87D19">
        <w:rPr>
          <w:rFonts w:eastAsia="Times New Roman" w:cs="Times New Roman"/>
          <w:szCs w:val="24"/>
        </w:rPr>
        <w:t xml:space="preserve">. Future investigations should systematically vary NPK concentrations across a broader range </w:t>
      </w:r>
      <w:r w:rsidRPr="00E87D19">
        <w:rPr>
          <w:rFonts w:eastAsia="Times New Roman" w:cs="Times New Roman"/>
          <w:szCs w:val="24"/>
        </w:rPr>
        <w:lastRenderedPageBreak/>
        <w:t>(0.25–3.0 g/L) and evaluate the effect of supplementing NPK with iron EDTA and a standard trace metal solution on biomass and lipid productivity. Identifying a supplemented NPK formulation that meaningfully narrows the performance gap with BG11 while preserving the cost advantage of fertilizer-based media could make optimized NPK medium a genuinely viable option for small-scale and community-level biodiesel production enterprises in rural Northern Nigeria.</w:t>
      </w:r>
    </w:p>
    <w:p w14:paraId="5C11C426" w14:textId="77777777" w:rsidR="004600E3" w:rsidRPr="00E87D19" w:rsidRDefault="004600E3" w:rsidP="00A74D20">
      <w:pPr>
        <w:spacing w:before="80" w:after="120" w:line="360" w:lineRule="auto"/>
        <w:jc w:val="both"/>
        <w:rPr>
          <w:rFonts w:cs="Times New Roman"/>
          <w:szCs w:val="24"/>
        </w:rPr>
      </w:pPr>
      <w:r w:rsidRPr="00E87D19">
        <w:rPr>
          <w:rFonts w:eastAsia="Times New Roman" w:cs="Times New Roman"/>
          <w:szCs w:val="24"/>
        </w:rPr>
        <w:t>4. Fatty acid profiling and comprehensive biodiesel quality characterization: Future work should incorporate GC-MS analysis of FAMEs derived from biomass produced in each of the three culture media to characterize the fatty acid composition and calculate key biodiesel quality parameters, including cetane number, iodine value, saponification value, degree of unsaturation, and cold filter plugging point. This information is indispensable for determining whether the biodiesel produced from each medium meets international quality standards and for understanding how medium composition influences the fatty acid profile — knowledge that could inform deliberate cultivation strategies aimed at tailoring fuel properties for specific applications.</w:t>
      </w:r>
    </w:p>
    <w:p w14:paraId="309EDB12" w14:textId="29F7702E" w:rsidR="004600E3" w:rsidRPr="00E87D19" w:rsidRDefault="004600E3" w:rsidP="00A74D20">
      <w:pPr>
        <w:spacing w:before="80" w:after="120" w:line="360" w:lineRule="auto"/>
        <w:jc w:val="both"/>
        <w:rPr>
          <w:rFonts w:cs="Times New Roman"/>
          <w:szCs w:val="24"/>
        </w:rPr>
      </w:pPr>
      <w:r w:rsidRPr="00E87D19">
        <w:rPr>
          <w:rFonts w:eastAsia="Times New Roman" w:cs="Times New Roman"/>
          <w:szCs w:val="24"/>
        </w:rPr>
        <w:t xml:space="preserve">5. Integration of microalgal cultivation with agricultural wastewater treatment: Kebbi State's status as Nigeria's foremost onion-producing region generates significant volumes of agricultural wastewater and effluent streams rich in nitrogen and phosphorus. Future research should investigate the growth and lipid productivity of the indigenous </w:t>
      </w:r>
      <w:r w:rsidR="007E4D8F" w:rsidRPr="007E4D8F">
        <w:rPr>
          <w:rFonts w:eastAsia="Times New Roman" w:cs="Times New Roman"/>
          <w:i/>
          <w:iCs/>
          <w:szCs w:val="24"/>
        </w:rPr>
        <w:t>Chlorella sorokiniana</w:t>
      </w:r>
      <w:r w:rsidRPr="00E87D19">
        <w:rPr>
          <w:rFonts w:eastAsia="Times New Roman" w:cs="Times New Roman"/>
          <w:szCs w:val="24"/>
        </w:rPr>
        <w:t xml:space="preserve"> strains isolated in this study when cultivated in diluted agricultural wastewater, domestic effluent, or aquaculture discharge. Such an approach would simultaneously reduce freshwater consumption, eliminate the cost of medium preparation, provide a degree of biological wastewater treatment, and reduce the environmental footprint of both agricultural activities and microalgal cultivation — representing a compelling circular economy proposition for the region.</w:t>
      </w:r>
    </w:p>
    <w:p w14:paraId="5946FF47" w14:textId="77777777" w:rsidR="004600E3" w:rsidRPr="00E87D19" w:rsidRDefault="004600E3" w:rsidP="00A74D20">
      <w:pPr>
        <w:spacing w:before="80" w:after="120" w:line="360" w:lineRule="auto"/>
        <w:jc w:val="both"/>
        <w:rPr>
          <w:rFonts w:cs="Times New Roman"/>
          <w:szCs w:val="24"/>
        </w:rPr>
      </w:pPr>
      <w:r w:rsidRPr="00E87D19">
        <w:rPr>
          <w:rFonts w:eastAsia="Times New Roman" w:cs="Times New Roman"/>
          <w:szCs w:val="24"/>
        </w:rPr>
        <w:t xml:space="preserve">6. Techno-economic analysis and life cycle assessment at commercially relevant scales: For the findings of this study to meaningfully inform investment and policy decisions, a detailed techno-economic analysis (TEA) and life cycle assessment (LCA) comparing the three cultivation media should be conducted at commercially relevant production scales. This analysis should encompass the full value chain from medium preparation and cultivation through harvesting by centrifugation, lipid extraction, and transesterification, quantifying net energy ratios, production costs per litre of </w:t>
      </w:r>
      <w:r w:rsidRPr="00E87D19">
        <w:rPr>
          <w:rFonts w:eastAsia="Times New Roman" w:cs="Times New Roman"/>
          <w:szCs w:val="24"/>
        </w:rPr>
        <w:lastRenderedPageBreak/>
        <w:t>biodiesel equivalent, capital expenditure requirements, and greenhouse gas emission savings relative to conventional petroleum diesel under Northern Nigerian conditions. Such a study would provide the rigorous economic and environmental evidence base necessary to attract investment and guide policy support for microalgal biofuel development in the region.</w:t>
      </w:r>
    </w:p>
    <w:p w14:paraId="736F5B04" w14:textId="13EE8E42" w:rsidR="004600E3" w:rsidRPr="00E87D19" w:rsidRDefault="004600E3" w:rsidP="00A74D20">
      <w:pPr>
        <w:spacing w:before="0" w:after="0" w:line="360" w:lineRule="auto"/>
        <w:jc w:val="both"/>
        <w:rPr>
          <w:rFonts w:eastAsia="Times New Roman" w:cs="Times New Roman"/>
          <w:color w:val="000000" w:themeColor="text1"/>
          <w:szCs w:val="24"/>
        </w:rPr>
      </w:pPr>
      <w:r w:rsidRPr="00E87D19">
        <w:rPr>
          <w:rFonts w:eastAsia="Times New Roman" w:cs="Times New Roman"/>
          <w:szCs w:val="24"/>
        </w:rPr>
        <w:t>7. Strengthening institutional capacity and policy frameworks for microalgal biofuel development: The research capacity established at A</w:t>
      </w:r>
      <w:r w:rsidR="00AC0DF0">
        <w:rPr>
          <w:rFonts w:eastAsia="Times New Roman" w:cs="Times New Roman"/>
          <w:szCs w:val="24"/>
        </w:rPr>
        <w:t>F</w:t>
      </w:r>
      <w:r w:rsidRPr="00E87D19">
        <w:rPr>
          <w:rFonts w:eastAsia="Times New Roman" w:cs="Times New Roman"/>
          <w:szCs w:val="24"/>
        </w:rPr>
        <w:t>USTA through this study should be systematically expanded through targeted investment in photobioreactor and pilot-scale cultivation infrastructure, advanced analytical instrumentation, and researcher training programs in microalgal biotechnology. Inter-institutional collaboration with federal universities and research institutes in Nigeria, as well as international partnerships, should be actively pursued to accelerate knowledge transfer and technology development. Concurrently, policy advocacy efforts should engage state and federal authorities to develop enabling frameworks including renewable energy incentives, biofuel blending mandates, targeted research grants, and public-private partnership mechanisms that facilitate the transition from promising laboratory findings such as those reported in this study to commercially viable and economically self-sustaining microalgal biodiesel enterprises, consistent with the objectives of Nigeria's Energy Transition Plan and the nation's commitments under the Paris Agreement.</w:t>
      </w:r>
    </w:p>
    <w:p w14:paraId="6042C7BD" w14:textId="17A6C20E" w:rsidR="00065147" w:rsidRPr="00E87D19" w:rsidRDefault="0064478B" w:rsidP="00A74D20">
      <w:pPr>
        <w:spacing w:before="0" w:after="0" w:line="360" w:lineRule="auto"/>
        <w:jc w:val="both"/>
        <w:rPr>
          <w:rFonts w:eastAsia="Times New Roman" w:cs="Times New Roman"/>
          <w:b/>
          <w:bCs/>
          <w:color w:val="000000" w:themeColor="text1"/>
          <w:szCs w:val="24"/>
        </w:rPr>
      </w:pPr>
      <w:r w:rsidRPr="00E87D19">
        <w:rPr>
          <w:rFonts w:eastAsia="Times New Roman" w:cs="Times New Roman"/>
          <w:b/>
          <w:bCs/>
          <w:color w:val="000000" w:themeColor="text1"/>
          <w:szCs w:val="24"/>
        </w:rPr>
        <w:t xml:space="preserve"> </w:t>
      </w:r>
      <w:r w:rsidR="00065147" w:rsidRPr="00E87D19">
        <w:rPr>
          <w:rFonts w:eastAsia="Times New Roman" w:cs="Times New Roman"/>
          <w:b/>
          <w:bCs/>
          <w:color w:val="000000" w:themeColor="text1"/>
          <w:szCs w:val="24"/>
        </w:rPr>
        <w:t>Ethical Statement</w:t>
      </w:r>
    </w:p>
    <w:p w14:paraId="7CF58D26" w14:textId="77777777" w:rsidR="00065147" w:rsidRPr="00E87D19" w:rsidRDefault="00065147" w:rsidP="00A74D20">
      <w:pPr>
        <w:spacing w:before="0" w:after="0" w:line="360" w:lineRule="auto"/>
        <w:jc w:val="both"/>
        <w:rPr>
          <w:rFonts w:eastAsia="Times New Roman" w:cs="Times New Roman"/>
          <w:bCs/>
          <w:color w:val="000000" w:themeColor="text1"/>
          <w:szCs w:val="24"/>
        </w:rPr>
      </w:pPr>
      <w:r w:rsidRPr="00E87D19">
        <w:rPr>
          <w:rFonts w:eastAsia="Times New Roman" w:cs="Times New Roman"/>
          <w:bCs/>
          <w:color w:val="000000" w:themeColor="text1"/>
          <w:szCs w:val="24"/>
        </w:rPr>
        <w:t>This study did not involve animal or human subjects. Environmental sampling was conducted in accordance with institutional research guidelines.</w:t>
      </w:r>
    </w:p>
    <w:p w14:paraId="3661D88F" w14:textId="19DE051D" w:rsidR="00065147" w:rsidRPr="00E87D19" w:rsidRDefault="00065147" w:rsidP="00A74D20">
      <w:pPr>
        <w:spacing w:before="0" w:after="0" w:line="360" w:lineRule="auto"/>
        <w:jc w:val="both"/>
        <w:rPr>
          <w:rFonts w:cs="Times New Roman"/>
          <w:b/>
          <w:bCs/>
          <w:color w:val="000000" w:themeColor="text1"/>
          <w:szCs w:val="24"/>
        </w:rPr>
      </w:pPr>
      <w:r w:rsidRPr="00E87D19">
        <w:rPr>
          <w:rFonts w:cs="Times New Roman"/>
          <w:b/>
          <w:bCs/>
          <w:color w:val="000000" w:themeColor="text1"/>
          <w:szCs w:val="24"/>
        </w:rPr>
        <w:t>References</w:t>
      </w:r>
    </w:p>
    <w:p w14:paraId="753A1256" w14:textId="7975D84A" w:rsidR="004600E3" w:rsidRPr="00E87D19" w:rsidRDefault="004600E3" w:rsidP="00A74D20">
      <w:pPr>
        <w:spacing w:before="0" w:after="480" w:line="360" w:lineRule="auto"/>
        <w:ind w:left="720" w:hanging="720"/>
        <w:jc w:val="both"/>
        <w:rPr>
          <w:rFonts w:cs="Times New Roman"/>
          <w:color w:val="000000" w:themeColor="text1"/>
          <w:szCs w:val="24"/>
          <w:shd w:val="clear" w:color="auto" w:fill="FFFFFF"/>
        </w:rPr>
      </w:pPr>
      <w:r w:rsidRPr="00E87D19">
        <w:rPr>
          <w:rFonts w:cs="Times New Roman"/>
          <w:color w:val="000000" w:themeColor="text1"/>
          <w:szCs w:val="24"/>
          <w:shd w:val="clear" w:color="auto" w:fill="FFFFFF"/>
        </w:rPr>
        <w:t xml:space="preserve">Badamasi, m., abdullahi, b., suleiman, k., </w:t>
      </w:r>
      <w:r w:rsidR="00D148B0">
        <w:rPr>
          <w:rFonts w:cs="Times New Roman"/>
          <w:color w:val="000000" w:themeColor="text1"/>
          <w:szCs w:val="24"/>
          <w:shd w:val="clear" w:color="auto" w:fill="FFFFFF"/>
        </w:rPr>
        <w:t>and</w:t>
      </w:r>
      <w:r w:rsidRPr="00E87D19">
        <w:rPr>
          <w:rFonts w:cs="Times New Roman"/>
          <w:color w:val="000000" w:themeColor="text1"/>
          <w:szCs w:val="24"/>
          <w:shd w:val="clear" w:color="auto" w:fill="FFFFFF"/>
        </w:rPr>
        <w:t xml:space="preserve"> habib, a. (2023). The effect of temperature and photoperiod on bioremediation potentials of mono and mixed cultures of chlorophyte and cyanobacteria for municipal wastewater treatment. </w:t>
      </w:r>
      <w:r w:rsidRPr="00E87D19">
        <w:rPr>
          <w:rFonts w:cs="Times New Roman"/>
          <w:i/>
          <w:iCs/>
          <w:color w:val="000000" w:themeColor="text1"/>
          <w:szCs w:val="24"/>
          <w:shd w:val="clear" w:color="auto" w:fill="FFFFFF"/>
        </w:rPr>
        <w:t>Ethiopian journal of environmental studies &amp; management</w:t>
      </w:r>
      <w:r w:rsidRPr="00E87D19">
        <w:rPr>
          <w:rFonts w:cs="Times New Roman"/>
          <w:color w:val="000000" w:themeColor="text1"/>
          <w:szCs w:val="24"/>
          <w:shd w:val="clear" w:color="auto" w:fill="FFFFFF"/>
        </w:rPr>
        <w:t>, </w:t>
      </w:r>
      <w:r w:rsidRPr="00E87D19">
        <w:rPr>
          <w:rFonts w:cs="Times New Roman"/>
          <w:i/>
          <w:iCs/>
          <w:color w:val="000000" w:themeColor="text1"/>
          <w:szCs w:val="24"/>
          <w:shd w:val="clear" w:color="auto" w:fill="FFFFFF"/>
        </w:rPr>
        <w:t>16</w:t>
      </w:r>
      <w:r w:rsidRPr="00E87D19">
        <w:rPr>
          <w:rFonts w:cs="Times New Roman"/>
          <w:color w:val="000000" w:themeColor="text1"/>
          <w:szCs w:val="24"/>
          <w:shd w:val="clear" w:color="auto" w:fill="FFFFFF"/>
        </w:rPr>
        <w:t>(1).</w:t>
      </w:r>
    </w:p>
    <w:p w14:paraId="4FDE5910" w14:textId="77777777" w:rsidR="004600E3" w:rsidRPr="00E87D19" w:rsidRDefault="004600E3" w:rsidP="00A74D20">
      <w:pPr>
        <w:spacing w:before="0" w:after="480" w:line="360" w:lineRule="auto"/>
        <w:ind w:left="720" w:hanging="720"/>
        <w:jc w:val="both"/>
        <w:rPr>
          <w:rFonts w:cs="Times New Roman"/>
          <w:color w:val="000000" w:themeColor="text1"/>
          <w:szCs w:val="24"/>
          <w:shd w:val="clear" w:color="auto" w:fill="FFFFFF"/>
        </w:rPr>
      </w:pPr>
      <w:r w:rsidRPr="00E87D19">
        <w:rPr>
          <w:rFonts w:cs="Times New Roman"/>
          <w:color w:val="000000" w:themeColor="text1"/>
          <w:szCs w:val="24"/>
          <w:shd w:val="clear" w:color="auto" w:fill="FFFFFF"/>
        </w:rPr>
        <w:t>Bashir, M. A., Wu, S., Zhu, J., Krosuri, A., Khan, M. U., and Aka, R. J. N. (2022). Recent development of advanced processing technologies for biodiesel production: A critical review. </w:t>
      </w:r>
      <w:r w:rsidRPr="00E87D19">
        <w:rPr>
          <w:rFonts w:cs="Times New Roman"/>
          <w:i/>
          <w:iCs/>
          <w:color w:val="000000" w:themeColor="text1"/>
          <w:szCs w:val="24"/>
          <w:shd w:val="clear" w:color="auto" w:fill="FFFFFF"/>
        </w:rPr>
        <w:t>Fuel Processing Technology</w:t>
      </w:r>
      <w:r w:rsidRPr="00E87D19">
        <w:rPr>
          <w:rFonts w:cs="Times New Roman"/>
          <w:color w:val="000000" w:themeColor="text1"/>
          <w:szCs w:val="24"/>
          <w:shd w:val="clear" w:color="auto" w:fill="FFFFFF"/>
        </w:rPr>
        <w:t>, </w:t>
      </w:r>
      <w:r w:rsidRPr="00E87D19">
        <w:rPr>
          <w:rFonts w:cs="Times New Roman"/>
          <w:i/>
          <w:iCs/>
          <w:color w:val="000000" w:themeColor="text1"/>
          <w:szCs w:val="24"/>
          <w:shd w:val="clear" w:color="auto" w:fill="FFFFFF"/>
        </w:rPr>
        <w:t>227</w:t>
      </w:r>
      <w:r w:rsidRPr="00E87D19">
        <w:rPr>
          <w:rFonts w:cs="Times New Roman"/>
          <w:color w:val="000000" w:themeColor="text1"/>
          <w:szCs w:val="24"/>
          <w:shd w:val="clear" w:color="auto" w:fill="FFFFFF"/>
        </w:rPr>
        <w:t>, 107120.</w:t>
      </w:r>
    </w:p>
    <w:p w14:paraId="200BA357" w14:textId="57EB0A3F" w:rsidR="004600E3" w:rsidRPr="00E87D19" w:rsidRDefault="004600E3" w:rsidP="00A74D20">
      <w:pPr>
        <w:spacing w:before="0" w:after="480" w:line="360" w:lineRule="auto"/>
        <w:ind w:left="720" w:hanging="720"/>
        <w:jc w:val="both"/>
        <w:rPr>
          <w:rFonts w:cs="Times New Roman"/>
          <w:color w:val="000000" w:themeColor="text1"/>
          <w:szCs w:val="24"/>
          <w:shd w:val="clear" w:color="auto" w:fill="FFFFFF"/>
        </w:rPr>
      </w:pPr>
      <w:r w:rsidRPr="00E87D19">
        <w:rPr>
          <w:rFonts w:cs="Times New Roman"/>
          <w:color w:val="000000" w:themeColor="text1"/>
          <w:szCs w:val="24"/>
          <w:shd w:val="clear" w:color="auto" w:fill="FFFFFF"/>
        </w:rPr>
        <w:lastRenderedPageBreak/>
        <w:t xml:space="preserve">Cao, A., Cagide, E., </w:t>
      </w:r>
      <w:r w:rsidR="00D148B0">
        <w:rPr>
          <w:rFonts w:cs="Times New Roman"/>
          <w:color w:val="000000" w:themeColor="text1"/>
          <w:szCs w:val="24"/>
          <w:shd w:val="clear" w:color="auto" w:fill="FFFFFF"/>
        </w:rPr>
        <w:t>and</w:t>
      </w:r>
      <w:r w:rsidRPr="00E87D19">
        <w:rPr>
          <w:rFonts w:cs="Times New Roman"/>
          <w:color w:val="000000" w:themeColor="text1"/>
          <w:szCs w:val="24"/>
          <w:shd w:val="clear" w:color="auto" w:fill="FFFFFF"/>
        </w:rPr>
        <w:t xml:space="preserve"> Vilariño, N. (2024). The great morphological diversity of cyanobacteria is the basis for their classifica-tion in Bergey’s Manual of Systematic Bacteriology [9–11], which has divided cyano-bacteria into five subsections: I (= Order Chroococcales) II (= Order Pleurocapsales). </w:t>
      </w:r>
      <w:r w:rsidRPr="00E87D19">
        <w:rPr>
          <w:rFonts w:cs="Times New Roman"/>
          <w:i/>
          <w:iCs/>
          <w:color w:val="000000" w:themeColor="text1"/>
          <w:szCs w:val="24"/>
          <w:shd w:val="clear" w:color="auto" w:fill="FFFFFF"/>
        </w:rPr>
        <w:t>Environmental Toxicology: Non-bacterial Toxins</w:t>
      </w:r>
      <w:r w:rsidRPr="00E87D19">
        <w:rPr>
          <w:rFonts w:cs="Times New Roman"/>
          <w:color w:val="000000" w:themeColor="text1"/>
          <w:szCs w:val="24"/>
          <w:shd w:val="clear" w:color="auto" w:fill="FFFFFF"/>
        </w:rPr>
        <w:t>, 197.</w:t>
      </w:r>
    </w:p>
    <w:p w14:paraId="798602FD" w14:textId="77777777" w:rsidR="004600E3" w:rsidRPr="00E87D19" w:rsidRDefault="004600E3" w:rsidP="00A74D20">
      <w:pPr>
        <w:spacing w:before="0" w:after="480" w:line="360" w:lineRule="auto"/>
        <w:ind w:left="720" w:hanging="720"/>
        <w:jc w:val="both"/>
        <w:rPr>
          <w:rFonts w:cs="Times New Roman"/>
          <w:color w:val="000000" w:themeColor="text1"/>
          <w:szCs w:val="24"/>
          <w:shd w:val="clear" w:color="auto" w:fill="FFFFFF"/>
        </w:rPr>
      </w:pPr>
      <w:r w:rsidRPr="00E87D19">
        <w:rPr>
          <w:rFonts w:cs="Times New Roman"/>
          <w:color w:val="000000" w:themeColor="text1"/>
          <w:szCs w:val="24"/>
          <w:shd w:val="clear" w:color="auto" w:fill="FFFFFF"/>
        </w:rPr>
        <w:t>Cavelius, P., Engelhart-Straub, S., Mehlmer, N., Lercher, J., Awad, D., and Brück, T. (2023). The potential of biofuels from first to fourth generation. </w:t>
      </w:r>
      <w:r w:rsidRPr="00E87D19">
        <w:rPr>
          <w:rFonts w:cs="Times New Roman"/>
          <w:i/>
          <w:iCs/>
          <w:color w:val="000000" w:themeColor="text1"/>
          <w:szCs w:val="24"/>
          <w:shd w:val="clear" w:color="auto" w:fill="FFFFFF"/>
        </w:rPr>
        <w:t>PLoS Biology</w:t>
      </w:r>
      <w:r w:rsidRPr="00E87D19">
        <w:rPr>
          <w:rFonts w:cs="Times New Roman"/>
          <w:color w:val="000000" w:themeColor="text1"/>
          <w:szCs w:val="24"/>
          <w:shd w:val="clear" w:color="auto" w:fill="FFFFFF"/>
        </w:rPr>
        <w:t>, </w:t>
      </w:r>
      <w:r w:rsidRPr="00E87D19">
        <w:rPr>
          <w:rFonts w:cs="Times New Roman"/>
          <w:i/>
          <w:iCs/>
          <w:color w:val="000000" w:themeColor="text1"/>
          <w:szCs w:val="24"/>
          <w:shd w:val="clear" w:color="auto" w:fill="FFFFFF"/>
        </w:rPr>
        <w:t>21</w:t>
      </w:r>
      <w:r w:rsidRPr="00E87D19">
        <w:rPr>
          <w:rFonts w:cs="Times New Roman"/>
          <w:color w:val="000000" w:themeColor="text1"/>
          <w:szCs w:val="24"/>
          <w:shd w:val="clear" w:color="auto" w:fill="FFFFFF"/>
        </w:rPr>
        <w:t>(3), e3002063.</w:t>
      </w:r>
    </w:p>
    <w:p w14:paraId="252DA191" w14:textId="77777777" w:rsidR="004600E3" w:rsidRPr="00E87D19" w:rsidRDefault="004600E3" w:rsidP="00A74D20">
      <w:pPr>
        <w:spacing w:before="0" w:after="480" w:line="360" w:lineRule="auto"/>
        <w:ind w:left="720" w:hanging="720"/>
        <w:jc w:val="both"/>
        <w:rPr>
          <w:rFonts w:cs="Times New Roman"/>
          <w:color w:val="000000" w:themeColor="text1"/>
          <w:szCs w:val="24"/>
          <w:shd w:val="clear" w:color="auto" w:fill="FFFFFF"/>
        </w:rPr>
      </w:pPr>
      <w:r w:rsidRPr="00E87D19">
        <w:rPr>
          <w:rFonts w:cs="Times New Roman"/>
          <w:color w:val="000000" w:themeColor="text1"/>
          <w:szCs w:val="24"/>
          <w:shd w:val="clear" w:color="auto" w:fill="FFFFFF"/>
        </w:rPr>
        <w:t>Chen, H. H., Xue, L. L., Liang, M. H., and Jiang, J. G. (2020). Intervention of triethylamine on Dunaliella tertiolecta reveals metabolic insights into triacylglycerol accumulation. </w:t>
      </w:r>
      <w:r w:rsidRPr="00E87D19">
        <w:rPr>
          <w:rFonts w:cs="Times New Roman"/>
          <w:i/>
          <w:iCs/>
          <w:color w:val="000000" w:themeColor="text1"/>
          <w:szCs w:val="24"/>
          <w:shd w:val="clear" w:color="auto" w:fill="FFFFFF"/>
        </w:rPr>
        <w:t>Algal Research</w:t>
      </w:r>
      <w:r w:rsidRPr="00E87D19">
        <w:rPr>
          <w:rFonts w:cs="Times New Roman"/>
          <w:color w:val="000000" w:themeColor="text1"/>
          <w:szCs w:val="24"/>
          <w:shd w:val="clear" w:color="auto" w:fill="FFFFFF"/>
        </w:rPr>
        <w:t>, </w:t>
      </w:r>
      <w:r w:rsidRPr="00E87D19">
        <w:rPr>
          <w:rFonts w:cs="Times New Roman"/>
          <w:i/>
          <w:iCs/>
          <w:color w:val="000000" w:themeColor="text1"/>
          <w:szCs w:val="24"/>
          <w:shd w:val="clear" w:color="auto" w:fill="FFFFFF"/>
        </w:rPr>
        <w:t>47</w:t>
      </w:r>
      <w:r w:rsidRPr="00E87D19">
        <w:rPr>
          <w:rFonts w:cs="Times New Roman"/>
          <w:color w:val="000000" w:themeColor="text1"/>
          <w:szCs w:val="24"/>
          <w:shd w:val="clear" w:color="auto" w:fill="FFFFFF"/>
        </w:rPr>
        <w:t>, 101876.</w:t>
      </w:r>
    </w:p>
    <w:p w14:paraId="629C02AD" w14:textId="4339DCBD" w:rsidR="004600E3" w:rsidRPr="00E87D19" w:rsidRDefault="004600E3" w:rsidP="00A74D20">
      <w:pPr>
        <w:spacing w:before="0" w:after="480" w:line="360" w:lineRule="auto"/>
        <w:ind w:left="720" w:hanging="720"/>
        <w:jc w:val="both"/>
        <w:rPr>
          <w:rFonts w:cs="Times New Roman"/>
          <w:color w:val="000000" w:themeColor="text1"/>
          <w:szCs w:val="24"/>
          <w:shd w:val="clear" w:color="auto" w:fill="FFFFFF"/>
        </w:rPr>
      </w:pPr>
      <w:r w:rsidRPr="00E87D19">
        <w:rPr>
          <w:rFonts w:cs="Times New Roman"/>
          <w:color w:val="000000" w:themeColor="text1"/>
          <w:szCs w:val="24"/>
          <w:shd w:val="clear" w:color="auto" w:fill="FFFFFF"/>
        </w:rPr>
        <w:t>Cheung, S. L., Short, S. M., &amp; Allen, D. G. (2022). The influence of wastewater pretreatment, attachment material, and inoculation strategy on the growth of targ</w:t>
      </w:r>
      <w:r w:rsidR="007E4D8F" w:rsidRPr="007E4D8F">
        <w:rPr>
          <w:rFonts w:cs="Times New Roman"/>
          <w:i/>
          <w:iCs/>
          <w:color w:val="000000" w:themeColor="text1"/>
          <w:szCs w:val="24"/>
          <w:shd w:val="clear" w:color="auto" w:fill="FFFFFF"/>
        </w:rPr>
        <w:t>et al</w:t>
      </w:r>
      <w:r w:rsidRPr="00E87D19">
        <w:rPr>
          <w:rFonts w:cs="Times New Roman"/>
          <w:color w:val="000000" w:themeColor="text1"/>
          <w:szCs w:val="24"/>
          <w:shd w:val="clear" w:color="auto" w:fill="FFFFFF"/>
        </w:rPr>
        <w:t>gal species in cultivated biofilms. </w:t>
      </w:r>
      <w:r w:rsidRPr="00E87D19">
        <w:rPr>
          <w:rFonts w:cs="Times New Roman"/>
          <w:i/>
          <w:iCs/>
          <w:color w:val="000000" w:themeColor="text1"/>
          <w:szCs w:val="24"/>
          <w:shd w:val="clear" w:color="auto" w:fill="FFFFFF"/>
        </w:rPr>
        <w:t>Journal of Applied Phycology</w:t>
      </w:r>
      <w:r w:rsidRPr="00E87D19">
        <w:rPr>
          <w:rFonts w:cs="Times New Roman"/>
          <w:color w:val="000000" w:themeColor="text1"/>
          <w:szCs w:val="24"/>
          <w:shd w:val="clear" w:color="auto" w:fill="FFFFFF"/>
        </w:rPr>
        <w:t>, </w:t>
      </w:r>
      <w:r w:rsidRPr="00E87D19">
        <w:rPr>
          <w:rFonts w:cs="Times New Roman"/>
          <w:i/>
          <w:iCs/>
          <w:color w:val="000000" w:themeColor="text1"/>
          <w:szCs w:val="24"/>
          <w:shd w:val="clear" w:color="auto" w:fill="FFFFFF"/>
        </w:rPr>
        <w:t>34</w:t>
      </w:r>
      <w:r w:rsidRPr="00E87D19">
        <w:rPr>
          <w:rFonts w:cs="Times New Roman"/>
          <w:color w:val="000000" w:themeColor="text1"/>
          <w:szCs w:val="24"/>
          <w:shd w:val="clear" w:color="auto" w:fill="FFFFFF"/>
        </w:rPr>
        <w:t>(1), 113-125.</w:t>
      </w:r>
    </w:p>
    <w:p w14:paraId="161FA03C" w14:textId="77777777" w:rsidR="004600E3" w:rsidRPr="00E87D19" w:rsidRDefault="004600E3" w:rsidP="00A74D20">
      <w:pPr>
        <w:spacing w:before="0" w:after="480" w:line="360" w:lineRule="auto"/>
        <w:ind w:left="720" w:hanging="720"/>
        <w:jc w:val="both"/>
        <w:rPr>
          <w:rFonts w:cs="Times New Roman"/>
          <w:color w:val="000000" w:themeColor="text1"/>
          <w:szCs w:val="24"/>
          <w:shd w:val="clear" w:color="auto" w:fill="FFFFFF"/>
        </w:rPr>
      </w:pPr>
      <w:r w:rsidRPr="00E87D19">
        <w:rPr>
          <w:rFonts w:cs="Times New Roman"/>
          <w:color w:val="000000" w:themeColor="text1"/>
          <w:szCs w:val="24"/>
          <w:shd w:val="clear" w:color="auto" w:fill="FFFFFF"/>
        </w:rPr>
        <w:t>Chowdhury, H., and Loganathan, B. (2019). Third-generation biofuels from microalgae: a review. </w:t>
      </w:r>
      <w:r w:rsidRPr="00E87D19">
        <w:rPr>
          <w:rFonts w:cs="Times New Roman"/>
          <w:i/>
          <w:iCs/>
          <w:color w:val="000000" w:themeColor="text1"/>
          <w:szCs w:val="24"/>
          <w:shd w:val="clear" w:color="auto" w:fill="FFFFFF"/>
        </w:rPr>
        <w:t>Current opinion in green and sustainable chemistry</w:t>
      </w:r>
      <w:r w:rsidRPr="00E87D19">
        <w:rPr>
          <w:rFonts w:cs="Times New Roman"/>
          <w:color w:val="000000" w:themeColor="text1"/>
          <w:szCs w:val="24"/>
          <w:shd w:val="clear" w:color="auto" w:fill="FFFFFF"/>
        </w:rPr>
        <w:t>, </w:t>
      </w:r>
      <w:r w:rsidRPr="00E87D19">
        <w:rPr>
          <w:rFonts w:cs="Times New Roman"/>
          <w:i/>
          <w:iCs/>
          <w:color w:val="000000" w:themeColor="text1"/>
          <w:szCs w:val="24"/>
          <w:shd w:val="clear" w:color="auto" w:fill="FFFFFF"/>
        </w:rPr>
        <w:t>20</w:t>
      </w:r>
      <w:r w:rsidRPr="00E87D19">
        <w:rPr>
          <w:rFonts w:cs="Times New Roman"/>
          <w:color w:val="000000" w:themeColor="text1"/>
          <w:szCs w:val="24"/>
          <w:shd w:val="clear" w:color="auto" w:fill="FFFFFF"/>
        </w:rPr>
        <w:t>, 39-44.</w:t>
      </w:r>
    </w:p>
    <w:p w14:paraId="5652DB2A" w14:textId="77777777" w:rsidR="004600E3" w:rsidRPr="00E87D19" w:rsidRDefault="004600E3" w:rsidP="00A74D20">
      <w:pPr>
        <w:spacing w:before="0" w:after="480" w:line="360" w:lineRule="auto"/>
        <w:ind w:left="720" w:hanging="720"/>
        <w:jc w:val="both"/>
        <w:rPr>
          <w:rFonts w:cs="Times New Roman"/>
          <w:color w:val="000000" w:themeColor="text1"/>
          <w:szCs w:val="24"/>
          <w:shd w:val="clear" w:color="auto" w:fill="FFFFFF"/>
        </w:rPr>
      </w:pPr>
      <w:r w:rsidRPr="00E87D19">
        <w:rPr>
          <w:rFonts w:cs="Times New Roman"/>
          <w:color w:val="000000" w:themeColor="text1"/>
          <w:szCs w:val="24"/>
          <w:shd w:val="clear" w:color="auto" w:fill="FFFFFF"/>
        </w:rPr>
        <w:t>Datta, D., Biswas, S., Barman, D., Mandal, E., and Das, B. (2024). Evolution, Challenges and Benefits of Biofuel Production and Its Potential Role in Meeting Global Energy Demands. In </w:t>
      </w:r>
      <w:r w:rsidRPr="00E87D19">
        <w:rPr>
          <w:rFonts w:cs="Times New Roman"/>
          <w:i/>
          <w:iCs/>
          <w:color w:val="000000" w:themeColor="text1"/>
          <w:szCs w:val="24"/>
          <w:shd w:val="clear" w:color="auto" w:fill="FFFFFF"/>
        </w:rPr>
        <w:t>Emerging Sustainable Technologies for Biofuel Production</w:t>
      </w:r>
      <w:r w:rsidRPr="00E87D19">
        <w:rPr>
          <w:rFonts w:cs="Times New Roman"/>
          <w:color w:val="000000" w:themeColor="text1"/>
          <w:szCs w:val="24"/>
          <w:shd w:val="clear" w:color="auto" w:fill="FFFFFF"/>
        </w:rPr>
        <w:t> (pp. 595-632). Cham: Springer Nature Switzerland.</w:t>
      </w:r>
    </w:p>
    <w:p w14:paraId="43AEAB08" w14:textId="77777777" w:rsidR="004600E3" w:rsidRPr="00E87D19" w:rsidRDefault="004600E3" w:rsidP="00A74D20">
      <w:pPr>
        <w:spacing w:before="0" w:after="480" w:line="360" w:lineRule="auto"/>
        <w:ind w:left="720" w:hanging="720"/>
        <w:jc w:val="both"/>
        <w:rPr>
          <w:rFonts w:cs="Times New Roman"/>
          <w:color w:val="000000" w:themeColor="text1"/>
          <w:szCs w:val="24"/>
          <w:shd w:val="clear" w:color="auto" w:fill="FFFFFF"/>
        </w:rPr>
      </w:pPr>
      <w:r w:rsidRPr="00E87D19">
        <w:rPr>
          <w:rFonts w:cs="Times New Roman"/>
          <w:color w:val="000000" w:themeColor="text1"/>
          <w:szCs w:val="24"/>
          <w:shd w:val="clear" w:color="auto" w:fill="FFFFFF"/>
        </w:rPr>
        <w:t>de Carvalho, J. C., Sydney, E. B., Tessari, L. F. A., and Soccol, C. R. (2019). Culture media for mass production of microalgae. In </w:t>
      </w:r>
      <w:r w:rsidRPr="00E87D19">
        <w:rPr>
          <w:rFonts w:cs="Times New Roman"/>
          <w:i/>
          <w:iCs/>
          <w:color w:val="000000" w:themeColor="text1"/>
          <w:szCs w:val="24"/>
          <w:shd w:val="clear" w:color="auto" w:fill="FFFFFF"/>
        </w:rPr>
        <w:t>Biofuels from algae</w:t>
      </w:r>
      <w:r w:rsidRPr="00E87D19">
        <w:rPr>
          <w:rFonts w:cs="Times New Roman"/>
          <w:color w:val="000000" w:themeColor="text1"/>
          <w:szCs w:val="24"/>
          <w:shd w:val="clear" w:color="auto" w:fill="FFFFFF"/>
        </w:rPr>
        <w:t> (pp. 33-50). Elsevier.</w:t>
      </w:r>
    </w:p>
    <w:p w14:paraId="1EE42468" w14:textId="77777777" w:rsidR="004600E3" w:rsidRPr="00E87D19" w:rsidRDefault="004600E3" w:rsidP="00A74D20">
      <w:pPr>
        <w:spacing w:before="0" w:after="480" w:line="360" w:lineRule="auto"/>
        <w:ind w:left="720" w:hanging="720"/>
        <w:jc w:val="both"/>
        <w:rPr>
          <w:rFonts w:cs="Times New Roman"/>
          <w:color w:val="000000" w:themeColor="text1"/>
          <w:szCs w:val="24"/>
          <w:shd w:val="clear" w:color="auto" w:fill="FFFFFF"/>
        </w:rPr>
      </w:pPr>
      <w:r w:rsidRPr="00E87D19">
        <w:rPr>
          <w:rFonts w:cs="Times New Roman"/>
          <w:color w:val="000000" w:themeColor="text1"/>
          <w:szCs w:val="24"/>
          <w:shd w:val="clear" w:color="auto" w:fill="FFFFFF"/>
        </w:rPr>
        <w:lastRenderedPageBreak/>
        <w:t>Deora, P. S., Verma, Y., Muhal, R. A., Goswami, C., and Singh, T. (2022). Biofuels: An alternative to conventional fuel and energy source. </w:t>
      </w:r>
      <w:r w:rsidRPr="00E87D19">
        <w:rPr>
          <w:rFonts w:cs="Times New Roman"/>
          <w:i/>
          <w:iCs/>
          <w:color w:val="000000" w:themeColor="text1"/>
          <w:szCs w:val="24"/>
          <w:shd w:val="clear" w:color="auto" w:fill="FFFFFF"/>
        </w:rPr>
        <w:t>Materials Today: Proceedings</w:t>
      </w:r>
      <w:r w:rsidRPr="00E87D19">
        <w:rPr>
          <w:rFonts w:cs="Times New Roman"/>
          <w:color w:val="000000" w:themeColor="text1"/>
          <w:szCs w:val="24"/>
          <w:shd w:val="clear" w:color="auto" w:fill="FFFFFF"/>
        </w:rPr>
        <w:t>, </w:t>
      </w:r>
      <w:r w:rsidRPr="00E87D19">
        <w:rPr>
          <w:rFonts w:cs="Times New Roman"/>
          <w:i/>
          <w:iCs/>
          <w:color w:val="000000" w:themeColor="text1"/>
          <w:szCs w:val="24"/>
          <w:shd w:val="clear" w:color="auto" w:fill="FFFFFF"/>
        </w:rPr>
        <w:t>48</w:t>
      </w:r>
      <w:r w:rsidRPr="00E87D19">
        <w:rPr>
          <w:rFonts w:cs="Times New Roman"/>
          <w:color w:val="000000" w:themeColor="text1"/>
          <w:szCs w:val="24"/>
          <w:shd w:val="clear" w:color="auto" w:fill="FFFFFF"/>
        </w:rPr>
        <w:t xml:space="preserve">, 1178-1184. </w:t>
      </w:r>
    </w:p>
    <w:p w14:paraId="31555CBC" w14:textId="744F66B2" w:rsidR="004600E3" w:rsidRPr="00E87D19" w:rsidRDefault="004600E3" w:rsidP="00A74D20">
      <w:pPr>
        <w:spacing w:before="0" w:after="480" w:line="360" w:lineRule="auto"/>
        <w:ind w:left="720" w:hanging="720"/>
        <w:jc w:val="both"/>
        <w:rPr>
          <w:rFonts w:cs="Times New Roman"/>
          <w:color w:val="000000" w:themeColor="text1"/>
          <w:szCs w:val="24"/>
          <w:shd w:val="clear" w:color="auto" w:fill="FFFFFF"/>
        </w:rPr>
      </w:pPr>
      <w:r w:rsidRPr="00E87D19">
        <w:rPr>
          <w:rFonts w:cs="Times New Roman"/>
          <w:color w:val="000000" w:themeColor="text1"/>
          <w:szCs w:val="24"/>
          <w:shd w:val="clear" w:color="auto" w:fill="FFFFFF"/>
        </w:rPr>
        <w:t xml:space="preserve">Dharmaprabhakaran, T., Karthikeyan, S., Periyasamy, M., </w:t>
      </w:r>
      <w:r w:rsidR="00D148B0">
        <w:rPr>
          <w:rFonts w:cs="Times New Roman"/>
          <w:color w:val="000000" w:themeColor="text1"/>
          <w:szCs w:val="24"/>
          <w:shd w:val="clear" w:color="auto" w:fill="FFFFFF"/>
        </w:rPr>
        <w:t>and</w:t>
      </w:r>
      <w:r w:rsidRPr="00E87D19">
        <w:rPr>
          <w:rFonts w:cs="Times New Roman"/>
          <w:color w:val="000000" w:themeColor="text1"/>
          <w:szCs w:val="24"/>
          <w:shd w:val="clear" w:color="auto" w:fill="FFFFFF"/>
        </w:rPr>
        <w:t xml:space="preserve"> Mahendran, G. (2020). Algal biodiesel-promising source to power CI engines. </w:t>
      </w:r>
      <w:r w:rsidRPr="00E87D19">
        <w:rPr>
          <w:rFonts w:cs="Times New Roman"/>
          <w:i/>
          <w:iCs/>
          <w:color w:val="000000" w:themeColor="text1"/>
          <w:szCs w:val="24"/>
          <w:shd w:val="clear" w:color="auto" w:fill="FFFFFF"/>
        </w:rPr>
        <w:t>Materials Today: Proceedings</w:t>
      </w:r>
      <w:r w:rsidRPr="00E87D19">
        <w:rPr>
          <w:rFonts w:cs="Times New Roman"/>
          <w:color w:val="000000" w:themeColor="text1"/>
          <w:szCs w:val="24"/>
          <w:shd w:val="clear" w:color="auto" w:fill="FFFFFF"/>
        </w:rPr>
        <w:t>, </w:t>
      </w:r>
      <w:r w:rsidRPr="00E87D19">
        <w:rPr>
          <w:rFonts w:cs="Times New Roman"/>
          <w:i/>
          <w:iCs/>
          <w:color w:val="000000" w:themeColor="text1"/>
          <w:szCs w:val="24"/>
          <w:shd w:val="clear" w:color="auto" w:fill="FFFFFF"/>
        </w:rPr>
        <w:t>33</w:t>
      </w:r>
      <w:r w:rsidRPr="00E87D19">
        <w:rPr>
          <w:rFonts w:cs="Times New Roman"/>
          <w:color w:val="000000" w:themeColor="text1"/>
          <w:szCs w:val="24"/>
          <w:shd w:val="clear" w:color="auto" w:fill="FFFFFF"/>
        </w:rPr>
        <w:t>, 2870-2873.</w:t>
      </w:r>
    </w:p>
    <w:p w14:paraId="32D35F8E" w14:textId="70EBE5ED" w:rsidR="004600E3" w:rsidRPr="00E87D19" w:rsidRDefault="004600E3" w:rsidP="00A74D20">
      <w:pPr>
        <w:spacing w:before="0" w:after="480" w:line="360" w:lineRule="auto"/>
        <w:ind w:left="720" w:hanging="720"/>
        <w:jc w:val="both"/>
        <w:rPr>
          <w:rFonts w:cs="Times New Roman"/>
          <w:color w:val="000000" w:themeColor="text1"/>
          <w:szCs w:val="24"/>
          <w:shd w:val="clear" w:color="auto" w:fill="FFFFFF"/>
        </w:rPr>
      </w:pPr>
      <w:r w:rsidRPr="00E87D19">
        <w:rPr>
          <w:rFonts w:cs="Times New Roman"/>
          <w:color w:val="000000" w:themeColor="text1"/>
          <w:szCs w:val="24"/>
          <w:shd w:val="clear" w:color="auto" w:fill="FFFFFF"/>
        </w:rPr>
        <w:t xml:space="preserve">Elkelawy, M., Abdel-Rahman, A. K., Abou-Elyazied, A., </w:t>
      </w:r>
      <w:r w:rsidR="00D148B0">
        <w:rPr>
          <w:rFonts w:cs="Times New Roman"/>
          <w:color w:val="000000" w:themeColor="text1"/>
          <w:szCs w:val="24"/>
          <w:shd w:val="clear" w:color="auto" w:fill="FFFFFF"/>
        </w:rPr>
        <w:t>and</w:t>
      </w:r>
      <w:r w:rsidRPr="00E87D19">
        <w:rPr>
          <w:rFonts w:cs="Times New Roman"/>
          <w:color w:val="000000" w:themeColor="text1"/>
          <w:szCs w:val="24"/>
          <w:shd w:val="clear" w:color="auto" w:fill="FFFFFF"/>
        </w:rPr>
        <w:t xml:space="preserve"> El-malla, S. M. (2022). Experimental investigation on emission and combustion characteristics of an industrial burner using biogas co-fired with diesel and biodiesel. </w:t>
      </w:r>
      <w:r w:rsidRPr="00E87D19">
        <w:rPr>
          <w:rFonts w:cs="Times New Roman"/>
          <w:i/>
          <w:iCs/>
          <w:color w:val="000000" w:themeColor="text1"/>
          <w:szCs w:val="24"/>
          <w:shd w:val="clear" w:color="auto" w:fill="FFFFFF"/>
        </w:rPr>
        <w:t>Egyptian Sugar Journal</w:t>
      </w:r>
      <w:r w:rsidRPr="00E87D19">
        <w:rPr>
          <w:rFonts w:cs="Times New Roman"/>
          <w:color w:val="000000" w:themeColor="text1"/>
          <w:szCs w:val="24"/>
          <w:shd w:val="clear" w:color="auto" w:fill="FFFFFF"/>
        </w:rPr>
        <w:t>, </w:t>
      </w:r>
      <w:r w:rsidRPr="00E87D19">
        <w:rPr>
          <w:rFonts w:cs="Times New Roman"/>
          <w:i/>
          <w:iCs/>
          <w:color w:val="000000" w:themeColor="text1"/>
          <w:szCs w:val="24"/>
          <w:shd w:val="clear" w:color="auto" w:fill="FFFFFF"/>
        </w:rPr>
        <w:t>19</w:t>
      </w:r>
      <w:r w:rsidRPr="00E87D19">
        <w:rPr>
          <w:rFonts w:cs="Times New Roman"/>
          <w:color w:val="000000" w:themeColor="text1"/>
          <w:szCs w:val="24"/>
          <w:shd w:val="clear" w:color="auto" w:fill="FFFFFF"/>
        </w:rPr>
        <w:t>, 29-43.</w:t>
      </w:r>
    </w:p>
    <w:p w14:paraId="72059A75" w14:textId="24EB7A2E" w:rsidR="004600E3" w:rsidRPr="00E87D19" w:rsidRDefault="004600E3" w:rsidP="00A74D20">
      <w:pPr>
        <w:spacing w:before="0" w:after="480" w:line="360" w:lineRule="auto"/>
        <w:ind w:left="720" w:hanging="720"/>
        <w:rPr>
          <w:rFonts w:cs="Times New Roman"/>
          <w:color w:val="000000" w:themeColor="text1"/>
          <w:szCs w:val="24"/>
          <w:shd w:val="clear" w:color="auto" w:fill="FFFFFF"/>
        </w:rPr>
      </w:pPr>
      <w:r w:rsidRPr="00E87D19">
        <w:rPr>
          <w:rFonts w:cs="Times New Roman"/>
          <w:color w:val="000000" w:themeColor="text1"/>
          <w:szCs w:val="24"/>
          <w:shd w:val="clear" w:color="auto" w:fill="FFFFFF"/>
        </w:rPr>
        <w:t xml:space="preserve">Fathy, W. A., Techen, N., Elsayed, K. N., Essawy, E. A., Tawfik, E., Alwutayd, K. M., </w:t>
      </w:r>
      <w:r w:rsidR="00D148B0">
        <w:rPr>
          <w:rFonts w:cs="Times New Roman"/>
          <w:color w:val="000000" w:themeColor="text1"/>
          <w:szCs w:val="24"/>
          <w:shd w:val="clear" w:color="auto" w:fill="FFFFFF"/>
        </w:rPr>
        <w:t>and</w:t>
      </w:r>
      <w:r w:rsidRPr="00E87D19">
        <w:rPr>
          <w:rFonts w:cs="Times New Roman"/>
          <w:color w:val="000000" w:themeColor="text1"/>
          <w:szCs w:val="24"/>
          <w:shd w:val="clear" w:color="auto" w:fill="FFFFFF"/>
        </w:rPr>
        <w:t xml:space="preserve"> Ross, S. A. (2023). Applying an internal transcribed spacer as a single molecular marker to differentiate between Tetraselmis and Chlorella species. </w:t>
      </w:r>
      <w:r w:rsidRPr="00E87D19">
        <w:rPr>
          <w:rFonts w:cs="Times New Roman"/>
          <w:i/>
          <w:iCs/>
          <w:color w:val="000000" w:themeColor="text1"/>
          <w:szCs w:val="24"/>
          <w:shd w:val="clear" w:color="auto" w:fill="FFFFFF"/>
        </w:rPr>
        <w:t>Frontiers in Microbiology</w:t>
      </w:r>
      <w:r w:rsidRPr="00E87D19">
        <w:rPr>
          <w:rFonts w:cs="Times New Roman"/>
          <w:color w:val="000000" w:themeColor="text1"/>
          <w:szCs w:val="24"/>
          <w:shd w:val="clear" w:color="auto" w:fill="FFFFFF"/>
        </w:rPr>
        <w:t>, </w:t>
      </w:r>
      <w:r w:rsidRPr="00E87D19">
        <w:rPr>
          <w:rFonts w:cs="Times New Roman"/>
          <w:i/>
          <w:iCs/>
          <w:color w:val="000000" w:themeColor="text1"/>
          <w:szCs w:val="24"/>
          <w:shd w:val="clear" w:color="auto" w:fill="FFFFFF"/>
        </w:rPr>
        <w:t>14</w:t>
      </w:r>
      <w:r w:rsidRPr="00E87D19">
        <w:rPr>
          <w:rFonts w:cs="Times New Roman"/>
          <w:color w:val="000000" w:themeColor="text1"/>
          <w:szCs w:val="24"/>
          <w:shd w:val="clear" w:color="auto" w:fill="FFFFFF"/>
        </w:rPr>
        <w:t>, 1228869.</w:t>
      </w:r>
    </w:p>
    <w:p w14:paraId="5C036C78" w14:textId="77777777" w:rsidR="004600E3" w:rsidRPr="00E87D19" w:rsidRDefault="004600E3" w:rsidP="00A74D20">
      <w:pPr>
        <w:spacing w:before="0" w:after="480" w:line="360" w:lineRule="auto"/>
        <w:ind w:left="720" w:hanging="720"/>
        <w:rPr>
          <w:rFonts w:cs="Times New Roman"/>
          <w:color w:val="000000" w:themeColor="text1"/>
          <w:szCs w:val="24"/>
          <w:shd w:val="clear" w:color="auto" w:fill="FFFFFF"/>
        </w:rPr>
      </w:pPr>
      <w:r w:rsidRPr="00E87D19">
        <w:rPr>
          <w:rFonts w:cs="Times New Roman"/>
          <w:color w:val="000000" w:themeColor="text1"/>
          <w:szCs w:val="24"/>
          <w:shd w:val="clear" w:color="auto" w:fill="FFFFFF"/>
        </w:rPr>
        <w:t>Fawley, M. W., and Fawley, K. P. (2020). Identification of eukaryotic microalgal strains. </w:t>
      </w:r>
      <w:r w:rsidRPr="00E87D19">
        <w:rPr>
          <w:rFonts w:cs="Times New Roman"/>
          <w:i/>
          <w:iCs/>
          <w:color w:val="000000" w:themeColor="text1"/>
          <w:szCs w:val="24"/>
          <w:shd w:val="clear" w:color="auto" w:fill="FFFFFF"/>
        </w:rPr>
        <w:t>Journal of applied phycology</w:t>
      </w:r>
      <w:r w:rsidRPr="00E87D19">
        <w:rPr>
          <w:rFonts w:cs="Times New Roman"/>
          <w:color w:val="000000" w:themeColor="text1"/>
          <w:szCs w:val="24"/>
          <w:shd w:val="clear" w:color="auto" w:fill="FFFFFF"/>
        </w:rPr>
        <w:t>, </w:t>
      </w:r>
      <w:r w:rsidRPr="00E87D19">
        <w:rPr>
          <w:rFonts w:cs="Times New Roman"/>
          <w:i/>
          <w:iCs/>
          <w:color w:val="000000" w:themeColor="text1"/>
          <w:szCs w:val="24"/>
          <w:shd w:val="clear" w:color="auto" w:fill="FFFFFF"/>
        </w:rPr>
        <w:t>32</w:t>
      </w:r>
      <w:r w:rsidRPr="00E87D19">
        <w:rPr>
          <w:rFonts w:cs="Times New Roman"/>
          <w:color w:val="000000" w:themeColor="text1"/>
          <w:szCs w:val="24"/>
          <w:shd w:val="clear" w:color="auto" w:fill="FFFFFF"/>
        </w:rPr>
        <w:t>, 2699-2709.</w:t>
      </w:r>
    </w:p>
    <w:p w14:paraId="0A651C14" w14:textId="5B29F354" w:rsidR="004600E3" w:rsidRPr="00E87D19" w:rsidRDefault="004600E3" w:rsidP="00A74D20">
      <w:pPr>
        <w:spacing w:before="0" w:after="480" w:line="360" w:lineRule="auto"/>
        <w:ind w:left="720" w:hanging="720"/>
        <w:jc w:val="both"/>
        <w:rPr>
          <w:rFonts w:cs="Times New Roman"/>
          <w:color w:val="000000" w:themeColor="text1"/>
          <w:szCs w:val="24"/>
          <w:shd w:val="clear" w:color="auto" w:fill="FFFFFF"/>
        </w:rPr>
      </w:pPr>
      <w:r w:rsidRPr="00E87D19">
        <w:rPr>
          <w:rFonts w:cs="Times New Roman"/>
          <w:color w:val="000000" w:themeColor="text1"/>
          <w:szCs w:val="24"/>
          <w:shd w:val="clear" w:color="auto" w:fill="FFFFFF"/>
        </w:rPr>
        <w:t xml:space="preserve">Fayyaz, M., Chew, K. W., Show, P. L., Ling, T. C., Ng, I. S., </w:t>
      </w:r>
      <w:r w:rsidR="00D148B0">
        <w:rPr>
          <w:rFonts w:cs="Times New Roman"/>
          <w:color w:val="000000" w:themeColor="text1"/>
          <w:szCs w:val="24"/>
          <w:shd w:val="clear" w:color="auto" w:fill="FFFFFF"/>
        </w:rPr>
        <w:t>and</w:t>
      </w:r>
      <w:r w:rsidRPr="00E87D19">
        <w:rPr>
          <w:rFonts w:cs="Times New Roman"/>
          <w:color w:val="000000" w:themeColor="text1"/>
          <w:szCs w:val="24"/>
          <w:shd w:val="clear" w:color="auto" w:fill="FFFFFF"/>
        </w:rPr>
        <w:t xml:space="preserve"> Chang, J. S. (2020). Genetic engineering of microalgae for enhanced biorefinery capabilities. </w:t>
      </w:r>
      <w:r w:rsidRPr="00E87D19">
        <w:rPr>
          <w:rFonts w:cs="Times New Roman"/>
          <w:i/>
          <w:iCs/>
          <w:color w:val="000000" w:themeColor="text1"/>
          <w:szCs w:val="24"/>
          <w:shd w:val="clear" w:color="auto" w:fill="FFFFFF"/>
        </w:rPr>
        <w:t>Biotechnology advances</w:t>
      </w:r>
      <w:r w:rsidRPr="00E87D19">
        <w:rPr>
          <w:rFonts w:cs="Times New Roman"/>
          <w:color w:val="000000" w:themeColor="text1"/>
          <w:szCs w:val="24"/>
          <w:shd w:val="clear" w:color="auto" w:fill="FFFFFF"/>
        </w:rPr>
        <w:t>, </w:t>
      </w:r>
      <w:r w:rsidRPr="00E87D19">
        <w:rPr>
          <w:rFonts w:cs="Times New Roman"/>
          <w:i/>
          <w:iCs/>
          <w:color w:val="000000" w:themeColor="text1"/>
          <w:szCs w:val="24"/>
          <w:shd w:val="clear" w:color="auto" w:fill="FFFFFF"/>
        </w:rPr>
        <w:t>43</w:t>
      </w:r>
      <w:r w:rsidRPr="00E87D19">
        <w:rPr>
          <w:rFonts w:cs="Times New Roman"/>
          <w:color w:val="000000" w:themeColor="text1"/>
          <w:szCs w:val="24"/>
          <w:shd w:val="clear" w:color="auto" w:fill="FFFFFF"/>
        </w:rPr>
        <w:t>, 107554.</w:t>
      </w:r>
    </w:p>
    <w:p w14:paraId="63F2CEA1" w14:textId="77777777" w:rsidR="004600E3" w:rsidRPr="00E87D19" w:rsidRDefault="004600E3" w:rsidP="00A74D20">
      <w:pPr>
        <w:spacing w:before="0" w:after="480" w:line="360" w:lineRule="auto"/>
        <w:ind w:left="720" w:hanging="720"/>
        <w:jc w:val="both"/>
        <w:rPr>
          <w:rFonts w:cs="Times New Roman"/>
          <w:color w:val="000000" w:themeColor="text1"/>
          <w:szCs w:val="24"/>
          <w:shd w:val="clear" w:color="auto" w:fill="FFFFFF"/>
        </w:rPr>
      </w:pPr>
      <w:r w:rsidRPr="00E87D19">
        <w:rPr>
          <w:rFonts w:cs="Times New Roman"/>
          <w:color w:val="000000" w:themeColor="text1"/>
          <w:szCs w:val="24"/>
          <w:shd w:val="clear" w:color="auto" w:fill="FFFFFF"/>
        </w:rPr>
        <w:t>Ferreira, G. F., Rios Pinto, L. F., Carvalho, P. O., Coelho, M. B., Eberlin, M. N., Maciel Filho, R., and Fregolente, L. V. (2021). Biomass and lipid characterization of microalgae genera Botryococcus, Chlorella, and Desmodesmus aiming high-value fatty acid production. </w:t>
      </w:r>
      <w:r w:rsidRPr="00E87D19">
        <w:rPr>
          <w:rFonts w:cs="Times New Roman"/>
          <w:i/>
          <w:iCs/>
          <w:color w:val="000000" w:themeColor="text1"/>
          <w:szCs w:val="24"/>
          <w:shd w:val="clear" w:color="auto" w:fill="FFFFFF"/>
        </w:rPr>
        <w:t>Biomass Conversion and Biorefinery</w:t>
      </w:r>
      <w:r w:rsidRPr="00E87D19">
        <w:rPr>
          <w:rFonts w:cs="Times New Roman"/>
          <w:color w:val="000000" w:themeColor="text1"/>
          <w:szCs w:val="24"/>
          <w:shd w:val="clear" w:color="auto" w:fill="FFFFFF"/>
        </w:rPr>
        <w:t>, </w:t>
      </w:r>
      <w:r w:rsidRPr="00E87D19">
        <w:rPr>
          <w:rFonts w:cs="Times New Roman"/>
          <w:i/>
          <w:iCs/>
          <w:color w:val="000000" w:themeColor="text1"/>
          <w:szCs w:val="24"/>
          <w:shd w:val="clear" w:color="auto" w:fill="FFFFFF"/>
        </w:rPr>
        <w:t>11</w:t>
      </w:r>
      <w:r w:rsidRPr="00E87D19">
        <w:rPr>
          <w:rFonts w:cs="Times New Roman"/>
          <w:color w:val="000000" w:themeColor="text1"/>
          <w:szCs w:val="24"/>
          <w:shd w:val="clear" w:color="auto" w:fill="FFFFFF"/>
        </w:rPr>
        <w:t>, 1675-1689.</w:t>
      </w:r>
    </w:p>
    <w:p w14:paraId="74EDEC7F" w14:textId="06EBC32F" w:rsidR="004600E3" w:rsidRPr="00E87D19" w:rsidRDefault="004600E3" w:rsidP="00A74D20">
      <w:pPr>
        <w:spacing w:before="0" w:after="480" w:line="360" w:lineRule="auto"/>
        <w:ind w:left="720" w:hanging="720"/>
        <w:jc w:val="both"/>
        <w:rPr>
          <w:rFonts w:cs="Times New Roman"/>
          <w:color w:val="000000" w:themeColor="text1"/>
          <w:szCs w:val="24"/>
          <w:shd w:val="clear" w:color="auto" w:fill="FFFFFF"/>
        </w:rPr>
      </w:pPr>
      <w:r w:rsidRPr="00E87D19">
        <w:rPr>
          <w:rFonts w:cs="Times New Roman"/>
          <w:color w:val="000000" w:themeColor="text1"/>
          <w:szCs w:val="24"/>
          <w:shd w:val="clear" w:color="auto" w:fill="FFFFFF"/>
        </w:rPr>
        <w:lastRenderedPageBreak/>
        <w:t xml:space="preserve">Foo, S. C., Mok, C. Y., Ho, S. Y., </w:t>
      </w:r>
      <w:r w:rsidR="00D148B0">
        <w:rPr>
          <w:rFonts w:cs="Times New Roman"/>
          <w:color w:val="000000" w:themeColor="text1"/>
          <w:szCs w:val="24"/>
          <w:shd w:val="clear" w:color="auto" w:fill="FFFFFF"/>
        </w:rPr>
        <w:t>and</w:t>
      </w:r>
      <w:r w:rsidRPr="00E87D19">
        <w:rPr>
          <w:rFonts w:cs="Times New Roman"/>
          <w:color w:val="000000" w:themeColor="text1"/>
          <w:szCs w:val="24"/>
          <w:shd w:val="clear" w:color="auto" w:fill="FFFFFF"/>
        </w:rPr>
        <w:t xml:space="preserve"> Khong, N. M. (2023). Microalgal culture preservation: Progress, trends and future developments. </w:t>
      </w:r>
      <w:r w:rsidRPr="00E87D19">
        <w:rPr>
          <w:rFonts w:cs="Times New Roman"/>
          <w:i/>
          <w:iCs/>
          <w:color w:val="000000" w:themeColor="text1"/>
          <w:szCs w:val="24"/>
          <w:shd w:val="clear" w:color="auto" w:fill="FFFFFF"/>
        </w:rPr>
        <w:t>Algal Research</w:t>
      </w:r>
      <w:r w:rsidRPr="00E87D19">
        <w:rPr>
          <w:rFonts w:cs="Times New Roman"/>
          <w:color w:val="000000" w:themeColor="text1"/>
          <w:szCs w:val="24"/>
          <w:shd w:val="clear" w:color="auto" w:fill="FFFFFF"/>
        </w:rPr>
        <w:t>, </w:t>
      </w:r>
      <w:r w:rsidRPr="00E87D19">
        <w:rPr>
          <w:rFonts w:cs="Times New Roman"/>
          <w:i/>
          <w:iCs/>
          <w:color w:val="000000" w:themeColor="text1"/>
          <w:szCs w:val="24"/>
          <w:shd w:val="clear" w:color="auto" w:fill="FFFFFF"/>
        </w:rPr>
        <w:t>71</w:t>
      </w:r>
      <w:r w:rsidRPr="00E87D19">
        <w:rPr>
          <w:rFonts w:cs="Times New Roman"/>
          <w:color w:val="000000" w:themeColor="text1"/>
          <w:szCs w:val="24"/>
          <w:shd w:val="clear" w:color="auto" w:fill="FFFFFF"/>
        </w:rPr>
        <w:t>, 103007.</w:t>
      </w:r>
    </w:p>
    <w:p w14:paraId="6696C78F" w14:textId="6A5E3092" w:rsidR="004600E3" w:rsidRPr="00E87D19" w:rsidRDefault="004600E3" w:rsidP="00A74D20">
      <w:pPr>
        <w:spacing w:before="0" w:after="480" w:line="360" w:lineRule="auto"/>
        <w:ind w:left="720" w:hanging="720"/>
        <w:jc w:val="both"/>
        <w:rPr>
          <w:rFonts w:cs="Times New Roman"/>
          <w:color w:val="000000" w:themeColor="text1"/>
          <w:szCs w:val="24"/>
          <w:shd w:val="clear" w:color="auto" w:fill="FFFFFF"/>
        </w:rPr>
      </w:pPr>
      <w:r w:rsidRPr="00E87D19">
        <w:rPr>
          <w:rFonts w:cs="Times New Roman"/>
          <w:color w:val="000000" w:themeColor="text1"/>
          <w:szCs w:val="24"/>
          <w:shd w:val="clear" w:color="auto" w:fill="FFFFFF"/>
        </w:rPr>
        <w:t xml:space="preserve">Ghomari, S., Benabdesslem, Y., Mhamdia, C., Daoud Hamdi, S., Khaled, M. B., </w:t>
      </w:r>
      <w:r w:rsidR="00D148B0">
        <w:rPr>
          <w:rFonts w:cs="Times New Roman"/>
          <w:color w:val="000000" w:themeColor="text1"/>
          <w:szCs w:val="24"/>
          <w:shd w:val="clear" w:color="auto" w:fill="FFFFFF"/>
        </w:rPr>
        <w:t>and</w:t>
      </w:r>
      <w:r w:rsidRPr="00E87D19">
        <w:rPr>
          <w:rFonts w:cs="Times New Roman"/>
          <w:color w:val="000000" w:themeColor="text1"/>
          <w:szCs w:val="24"/>
          <w:shd w:val="clear" w:color="auto" w:fill="FFFFFF"/>
        </w:rPr>
        <w:t xml:space="preserve"> Cherifi, K. (2022). Simplification of the Culture Medium and Action of The Bioreactor Material on The Stimulation of Chlorella vulgaris Production. </w:t>
      </w:r>
      <w:r w:rsidRPr="00E87D19">
        <w:rPr>
          <w:rFonts w:cs="Times New Roman"/>
          <w:i/>
          <w:iCs/>
          <w:color w:val="000000" w:themeColor="text1"/>
          <w:szCs w:val="24"/>
          <w:shd w:val="clear" w:color="auto" w:fill="FFFFFF"/>
        </w:rPr>
        <w:t>Egyptian Academic Journal of Biological Sciences, C Physiology &amp; Molecular Biology</w:t>
      </w:r>
      <w:r w:rsidRPr="00E87D19">
        <w:rPr>
          <w:rFonts w:cs="Times New Roman"/>
          <w:color w:val="000000" w:themeColor="text1"/>
          <w:szCs w:val="24"/>
          <w:shd w:val="clear" w:color="auto" w:fill="FFFFFF"/>
        </w:rPr>
        <w:t>, </w:t>
      </w:r>
      <w:r w:rsidRPr="00E87D19">
        <w:rPr>
          <w:rFonts w:cs="Times New Roman"/>
          <w:i/>
          <w:iCs/>
          <w:color w:val="000000" w:themeColor="text1"/>
          <w:szCs w:val="24"/>
          <w:shd w:val="clear" w:color="auto" w:fill="FFFFFF"/>
        </w:rPr>
        <w:t>14</w:t>
      </w:r>
      <w:r w:rsidRPr="00E87D19">
        <w:rPr>
          <w:rFonts w:cs="Times New Roman"/>
          <w:color w:val="000000" w:themeColor="text1"/>
          <w:szCs w:val="24"/>
          <w:shd w:val="clear" w:color="auto" w:fill="FFFFFF"/>
        </w:rPr>
        <w:t>(2).</w:t>
      </w:r>
    </w:p>
    <w:p w14:paraId="4172A9DE" w14:textId="77777777" w:rsidR="004600E3" w:rsidRPr="00E87D19" w:rsidRDefault="004600E3" w:rsidP="00A74D20">
      <w:pPr>
        <w:spacing w:before="0" w:after="480" w:line="360" w:lineRule="auto"/>
        <w:ind w:left="720" w:hanging="720"/>
        <w:jc w:val="both"/>
        <w:rPr>
          <w:rFonts w:cs="Times New Roman"/>
          <w:color w:val="000000" w:themeColor="text1"/>
          <w:szCs w:val="24"/>
          <w:shd w:val="clear" w:color="auto" w:fill="FFFFFF"/>
        </w:rPr>
      </w:pPr>
      <w:r w:rsidRPr="00E87D19">
        <w:rPr>
          <w:rFonts w:cs="Times New Roman"/>
          <w:color w:val="000000" w:themeColor="text1"/>
          <w:szCs w:val="24"/>
          <w:shd w:val="clear" w:color="auto" w:fill="FFFFFF"/>
        </w:rPr>
        <w:t>Hassan, A., Ilyas, S. Z., Jalil, A., and ullah, Z. (2021). Monetization of the environmental damage caused by fossil fuels. </w:t>
      </w:r>
      <w:r w:rsidRPr="00E87D19">
        <w:rPr>
          <w:rFonts w:cs="Times New Roman"/>
          <w:i/>
          <w:iCs/>
          <w:color w:val="000000" w:themeColor="text1"/>
          <w:szCs w:val="24"/>
          <w:shd w:val="clear" w:color="auto" w:fill="FFFFFF"/>
        </w:rPr>
        <w:t>Environmental Science and Pollution Research</w:t>
      </w:r>
      <w:r w:rsidRPr="00E87D19">
        <w:rPr>
          <w:rFonts w:cs="Times New Roman"/>
          <w:color w:val="000000" w:themeColor="text1"/>
          <w:szCs w:val="24"/>
          <w:shd w:val="clear" w:color="auto" w:fill="FFFFFF"/>
        </w:rPr>
        <w:t>, </w:t>
      </w:r>
      <w:r w:rsidRPr="00E87D19">
        <w:rPr>
          <w:rFonts w:cs="Times New Roman"/>
          <w:i/>
          <w:iCs/>
          <w:color w:val="000000" w:themeColor="text1"/>
          <w:szCs w:val="24"/>
          <w:shd w:val="clear" w:color="auto" w:fill="FFFFFF"/>
        </w:rPr>
        <w:t>28</w:t>
      </w:r>
      <w:r w:rsidRPr="00E87D19">
        <w:rPr>
          <w:rFonts w:cs="Times New Roman"/>
          <w:color w:val="000000" w:themeColor="text1"/>
          <w:szCs w:val="24"/>
          <w:shd w:val="clear" w:color="auto" w:fill="FFFFFF"/>
        </w:rPr>
        <w:t>, 21204-21211.</w:t>
      </w:r>
    </w:p>
    <w:p w14:paraId="66EB7938" w14:textId="77777777" w:rsidR="004600E3" w:rsidRPr="00E87D19" w:rsidRDefault="004600E3" w:rsidP="00A74D20">
      <w:pPr>
        <w:spacing w:before="0" w:after="480" w:line="360" w:lineRule="auto"/>
        <w:ind w:left="720" w:hanging="720"/>
        <w:jc w:val="both"/>
        <w:rPr>
          <w:rFonts w:eastAsia="Times New Roman" w:cs="Times New Roman"/>
          <w:b/>
          <w:bCs/>
          <w:color w:val="000000" w:themeColor="text1"/>
          <w:szCs w:val="24"/>
        </w:rPr>
      </w:pPr>
      <w:r w:rsidRPr="00E87D19">
        <w:rPr>
          <w:rFonts w:cs="Times New Roman"/>
          <w:color w:val="000000" w:themeColor="text1"/>
          <w:szCs w:val="24"/>
          <w:shd w:val="clear" w:color="auto" w:fill="FFFFFF"/>
        </w:rPr>
        <w:t>Kadam, A. D., Kishore, G., Mishra, D. K., and Arunachalam, K. (2020). Microalgal diversity as an indicator of the state of the environment of water bodies of Doon valley in Western Himalaya, India. </w:t>
      </w:r>
      <w:r w:rsidRPr="00E87D19">
        <w:rPr>
          <w:rFonts w:cs="Times New Roman"/>
          <w:i/>
          <w:iCs/>
          <w:color w:val="000000" w:themeColor="text1"/>
          <w:szCs w:val="24"/>
          <w:shd w:val="clear" w:color="auto" w:fill="FFFFFF"/>
        </w:rPr>
        <w:t>Ecological Indicators</w:t>
      </w:r>
      <w:r w:rsidRPr="00E87D19">
        <w:rPr>
          <w:rFonts w:cs="Times New Roman"/>
          <w:color w:val="000000" w:themeColor="text1"/>
          <w:szCs w:val="24"/>
          <w:shd w:val="clear" w:color="auto" w:fill="FFFFFF"/>
        </w:rPr>
        <w:t>, </w:t>
      </w:r>
      <w:r w:rsidRPr="00E87D19">
        <w:rPr>
          <w:rFonts w:cs="Times New Roman"/>
          <w:i/>
          <w:iCs/>
          <w:color w:val="000000" w:themeColor="text1"/>
          <w:szCs w:val="24"/>
          <w:shd w:val="clear" w:color="auto" w:fill="FFFFFF"/>
        </w:rPr>
        <w:t>112</w:t>
      </w:r>
      <w:r w:rsidRPr="00E87D19">
        <w:rPr>
          <w:rFonts w:cs="Times New Roman"/>
          <w:color w:val="000000" w:themeColor="text1"/>
          <w:szCs w:val="24"/>
          <w:shd w:val="clear" w:color="auto" w:fill="FFFFFF"/>
        </w:rPr>
        <w:t>, 106077.</w:t>
      </w:r>
    </w:p>
    <w:p w14:paraId="729655CC" w14:textId="77777777" w:rsidR="004600E3" w:rsidRPr="00E87D19" w:rsidRDefault="004600E3" w:rsidP="00A74D20">
      <w:pPr>
        <w:spacing w:before="0" w:after="480" w:line="360" w:lineRule="auto"/>
        <w:ind w:left="720" w:hanging="720"/>
        <w:jc w:val="both"/>
        <w:rPr>
          <w:rFonts w:cs="Times New Roman"/>
          <w:color w:val="000000" w:themeColor="text1"/>
          <w:szCs w:val="24"/>
          <w:shd w:val="clear" w:color="auto" w:fill="FFFFFF"/>
        </w:rPr>
      </w:pPr>
      <w:r w:rsidRPr="00E87D19">
        <w:rPr>
          <w:rFonts w:cs="Times New Roman"/>
          <w:color w:val="000000" w:themeColor="text1"/>
          <w:szCs w:val="24"/>
          <w:shd w:val="clear" w:color="auto" w:fill="FFFFFF"/>
        </w:rPr>
        <w:t>Kargbo, H., Harris, J. S., and Phan, A. N. (2021). “Drop-in” fuel production from biomass: Critical review on techno-economic feasibility and sustainability. </w:t>
      </w:r>
      <w:r w:rsidRPr="00E87D19">
        <w:rPr>
          <w:rFonts w:cs="Times New Roman"/>
          <w:i/>
          <w:iCs/>
          <w:color w:val="000000" w:themeColor="text1"/>
          <w:szCs w:val="24"/>
          <w:shd w:val="clear" w:color="auto" w:fill="FFFFFF"/>
        </w:rPr>
        <w:t>Renewable and Sustainable Energy Reviews</w:t>
      </w:r>
      <w:r w:rsidRPr="00E87D19">
        <w:rPr>
          <w:rFonts w:cs="Times New Roman"/>
          <w:color w:val="000000" w:themeColor="text1"/>
          <w:szCs w:val="24"/>
          <w:shd w:val="clear" w:color="auto" w:fill="FFFFFF"/>
        </w:rPr>
        <w:t>, </w:t>
      </w:r>
      <w:r w:rsidRPr="00E87D19">
        <w:rPr>
          <w:rFonts w:cs="Times New Roman"/>
          <w:i/>
          <w:iCs/>
          <w:color w:val="000000" w:themeColor="text1"/>
          <w:szCs w:val="24"/>
          <w:shd w:val="clear" w:color="auto" w:fill="FFFFFF"/>
        </w:rPr>
        <w:t>135</w:t>
      </w:r>
      <w:r w:rsidRPr="00E87D19">
        <w:rPr>
          <w:rFonts w:cs="Times New Roman"/>
          <w:color w:val="000000" w:themeColor="text1"/>
          <w:szCs w:val="24"/>
          <w:shd w:val="clear" w:color="auto" w:fill="FFFFFF"/>
        </w:rPr>
        <w:t>, 110168.</w:t>
      </w:r>
    </w:p>
    <w:p w14:paraId="0C666800" w14:textId="77777777" w:rsidR="004600E3" w:rsidRPr="00E87D19" w:rsidRDefault="004600E3" w:rsidP="00A74D20">
      <w:pPr>
        <w:spacing w:before="0" w:after="480" w:line="360" w:lineRule="auto"/>
        <w:ind w:left="720" w:hanging="720"/>
        <w:jc w:val="both"/>
        <w:rPr>
          <w:rFonts w:cs="Times New Roman"/>
          <w:color w:val="000000" w:themeColor="text1"/>
          <w:szCs w:val="24"/>
          <w:shd w:val="clear" w:color="auto" w:fill="FFFFFF"/>
        </w:rPr>
      </w:pPr>
      <w:r w:rsidRPr="00E87D19">
        <w:rPr>
          <w:rFonts w:cs="Times New Roman"/>
          <w:color w:val="000000" w:themeColor="text1"/>
          <w:szCs w:val="24"/>
          <w:shd w:val="clear" w:color="auto" w:fill="FFFFFF"/>
        </w:rPr>
        <w:t>Kreps, B. H. (2020). The rising costs of fossil‐fuel extraction: an energy crisis that will not go away. </w:t>
      </w:r>
      <w:r w:rsidRPr="00E87D19">
        <w:rPr>
          <w:rFonts w:cs="Times New Roman"/>
          <w:i/>
          <w:iCs/>
          <w:color w:val="000000" w:themeColor="text1"/>
          <w:szCs w:val="24"/>
          <w:shd w:val="clear" w:color="auto" w:fill="FFFFFF"/>
        </w:rPr>
        <w:t>American journal of economics and sociology</w:t>
      </w:r>
      <w:r w:rsidRPr="00E87D19">
        <w:rPr>
          <w:rFonts w:cs="Times New Roman"/>
          <w:color w:val="000000" w:themeColor="text1"/>
          <w:szCs w:val="24"/>
          <w:shd w:val="clear" w:color="auto" w:fill="FFFFFF"/>
        </w:rPr>
        <w:t>, </w:t>
      </w:r>
      <w:r w:rsidRPr="00E87D19">
        <w:rPr>
          <w:rFonts w:cs="Times New Roman"/>
          <w:i/>
          <w:iCs/>
          <w:color w:val="000000" w:themeColor="text1"/>
          <w:szCs w:val="24"/>
          <w:shd w:val="clear" w:color="auto" w:fill="FFFFFF"/>
        </w:rPr>
        <w:t>79</w:t>
      </w:r>
      <w:r w:rsidRPr="00E87D19">
        <w:rPr>
          <w:rFonts w:cs="Times New Roman"/>
          <w:color w:val="000000" w:themeColor="text1"/>
          <w:szCs w:val="24"/>
          <w:shd w:val="clear" w:color="auto" w:fill="FFFFFF"/>
        </w:rPr>
        <w:t>(3), 695-717.</w:t>
      </w:r>
    </w:p>
    <w:p w14:paraId="4FB08943" w14:textId="5A080296" w:rsidR="004600E3" w:rsidRPr="00E87D19" w:rsidRDefault="004600E3" w:rsidP="00A74D20">
      <w:pPr>
        <w:spacing w:before="0" w:after="480" w:line="360" w:lineRule="auto"/>
        <w:ind w:left="720" w:hanging="720"/>
        <w:jc w:val="both"/>
        <w:rPr>
          <w:rFonts w:cs="Times New Roman"/>
          <w:color w:val="000000" w:themeColor="text1"/>
          <w:szCs w:val="24"/>
          <w:shd w:val="clear" w:color="auto" w:fill="FFFFFF"/>
        </w:rPr>
      </w:pPr>
      <w:r w:rsidRPr="00E87D19">
        <w:rPr>
          <w:rFonts w:cs="Times New Roman"/>
          <w:color w:val="000000" w:themeColor="text1"/>
          <w:szCs w:val="24"/>
          <w:shd w:val="clear" w:color="auto" w:fill="FFFFFF"/>
        </w:rPr>
        <w:t xml:space="preserve">Kumar, A., Johari, S., </w:t>
      </w:r>
      <w:r w:rsidR="00D148B0">
        <w:rPr>
          <w:rFonts w:cs="Times New Roman"/>
          <w:color w:val="000000" w:themeColor="text1"/>
          <w:szCs w:val="24"/>
          <w:shd w:val="clear" w:color="auto" w:fill="FFFFFF"/>
        </w:rPr>
        <w:t>and</w:t>
      </w:r>
      <w:r w:rsidRPr="00E87D19">
        <w:rPr>
          <w:rFonts w:cs="Times New Roman"/>
          <w:color w:val="000000" w:themeColor="text1"/>
          <w:szCs w:val="24"/>
          <w:shd w:val="clear" w:color="auto" w:fill="FFFFFF"/>
        </w:rPr>
        <w:t xml:space="preserve"> Verma, P. (2021). Global Warming and Third Generation Algal Biofuels: A Review. </w:t>
      </w:r>
      <w:r w:rsidRPr="00E87D19">
        <w:rPr>
          <w:rFonts w:cs="Times New Roman"/>
          <w:i/>
          <w:iCs/>
          <w:color w:val="000000" w:themeColor="text1"/>
          <w:szCs w:val="24"/>
          <w:shd w:val="clear" w:color="auto" w:fill="FFFFFF"/>
        </w:rPr>
        <w:t>The Journal of Plant Science Research</w:t>
      </w:r>
      <w:r w:rsidRPr="00E87D19">
        <w:rPr>
          <w:rFonts w:cs="Times New Roman"/>
          <w:color w:val="000000" w:themeColor="text1"/>
          <w:szCs w:val="24"/>
          <w:shd w:val="clear" w:color="auto" w:fill="FFFFFF"/>
        </w:rPr>
        <w:t>, </w:t>
      </w:r>
      <w:r w:rsidRPr="00E87D19">
        <w:rPr>
          <w:rFonts w:cs="Times New Roman"/>
          <w:i/>
          <w:iCs/>
          <w:color w:val="000000" w:themeColor="text1"/>
          <w:szCs w:val="24"/>
          <w:shd w:val="clear" w:color="auto" w:fill="FFFFFF"/>
        </w:rPr>
        <w:t>37</w:t>
      </w:r>
      <w:r w:rsidRPr="00E87D19">
        <w:rPr>
          <w:rFonts w:cs="Times New Roman"/>
          <w:color w:val="000000" w:themeColor="text1"/>
          <w:szCs w:val="24"/>
          <w:shd w:val="clear" w:color="auto" w:fill="FFFFFF"/>
        </w:rPr>
        <w:t>(1), 155-165.</w:t>
      </w:r>
    </w:p>
    <w:p w14:paraId="428EB132" w14:textId="2D30B598" w:rsidR="004600E3" w:rsidRPr="00E87D19" w:rsidRDefault="004600E3" w:rsidP="00A74D20">
      <w:pPr>
        <w:spacing w:before="0" w:after="480" w:line="360" w:lineRule="auto"/>
        <w:ind w:left="720" w:hanging="720"/>
        <w:jc w:val="both"/>
        <w:rPr>
          <w:rFonts w:cs="Times New Roman"/>
          <w:color w:val="000000" w:themeColor="text1"/>
          <w:szCs w:val="24"/>
          <w:shd w:val="clear" w:color="auto" w:fill="FFFFFF"/>
        </w:rPr>
      </w:pPr>
      <w:r w:rsidRPr="00E87D19">
        <w:rPr>
          <w:rFonts w:cs="Times New Roman"/>
          <w:color w:val="000000" w:themeColor="text1"/>
          <w:szCs w:val="24"/>
          <w:shd w:val="clear" w:color="auto" w:fill="FFFFFF"/>
        </w:rPr>
        <w:t xml:space="preserve">Lathifah, W., Fikri, R. A., Hidayati, N. A., Anggraini, I. D., Putri, N., Prabowo, B., </w:t>
      </w:r>
      <w:r w:rsidR="00D148B0">
        <w:rPr>
          <w:rFonts w:cs="Times New Roman"/>
          <w:color w:val="000000" w:themeColor="text1"/>
          <w:szCs w:val="24"/>
          <w:shd w:val="clear" w:color="auto" w:fill="FFFFFF"/>
        </w:rPr>
        <w:t>and</w:t>
      </w:r>
      <w:r w:rsidRPr="00E87D19">
        <w:rPr>
          <w:rFonts w:cs="Times New Roman"/>
          <w:color w:val="000000" w:themeColor="text1"/>
          <w:szCs w:val="24"/>
          <w:shd w:val="clear" w:color="auto" w:fill="FFFFFF"/>
        </w:rPr>
        <w:t xml:space="preserve"> Marno, S. (2021, May). Effect of commercial NPK fertilizer on growth and biomass of Navicula sp. </w:t>
      </w:r>
      <w:r w:rsidRPr="00E87D19">
        <w:rPr>
          <w:rFonts w:cs="Times New Roman"/>
          <w:color w:val="000000" w:themeColor="text1"/>
          <w:szCs w:val="24"/>
          <w:shd w:val="clear" w:color="auto" w:fill="FFFFFF"/>
        </w:rPr>
        <w:lastRenderedPageBreak/>
        <w:t>and Nannochloropsis sp. In </w:t>
      </w:r>
      <w:r w:rsidRPr="00E87D19">
        <w:rPr>
          <w:rFonts w:cs="Times New Roman"/>
          <w:i/>
          <w:iCs/>
          <w:color w:val="000000" w:themeColor="text1"/>
          <w:szCs w:val="24"/>
          <w:shd w:val="clear" w:color="auto" w:fill="FFFFFF"/>
        </w:rPr>
        <w:t>IOP Conference Series: Earth and Environmental Science</w:t>
      </w:r>
      <w:r w:rsidRPr="00E87D19">
        <w:rPr>
          <w:rFonts w:cs="Times New Roman"/>
          <w:color w:val="000000" w:themeColor="text1"/>
          <w:szCs w:val="24"/>
          <w:shd w:val="clear" w:color="auto" w:fill="FFFFFF"/>
        </w:rPr>
        <w:t> (Vol. 762, No. 1, p. 012060). IOP Publishing.</w:t>
      </w:r>
    </w:p>
    <w:p w14:paraId="7730AD8B" w14:textId="77777777" w:rsidR="004600E3" w:rsidRPr="00E87D19" w:rsidRDefault="004600E3" w:rsidP="00A74D20">
      <w:pPr>
        <w:spacing w:before="0" w:after="480" w:line="360" w:lineRule="auto"/>
        <w:ind w:left="720" w:hanging="720"/>
        <w:jc w:val="both"/>
        <w:rPr>
          <w:rFonts w:cs="Times New Roman"/>
          <w:color w:val="000000" w:themeColor="text1"/>
          <w:szCs w:val="24"/>
          <w:shd w:val="clear" w:color="auto" w:fill="FFFFFF"/>
        </w:rPr>
      </w:pPr>
      <w:r w:rsidRPr="00E87D19">
        <w:rPr>
          <w:rFonts w:cs="Times New Roman"/>
          <w:color w:val="000000" w:themeColor="text1"/>
          <w:szCs w:val="24"/>
          <w:shd w:val="clear" w:color="auto" w:fill="FFFFFF"/>
        </w:rPr>
        <w:t>Mahmood, K. A., and Khudhair, E. M. (2017). Experimental study for commercial fertilizer NPK (20: 20: 20+ TE N: P: K) in microalgae cultivation at different aeration periods. </w:t>
      </w:r>
      <w:r w:rsidRPr="00E87D19">
        <w:rPr>
          <w:rFonts w:cs="Times New Roman"/>
          <w:i/>
          <w:iCs/>
          <w:color w:val="000000" w:themeColor="text1"/>
          <w:szCs w:val="24"/>
          <w:shd w:val="clear" w:color="auto" w:fill="FFFFFF"/>
        </w:rPr>
        <w:t>Iraqi Journal of Chemical and Petroleum Engineering</w:t>
      </w:r>
      <w:r w:rsidRPr="00E87D19">
        <w:rPr>
          <w:rFonts w:cs="Times New Roman"/>
          <w:color w:val="000000" w:themeColor="text1"/>
          <w:szCs w:val="24"/>
          <w:shd w:val="clear" w:color="auto" w:fill="FFFFFF"/>
        </w:rPr>
        <w:t>, </w:t>
      </w:r>
      <w:r w:rsidRPr="00E87D19">
        <w:rPr>
          <w:rFonts w:cs="Times New Roman"/>
          <w:i/>
          <w:iCs/>
          <w:color w:val="000000" w:themeColor="text1"/>
          <w:szCs w:val="24"/>
          <w:shd w:val="clear" w:color="auto" w:fill="FFFFFF"/>
        </w:rPr>
        <w:t>18</w:t>
      </w:r>
      <w:r w:rsidRPr="00E87D19">
        <w:rPr>
          <w:rFonts w:cs="Times New Roman"/>
          <w:color w:val="000000" w:themeColor="text1"/>
          <w:szCs w:val="24"/>
          <w:shd w:val="clear" w:color="auto" w:fill="FFFFFF"/>
        </w:rPr>
        <w:t>(1), 99-110.</w:t>
      </w:r>
    </w:p>
    <w:p w14:paraId="217E9A4B" w14:textId="77777777" w:rsidR="004600E3" w:rsidRPr="00E87D19" w:rsidRDefault="004600E3" w:rsidP="00A74D20">
      <w:pPr>
        <w:spacing w:before="0" w:after="480" w:line="360" w:lineRule="auto"/>
        <w:ind w:left="720" w:hanging="720"/>
        <w:jc w:val="both"/>
        <w:rPr>
          <w:rFonts w:cs="Times New Roman"/>
          <w:color w:val="000000" w:themeColor="text1"/>
          <w:szCs w:val="24"/>
          <w:shd w:val="clear" w:color="auto" w:fill="FFFFFF"/>
        </w:rPr>
      </w:pPr>
      <w:r w:rsidRPr="00E87D19">
        <w:rPr>
          <w:rFonts w:cs="Times New Roman"/>
          <w:color w:val="000000" w:themeColor="text1"/>
          <w:szCs w:val="24"/>
          <w:shd w:val="clear" w:color="auto" w:fill="FFFFFF"/>
        </w:rPr>
        <w:t>Mathimani, T., and Pugazhendhi, A. (2019). Utilization of algae for biofuel, bio-products and bio-remediation. </w:t>
      </w:r>
      <w:r w:rsidRPr="00E87D19">
        <w:rPr>
          <w:rFonts w:cs="Times New Roman"/>
          <w:i/>
          <w:iCs/>
          <w:color w:val="000000" w:themeColor="text1"/>
          <w:szCs w:val="24"/>
          <w:shd w:val="clear" w:color="auto" w:fill="FFFFFF"/>
        </w:rPr>
        <w:t>Biocatalysis and agricultural biotechnology</w:t>
      </w:r>
      <w:r w:rsidRPr="00E87D19">
        <w:rPr>
          <w:rFonts w:cs="Times New Roman"/>
          <w:color w:val="000000" w:themeColor="text1"/>
          <w:szCs w:val="24"/>
          <w:shd w:val="clear" w:color="auto" w:fill="FFFFFF"/>
        </w:rPr>
        <w:t>, </w:t>
      </w:r>
      <w:r w:rsidRPr="00E87D19">
        <w:rPr>
          <w:rFonts w:cs="Times New Roman"/>
          <w:i/>
          <w:iCs/>
          <w:color w:val="000000" w:themeColor="text1"/>
          <w:szCs w:val="24"/>
          <w:shd w:val="clear" w:color="auto" w:fill="FFFFFF"/>
        </w:rPr>
        <w:t>17</w:t>
      </w:r>
      <w:r w:rsidRPr="00E87D19">
        <w:rPr>
          <w:rFonts w:cs="Times New Roman"/>
          <w:color w:val="000000" w:themeColor="text1"/>
          <w:szCs w:val="24"/>
          <w:shd w:val="clear" w:color="auto" w:fill="FFFFFF"/>
        </w:rPr>
        <w:t>, 326-330.</w:t>
      </w:r>
    </w:p>
    <w:p w14:paraId="10F1FF33" w14:textId="77777777" w:rsidR="004600E3" w:rsidRPr="00E87D19" w:rsidRDefault="004600E3" w:rsidP="00A74D20">
      <w:pPr>
        <w:spacing w:before="0" w:after="480" w:line="360" w:lineRule="auto"/>
        <w:ind w:left="720" w:hanging="720"/>
        <w:jc w:val="both"/>
        <w:rPr>
          <w:rFonts w:cs="Times New Roman"/>
          <w:color w:val="000000" w:themeColor="text1"/>
          <w:szCs w:val="24"/>
          <w:shd w:val="clear" w:color="auto" w:fill="FFFFFF"/>
        </w:rPr>
      </w:pPr>
      <w:r w:rsidRPr="00E87D19">
        <w:rPr>
          <w:rFonts w:cs="Times New Roman"/>
          <w:color w:val="000000" w:themeColor="text1"/>
          <w:szCs w:val="24"/>
          <w:shd w:val="clear" w:color="auto" w:fill="FFFFFF"/>
        </w:rPr>
        <w:t>Mtaki, X., Liu, F., Helian, Y., Li, C., Wu, Z., Li, H., and Zhou, S. (2021). Current application of MOFs based heterogeneous catalysts in catalyzing transesterification/esterification for biodiesel production: A review. </w:t>
      </w:r>
      <w:r w:rsidRPr="00E87D19">
        <w:rPr>
          <w:rFonts w:cs="Times New Roman"/>
          <w:i/>
          <w:iCs/>
          <w:color w:val="000000" w:themeColor="text1"/>
          <w:szCs w:val="24"/>
          <w:shd w:val="clear" w:color="auto" w:fill="FFFFFF"/>
        </w:rPr>
        <w:t>Energy Conversion and Management</w:t>
      </w:r>
      <w:r w:rsidRPr="00E87D19">
        <w:rPr>
          <w:rFonts w:cs="Times New Roman"/>
          <w:color w:val="000000" w:themeColor="text1"/>
          <w:szCs w:val="24"/>
          <w:shd w:val="clear" w:color="auto" w:fill="FFFFFF"/>
        </w:rPr>
        <w:t>, </w:t>
      </w:r>
      <w:r w:rsidRPr="00E87D19">
        <w:rPr>
          <w:rFonts w:cs="Times New Roman"/>
          <w:i/>
          <w:iCs/>
          <w:color w:val="000000" w:themeColor="text1"/>
          <w:szCs w:val="24"/>
          <w:shd w:val="clear" w:color="auto" w:fill="FFFFFF"/>
        </w:rPr>
        <w:t>229</w:t>
      </w:r>
      <w:r w:rsidRPr="00E87D19">
        <w:rPr>
          <w:rFonts w:cs="Times New Roman"/>
          <w:color w:val="000000" w:themeColor="text1"/>
          <w:szCs w:val="24"/>
          <w:shd w:val="clear" w:color="auto" w:fill="FFFFFF"/>
        </w:rPr>
        <w:t>, 113760.</w:t>
      </w:r>
    </w:p>
    <w:p w14:paraId="2ED7F3BD" w14:textId="5C1D4D83" w:rsidR="004600E3" w:rsidRPr="00E87D19" w:rsidRDefault="004600E3" w:rsidP="00A74D20">
      <w:pPr>
        <w:spacing w:before="0" w:after="480" w:line="360" w:lineRule="auto"/>
        <w:ind w:left="720" w:hanging="720"/>
        <w:rPr>
          <w:rFonts w:cs="Times New Roman"/>
          <w:color w:val="000000" w:themeColor="text1"/>
          <w:szCs w:val="24"/>
          <w:shd w:val="clear" w:color="auto" w:fill="FFFFFF"/>
        </w:rPr>
      </w:pPr>
      <w:r w:rsidRPr="00E87D19">
        <w:rPr>
          <w:rFonts w:cs="Times New Roman"/>
          <w:color w:val="000000" w:themeColor="text1"/>
          <w:szCs w:val="24"/>
          <w:shd w:val="clear" w:color="auto" w:fill="FFFFFF"/>
        </w:rPr>
        <w:t xml:space="preserve">Mutizabal-Aros, J., Ramírez, M. E., Haye, P. A., Meynard, A., Pinilla-Rojas, B., Núñez, A., </w:t>
      </w:r>
      <w:r w:rsidR="00D148B0">
        <w:rPr>
          <w:rFonts w:cs="Times New Roman"/>
          <w:color w:val="000000" w:themeColor="text1"/>
          <w:szCs w:val="24"/>
          <w:shd w:val="clear" w:color="auto" w:fill="FFFFFF"/>
        </w:rPr>
        <w:t>and</w:t>
      </w:r>
      <w:r w:rsidRPr="00E87D19">
        <w:rPr>
          <w:rFonts w:cs="Times New Roman"/>
          <w:color w:val="000000" w:themeColor="text1"/>
          <w:szCs w:val="24"/>
          <w:shd w:val="clear" w:color="auto" w:fill="FFFFFF"/>
        </w:rPr>
        <w:t xml:space="preserve"> Contreras-Porcia, L. (2024). Morphological and Molecular Identification of ulva spp.(ulvophyceae; Chlorophyta) from Algarrobo Bay, Chile: Understanding the Composition of Green Tides. </w:t>
      </w:r>
      <w:r w:rsidRPr="00E87D19">
        <w:rPr>
          <w:rFonts w:cs="Times New Roman"/>
          <w:i/>
          <w:iCs/>
          <w:color w:val="000000" w:themeColor="text1"/>
          <w:szCs w:val="24"/>
          <w:shd w:val="clear" w:color="auto" w:fill="FFFFFF"/>
        </w:rPr>
        <w:t>Plants</w:t>
      </w:r>
      <w:r w:rsidRPr="00E87D19">
        <w:rPr>
          <w:rFonts w:cs="Times New Roman"/>
          <w:color w:val="000000" w:themeColor="text1"/>
          <w:szCs w:val="24"/>
          <w:shd w:val="clear" w:color="auto" w:fill="FFFFFF"/>
        </w:rPr>
        <w:t>, </w:t>
      </w:r>
      <w:r w:rsidRPr="00E87D19">
        <w:rPr>
          <w:rFonts w:cs="Times New Roman"/>
          <w:i/>
          <w:iCs/>
          <w:color w:val="000000" w:themeColor="text1"/>
          <w:szCs w:val="24"/>
          <w:shd w:val="clear" w:color="auto" w:fill="FFFFFF"/>
        </w:rPr>
        <w:t>13</w:t>
      </w:r>
      <w:r w:rsidRPr="00E87D19">
        <w:rPr>
          <w:rFonts w:cs="Times New Roman"/>
          <w:color w:val="000000" w:themeColor="text1"/>
          <w:szCs w:val="24"/>
          <w:shd w:val="clear" w:color="auto" w:fill="FFFFFF"/>
        </w:rPr>
        <w:t>(9), 1258.</w:t>
      </w:r>
    </w:p>
    <w:p w14:paraId="2DAE5395" w14:textId="77777777" w:rsidR="004600E3" w:rsidRPr="00E87D19" w:rsidRDefault="004600E3" w:rsidP="00A74D20">
      <w:pPr>
        <w:spacing w:before="0" w:after="480" w:line="360" w:lineRule="auto"/>
        <w:ind w:left="720" w:hanging="720"/>
        <w:jc w:val="both"/>
        <w:rPr>
          <w:rFonts w:cs="Times New Roman"/>
          <w:color w:val="000000" w:themeColor="text1"/>
          <w:szCs w:val="24"/>
          <w:shd w:val="clear" w:color="auto" w:fill="FFFFFF"/>
        </w:rPr>
      </w:pPr>
      <w:r w:rsidRPr="00E87D19">
        <w:rPr>
          <w:rFonts w:cs="Times New Roman"/>
          <w:color w:val="000000" w:themeColor="text1"/>
          <w:szCs w:val="24"/>
          <w:shd w:val="clear" w:color="auto" w:fill="FFFFFF"/>
        </w:rPr>
        <w:t>Okoro, V., Azimov, U., Munoz, J., Hernandez, H. H., and Phan, A. N. (2019). Microalgae cultivation and harvesting: Growth performance and use of flocculants-A review. </w:t>
      </w:r>
      <w:r w:rsidRPr="00E87D19">
        <w:rPr>
          <w:rFonts w:cs="Times New Roman"/>
          <w:i/>
          <w:iCs/>
          <w:color w:val="000000" w:themeColor="text1"/>
          <w:szCs w:val="24"/>
          <w:shd w:val="clear" w:color="auto" w:fill="FFFFFF"/>
        </w:rPr>
        <w:t>Renewable and Sustainable Energy Reviews</w:t>
      </w:r>
      <w:r w:rsidRPr="00E87D19">
        <w:rPr>
          <w:rFonts w:cs="Times New Roman"/>
          <w:color w:val="000000" w:themeColor="text1"/>
          <w:szCs w:val="24"/>
          <w:shd w:val="clear" w:color="auto" w:fill="FFFFFF"/>
        </w:rPr>
        <w:t>, </w:t>
      </w:r>
      <w:r w:rsidRPr="00E87D19">
        <w:rPr>
          <w:rFonts w:cs="Times New Roman"/>
          <w:i/>
          <w:iCs/>
          <w:color w:val="000000" w:themeColor="text1"/>
          <w:szCs w:val="24"/>
          <w:shd w:val="clear" w:color="auto" w:fill="FFFFFF"/>
        </w:rPr>
        <w:t>115</w:t>
      </w:r>
      <w:r w:rsidRPr="00E87D19">
        <w:rPr>
          <w:rFonts w:cs="Times New Roman"/>
          <w:color w:val="000000" w:themeColor="text1"/>
          <w:szCs w:val="24"/>
          <w:shd w:val="clear" w:color="auto" w:fill="FFFFFF"/>
        </w:rPr>
        <w:t>, 109364.</w:t>
      </w:r>
    </w:p>
    <w:p w14:paraId="13C93E45" w14:textId="4186C0AE" w:rsidR="004600E3" w:rsidRPr="00E87D19" w:rsidRDefault="004600E3" w:rsidP="00A74D20">
      <w:pPr>
        <w:spacing w:before="0" w:after="480" w:line="360" w:lineRule="auto"/>
        <w:ind w:left="720" w:hanging="720"/>
        <w:jc w:val="both"/>
        <w:rPr>
          <w:rFonts w:cs="Times New Roman"/>
          <w:color w:val="000000" w:themeColor="text1"/>
          <w:szCs w:val="24"/>
          <w:shd w:val="clear" w:color="auto" w:fill="FFFFFF"/>
        </w:rPr>
      </w:pPr>
      <w:r w:rsidRPr="00E87D19">
        <w:rPr>
          <w:rFonts w:cs="Times New Roman"/>
          <w:color w:val="000000" w:themeColor="text1"/>
          <w:szCs w:val="24"/>
          <w:shd w:val="clear" w:color="auto" w:fill="FFFFFF"/>
        </w:rPr>
        <w:t xml:space="preserve">Oyewumi, O. O., </w:t>
      </w:r>
      <w:r w:rsidR="00D148B0">
        <w:rPr>
          <w:rFonts w:cs="Times New Roman"/>
          <w:color w:val="000000" w:themeColor="text1"/>
          <w:szCs w:val="24"/>
          <w:shd w:val="clear" w:color="auto" w:fill="FFFFFF"/>
        </w:rPr>
        <w:t>and</w:t>
      </w:r>
      <w:r w:rsidRPr="00E87D19">
        <w:rPr>
          <w:rFonts w:cs="Times New Roman"/>
          <w:color w:val="000000" w:themeColor="text1"/>
          <w:szCs w:val="24"/>
          <w:shd w:val="clear" w:color="auto" w:fill="FFFFFF"/>
        </w:rPr>
        <w:t xml:space="preserve"> Olukunle, O. F. (2018). Isolation and Identification of Microalgae from Fresh Water. </w:t>
      </w:r>
      <w:r w:rsidRPr="00E87D19">
        <w:rPr>
          <w:rFonts w:cs="Times New Roman"/>
          <w:i/>
          <w:iCs/>
          <w:color w:val="000000" w:themeColor="text1"/>
          <w:szCs w:val="24"/>
          <w:shd w:val="clear" w:color="auto" w:fill="FFFFFF"/>
        </w:rPr>
        <w:t>Journal of Sustainable Technology</w:t>
      </w:r>
      <w:r w:rsidRPr="00E87D19">
        <w:rPr>
          <w:rFonts w:cs="Times New Roman"/>
          <w:color w:val="000000" w:themeColor="text1"/>
          <w:szCs w:val="24"/>
          <w:shd w:val="clear" w:color="auto" w:fill="FFFFFF"/>
        </w:rPr>
        <w:t>, </w:t>
      </w:r>
      <w:r w:rsidRPr="00E87D19">
        <w:rPr>
          <w:rFonts w:cs="Times New Roman"/>
          <w:i/>
          <w:iCs/>
          <w:color w:val="000000" w:themeColor="text1"/>
          <w:szCs w:val="24"/>
          <w:shd w:val="clear" w:color="auto" w:fill="FFFFFF"/>
        </w:rPr>
        <w:t>9</w:t>
      </w:r>
      <w:r w:rsidRPr="00E87D19">
        <w:rPr>
          <w:rFonts w:cs="Times New Roman"/>
          <w:color w:val="000000" w:themeColor="text1"/>
          <w:szCs w:val="24"/>
          <w:shd w:val="clear" w:color="auto" w:fill="FFFFFF"/>
        </w:rPr>
        <w:t>(1), 71-78.</w:t>
      </w:r>
    </w:p>
    <w:p w14:paraId="2A6686F4" w14:textId="5388027F" w:rsidR="004600E3" w:rsidRPr="00E87D19" w:rsidRDefault="004600E3" w:rsidP="00A74D20">
      <w:pPr>
        <w:spacing w:before="0" w:after="480" w:line="360" w:lineRule="auto"/>
        <w:ind w:left="720" w:hanging="720"/>
        <w:jc w:val="both"/>
        <w:rPr>
          <w:rFonts w:cs="Times New Roman"/>
          <w:color w:val="000000" w:themeColor="text1"/>
          <w:szCs w:val="24"/>
          <w:shd w:val="clear" w:color="auto" w:fill="FFFFFF"/>
        </w:rPr>
      </w:pPr>
      <w:r w:rsidRPr="00E87D19">
        <w:rPr>
          <w:rFonts w:cs="Times New Roman"/>
          <w:color w:val="000000" w:themeColor="text1"/>
          <w:szCs w:val="24"/>
          <w:shd w:val="clear" w:color="auto" w:fill="FFFFFF"/>
        </w:rPr>
        <w:lastRenderedPageBreak/>
        <w:t xml:space="preserve">Padder, S. A., Khan, R., </w:t>
      </w:r>
      <w:r w:rsidR="00D148B0">
        <w:rPr>
          <w:rFonts w:cs="Times New Roman"/>
          <w:color w:val="000000" w:themeColor="text1"/>
          <w:szCs w:val="24"/>
          <w:shd w:val="clear" w:color="auto" w:fill="FFFFFF"/>
        </w:rPr>
        <w:t>and</w:t>
      </w:r>
      <w:r w:rsidRPr="00E87D19">
        <w:rPr>
          <w:rFonts w:cs="Times New Roman"/>
          <w:color w:val="000000" w:themeColor="text1"/>
          <w:szCs w:val="24"/>
          <w:shd w:val="clear" w:color="auto" w:fill="FFFFFF"/>
        </w:rPr>
        <w:t xml:space="preserve"> Rather, R. A. (2024). Biofuel generations: New insights into challenges and opportunities in their microbe-derived industrial production. </w:t>
      </w:r>
      <w:r w:rsidRPr="00E87D19">
        <w:rPr>
          <w:rFonts w:cs="Times New Roman"/>
          <w:i/>
          <w:iCs/>
          <w:color w:val="000000" w:themeColor="text1"/>
          <w:szCs w:val="24"/>
          <w:shd w:val="clear" w:color="auto" w:fill="FFFFFF"/>
        </w:rPr>
        <w:t>Biomass and Bioenergy</w:t>
      </w:r>
      <w:r w:rsidRPr="00E87D19">
        <w:rPr>
          <w:rFonts w:cs="Times New Roman"/>
          <w:color w:val="000000" w:themeColor="text1"/>
          <w:szCs w:val="24"/>
          <w:shd w:val="clear" w:color="auto" w:fill="FFFFFF"/>
        </w:rPr>
        <w:t>, </w:t>
      </w:r>
      <w:r w:rsidRPr="00E87D19">
        <w:rPr>
          <w:rFonts w:cs="Times New Roman"/>
          <w:i/>
          <w:iCs/>
          <w:color w:val="000000" w:themeColor="text1"/>
          <w:szCs w:val="24"/>
          <w:shd w:val="clear" w:color="auto" w:fill="FFFFFF"/>
        </w:rPr>
        <w:t>185</w:t>
      </w:r>
      <w:r w:rsidRPr="00E87D19">
        <w:rPr>
          <w:rFonts w:cs="Times New Roman"/>
          <w:color w:val="000000" w:themeColor="text1"/>
          <w:szCs w:val="24"/>
          <w:shd w:val="clear" w:color="auto" w:fill="FFFFFF"/>
        </w:rPr>
        <w:t>, 107220.</w:t>
      </w:r>
    </w:p>
    <w:p w14:paraId="3A5406B9" w14:textId="51E11338" w:rsidR="004600E3" w:rsidRPr="00E87D19" w:rsidRDefault="004600E3" w:rsidP="00A74D20">
      <w:pPr>
        <w:spacing w:before="0" w:after="480" w:line="360" w:lineRule="auto"/>
        <w:ind w:left="720" w:hanging="720"/>
        <w:jc w:val="both"/>
        <w:rPr>
          <w:rFonts w:cs="Times New Roman"/>
          <w:color w:val="000000" w:themeColor="text1"/>
          <w:szCs w:val="24"/>
          <w:shd w:val="clear" w:color="auto" w:fill="FFFFFF"/>
        </w:rPr>
      </w:pPr>
      <w:r w:rsidRPr="00E87D19">
        <w:rPr>
          <w:rFonts w:cs="Times New Roman"/>
          <w:color w:val="000000" w:themeColor="text1"/>
          <w:szCs w:val="24"/>
          <w:shd w:val="clear" w:color="auto" w:fill="FFFFFF"/>
        </w:rPr>
        <w:t xml:space="preserve">Pang, S. J., Liu, F., Shan, T. F., Xu, N., Zhang, Z. H., Gao, S. Q., </w:t>
      </w:r>
      <w:r w:rsidR="00D148B0">
        <w:rPr>
          <w:rFonts w:cs="Times New Roman"/>
          <w:color w:val="000000" w:themeColor="text1"/>
          <w:szCs w:val="24"/>
          <w:shd w:val="clear" w:color="auto" w:fill="FFFFFF"/>
        </w:rPr>
        <w:t>and</w:t>
      </w:r>
      <w:r w:rsidRPr="00E87D19">
        <w:rPr>
          <w:rFonts w:cs="Times New Roman"/>
          <w:color w:val="000000" w:themeColor="text1"/>
          <w:szCs w:val="24"/>
          <w:shd w:val="clear" w:color="auto" w:fill="FFFFFF"/>
        </w:rPr>
        <w:t xml:space="preserve"> Sun, S. (2010). Tracking the algal origin of the Ulva bloom in the Yellow Sea by a combination of molecular, morphological and physiological analyses. </w:t>
      </w:r>
      <w:r w:rsidRPr="00E87D19">
        <w:rPr>
          <w:rFonts w:cs="Times New Roman"/>
          <w:i/>
          <w:iCs/>
          <w:color w:val="000000" w:themeColor="text1"/>
          <w:szCs w:val="24"/>
          <w:shd w:val="clear" w:color="auto" w:fill="FFFFFF"/>
        </w:rPr>
        <w:t>Marine environmental research</w:t>
      </w:r>
      <w:r w:rsidRPr="00E87D19">
        <w:rPr>
          <w:rFonts w:cs="Times New Roman"/>
          <w:color w:val="000000" w:themeColor="text1"/>
          <w:szCs w:val="24"/>
          <w:shd w:val="clear" w:color="auto" w:fill="FFFFFF"/>
        </w:rPr>
        <w:t>, </w:t>
      </w:r>
      <w:r w:rsidRPr="00E87D19">
        <w:rPr>
          <w:rFonts w:cs="Times New Roman"/>
          <w:i/>
          <w:iCs/>
          <w:color w:val="000000" w:themeColor="text1"/>
          <w:szCs w:val="24"/>
          <w:shd w:val="clear" w:color="auto" w:fill="FFFFFF"/>
        </w:rPr>
        <w:t>69</w:t>
      </w:r>
      <w:r w:rsidRPr="00E87D19">
        <w:rPr>
          <w:rFonts w:cs="Times New Roman"/>
          <w:color w:val="000000" w:themeColor="text1"/>
          <w:szCs w:val="24"/>
          <w:shd w:val="clear" w:color="auto" w:fill="FFFFFF"/>
        </w:rPr>
        <w:t>(4), 207-215.</w:t>
      </w:r>
    </w:p>
    <w:p w14:paraId="4492B701" w14:textId="77777777" w:rsidR="004600E3" w:rsidRPr="00E87D19" w:rsidRDefault="004600E3" w:rsidP="00A74D20">
      <w:pPr>
        <w:spacing w:before="0" w:after="480" w:line="360" w:lineRule="auto"/>
        <w:ind w:left="720" w:hanging="720"/>
        <w:jc w:val="both"/>
        <w:rPr>
          <w:rFonts w:cs="Times New Roman"/>
          <w:color w:val="000000" w:themeColor="text1"/>
          <w:szCs w:val="24"/>
          <w:shd w:val="clear" w:color="auto" w:fill="FFFFFF"/>
        </w:rPr>
      </w:pPr>
      <w:r w:rsidRPr="00E87D19">
        <w:rPr>
          <w:rFonts w:cs="Times New Roman"/>
          <w:color w:val="000000" w:themeColor="text1"/>
          <w:szCs w:val="24"/>
          <w:shd w:val="clear" w:color="auto" w:fill="FFFFFF"/>
        </w:rPr>
        <w:t>Patel, A., Karageorgou, D., Rova, E., Katapodis, P., Rova, U., Christakopoulos, P., and Matsakas, L. (2020). An overview of potential oleaginous microorganisms and their role in biodiesel and omega-3 fatty acid-based industries. </w:t>
      </w:r>
      <w:r w:rsidRPr="00E87D19">
        <w:rPr>
          <w:rFonts w:cs="Times New Roman"/>
          <w:i/>
          <w:iCs/>
          <w:color w:val="000000" w:themeColor="text1"/>
          <w:szCs w:val="24"/>
          <w:shd w:val="clear" w:color="auto" w:fill="FFFFFF"/>
        </w:rPr>
        <w:t>Microorganisms</w:t>
      </w:r>
      <w:r w:rsidRPr="00E87D19">
        <w:rPr>
          <w:rFonts w:cs="Times New Roman"/>
          <w:color w:val="000000" w:themeColor="text1"/>
          <w:szCs w:val="24"/>
          <w:shd w:val="clear" w:color="auto" w:fill="FFFFFF"/>
        </w:rPr>
        <w:t>, </w:t>
      </w:r>
      <w:r w:rsidRPr="00E87D19">
        <w:rPr>
          <w:rFonts w:cs="Times New Roman"/>
          <w:i/>
          <w:iCs/>
          <w:color w:val="000000" w:themeColor="text1"/>
          <w:szCs w:val="24"/>
          <w:shd w:val="clear" w:color="auto" w:fill="FFFFFF"/>
        </w:rPr>
        <w:t>8</w:t>
      </w:r>
      <w:r w:rsidRPr="00E87D19">
        <w:rPr>
          <w:rFonts w:cs="Times New Roman"/>
          <w:color w:val="000000" w:themeColor="text1"/>
          <w:szCs w:val="24"/>
          <w:shd w:val="clear" w:color="auto" w:fill="FFFFFF"/>
        </w:rPr>
        <w:t>(3), 434.</w:t>
      </w:r>
    </w:p>
    <w:p w14:paraId="4B838C5C" w14:textId="42AB3EF5" w:rsidR="004600E3" w:rsidRPr="00E87D19" w:rsidRDefault="004600E3" w:rsidP="00A74D20">
      <w:pPr>
        <w:spacing w:before="0" w:after="480" w:line="360" w:lineRule="auto"/>
        <w:ind w:left="720" w:hanging="720"/>
        <w:jc w:val="both"/>
        <w:rPr>
          <w:rFonts w:cs="Times New Roman"/>
          <w:color w:val="000000" w:themeColor="text1"/>
          <w:szCs w:val="24"/>
          <w:shd w:val="clear" w:color="auto" w:fill="FFFFFF"/>
        </w:rPr>
      </w:pPr>
      <w:r w:rsidRPr="00E87D19">
        <w:rPr>
          <w:rFonts w:cs="Times New Roman"/>
          <w:color w:val="000000" w:themeColor="text1"/>
          <w:szCs w:val="24"/>
          <w:shd w:val="clear" w:color="auto" w:fill="FFFFFF"/>
        </w:rPr>
        <w:t>Purkan, P., Nidianti, E., Abdulloh, A., Safa, A., Retnowati, W., Soemarjati, W., and Wook Kim, S. (2019). Biodiesel production by lipids from Indonesian strain of microalgae Chlorella vulgaris. </w:t>
      </w:r>
      <w:r w:rsidRPr="00E87D19">
        <w:rPr>
          <w:rFonts w:cs="Times New Roman"/>
          <w:i/>
          <w:iCs/>
          <w:color w:val="000000" w:themeColor="text1"/>
          <w:szCs w:val="24"/>
          <w:shd w:val="clear" w:color="auto" w:fill="FFFFFF"/>
        </w:rPr>
        <w:t>Open Chemistry</w:t>
      </w:r>
      <w:r w:rsidRPr="00E87D19">
        <w:rPr>
          <w:rFonts w:cs="Times New Roman"/>
          <w:color w:val="000000" w:themeColor="text1"/>
          <w:szCs w:val="24"/>
          <w:shd w:val="clear" w:color="auto" w:fill="FFFFFF"/>
        </w:rPr>
        <w:t>, </w:t>
      </w:r>
      <w:r w:rsidRPr="00E87D19">
        <w:rPr>
          <w:rFonts w:cs="Times New Roman"/>
          <w:i/>
          <w:iCs/>
          <w:color w:val="000000" w:themeColor="text1"/>
          <w:szCs w:val="24"/>
          <w:shd w:val="clear" w:color="auto" w:fill="FFFFFF"/>
        </w:rPr>
        <w:t>17</w:t>
      </w:r>
      <w:r w:rsidRPr="00E87D19">
        <w:rPr>
          <w:rFonts w:cs="Times New Roman"/>
          <w:color w:val="000000" w:themeColor="text1"/>
          <w:szCs w:val="24"/>
          <w:shd w:val="clear" w:color="auto" w:fill="FFFFFF"/>
        </w:rPr>
        <w:t>(1), 919-926.</w:t>
      </w:r>
    </w:p>
    <w:p w14:paraId="10AC8DF3" w14:textId="77777777" w:rsidR="004600E3" w:rsidRPr="00E87D19" w:rsidRDefault="004600E3" w:rsidP="00A74D20">
      <w:pPr>
        <w:spacing w:before="0" w:after="480" w:line="360" w:lineRule="auto"/>
        <w:ind w:left="720" w:hanging="720"/>
        <w:jc w:val="both"/>
        <w:rPr>
          <w:rFonts w:cs="Times New Roman"/>
          <w:color w:val="000000" w:themeColor="text1"/>
          <w:szCs w:val="24"/>
          <w:shd w:val="clear" w:color="auto" w:fill="FFFFFF"/>
        </w:rPr>
      </w:pPr>
      <w:r w:rsidRPr="00E87D19">
        <w:rPr>
          <w:rFonts w:cs="Times New Roman"/>
          <w:color w:val="000000" w:themeColor="text1"/>
          <w:szCs w:val="24"/>
          <w:shd w:val="clear" w:color="auto" w:fill="FFFFFF"/>
        </w:rPr>
        <w:t>Raheem, A., Azlina, W. W., Yap, Y. T., Danquah, M. K., and Harun, R. (2015). Thermochemical conversion of microalgal biomass for biofuel production. </w:t>
      </w:r>
      <w:r w:rsidRPr="00E87D19">
        <w:rPr>
          <w:rFonts w:cs="Times New Roman"/>
          <w:i/>
          <w:iCs/>
          <w:color w:val="000000" w:themeColor="text1"/>
          <w:szCs w:val="24"/>
          <w:shd w:val="clear" w:color="auto" w:fill="FFFFFF"/>
        </w:rPr>
        <w:t>Renewable and Sustainable Energy Reviews</w:t>
      </w:r>
      <w:r w:rsidRPr="00E87D19">
        <w:rPr>
          <w:rFonts w:cs="Times New Roman"/>
          <w:color w:val="000000" w:themeColor="text1"/>
          <w:szCs w:val="24"/>
          <w:shd w:val="clear" w:color="auto" w:fill="FFFFFF"/>
        </w:rPr>
        <w:t>, </w:t>
      </w:r>
      <w:r w:rsidRPr="00E87D19">
        <w:rPr>
          <w:rFonts w:cs="Times New Roman"/>
          <w:i/>
          <w:iCs/>
          <w:color w:val="000000" w:themeColor="text1"/>
          <w:szCs w:val="24"/>
          <w:shd w:val="clear" w:color="auto" w:fill="FFFFFF"/>
        </w:rPr>
        <w:t>49</w:t>
      </w:r>
      <w:r w:rsidRPr="00E87D19">
        <w:rPr>
          <w:rFonts w:cs="Times New Roman"/>
          <w:color w:val="000000" w:themeColor="text1"/>
          <w:szCs w:val="24"/>
          <w:shd w:val="clear" w:color="auto" w:fill="FFFFFF"/>
        </w:rPr>
        <w:t>, 990-999.</w:t>
      </w:r>
    </w:p>
    <w:p w14:paraId="46CE65AA" w14:textId="77777777" w:rsidR="004600E3" w:rsidRPr="00E87D19" w:rsidRDefault="004600E3" w:rsidP="00A74D20">
      <w:pPr>
        <w:spacing w:before="0" w:after="480" w:line="360" w:lineRule="auto"/>
        <w:ind w:left="720" w:hanging="720"/>
        <w:jc w:val="both"/>
        <w:rPr>
          <w:rFonts w:eastAsia="Times New Roman" w:cs="Times New Roman"/>
          <w:b/>
          <w:bCs/>
          <w:color w:val="000000" w:themeColor="text1"/>
          <w:szCs w:val="24"/>
        </w:rPr>
      </w:pPr>
      <w:r w:rsidRPr="00E87D19">
        <w:rPr>
          <w:rFonts w:cs="Times New Roman"/>
          <w:color w:val="000000" w:themeColor="text1"/>
          <w:szCs w:val="24"/>
          <w:shd w:val="clear" w:color="auto" w:fill="FFFFFF"/>
        </w:rPr>
        <w:t>Saber, A. A., El-Refaey, A. A., Saber, H., Singh, P., van Vuuren, S. J., and Cantonati, M. (2022). Cyanoprokaryotes and algae: classification and habitats. In </w:t>
      </w:r>
      <w:r w:rsidRPr="00E87D19">
        <w:rPr>
          <w:rFonts w:cs="Times New Roman"/>
          <w:i/>
          <w:iCs/>
          <w:color w:val="000000" w:themeColor="text1"/>
          <w:szCs w:val="24"/>
          <w:shd w:val="clear" w:color="auto" w:fill="FFFFFF"/>
        </w:rPr>
        <w:t>Handbook of Algal Biofuels</w:t>
      </w:r>
      <w:r w:rsidRPr="00E87D19">
        <w:rPr>
          <w:rFonts w:cs="Times New Roman"/>
          <w:color w:val="000000" w:themeColor="text1"/>
          <w:szCs w:val="24"/>
          <w:shd w:val="clear" w:color="auto" w:fill="FFFFFF"/>
        </w:rPr>
        <w:t> (pp. 1-38). Elsevier.</w:t>
      </w:r>
    </w:p>
    <w:p w14:paraId="771F020C" w14:textId="7784FA00" w:rsidR="004600E3" w:rsidRPr="00E87D19" w:rsidRDefault="004600E3" w:rsidP="00A74D20">
      <w:pPr>
        <w:spacing w:before="0" w:after="480" w:line="360" w:lineRule="auto"/>
        <w:ind w:left="720" w:hanging="720"/>
        <w:jc w:val="both"/>
        <w:rPr>
          <w:rFonts w:cs="Times New Roman"/>
          <w:color w:val="000000" w:themeColor="text1"/>
          <w:szCs w:val="24"/>
        </w:rPr>
      </w:pPr>
      <w:r w:rsidRPr="00E87D19">
        <w:rPr>
          <w:rStyle w:val="Strong"/>
          <w:rFonts w:cs="Times New Roman"/>
          <w:b w:val="0"/>
          <w:color w:val="000000" w:themeColor="text1"/>
          <w:szCs w:val="24"/>
        </w:rPr>
        <w:t xml:space="preserve">Sambrook, J., </w:t>
      </w:r>
      <w:r w:rsidR="00D148B0">
        <w:rPr>
          <w:rStyle w:val="Strong"/>
          <w:rFonts w:cs="Times New Roman"/>
          <w:b w:val="0"/>
          <w:color w:val="000000" w:themeColor="text1"/>
          <w:szCs w:val="24"/>
        </w:rPr>
        <w:t>and</w:t>
      </w:r>
      <w:r w:rsidRPr="00E87D19">
        <w:rPr>
          <w:rStyle w:val="Strong"/>
          <w:rFonts w:cs="Times New Roman"/>
          <w:b w:val="0"/>
          <w:color w:val="000000" w:themeColor="text1"/>
          <w:szCs w:val="24"/>
        </w:rPr>
        <w:t xml:space="preserve"> Russell, D. W.</w:t>
      </w:r>
      <w:r w:rsidRPr="00E87D19">
        <w:rPr>
          <w:rFonts w:cs="Times New Roman"/>
          <w:color w:val="000000" w:themeColor="text1"/>
          <w:szCs w:val="24"/>
        </w:rPr>
        <w:t xml:space="preserve"> (2001). </w:t>
      </w:r>
      <w:r w:rsidRPr="00E87D19">
        <w:rPr>
          <w:rStyle w:val="Emphasis"/>
          <w:rFonts w:cs="Times New Roman"/>
          <w:color w:val="000000" w:themeColor="text1"/>
          <w:szCs w:val="24"/>
        </w:rPr>
        <w:t>Molecular Cloning: A Laboratory Manual</w:t>
      </w:r>
      <w:r w:rsidRPr="00E87D19">
        <w:rPr>
          <w:rFonts w:cs="Times New Roman"/>
          <w:color w:val="000000" w:themeColor="text1"/>
          <w:szCs w:val="24"/>
        </w:rPr>
        <w:t>. Cold Spring Harbor Laboratory Press.</w:t>
      </w:r>
    </w:p>
    <w:p w14:paraId="7B9E77A6" w14:textId="7AC56D37" w:rsidR="004600E3" w:rsidRPr="00E87D19" w:rsidRDefault="004600E3" w:rsidP="00A74D20">
      <w:pPr>
        <w:spacing w:before="0" w:after="480" w:line="360" w:lineRule="auto"/>
        <w:ind w:left="720" w:hanging="720"/>
        <w:jc w:val="both"/>
        <w:rPr>
          <w:rFonts w:cs="Times New Roman"/>
          <w:color w:val="000000" w:themeColor="text1"/>
          <w:szCs w:val="24"/>
          <w:shd w:val="clear" w:color="auto" w:fill="FFFFFF"/>
        </w:rPr>
      </w:pPr>
      <w:r w:rsidRPr="00E87D19">
        <w:rPr>
          <w:rFonts w:cs="Times New Roman"/>
          <w:color w:val="000000" w:themeColor="text1"/>
          <w:szCs w:val="24"/>
          <w:shd w:val="clear" w:color="auto" w:fill="FFFFFF"/>
        </w:rPr>
        <w:lastRenderedPageBreak/>
        <w:t xml:space="preserve">Sharma, A. K., Sahoo, P. K., Singhal, S., </w:t>
      </w:r>
      <w:r w:rsidR="00D148B0">
        <w:rPr>
          <w:rFonts w:cs="Times New Roman"/>
          <w:color w:val="000000" w:themeColor="text1"/>
          <w:szCs w:val="24"/>
          <w:shd w:val="clear" w:color="auto" w:fill="FFFFFF"/>
        </w:rPr>
        <w:t>and</w:t>
      </w:r>
      <w:r w:rsidRPr="00E87D19">
        <w:rPr>
          <w:rFonts w:cs="Times New Roman"/>
          <w:color w:val="000000" w:themeColor="text1"/>
          <w:szCs w:val="24"/>
          <w:shd w:val="clear" w:color="auto" w:fill="FFFFFF"/>
        </w:rPr>
        <w:t xml:space="preserve"> Joshi, G. (2016). Exploration of upstream and downstream process for microwave assisted sustainable biodiesel production from microalgae Chlorella vulgaris. </w:t>
      </w:r>
      <w:r w:rsidRPr="00E87D19">
        <w:rPr>
          <w:rFonts w:cs="Times New Roman"/>
          <w:i/>
          <w:iCs/>
          <w:color w:val="000000" w:themeColor="text1"/>
          <w:szCs w:val="24"/>
          <w:shd w:val="clear" w:color="auto" w:fill="FFFFFF"/>
        </w:rPr>
        <w:t>Bioresource technology</w:t>
      </w:r>
      <w:r w:rsidRPr="00E87D19">
        <w:rPr>
          <w:rFonts w:cs="Times New Roman"/>
          <w:color w:val="000000" w:themeColor="text1"/>
          <w:szCs w:val="24"/>
          <w:shd w:val="clear" w:color="auto" w:fill="FFFFFF"/>
        </w:rPr>
        <w:t>, </w:t>
      </w:r>
      <w:r w:rsidRPr="00E87D19">
        <w:rPr>
          <w:rFonts w:cs="Times New Roman"/>
          <w:i/>
          <w:iCs/>
          <w:color w:val="000000" w:themeColor="text1"/>
          <w:szCs w:val="24"/>
          <w:shd w:val="clear" w:color="auto" w:fill="FFFFFF"/>
        </w:rPr>
        <w:t>216</w:t>
      </w:r>
      <w:r w:rsidRPr="00E87D19">
        <w:rPr>
          <w:rFonts w:cs="Times New Roman"/>
          <w:color w:val="000000" w:themeColor="text1"/>
          <w:szCs w:val="24"/>
          <w:shd w:val="clear" w:color="auto" w:fill="FFFFFF"/>
        </w:rPr>
        <w:t>, 793-800.</w:t>
      </w:r>
    </w:p>
    <w:p w14:paraId="09610DB9" w14:textId="77777777" w:rsidR="004600E3" w:rsidRPr="00E87D19" w:rsidRDefault="004600E3" w:rsidP="00A74D20">
      <w:pPr>
        <w:spacing w:before="0" w:after="480" w:line="360" w:lineRule="auto"/>
        <w:ind w:left="720" w:hanging="720"/>
        <w:jc w:val="both"/>
        <w:rPr>
          <w:rFonts w:cs="Times New Roman"/>
          <w:color w:val="000000" w:themeColor="text1"/>
          <w:szCs w:val="24"/>
          <w:shd w:val="clear" w:color="auto" w:fill="FFFFFF"/>
        </w:rPr>
      </w:pPr>
      <w:r w:rsidRPr="00E87D19">
        <w:rPr>
          <w:rFonts w:cs="Times New Roman"/>
          <w:color w:val="000000" w:themeColor="text1"/>
          <w:szCs w:val="24"/>
          <w:shd w:val="clear" w:color="auto" w:fill="FFFFFF"/>
        </w:rPr>
        <w:t>Sun, Y., Hao, Q., Cui, C., Shan, Y., Zhao, W., Wang, D., and Guan, D. (2022). Emission accounting and drivers in East African countries. </w:t>
      </w:r>
      <w:r w:rsidRPr="00E87D19">
        <w:rPr>
          <w:rFonts w:cs="Times New Roman"/>
          <w:i/>
          <w:iCs/>
          <w:color w:val="000000" w:themeColor="text1"/>
          <w:szCs w:val="24"/>
          <w:shd w:val="clear" w:color="auto" w:fill="FFFFFF"/>
        </w:rPr>
        <w:t>Applied Energy</w:t>
      </w:r>
      <w:r w:rsidRPr="00E87D19">
        <w:rPr>
          <w:rFonts w:cs="Times New Roman"/>
          <w:color w:val="000000" w:themeColor="text1"/>
          <w:szCs w:val="24"/>
          <w:shd w:val="clear" w:color="auto" w:fill="FFFFFF"/>
        </w:rPr>
        <w:t>, </w:t>
      </w:r>
      <w:r w:rsidRPr="00E87D19">
        <w:rPr>
          <w:rFonts w:cs="Times New Roman"/>
          <w:i/>
          <w:iCs/>
          <w:color w:val="000000" w:themeColor="text1"/>
          <w:szCs w:val="24"/>
          <w:shd w:val="clear" w:color="auto" w:fill="FFFFFF"/>
        </w:rPr>
        <w:t>312</w:t>
      </w:r>
      <w:r w:rsidRPr="00E87D19">
        <w:rPr>
          <w:rFonts w:cs="Times New Roman"/>
          <w:color w:val="000000" w:themeColor="text1"/>
          <w:szCs w:val="24"/>
          <w:shd w:val="clear" w:color="auto" w:fill="FFFFFF"/>
        </w:rPr>
        <w:t>, 118805.</w:t>
      </w:r>
    </w:p>
    <w:p w14:paraId="6B5833C4" w14:textId="31D126FC" w:rsidR="004600E3" w:rsidRPr="00E87D19" w:rsidRDefault="004600E3" w:rsidP="00A74D20">
      <w:pPr>
        <w:spacing w:before="0" w:after="480" w:line="360" w:lineRule="auto"/>
        <w:ind w:left="720" w:hanging="720"/>
        <w:jc w:val="both"/>
        <w:rPr>
          <w:rFonts w:cs="Times New Roman"/>
          <w:color w:val="000000" w:themeColor="text1"/>
          <w:szCs w:val="24"/>
          <w:shd w:val="clear" w:color="auto" w:fill="FFFFFF"/>
        </w:rPr>
      </w:pPr>
      <w:r w:rsidRPr="00E87D19">
        <w:rPr>
          <w:rFonts w:cs="Times New Roman"/>
          <w:color w:val="000000" w:themeColor="text1"/>
          <w:szCs w:val="24"/>
          <w:shd w:val="clear" w:color="auto" w:fill="FFFFFF"/>
        </w:rPr>
        <w:t xml:space="preserve">Umar, L., Bashir, A., Haruna, I., Hadiza, G. A., </w:t>
      </w:r>
      <w:r w:rsidR="00D148B0">
        <w:rPr>
          <w:rFonts w:cs="Times New Roman"/>
          <w:color w:val="000000" w:themeColor="text1"/>
          <w:szCs w:val="24"/>
          <w:shd w:val="clear" w:color="auto" w:fill="FFFFFF"/>
        </w:rPr>
        <w:t>and</w:t>
      </w:r>
      <w:r w:rsidRPr="00E87D19">
        <w:rPr>
          <w:rFonts w:cs="Times New Roman"/>
          <w:color w:val="000000" w:themeColor="text1"/>
          <w:szCs w:val="24"/>
          <w:shd w:val="clear" w:color="auto" w:fill="FFFFFF"/>
        </w:rPr>
        <w:t xml:space="preserve"> Shamsudeen, A. J. (2021). Study of Algal Species Isolated From River Ginzo in Katsina State, as a Potential Source for Biodiesel Production. </w:t>
      </w:r>
      <w:r w:rsidRPr="00E87D19">
        <w:rPr>
          <w:rFonts w:cs="Times New Roman"/>
          <w:i/>
          <w:iCs/>
          <w:color w:val="000000" w:themeColor="text1"/>
          <w:szCs w:val="24"/>
          <w:shd w:val="clear" w:color="auto" w:fill="FFFFFF"/>
        </w:rPr>
        <w:t>Journal of Applied Sciences and Environmental Management</w:t>
      </w:r>
      <w:r w:rsidRPr="00E87D19">
        <w:rPr>
          <w:rFonts w:cs="Times New Roman"/>
          <w:color w:val="000000" w:themeColor="text1"/>
          <w:szCs w:val="24"/>
          <w:shd w:val="clear" w:color="auto" w:fill="FFFFFF"/>
        </w:rPr>
        <w:t>, </w:t>
      </w:r>
      <w:r w:rsidRPr="00E87D19">
        <w:rPr>
          <w:rFonts w:cs="Times New Roman"/>
          <w:i/>
          <w:iCs/>
          <w:color w:val="000000" w:themeColor="text1"/>
          <w:szCs w:val="24"/>
          <w:shd w:val="clear" w:color="auto" w:fill="FFFFFF"/>
        </w:rPr>
        <w:t>25</w:t>
      </w:r>
      <w:r w:rsidRPr="00E87D19">
        <w:rPr>
          <w:rFonts w:cs="Times New Roman"/>
          <w:color w:val="000000" w:themeColor="text1"/>
          <w:szCs w:val="24"/>
          <w:shd w:val="clear" w:color="auto" w:fill="FFFFFF"/>
        </w:rPr>
        <w:t>(5), 793-798.</w:t>
      </w:r>
    </w:p>
    <w:p w14:paraId="31C6E3EF" w14:textId="3471E38A" w:rsidR="004600E3" w:rsidRPr="00E87D19" w:rsidRDefault="004600E3" w:rsidP="00A74D20">
      <w:pPr>
        <w:spacing w:before="0" w:after="480" w:line="360" w:lineRule="auto"/>
        <w:ind w:left="720" w:hanging="720"/>
        <w:jc w:val="both"/>
        <w:rPr>
          <w:rFonts w:cs="Times New Roman"/>
          <w:color w:val="000000" w:themeColor="text1"/>
          <w:szCs w:val="24"/>
          <w:shd w:val="clear" w:color="auto" w:fill="FFFFFF"/>
        </w:rPr>
      </w:pPr>
      <w:r w:rsidRPr="00E87D19">
        <w:rPr>
          <w:rFonts w:cs="Times New Roman"/>
          <w:color w:val="000000" w:themeColor="text1"/>
          <w:szCs w:val="24"/>
          <w:shd w:val="clear" w:color="auto" w:fill="FFFFFF"/>
        </w:rPr>
        <w:t xml:space="preserve">Umar, S., Hassan, U., </w:t>
      </w:r>
      <w:r w:rsidR="00D148B0">
        <w:rPr>
          <w:rFonts w:cs="Times New Roman"/>
          <w:color w:val="000000" w:themeColor="text1"/>
          <w:szCs w:val="24"/>
          <w:shd w:val="clear" w:color="auto" w:fill="FFFFFF"/>
        </w:rPr>
        <w:t>and</w:t>
      </w:r>
      <w:r w:rsidRPr="00E87D19">
        <w:rPr>
          <w:rFonts w:cs="Times New Roman"/>
          <w:color w:val="000000" w:themeColor="text1"/>
          <w:szCs w:val="24"/>
          <w:shd w:val="clear" w:color="auto" w:fill="FFFFFF"/>
        </w:rPr>
        <w:t xml:space="preserve"> Alhassan, Y. J. (2023). Factors influencing adoption of improved onion production practice in aliero and yauri local government areas, kebbi state, nigeria. </w:t>
      </w:r>
      <w:r w:rsidRPr="00E87D19">
        <w:rPr>
          <w:rFonts w:cs="Times New Roman"/>
          <w:i/>
          <w:iCs/>
          <w:color w:val="000000" w:themeColor="text1"/>
          <w:szCs w:val="24"/>
          <w:shd w:val="clear" w:color="auto" w:fill="FFFFFF"/>
        </w:rPr>
        <w:t>African journal of sustainable agricultural development</w:t>
      </w:r>
      <w:r w:rsidRPr="00E87D19">
        <w:rPr>
          <w:rFonts w:cs="Times New Roman"/>
          <w:color w:val="000000" w:themeColor="text1"/>
          <w:szCs w:val="24"/>
          <w:shd w:val="clear" w:color="auto" w:fill="FFFFFF"/>
        </w:rPr>
        <w:t>, </w:t>
      </w:r>
      <w:r w:rsidRPr="00E87D19">
        <w:rPr>
          <w:rFonts w:cs="Times New Roman"/>
          <w:i/>
          <w:iCs/>
          <w:color w:val="000000" w:themeColor="text1"/>
          <w:szCs w:val="24"/>
          <w:shd w:val="clear" w:color="auto" w:fill="FFFFFF"/>
        </w:rPr>
        <w:t>4</w:t>
      </w:r>
      <w:r w:rsidRPr="00E87D19">
        <w:rPr>
          <w:rFonts w:cs="Times New Roman"/>
          <w:color w:val="000000" w:themeColor="text1"/>
          <w:szCs w:val="24"/>
          <w:shd w:val="clear" w:color="auto" w:fill="FFFFFF"/>
        </w:rPr>
        <w:t>(4), 1-11.</w:t>
      </w:r>
    </w:p>
    <w:p w14:paraId="362319DF" w14:textId="77777777" w:rsidR="004600E3" w:rsidRPr="00E87D19" w:rsidRDefault="004600E3" w:rsidP="00A74D20">
      <w:pPr>
        <w:spacing w:before="0" w:after="480" w:line="360" w:lineRule="auto"/>
        <w:ind w:left="720" w:hanging="720"/>
        <w:jc w:val="both"/>
        <w:rPr>
          <w:rFonts w:cs="Times New Roman"/>
          <w:color w:val="000000" w:themeColor="text1"/>
          <w:szCs w:val="24"/>
          <w:shd w:val="clear" w:color="auto" w:fill="FFFFFF"/>
        </w:rPr>
      </w:pPr>
      <w:r w:rsidRPr="00E87D19">
        <w:rPr>
          <w:rFonts w:cs="Times New Roman"/>
          <w:color w:val="000000" w:themeColor="text1"/>
          <w:szCs w:val="24"/>
          <w:shd w:val="clear" w:color="auto" w:fill="FFFFFF"/>
        </w:rPr>
        <w:t>Wang, T., Jiang, Z., Zhao, B., Gu, Y., Liou, K. N., Kalandiyur, N., and Zhu, Y. (2020a). Health co-benefits of achieving sustainable net-zero greenhouse gas emissions in California. </w:t>
      </w:r>
      <w:r w:rsidRPr="00E87D19">
        <w:rPr>
          <w:rFonts w:cs="Times New Roman"/>
          <w:i/>
          <w:iCs/>
          <w:color w:val="000000" w:themeColor="text1"/>
          <w:szCs w:val="24"/>
          <w:shd w:val="clear" w:color="auto" w:fill="FFFFFF"/>
        </w:rPr>
        <w:t>Nature Sustainability</w:t>
      </w:r>
      <w:r w:rsidRPr="00E87D19">
        <w:rPr>
          <w:rFonts w:cs="Times New Roman"/>
          <w:color w:val="000000" w:themeColor="text1"/>
          <w:szCs w:val="24"/>
          <w:shd w:val="clear" w:color="auto" w:fill="FFFFFF"/>
        </w:rPr>
        <w:t>, </w:t>
      </w:r>
      <w:r w:rsidRPr="00E87D19">
        <w:rPr>
          <w:rFonts w:cs="Times New Roman"/>
          <w:i/>
          <w:iCs/>
          <w:color w:val="000000" w:themeColor="text1"/>
          <w:szCs w:val="24"/>
          <w:shd w:val="clear" w:color="auto" w:fill="FFFFFF"/>
        </w:rPr>
        <w:t>3</w:t>
      </w:r>
      <w:r w:rsidRPr="00E87D19">
        <w:rPr>
          <w:rFonts w:cs="Times New Roman"/>
          <w:color w:val="000000" w:themeColor="text1"/>
          <w:szCs w:val="24"/>
          <w:shd w:val="clear" w:color="auto" w:fill="FFFFFF"/>
        </w:rPr>
        <w:t>(8), 597-605.</w:t>
      </w:r>
    </w:p>
    <w:p w14:paraId="7BA455E0" w14:textId="77777777" w:rsidR="004600E3" w:rsidRPr="00E87D19" w:rsidRDefault="004600E3" w:rsidP="00A74D20">
      <w:pPr>
        <w:spacing w:before="0" w:after="480" w:line="360" w:lineRule="auto"/>
        <w:ind w:left="720" w:hanging="720"/>
        <w:jc w:val="both"/>
        <w:rPr>
          <w:rFonts w:cs="Times New Roman"/>
          <w:color w:val="000000" w:themeColor="text1"/>
          <w:szCs w:val="24"/>
          <w:shd w:val="clear" w:color="auto" w:fill="FFFFFF"/>
        </w:rPr>
      </w:pPr>
      <w:r w:rsidRPr="00E87D19">
        <w:rPr>
          <w:rFonts w:cs="Times New Roman"/>
          <w:color w:val="000000" w:themeColor="text1"/>
          <w:szCs w:val="24"/>
          <w:shd w:val="clear" w:color="auto" w:fill="FFFFFF"/>
        </w:rPr>
        <w:t>Wang, Y., Yang, H., Zhang, X., Han, F., Tu, W., and Yang, W. (2020b). Microalgal hydrogen production. </w:t>
      </w:r>
      <w:r w:rsidRPr="00E87D19">
        <w:rPr>
          <w:rFonts w:cs="Times New Roman"/>
          <w:i/>
          <w:iCs/>
          <w:color w:val="000000" w:themeColor="text1"/>
          <w:szCs w:val="24"/>
          <w:shd w:val="clear" w:color="auto" w:fill="FFFFFF"/>
        </w:rPr>
        <w:t>Small Methods</w:t>
      </w:r>
      <w:r w:rsidRPr="00E87D19">
        <w:rPr>
          <w:rFonts w:cs="Times New Roman"/>
          <w:color w:val="000000" w:themeColor="text1"/>
          <w:szCs w:val="24"/>
          <w:shd w:val="clear" w:color="auto" w:fill="FFFFFF"/>
        </w:rPr>
        <w:t>, </w:t>
      </w:r>
      <w:r w:rsidRPr="00E87D19">
        <w:rPr>
          <w:rFonts w:cs="Times New Roman"/>
          <w:i/>
          <w:iCs/>
          <w:color w:val="000000" w:themeColor="text1"/>
          <w:szCs w:val="24"/>
          <w:shd w:val="clear" w:color="auto" w:fill="FFFFFF"/>
        </w:rPr>
        <w:t>4</w:t>
      </w:r>
      <w:r w:rsidRPr="00E87D19">
        <w:rPr>
          <w:rFonts w:cs="Times New Roman"/>
          <w:color w:val="000000" w:themeColor="text1"/>
          <w:szCs w:val="24"/>
          <w:shd w:val="clear" w:color="auto" w:fill="FFFFFF"/>
        </w:rPr>
        <w:t>(3), 1900514.</w:t>
      </w:r>
    </w:p>
    <w:p w14:paraId="6A7F78B8" w14:textId="77777777" w:rsidR="004600E3" w:rsidRPr="00E87D19" w:rsidRDefault="004600E3" w:rsidP="00A74D20">
      <w:pPr>
        <w:spacing w:before="0" w:after="480" w:line="360" w:lineRule="auto"/>
        <w:ind w:left="720" w:hanging="720"/>
        <w:jc w:val="both"/>
        <w:rPr>
          <w:rFonts w:cs="Times New Roman"/>
          <w:color w:val="000000" w:themeColor="text1"/>
          <w:szCs w:val="24"/>
          <w:shd w:val="clear" w:color="auto" w:fill="FFFFFF"/>
        </w:rPr>
      </w:pPr>
      <w:r w:rsidRPr="00E87D19">
        <w:rPr>
          <w:rFonts w:cs="Times New Roman"/>
          <w:color w:val="000000" w:themeColor="text1"/>
          <w:szCs w:val="24"/>
          <w:shd w:val="clear" w:color="auto" w:fill="FFFFFF"/>
        </w:rPr>
        <w:t>Xu, H., Lee, U., Coleman, A. M., Wigmosta, M. S., and Wang, M. (2019). Assessment of algal biofuel resource potential in the United States with consideration of regional water stress. </w:t>
      </w:r>
      <w:r w:rsidRPr="00E87D19">
        <w:rPr>
          <w:rFonts w:cs="Times New Roman"/>
          <w:i/>
          <w:iCs/>
          <w:color w:val="000000" w:themeColor="text1"/>
          <w:szCs w:val="24"/>
          <w:shd w:val="clear" w:color="auto" w:fill="FFFFFF"/>
        </w:rPr>
        <w:t>Algal Research</w:t>
      </w:r>
      <w:r w:rsidRPr="00E87D19">
        <w:rPr>
          <w:rFonts w:cs="Times New Roman"/>
          <w:color w:val="000000" w:themeColor="text1"/>
          <w:szCs w:val="24"/>
          <w:shd w:val="clear" w:color="auto" w:fill="FFFFFF"/>
        </w:rPr>
        <w:t>, </w:t>
      </w:r>
      <w:r w:rsidRPr="00E87D19">
        <w:rPr>
          <w:rFonts w:cs="Times New Roman"/>
          <w:i/>
          <w:iCs/>
          <w:color w:val="000000" w:themeColor="text1"/>
          <w:szCs w:val="24"/>
          <w:shd w:val="clear" w:color="auto" w:fill="FFFFFF"/>
        </w:rPr>
        <w:t>37</w:t>
      </w:r>
      <w:r w:rsidRPr="00E87D19">
        <w:rPr>
          <w:rFonts w:cs="Times New Roman"/>
          <w:color w:val="000000" w:themeColor="text1"/>
          <w:szCs w:val="24"/>
          <w:shd w:val="clear" w:color="auto" w:fill="FFFFFF"/>
        </w:rPr>
        <w:t>, 30-39.</w:t>
      </w:r>
    </w:p>
    <w:p w14:paraId="37471EE9" w14:textId="77777777" w:rsidR="004600E3" w:rsidRPr="00E87D19" w:rsidRDefault="004600E3" w:rsidP="00A74D20">
      <w:pPr>
        <w:spacing w:before="0" w:after="480" w:line="360" w:lineRule="auto"/>
        <w:ind w:left="720" w:hanging="720"/>
        <w:jc w:val="both"/>
        <w:rPr>
          <w:rFonts w:cs="Times New Roman"/>
          <w:color w:val="000000" w:themeColor="text1"/>
          <w:szCs w:val="24"/>
          <w:shd w:val="clear" w:color="auto" w:fill="FFFFFF"/>
        </w:rPr>
      </w:pPr>
      <w:r w:rsidRPr="00E87D19">
        <w:rPr>
          <w:rFonts w:cs="Times New Roman"/>
          <w:color w:val="000000" w:themeColor="text1"/>
          <w:szCs w:val="24"/>
          <w:shd w:val="clear" w:color="auto" w:fill="FFFFFF"/>
        </w:rPr>
        <w:lastRenderedPageBreak/>
        <w:t>Yaashikaa, P. R., Devi, M. K., and Kumar, P. S. (2022). Algal biofuels, Technological perspective on cultivation, fuel extraction and engineering genetic pathway for enhancing productivity. </w:t>
      </w:r>
      <w:r w:rsidRPr="00E87D19">
        <w:rPr>
          <w:rFonts w:cs="Times New Roman"/>
          <w:i/>
          <w:iCs/>
          <w:color w:val="000000" w:themeColor="text1"/>
          <w:szCs w:val="24"/>
          <w:shd w:val="clear" w:color="auto" w:fill="FFFFFF"/>
        </w:rPr>
        <w:t>Fuel</w:t>
      </w:r>
      <w:r w:rsidRPr="00E87D19">
        <w:rPr>
          <w:rFonts w:cs="Times New Roman"/>
          <w:color w:val="000000" w:themeColor="text1"/>
          <w:szCs w:val="24"/>
          <w:shd w:val="clear" w:color="auto" w:fill="FFFFFF"/>
        </w:rPr>
        <w:t>, </w:t>
      </w:r>
      <w:r w:rsidRPr="00E87D19">
        <w:rPr>
          <w:rFonts w:cs="Times New Roman"/>
          <w:i/>
          <w:iCs/>
          <w:color w:val="000000" w:themeColor="text1"/>
          <w:szCs w:val="24"/>
          <w:shd w:val="clear" w:color="auto" w:fill="FFFFFF"/>
        </w:rPr>
        <w:t>320</w:t>
      </w:r>
      <w:r w:rsidRPr="00E87D19">
        <w:rPr>
          <w:rFonts w:cs="Times New Roman"/>
          <w:color w:val="000000" w:themeColor="text1"/>
          <w:szCs w:val="24"/>
          <w:shd w:val="clear" w:color="auto" w:fill="FFFFFF"/>
        </w:rPr>
        <w:t>, 123814.</w:t>
      </w:r>
    </w:p>
    <w:p w14:paraId="3E7991FC" w14:textId="77777777" w:rsidR="004600E3" w:rsidRPr="00E87D19" w:rsidRDefault="004600E3" w:rsidP="00A74D20">
      <w:pPr>
        <w:spacing w:before="0" w:after="480" w:line="360" w:lineRule="auto"/>
        <w:ind w:left="720" w:hanging="720"/>
        <w:jc w:val="both"/>
        <w:rPr>
          <w:rFonts w:cs="Times New Roman"/>
          <w:color w:val="000000" w:themeColor="text1"/>
          <w:szCs w:val="24"/>
        </w:rPr>
      </w:pPr>
      <w:r w:rsidRPr="00E87D19">
        <w:rPr>
          <w:rStyle w:val="Strong"/>
          <w:rFonts w:cs="Times New Roman"/>
          <w:b w:val="0"/>
          <w:color w:val="000000" w:themeColor="text1"/>
          <w:szCs w:val="24"/>
        </w:rPr>
        <w:t>Zymo Research Corp.</w:t>
      </w:r>
      <w:r w:rsidRPr="00E87D19">
        <w:rPr>
          <w:rFonts w:cs="Times New Roman"/>
          <w:color w:val="000000" w:themeColor="text1"/>
          <w:szCs w:val="24"/>
        </w:rPr>
        <w:t xml:space="preserve"> (2020). </w:t>
      </w:r>
      <w:r w:rsidRPr="00E87D19">
        <w:rPr>
          <w:rStyle w:val="Emphasis"/>
          <w:rFonts w:cs="Times New Roman"/>
          <w:color w:val="000000" w:themeColor="text1"/>
          <w:szCs w:val="24"/>
        </w:rPr>
        <w:t>ZymoBIOMICS™ DNA Miniprep Kit Protocol</w:t>
      </w:r>
      <w:r w:rsidRPr="00E87D19">
        <w:rPr>
          <w:rFonts w:cs="Times New Roman"/>
          <w:color w:val="000000" w:themeColor="text1"/>
          <w:szCs w:val="24"/>
        </w:rPr>
        <w:t>. Zymo Research.</w:t>
      </w:r>
    </w:p>
    <w:p w14:paraId="61C42713" w14:textId="77777777" w:rsidR="00065147" w:rsidRPr="00E87D19" w:rsidRDefault="00065147" w:rsidP="00A74D20">
      <w:pPr>
        <w:spacing w:after="0" w:line="360" w:lineRule="auto"/>
        <w:jc w:val="both"/>
        <w:rPr>
          <w:rFonts w:eastAsia="Times New Roman" w:cs="Times New Roman"/>
          <w:b/>
          <w:bCs/>
          <w:color w:val="000000" w:themeColor="text1"/>
          <w:szCs w:val="24"/>
        </w:rPr>
      </w:pPr>
    </w:p>
    <w:p w14:paraId="20769529" w14:textId="77777777" w:rsidR="003E0AEF" w:rsidRPr="00E87D19" w:rsidRDefault="003E0AEF" w:rsidP="00A74D20">
      <w:pPr>
        <w:spacing w:line="360" w:lineRule="auto"/>
        <w:rPr>
          <w:rFonts w:cs="Times New Roman"/>
          <w:color w:val="000000" w:themeColor="text1"/>
          <w:szCs w:val="24"/>
        </w:rPr>
      </w:pPr>
    </w:p>
    <w:sectPr w:rsidR="003E0AEF" w:rsidRPr="00E87D19" w:rsidSect="0006514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FA19B0" w14:textId="77777777" w:rsidR="004257BE" w:rsidRDefault="004257BE">
      <w:pPr>
        <w:spacing w:before="0" w:after="0" w:line="240" w:lineRule="auto"/>
      </w:pPr>
      <w:r>
        <w:separator/>
      </w:r>
    </w:p>
  </w:endnote>
  <w:endnote w:type="continuationSeparator" w:id="0">
    <w:p w14:paraId="1BC53E40" w14:textId="77777777" w:rsidR="004257BE" w:rsidRDefault="004257B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6BA6D" w14:textId="77777777" w:rsidR="00EB63A0" w:rsidRDefault="00EB63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277C0" w14:textId="77777777" w:rsidR="00065147" w:rsidRDefault="00065147">
    <w:pPr>
      <w:pStyle w:val="Footer"/>
      <w:jc w:val="center"/>
    </w:pPr>
  </w:p>
  <w:sdt>
    <w:sdtPr>
      <w:id w:val="-598106256"/>
      <w:docPartObj>
        <w:docPartGallery w:val="AutoText"/>
      </w:docPartObj>
    </w:sdtPr>
    <w:sdtContent>
      <w:p w14:paraId="7298C7A1" w14:textId="77777777" w:rsidR="00065147" w:rsidRDefault="00065147">
        <w:pPr>
          <w:pStyle w:val="Footer"/>
          <w:jc w:val="center"/>
        </w:pPr>
        <w:r>
          <w:fldChar w:fldCharType="begin"/>
        </w:r>
        <w:r>
          <w:instrText xml:space="preserve"> PAGE   \* MERGEFORMAT </w:instrText>
        </w:r>
        <w:r>
          <w:fldChar w:fldCharType="separate"/>
        </w:r>
        <w:r>
          <w:rPr>
            <w:noProof/>
          </w:rPr>
          <w:t>20</w:t>
        </w:r>
        <w:r>
          <w:rPr>
            <w:noProof/>
          </w:rPr>
          <w:fldChar w:fldCharType="end"/>
        </w:r>
      </w:p>
    </w:sdtContent>
  </w:sdt>
  <w:p w14:paraId="6A2F653F" w14:textId="77777777" w:rsidR="00065147" w:rsidRDefault="0006514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92805" w14:textId="77777777" w:rsidR="00EB63A0" w:rsidRDefault="00EB63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3EACDF" w14:textId="77777777" w:rsidR="004257BE" w:rsidRDefault="004257BE">
      <w:pPr>
        <w:spacing w:before="0" w:after="0" w:line="240" w:lineRule="auto"/>
      </w:pPr>
      <w:r>
        <w:separator/>
      </w:r>
    </w:p>
  </w:footnote>
  <w:footnote w:type="continuationSeparator" w:id="0">
    <w:p w14:paraId="753EA393" w14:textId="77777777" w:rsidR="004257BE" w:rsidRDefault="004257B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55082" w14:textId="7CBD1B04" w:rsidR="00EB63A0" w:rsidRDefault="00EB63A0">
    <w:pPr>
      <w:pStyle w:val="Header"/>
    </w:pPr>
    <w:r>
      <w:rPr>
        <w:noProof/>
      </w:rPr>
      <w:pict w14:anchorId="1CD0439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2874032" o:spid="_x0000_s1026" type="#_x0000_t136" style="position:absolute;margin-left:0;margin-top:0;width:572.65pt;height:63.6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93945" w14:textId="3F1C1479" w:rsidR="00EB63A0" w:rsidRDefault="00EB63A0">
    <w:pPr>
      <w:pStyle w:val="Header"/>
    </w:pPr>
    <w:r>
      <w:rPr>
        <w:noProof/>
      </w:rPr>
      <w:pict w14:anchorId="5DFC9CE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2874033" o:spid="_x0000_s1027" type="#_x0000_t136" style="position:absolute;margin-left:0;margin-top:0;width:572.65pt;height:63.6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0486E" w14:textId="2215CBB5" w:rsidR="00EB63A0" w:rsidRDefault="00EB63A0">
    <w:pPr>
      <w:pStyle w:val="Header"/>
    </w:pPr>
    <w:r>
      <w:rPr>
        <w:noProof/>
      </w:rPr>
      <w:pict w14:anchorId="7A296B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2874031" o:spid="_x0000_s1025" type="#_x0000_t136" style="position:absolute;margin-left:0;margin-top:0;width:572.65pt;height:63.6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147"/>
    <w:rsid w:val="000267D2"/>
    <w:rsid w:val="00065147"/>
    <w:rsid w:val="000753F4"/>
    <w:rsid w:val="000977DB"/>
    <w:rsid w:val="000B2BB9"/>
    <w:rsid w:val="000C1CCA"/>
    <w:rsid w:val="000E1023"/>
    <w:rsid w:val="000E6EA6"/>
    <w:rsid w:val="000F52C5"/>
    <w:rsid w:val="000F631F"/>
    <w:rsid w:val="0011689F"/>
    <w:rsid w:val="00156F31"/>
    <w:rsid w:val="00167C51"/>
    <w:rsid w:val="00196F0D"/>
    <w:rsid w:val="001A7274"/>
    <w:rsid w:val="001F2BBE"/>
    <w:rsid w:val="00290337"/>
    <w:rsid w:val="002B6B1B"/>
    <w:rsid w:val="003D4DB9"/>
    <w:rsid w:val="003E0AEF"/>
    <w:rsid w:val="00413636"/>
    <w:rsid w:val="004257BE"/>
    <w:rsid w:val="00457654"/>
    <w:rsid w:val="004600E3"/>
    <w:rsid w:val="00475B43"/>
    <w:rsid w:val="00490DD3"/>
    <w:rsid w:val="004E0AE2"/>
    <w:rsid w:val="004F38C0"/>
    <w:rsid w:val="00514FAA"/>
    <w:rsid w:val="005373FB"/>
    <w:rsid w:val="0055396B"/>
    <w:rsid w:val="00570D0D"/>
    <w:rsid w:val="005835D3"/>
    <w:rsid w:val="005A3AFA"/>
    <w:rsid w:val="0062409E"/>
    <w:rsid w:val="0064478B"/>
    <w:rsid w:val="0067782F"/>
    <w:rsid w:val="00685354"/>
    <w:rsid w:val="0068616C"/>
    <w:rsid w:val="006A307F"/>
    <w:rsid w:val="0075537A"/>
    <w:rsid w:val="0079589B"/>
    <w:rsid w:val="00797201"/>
    <w:rsid w:val="007D43F4"/>
    <w:rsid w:val="007E390A"/>
    <w:rsid w:val="007E4D8F"/>
    <w:rsid w:val="007F05B9"/>
    <w:rsid w:val="008A0AA0"/>
    <w:rsid w:val="00922950"/>
    <w:rsid w:val="009246CB"/>
    <w:rsid w:val="00952A46"/>
    <w:rsid w:val="00997867"/>
    <w:rsid w:val="009C2A69"/>
    <w:rsid w:val="009E149F"/>
    <w:rsid w:val="00A338D7"/>
    <w:rsid w:val="00A518B4"/>
    <w:rsid w:val="00A60183"/>
    <w:rsid w:val="00A61DC8"/>
    <w:rsid w:val="00A74D20"/>
    <w:rsid w:val="00AA6AB6"/>
    <w:rsid w:val="00AC0DF0"/>
    <w:rsid w:val="00AC24F5"/>
    <w:rsid w:val="00C17C3C"/>
    <w:rsid w:val="00C463C9"/>
    <w:rsid w:val="00C53A3A"/>
    <w:rsid w:val="00C72330"/>
    <w:rsid w:val="00C8449D"/>
    <w:rsid w:val="00C854D0"/>
    <w:rsid w:val="00CA2FB1"/>
    <w:rsid w:val="00CA4816"/>
    <w:rsid w:val="00CD3409"/>
    <w:rsid w:val="00CE3D5D"/>
    <w:rsid w:val="00D148B0"/>
    <w:rsid w:val="00D522DA"/>
    <w:rsid w:val="00D921D2"/>
    <w:rsid w:val="00DB0D6F"/>
    <w:rsid w:val="00DC6624"/>
    <w:rsid w:val="00E87D19"/>
    <w:rsid w:val="00E92A3D"/>
    <w:rsid w:val="00EB63A0"/>
    <w:rsid w:val="00ED55FC"/>
    <w:rsid w:val="00F04120"/>
    <w:rsid w:val="00F2768A"/>
    <w:rsid w:val="00F4557E"/>
    <w:rsid w:val="00FB7D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metricconverter"/>
  <w:shapeDefaults>
    <o:shapedefaults v:ext="edit" spidmax="2050"/>
    <o:shapelayout v:ext="edit">
      <o:idmap v:ext="edit" data="2"/>
    </o:shapelayout>
  </w:shapeDefaults>
  <w:decimalSymbol w:val="."/>
  <w:listSeparator w:val=","/>
  <w14:docId w14:val="61E53BA5"/>
  <w15:chartTrackingRefBased/>
  <w15:docId w15:val="{1C9A9D4F-82F9-4E6A-80F4-3518FFDEA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5147"/>
    <w:pPr>
      <w:spacing w:before="240" w:after="240" w:line="259" w:lineRule="auto"/>
    </w:pPr>
    <w:rPr>
      <w:rFonts w:ascii="Times New Roman" w:hAnsi="Times New Roman"/>
      <w:kern w:val="0"/>
      <w:szCs w:val="22"/>
      <w14:ligatures w14:val="none"/>
    </w:rPr>
  </w:style>
  <w:style w:type="paragraph" w:styleId="Heading1">
    <w:name w:val="heading 1"/>
    <w:basedOn w:val="Normal"/>
    <w:next w:val="Normal"/>
    <w:link w:val="Heading1Char"/>
    <w:uiPriority w:val="9"/>
    <w:qFormat/>
    <w:rsid w:val="0006514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06514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6514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6514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6514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651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51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51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51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514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06514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6514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6514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6514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651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51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51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5147"/>
    <w:rPr>
      <w:rFonts w:eastAsiaTheme="majorEastAsia" w:cstheme="majorBidi"/>
      <w:color w:val="272727" w:themeColor="text1" w:themeTint="D8"/>
    </w:rPr>
  </w:style>
  <w:style w:type="paragraph" w:styleId="Title">
    <w:name w:val="Title"/>
    <w:basedOn w:val="Normal"/>
    <w:next w:val="Normal"/>
    <w:link w:val="TitleChar"/>
    <w:uiPriority w:val="10"/>
    <w:qFormat/>
    <w:rsid w:val="000651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51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51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51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5147"/>
    <w:pPr>
      <w:spacing w:before="160"/>
      <w:jc w:val="center"/>
    </w:pPr>
    <w:rPr>
      <w:i/>
      <w:iCs/>
      <w:color w:val="404040" w:themeColor="text1" w:themeTint="BF"/>
    </w:rPr>
  </w:style>
  <w:style w:type="character" w:customStyle="1" w:styleId="QuoteChar">
    <w:name w:val="Quote Char"/>
    <w:basedOn w:val="DefaultParagraphFont"/>
    <w:link w:val="Quote"/>
    <w:uiPriority w:val="29"/>
    <w:rsid w:val="00065147"/>
    <w:rPr>
      <w:i/>
      <w:iCs/>
      <w:color w:val="404040" w:themeColor="text1" w:themeTint="BF"/>
    </w:rPr>
  </w:style>
  <w:style w:type="paragraph" w:styleId="ListParagraph">
    <w:name w:val="List Paragraph"/>
    <w:basedOn w:val="Normal"/>
    <w:uiPriority w:val="34"/>
    <w:qFormat/>
    <w:rsid w:val="00065147"/>
    <w:pPr>
      <w:ind w:left="720"/>
      <w:contextualSpacing/>
    </w:pPr>
  </w:style>
  <w:style w:type="character" w:styleId="IntenseEmphasis">
    <w:name w:val="Intense Emphasis"/>
    <w:basedOn w:val="DefaultParagraphFont"/>
    <w:uiPriority w:val="21"/>
    <w:qFormat/>
    <w:rsid w:val="00065147"/>
    <w:rPr>
      <w:i/>
      <w:iCs/>
      <w:color w:val="2F5496" w:themeColor="accent1" w:themeShade="BF"/>
    </w:rPr>
  </w:style>
  <w:style w:type="paragraph" w:styleId="IntenseQuote">
    <w:name w:val="Intense Quote"/>
    <w:basedOn w:val="Normal"/>
    <w:next w:val="Normal"/>
    <w:link w:val="IntenseQuoteChar"/>
    <w:uiPriority w:val="30"/>
    <w:qFormat/>
    <w:rsid w:val="0006514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65147"/>
    <w:rPr>
      <w:i/>
      <w:iCs/>
      <w:color w:val="2F5496" w:themeColor="accent1" w:themeShade="BF"/>
    </w:rPr>
  </w:style>
  <w:style w:type="character" w:styleId="IntenseReference">
    <w:name w:val="Intense Reference"/>
    <w:basedOn w:val="DefaultParagraphFont"/>
    <w:uiPriority w:val="32"/>
    <w:qFormat/>
    <w:rsid w:val="00065147"/>
    <w:rPr>
      <w:b/>
      <w:bCs/>
      <w:smallCaps/>
      <w:color w:val="2F5496" w:themeColor="accent1" w:themeShade="BF"/>
      <w:spacing w:val="5"/>
    </w:rPr>
  </w:style>
  <w:style w:type="character" w:styleId="Emphasis">
    <w:name w:val="Emphasis"/>
    <w:basedOn w:val="DefaultParagraphFont"/>
    <w:uiPriority w:val="20"/>
    <w:qFormat/>
    <w:rsid w:val="00065147"/>
    <w:rPr>
      <w:i/>
      <w:iCs/>
    </w:rPr>
  </w:style>
  <w:style w:type="paragraph" w:styleId="Footer">
    <w:name w:val="footer"/>
    <w:basedOn w:val="Normal"/>
    <w:link w:val="FooterChar"/>
    <w:uiPriority w:val="99"/>
    <w:unhideWhenUsed/>
    <w:rsid w:val="000651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5147"/>
    <w:rPr>
      <w:rFonts w:ascii="Times New Roman" w:hAnsi="Times New Roman"/>
      <w:kern w:val="0"/>
      <w:szCs w:val="22"/>
      <w14:ligatures w14:val="none"/>
    </w:rPr>
  </w:style>
  <w:style w:type="table" w:styleId="TableGrid">
    <w:name w:val="Table Grid"/>
    <w:basedOn w:val="TableNormal"/>
    <w:uiPriority w:val="59"/>
    <w:rsid w:val="00065147"/>
    <w:pPr>
      <w:spacing w:after="0" w:line="240" w:lineRule="auto"/>
    </w:pPr>
    <w:rPr>
      <w:kern w:val="0"/>
      <w:sz w:val="20"/>
      <w:szCs w:val="2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f1">
    <w:name w:val="ff1"/>
    <w:basedOn w:val="DefaultParagraphFont"/>
    <w:rsid w:val="00065147"/>
  </w:style>
  <w:style w:type="character" w:styleId="Strong">
    <w:name w:val="Strong"/>
    <w:basedOn w:val="DefaultParagraphFont"/>
    <w:uiPriority w:val="22"/>
    <w:qFormat/>
    <w:rsid w:val="00065147"/>
    <w:rPr>
      <w:b/>
      <w:bCs/>
    </w:rPr>
  </w:style>
  <w:style w:type="paragraph" w:styleId="NormalWeb">
    <w:name w:val="Normal (Web)"/>
    <w:basedOn w:val="Normal"/>
    <w:uiPriority w:val="99"/>
    <w:unhideWhenUsed/>
    <w:rsid w:val="00065147"/>
    <w:pPr>
      <w:spacing w:before="100" w:beforeAutospacing="1" w:after="100" w:afterAutospacing="1" w:line="240" w:lineRule="auto"/>
    </w:pPr>
    <w:rPr>
      <w:rFonts w:eastAsia="Times New Roman" w:cs="Times New Roman"/>
      <w:szCs w:val="24"/>
    </w:rPr>
  </w:style>
  <w:style w:type="character" w:styleId="Hyperlink">
    <w:name w:val="Hyperlink"/>
    <w:basedOn w:val="DefaultParagraphFont"/>
    <w:uiPriority w:val="99"/>
    <w:unhideWhenUsed/>
    <w:rsid w:val="00065147"/>
    <w:rPr>
      <w:color w:val="0563C1" w:themeColor="hyperlink"/>
      <w:u w:val="single"/>
    </w:rPr>
  </w:style>
  <w:style w:type="character" w:styleId="UnresolvedMention">
    <w:name w:val="Unresolved Mention"/>
    <w:basedOn w:val="DefaultParagraphFont"/>
    <w:uiPriority w:val="99"/>
    <w:semiHidden/>
    <w:unhideWhenUsed/>
    <w:rsid w:val="008A0AA0"/>
    <w:rPr>
      <w:color w:val="605E5C"/>
      <w:shd w:val="clear" w:color="auto" w:fill="E1DFDD"/>
    </w:rPr>
  </w:style>
  <w:style w:type="paragraph" w:styleId="Header">
    <w:name w:val="header"/>
    <w:basedOn w:val="Normal"/>
    <w:link w:val="HeaderChar"/>
    <w:uiPriority w:val="99"/>
    <w:unhideWhenUsed/>
    <w:rsid w:val="00EB63A0"/>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B63A0"/>
    <w:rPr>
      <w:rFonts w:ascii="Times New Roman" w:hAnsi="Times New Roman"/>
      <w:kern w:val="0"/>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jpeg"/><Relationship Id="rId18" Type="http://schemas.openxmlformats.org/officeDocument/2006/relationships/image" Target="media/image6.jpeg"/><Relationship Id="rId3" Type="http://schemas.openxmlformats.org/officeDocument/2006/relationships/webSettings" Target="webSettings.xml"/><Relationship Id="rId21" Type="http://schemas.openxmlformats.org/officeDocument/2006/relationships/image" Target="media/image9.jpeg"/><Relationship Id="rId7" Type="http://schemas.openxmlformats.org/officeDocument/2006/relationships/header" Target="header2.xml"/><Relationship Id="rId12" Type="http://schemas.openxmlformats.org/officeDocument/2006/relationships/image" Target="media/image1.jpeg"/><Relationship Id="rId17" Type="http://schemas.openxmlformats.org/officeDocument/2006/relationships/chart" Target="charts/chart1.xml"/><Relationship Id="rId2" Type="http://schemas.openxmlformats.org/officeDocument/2006/relationships/settings" Target="settings.xml"/><Relationship Id="rId16" Type="http://schemas.openxmlformats.org/officeDocument/2006/relationships/image" Target="media/image5.emf"/><Relationship Id="rId20" Type="http://schemas.openxmlformats.org/officeDocument/2006/relationships/image" Target="media/image8.jpeg"/><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image" Target="media/image4.jpeg"/><Relationship Id="rId23" Type="http://schemas.openxmlformats.org/officeDocument/2006/relationships/theme" Target="theme/theme1.xml"/><Relationship Id="rId10" Type="http://schemas.openxmlformats.org/officeDocument/2006/relationships/header" Target="header3.xml"/><Relationship Id="rId19" Type="http://schemas.openxmlformats.org/officeDocument/2006/relationships/image" Target="media/image7.jpeg"/><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image" Target="media/image3.jpeg"/><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ownloads\MUJEE%20RESULT%20GRAPH.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solidFill>
                  <a:schemeClr val="tx1"/>
                </a:solidFill>
              </a:rPr>
              <a:t>Growth of</a:t>
            </a:r>
            <a:r>
              <a:rPr lang="en-US" b="1" baseline="0">
                <a:solidFill>
                  <a:schemeClr val="tx1"/>
                </a:solidFill>
              </a:rPr>
              <a:t> </a:t>
            </a:r>
            <a:r>
              <a:rPr lang="en-US" b="1" i="1" baseline="0">
                <a:solidFill>
                  <a:schemeClr val="tx1"/>
                </a:solidFill>
              </a:rPr>
              <a:t>Cholorella</a:t>
            </a:r>
            <a:r>
              <a:rPr lang="en-US" b="1" baseline="0">
                <a:solidFill>
                  <a:schemeClr val="tx1"/>
                </a:solidFill>
              </a:rPr>
              <a:t> </a:t>
            </a:r>
            <a:r>
              <a:rPr lang="en-US" b="1" i="1" baseline="0">
                <a:solidFill>
                  <a:schemeClr val="tx1"/>
                </a:solidFill>
              </a:rPr>
              <a:t>species</a:t>
            </a:r>
            <a:r>
              <a:rPr lang="en-US" b="1" baseline="0">
                <a:solidFill>
                  <a:schemeClr val="tx1"/>
                </a:solidFill>
              </a:rPr>
              <a:t> in different growth media</a:t>
            </a:r>
            <a:endParaRPr lang="en-US" b="1">
              <a:solidFill>
                <a:schemeClr val="tx1"/>
              </a:solidFill>
            </a:endParaRPr>
          </a:p>
        </c:rich>
      </c:tx>
      <c:overlay val="0"/>
      <c:spPr>
        <a:noFill/>
        <a:ln>
          <a:noFill/>
        </a:ln>
        <a:effectLst/>
      </c:spPr>
    </c:title>
    <c:autoTitleDeleted val="0"/>
    <c:plotArea>
      <c:layout/>
      <c:lineChart>
        <c:grouping val="standard"/>
        <c:varyColors val="0"/>
        <c:ser>
          <c:idx val="0"/>
          <c:order val="0"/>
          <c:tx>
            <c:strRef>
              <c:f>Sheet1!$D$25</c:f>
              <c:strCache>
                <c:ptCount val="1"/>
                <c:pt idx="0">
                  <c:v>Days</c:v>
                </c:pt>
              </c:strCache>
            </c:strRef>
          </c:tx>
          <c:spPr>
            <a:ln w="28575" cap="rnd">
              <a:solidFill>
                <a:schemeClr val="accent1"/>
              </a:solidFill>
              <a:round/>
            </a:ln>
            <a:effectLst/>
          </c:spPr>
          <c:marker>
            <c:symbol val="none"/>
          </c:marker>
          <c:val>
            <c:numRef>
              <c:f>Sheet1!$D$26:$D$47</c:f>
              <c:numCache>
                <c:formatCode>General</c:formatCode>
                <c:ptCount val="22"/>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numCache>
            </c:numRef>
          </c:val>
          <c:smooth val="0"/>
          <c:extLst>
            <c:ext xmlns:c16="http://schemas.microsoft.com/office/drawing/2014/chart" uri="{C3380CC4-5D6E-409C-BE32-E72D297353CC}">
              <c16:uniqueId val="{00000000-7DD2-4013-93BB-2B2A17CBF787}"/>
            </c:ext>
          </c:extLst>
        </c:ser>
        <c:ser>
          <c:idx val="1"/>
          <c:order val="1"/>
          <c:tx>
            <c:strRef>
              <c:f>Sheet1!$E$25</c:f>
              <c:strCache>
                <c:ptCount val="1"/>
                <c:pt idx="0">
                  <c:v>BG11 average</c:v>
                </c:pt>
              </c:strCache>
            </c:strRef>
          </c:tx>
          <c:spPr>
            <a:ln w="28575" cap="rnd">
              <a:solidFill>
                <a:schemeClr val="accent2"/>
              </a:solidFill>
              <a:round/>
            </a:ln>
            <a:effectLst/>
          </c:spPr>
          <c:marker>
            <c:symbol val="none"/>
          </c:marker>
          <c:val>
            <c:numRef>
              <c:f>Sheet1!$E$26:$E$47</c:f>
              <c:numCache>
                <c:formatCode>General</c:formatCode>
                <c:ptCount val="22"/>
                <c:pt idx="0">
                  <c:v>0.1</c:v>
                </c:pt>
                <c:pt idx="1">
                  <c:v>0.22600000000000001</c:v>
                </c:pt>
                <c:pt idx="2">
                  <c:v>0.40300000000000002</c:v>
                </c:pt>
                <c:pt idx="3">
                  <c:v>0.7330000000000001</c:v>
                </c:pt>
                <c:pt idx="4">
                  <c:v>0.96700000000000008</c:v>
                </c:pt>
                <c:pt idx="5">
                  <c:v>1.31</c:v>
                </c:pt>
                <c:pt idx="6">
                  <c:v>1.837</c:v>
                </c:pt>
                <c:pt idx="7">
                  <c:v>2.4</c:v>
                </c:pt>
                <c:pt idx="8">
                  <c:v>3.82</c:v>
                </c:pt>
                <c:pt idx="9">
                  <c:v>5.1669999999999989</c:v>
                </c:pt>
                <c:pt idx="10">
                  <c:v>7.71</c:v>
                </c:pt>
                <c:pt idx="11">
                  <c:v>9.8630000000000031</c:v>
                </c:pt>
                <c:pt idx="12">
                  <c:v>17.75</c:v>
                </c:pt>
                <c:pt idx="13">
                  <c:v>25.402999999999995</c:v>
                </c:pt>
                <c:pt idx="14">
                  <c:v>34</c:v>
                </c:pt>
                <c:pt idx="15">
                  <c:v>35.397000000000006</c:v>
                </c:pt>
                <c:pt idx="16">
                  <c:v>35.449999999999996</c:v>
                </c:pt>
                <c:pt idx="17">
                  <c:v>35.477000000000004</c:v>
                </c:pt>
                <c:pt idx="18">
                  <c:v>35.486999999999995</c:v>
                </c:pt>
                <c:pt idx="19">
                  <c:v>35.497</c:v>
                </c:pt>
                <c:pt idx="20">
                  <c:v>35.494</c:v>
                </c:pt>
                <c:pt idx="21">
                  <c:v>35.483999999999995</c:v>
                </c:pt>
              </c:numCache>
            </c:numRef>
          </c:val>
          <c:smooth val="0"/>
          <c:extLst>
            <c:ext xmlns:c16="http://schemas.microsoft.com/office/drawing/2014/chart" uri="{C3380CC4-5D6E-409C-BE32-E72D297353CC}">
              <c16:uniqueId val="{00000001-7DD2-4013-93BB-2B2A17CBF787}"/>
            </c:ext>
          </c:extLst>
        </c:ser>
        <c:ser>
          <c:idx val="2"/>
          <c:order val="2"/>
          <c:tx>
            <c:strRef>
              <c:f>Sheet1!$F$25</c:f>
              <c:strCache>
                <c:ptCount val="1"/>
                <c:pt idx="0">
                  <c:v>Broth average</c:v>
                </c:pt>
              </c:strCache>
            </c:strRef>
          </c:tx>
          <c:spPr>
            <a:ln w="28575" cap="rnd">
              <a:solidFill>
                <a:schemeClr val="accent3"/>
              </a:solidFill>
              <a:round/>
            </a:ln>
            <a:effectLst/>
          </c:spPr>
          <c:marker>
            <c:symbol val="none"/>
          </c:marker>
          <c:val>
            <c:numRef>
              <c:f>Sheet1!$F$26:$F$47</c:f>
              <c:numCache>
                <c:formatCode>General</c:formatCode>
                <c:ptCount val="22"/>
                <c:pt idx="0">
                  <c:v>0.1</c:v>
                </c:pt>
                <c:pt idx="1">
                  <c:v>0.193</c:v>
                </c:pt>
                <c:pt idx="2">
                  <c:v>0.37000000000000005</c:v>
                </c:pt>
                <c:pt idx="3">
                  <c:v>0.6170000000000001</c:v>
                </c:pt>
                <c:pt idx="4">
                  <c:v>0.77300000000000013</c:v>
                </c:pt>
                <c:pt idx="5">
                  <c:v>0.91</c:v>
                </c:pt>
                <c:pt idx="6">
                  <c:v>1.337</c:v>
                </c:pt>
                <c:pt idx="7">
                  <c:v>1.823</c:v>
                </c:pt>
                <c:pt idx="8">
                  <c:v>2.613</c:v>
                </c:pt>
                <c:pt idx="9">
                  <c:v>3.7770000000000001</c:v>
                </c:pt>
                <c:pt idx="10">
                  <c:v>5.35</c:v>
                </c:pt>
                <c:pt idx="11">
                  <c:v>7.38</c:v>
                </c:pt>
                <c:pt idx="12">
                  <c:v>9.2030000000000012</c:v>
                </c:pt>
                <c:pt idx="13">
                  <c:v>13.663</c:v>
                </c:pt>
                <c:pt idx="14">
                  <c:v>18.523</c:v>
                </c:pt>
                <c:pt idx="15">
                  <c:v>19.479999999999997</c:v>
                </c:pt>
                <c:pt idx="16">
                  <c:v>19.556000000000001</c:v>
                </c:pt>
                <c:pt idx="17">
                  <c:v>19.66</c:v>
                </c:pt>
                <c:pt idx="18">
                  <c:v>19.652999999999999</c:v>
                </c:pt>
                <c:pt idx="19">
                  <c:v>19.640999999999995</c:v>
                </c:pt>
                <c:pt idx="20">
                  <c:v>19.626999999999999</c:v>
                </c:pt>
                <c:pt idx="21">
                  <c:v>19.610000000000003</c:v>
                </c:pt>
              </c:numCache>
            </c:numRef>
          </c:val>
          <c:smooth val="0"/>
          <c:extLst>
            <c:ext xmlns:c16="http://schemas.microsoft.com/office/drawing/2014/chart" uri="{C3380CC4-5D6E-409C-BE32-E72D297353CC}">
              <c16:uniqueId val="{00000002-7DD2-4013-93BB-2B2A17CBF787}"/>
            </c:ext>
          </c:extLst>
        </c:ser>
        <c:ser>
          <c:idx val="3"/>
          <c:order val="3"/>
          <c:tx>
            <c:strRef>
              <c:f>Sheet1!$G$25</c:f>
              <c:strCache>
                <c:ptCount val="1"/>
                <c:pt idx="0">
                  <c:v>NPK average</c:v>
                </c:pt>
              </c:strCache>
            </c:strRef>
          </c:tx>
          <c:spPr>
            <a:ln w="28575" cap="rnd">
              <a:solidFill>
                <a:schemeClr val="accent4"/>
              </a:solidFill>
              <a:round/>
            </a:ln>
            <a:effectLst/>
          </c:spPr>
          <c:marker>
            <c:symbol val="none"/>
          </c:marker>
          <c:val>
            <c:numRef>
              <c:f>Sheet1!$G$26:$G$47</c:f>
              <c:numCache>
                <c:formatCode>General</c:formatCode>
                <c:ptCount val="22"/>
                <c:pt idx="0">
                  <c:v>0.1</c:v>
                </c:pt>
                <c:pt idx="1">
                  <c:v>0.12000000000000001</c:v>
                </c:pt>
                <c:pt idx="2">
                  <c:v>0.27</c:v>
                </c:pt>
                <c:pt idx="3">
                  <c:v>0.40700000000000003</c:v>
                </c:pt>
                <c:pt idx="4">
                  <c:v>0.62300000000000011</c:v>
                </c:pt>
                <c:pt idx="5">
                  <c:v>0.7370000000000001</c:v>
                </c:pt>
                <c:pt idx="6">
                  <c:v>0.95000000000000007</c:v>
                </c:pt>
                <c:pt idx="7">
                  <c:v>1.2229999999999999</c:v>
                </c:pt>
                <c:pt idx="8">
                  <c:v>1.7969999999999997</c:v>
                </c:pt>
                <c:pt idx="9">
                  <c:v>2.7029999999999998</c:v>
                </c:pt>
                <c:pt idx="10">
                  <c:v>3.3969999999999994</c:v>
                </c:pt>
                <c:pt idx="11">
                  <c:v>4.1929999999999987</c:v>
                </c:pt>
                <c:pt idx="12">
                  <c:v>4.87</c:v>
                </c:pt>
                <c:pt idx="13">
                  <c:v>5.6829999999999989</c:v>
                </c:pt>
                <c:pt idx="14">
                  <c:v>7.173</c:v>
                </c:pt>
                <c:pt idx="15">
                  <c:v>7.2669999999999995</c:v>
                </c:pt>
                <c:pt idx="16">
                  <c:v>7.3199999999999994</c:v>
                </c:pt>
                <c:pt idx="17">
                  <c:v>7.31</c:v>
                </c:pt>
                <c:pt idx="18">
                  <c:v>7.2930000000000001</c:v>
                </c:pt>
                <c:pt idx="19">
                  <c:v>7.2930000000000001</c:v>
                </c:pt>
                <c:pt idx="20">
                  <c:v>7.2830000000000004</c:v>
                </c:pt>
                <c:pt idx="21">
                  <c:v>7.26</c:v>
                </c:pt>
              </c:numCache>
            </c:numRef>
          </c:val>
          <c:smooth val="0"/>
          <c:extLst>
            <c:ext xmlns:c16="http://schemas.microsoft.com/office/drawing/2014/chart" uri="{C3380CC4-5D6E-409C-BE32-E72D297353CC}">
              <c16:uniqueId val="{00000003-7DD2-4013-93BB-2B2A17CBF787}"/>
            </c:ext>
          </c:extLst>
        </c:ser>
        <c:dLbls>
          <c:showLegendKey val="0"/>
          <c:showVal val="0"/>
          <c:showCatName val="0"/>
          <c:showSerName val="0"/>
          <c:showPercent val="0"/>
          <c:showBubbleSize val="0"/>
        </c:dLbls>
        <c:smooth val="0"/>
        <c:axId val="240121864"/>
        <c:axId val="240124216"/>
      </c:lineChart>
      <c:catAx>
        <c:axId val="24012186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solidFill>
                      <a:schemeClr val="tx1"/>
                    </a:solidFill>
                  </a:rPr>
                  <a:t>3</a:t>
                </a:r>
              </a:p>
            </c:rich>
          </c:tx>
          <c:overlay val="0"/>
          <c:spPr>
            <a:noFill/>
            <a:ln>
              <a:noFill/>
            </a:ln>
            <a:effectLst/>
          </c:spPr>
        </c:title>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0124216"/>
        <c:crosses val="autoZero"/>
        <c:auto val="1"/>
        <c:lblAlgn val="ctr"/>
        <c:lblOffset val="100"/>
        <c:noMultiLvlLbl val="0"/>
      </c:catAx>
      <c:valAx>
        <c:axId val="240124216"/>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solidFill>
                      <a:schemeClr val="tx1"/>
                    </a:solidFill>
                  </a:rPr>
                  <a:t>Growth</a:t>
                </a:r>
                <a:r>
                  <a:rPr lang="en-US" b="1" baseline="0">
                    <a:solidFill>
                      <a:schemeClr val="tx1"/>
                    </a:solidFill>
                  </a:rPr>
                  <a:t> rate in </a:t>
                </a:r>
                <a:r>
                  <a:rPr lang="en-US" sz="1000" b="1" i="0" u="none" strike="noStrike" kern="1200" baseline="0">
                    <a:solidFill>
                      <a:schemeClr val="tx1"/>
                    </a:solidFill>
                    <a:latin typeface="+mn-lt"/>
                    <a:ea typeface="+mn-ea"/>
                    <a:cs typeface="+mn-cs"/>
                  </a:rPr>
                  <a:t>u (day⁻¹)</a:t>
                </a:r>
                <a:endParaRPr lang="en-US" b="1">
                  <a:solidFill>
                    <a:schemeClr val="tx1"/>
                  </a:solidFill>
                </a:endParaRPr>
              </a:p>
            </c:rich>
          </c:tx>
          <c:overlay val="0"/>
          <c:spPr>
            <a:noFill/>
            <a:ln>
              <a:noFill/>
            </a:ln>
            <a:effectLst/>
          </c:sp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0121864"/>
        <c:crosses val="autoZero"/>
        <c:crossBetween val="between"/>
      </c:valAx>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428</TotalTime>
  <Pages>32</Pages>
  <Words>7998</Words>
  <Characters>45589</Characters>
  <Application>Microsoft Office Word</Application>
  <DocSecurity>0</DocSecurity>
  <Lines>379</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HomePC</dc:creator>
  <cp:keywords/>
  <dc:description/>
  <cp:lastModifiedBy>SDI 1084</cp:lastModifiedBy>
  <cp:revision>59</cp:revision>
  <dcterms:created xsi:type="dcterms:W3CDTF">2026-06-06T21:12:00Z</dcterms:created>
  <dcterms:modified xsi:type="dcterms:W3CDTF">2026-06-17T13:31:00Z</dcterms:modified>
</cp:coreProperties>
</file>