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341E9" w14:textId="33FB534A" w:rsidR="0078179C" w:rsidRPr="00E01E59" w:rsidRDefault="00E01E59" w:rsidP="00E01E59">
      <w:pPr>
        <w:spacing w:line="360" w:lineRule="auto"/>
        <w:jc w:val="center"/>
        <w:rPr>
          <w:rFonts w:ascii="Times New Roman" w:hAnsi="Times New Roman" w:cs="Times New Roman"/>
          <w:b/>
          <w:bCs/>
          <w:sz w:val="28"/>
          <w:szCs w:val="28"/>
        </w:rPr>
      </w:pPr>
      <w:r w:rsidRPr="00E01E59">
        <w:rPr>
          <w:rFonts w:ascii="Times New Roman" w:hAnsi="Times New Roman" w:cs="Times New Roman"/>
          <w:b/>
          <w:bCs/>
          <w:sz w:val="28"/>
          <w:szCs w:val="28"/>
          <w:highlight w:val="yellow"/>
        </w:rPr>
        <w:t xml:space="preserve">Immunomodulatory Effects of Ethanolic Rhizome Extracts of </w:t>
      </w:r>
      <w:r w:rsidRPr="00E01E59">
        <w:rPr>
          <w:rFonts w:ascii="Times New Roman" w:hAnsi="Times New Roman" w:cs="Times New Roman"/>
          <w:b/>
          <w:bCs/>
          <w:sz w:val="28"/>
          <w:szCs w:val="28"/>
          <w:highlight w:val="yellow"/>
        </w:rPr>
        <w:br/>
      </w:r>
      <w:r w:rsidR="0078179C" w:rsidRPr="00E01E59">
        <w:rPr>
          <w:rFonts w:ascii="Times New Roman" w:hAnsi="Times New Roman" w:cs="Times New Roman"/>
          <w:b/>
          <w:bCs/>
          <w:i/>
          <w:iCs/>
          <w:sz w:val="28"/>
          <w:szCs w:val="28"/>
          <w:highlight w:val="yellow"/>
        </w:rPr>
        <w:t>Drynaria quercifolia</w:t>
      </w:r>
      <w:r w:rsidR="0078179C" w:rsidRPr="00E01E59">
        <w:rPr>
          <w:rFonts w:ascii="Times New Roman" w:hAnsi="Times New Roman" w:cs="Times New Roman"/>
          <w:b/>
          <w:bCs/>
          <w:sz w:val="28"/>
          <w:szCs w:val="28"/>
          <w:highlight w:val="yellow"/>
        </w:rPr>
        <w:t xml:space="preserve"> </w:t>
      </w:r>
      <w:r w:rsidR="00890D32" w:rsidRPr="00E01E59">
        <w:rPr>
          <w:rFonts w:ascii="Times New Roman" w:hAnsi="Times New Roman" w:cs="Times New Roman"/>
          <w:b/>
          <w:bCs/>
          <w:sz w:val="28"/>
          <w:szCs w:val="28"/>
          <w:highlight w:val="yellow"/>
        </w:rPr>
        <w:t xml:space="preserve">(L.) J. Sm </w:t>
      </w:r>
      <w:r w:rsidR="0078179C" w:rsidRPr="00E01E59">
        <w:rPr>
          <w:rFonts w:ascii="Times New Roman" w:hAnsi="Times New Roman" w:cs="Times New Roman"/>
          <w:b/>
          <w:bCs/>
          <w:sz w:val="28"/>
          <w:szCs w:val="28"/>
          <w:highlight w:val="yellow"/>
        </w:rPr>
        <w:t xml:space="preserve">and </w:t>
      </w:r>
      <w:r w:rsidR="0078179C" w:rsidRPr="00E01E59">
        <w:rPr>
          <w:rFonts w:ascii="Times New Roman" w:hAnsi="Times New Roman" w:cs="Times New Roman"/>
          <w:b/>
          <w:bCs/>
          <w:i/>
          <w:iCs/>
          <w:sz w:val="28"/>
          <w:szCs w:val="28"/>
          <w:highlight w:val="yellow"/>
        </w:rPr>
        <w:t>Curcuma aeruginosa</w:t>
      </w:r>
      <w:r w:rsidR="0078179C" w:rsidRPr="00E01E59">
        <w:rPr>
          <w:rFonts w:ascii="Times New Roman" w:hAnsi="Times New Roman" w:cs="Times New Roman"/>
          <w:b/>
          <w:bCs/>
          <w:sz w:val="28"/>
          <w:szCs w:val="28"/>
          <w:highlight w:val="yellow"/>
        </w:rPr>
        <w:t xml:space="preserve"> </w:t>
      </w:r>
      <w:r w:rsidR="00890D32" w:rsidRPr="00E01E59">
        <w:rPr>
          <w:rFonts w:ascii="Times New Roman" w:hAnsi="Times New Roman" w:cs="Times New Roman"/>
          <w:b/>
          <w:bCs/>
          <w:sz w:val="28"/>
          <w:szCs w:val="28"/>
          <w:highlight w:val="yellow"/>
        </w:rPr>
        <w:t>Roxb.</w:t>
      </w:r>
      <w:r w:rsidR="00215269" w:rsidRPr="00E01E59">
        <w:rPr>
          <w:rFonts w:ascii="Times New Roman" w:hAnsi="Times New Roman" w:cs="Times New Roman"/>
          <w:b/>
          <w:bCs/>
          <w:sz w:val="28"/>
          <w:szCs w:val="28"/>
          <w:highlight w:val="yellow"/>
        </w:rPr>
        <w:t xml:space="preserve"> </w:t>
      </w:r>
      <w:r w:rsidRPr="00E01E59">
        <w:rPr>
          <w:rFonts w:ascii="Times New Roman" w:hAnsi="Times New Roman" w:cs="Times New Roman"/>
          <w:b/>
          <w:bCs/>
          <w:sz w:val="28"/>
          <w:szCs w:val="28"/>
          <w:highlight w:val="yellow"/>
        </w:rPr>
        <w:t xml:space="preserve">on Inflammatory Gene Expression in Non- Induced </w:t>
      </w:r>
      <w:r w:rsidR="0078179C" w:rsidRPr="00E01E59">
        <w:rPr>
          <w:rFonts w:ascii="Times New Roman" w:hAnsi="Times New Roman" w:cs="Times New Roman"/>
          <w:b/>
          <w:bCs/>
          <w:sz w:val="28"/>
          <w:szCs w:val="28"/>
          <w:highlight w:val="yellow"/>
        </w:rPr>
        <w:t>THP-1 Monocytes</w:t>
      </w:r>
    </w:p>
    <w:p w14:paraId="3BCF3032" w14:textId="77777777" w:rsidR="00693029" w:rsidRDefault="00693029" w:rsidP="00693029">
      <w:pPr>
        <w:spacing w:line="360" w:lineRule="auto"/>
        <w:jc w:val="both"/>
        <w:rPr>
          <w:rFonts w:ascii="Times New Roman" w:eastAsia="Calibri" w:hAnsi="Times New Roman" w:cs="Times New Roman"/>
          <w:b/>
          <w:bCs/>
          <w:sz w:val="24"/>
          <w:szCs w:val="24"/>
        </w:rPr>
      </w:pPr>
      <w:r w:rsidRPr="000C4438">
        <w:rPr>
          <w:rFonts w:ascii="Times New Roman" w:eastAsia="Calibri" w:hAnsi="Times New Roman" w:cs="Times New Roman"/>
          <w:b/>
          <w:bCs/>
          <w:sz w:val="24"/>
          <w:szCs w:val="24"/>
        </w:rPr>
        <w:t>Abstract</w:t>
      </w:r>
    </w:p>
    <w:p w14:paraId="1678BB32" w14:textId="3C1D20F0" w:rsidR="00693029" w:rsidRPr="00DD63A9" w:rsidRDefault="00693029" w:rsidP="00693029">
      <w:pPr>
        <w:spacing w:line="360" w:lineRule="auto"/>
        <w:ind w:firstLine="720"/>
        <w:jc w:val="both"/>
        <w:rPr>
          <w:rFonts w:ascii="Times New Roman" w:eastAsia="Calibri" w:hAnsi="Times New Roman" w:cs="Times New Roman"/>
          <w:sz w:val="24"/>
          <w:szCs w:val="24"/>
        </w:rPr>
      </w:pPr>
      <w:r w:rsidRPr="00DD63A9">
        <w:rPr>
          <w:rFonts w:ascii="Times New Roman" w:eastAsia="Calibri" w:hAnsi="Times New Roman" w:cs="Times New Roman"/>
          <w:sz w:val="24"/>
          <w:szCs w:val="24"/>
        </w:rPr>
        <w:t xml:space="preserve">Macrophages play a central role in the inflammatory processes associated with gout, particularly through the production of pro-inflammatory cytokines in response to monosodium urate (MSU) crystals. The present study investigated the cellular immunomodulatory effects of ethanolic rhizome extracts of </w:t>
      </w:r>
      <w:r w:rsidRPr="00DD63A9">
        <w:rPr>
          <w:rFonts w:ascii="Times New Roman" w:eastAsia="Calibri" w:hAnsi="Times New Roman" w:cs="Times New Roman"/>
          <w:i/>
          <w:iCs/>
          <w:sz w:val="24"/>
          <w:szCs w:val="24"/>
        </w:rPr>
        <w:t>Drynaria quercifolia</w:t>
      </w:r>
      <w:r w:rsidRPr="00DD63A9">
        <w:rPr>
          <w:rFonts w:ascii="Times New Roman" w:eastAsia="Calibri" w:hAnsi="Times New Roman" w:cs="Times New Roman"/>
          <w:sz w:val="24"/>
          <w:szCs w:val="24"/>
        </w:rPr>
        <w:t xml:space="preserve"> and </w:t>
      </w:r>
      <w:r w:rsidRPr="00DD63A9">
        <w:rPr>
          <w:rFonts w:ascii="Times New Roman" w:eastAsia="Calibri" w:hAnsi="Times New Roman" w:cs="Times New Roman"/>
          <w:i/>
          <w:iCs/>
          <w:sz w:val="24"/>
          <w:szCs w:val="24"/>
        </w:rPr>
        <w:t>Curcuma aeruginosa</w:t>
      </w:r>
      <w:r w:rsidRPr="00DD63A9">
        <w:rPr>
          <w:rFonts w:ascii="Times New Roman" w:eastAsia="Calibri" w:hAnsi="Times New Roman" w:cs="Times New Roman"/>
          <w:sz w:val="24"/>
          <w:szCs w:val="24"/>
        </w:rPr>
        <w:t xml:space="preserve"> using a human </w:t>
      </w:r>
      <w:r>
        <w:rPr>
          <w:rFonts w:ascii="Times New Roman" w:eastAsia="Calibri" w:hAnsi="Times New Roman" w:cs="Times New Roman"/>
          <w:sz w:val="24"/>
          <w:szCs w:val="24"/>
        </w:rPr>
        <w:br/>
      </w:r>
      <w:r w:rsidRPr="00DD63A9">
        <w:rPr>
          <w:rFonts w:ascii="Times New Roman" w:eastAsia="Calibri" w:hAnsi="Times New Roman" w:cs="Times New Roman"/>
          <w:sz w:val="24"/>
          <w:szCs w:val="24"/>
        </w:rPr>
        <w:t>THP-1 monocytic cell model under non-induced conditions. Cytocompatibility was first assessed using the MTT assay, and sub-cytotoxic concentrations were selected for downstream analysis. Both extracts exhibited concentration-dependent cytotoxicity, with IC₅₀ values of 40.94 µg/mL and 48.18 µg/mL, respectively.</w:t>
      </w:r>
      <w:r>
        <w:rPr>
          <w:rFonts w:ascii="Times New Roman" w:eastAsia="Calibri" w:hAnsi="Times New Roman" w:cs="Times New Roman"/>
          <w:sz w:val="24"/>
          <w:szCs w:val="24"/>
        </w:rPr>
        <w:t xml:space="preserve"> </w:t>
      </w:r>
      <w:r w:rsidRPr="00DD63A9">
        <w:rPr>
          <w:rFonts w:ascii="Times New Roman" w:eastAsia="Calibri" w:hAnsi="Times New Roman" w:cs="Times New Roman"/>
          <w:sz w:val="24"/>
          <w:szCs w:val="24"/>
        </w:rPr>
        <w:t xml:space="preserve">At a sub-cytotoxic concentration (20 µg/mL), the transcriptional modulation of key inflammatory mediators, including TNF-α, IL-6, COX-2, and iNOS, was evaluated using RT-qPCR. Both extracts significantly downregulated TNF-α, IL-6, and COX-2 expression relative to untreated controls. In contrast, iNOS expression was upregulated, with a more pronounced effect observed for </w:t>
      </w:r>
      <w:r w:rsidRPr="00DD63A9">
        <w:rPr>
          <w:rFonts w:ascii="Times New Roman" w:eastAsia="Calibri" w:hAnsi="Times New Roman" w:cs="Times New Roman"/>
          <w:i/>
          <w:iCs/>
          <w:sz w:val="24"/>
          <w:szCs w:val="24"/>
        </w:rPr>
        <w:t>D. quercifolia</w:t>
      </w:r>
      <w:r w:rsidRPr="00DD63A9">
        <w:rPr>
          <w:rFonts w:ascii="Times New Roman" w:eastAsia="Calibri" w:hAnsi="Times New Roman" w:cs="Times New Roman"/>
          <w:sz w:val="24"/>
          <w:szCs w:val="24"/>
        </w:rPr>
        <w:t>. These findings indicate a differential regulation of inflammatory gene expression in THP-1 cells under basal conditions.</w:t>
      </w:r>
      <w:r>
        <w:rPr>
          <w:rFonts w:ascii="Times New Roman" w:eastAsia="Calibri" w:hAnsi="Times New Roman" w:cs="Times New Roman"/>
          <w:sz w:val="24"/>
          <w:szCs w:val="24"/>
        </w:rPr>
        <w:t xml:space="preserve"> Thus</w:t>
      </w:r>
      <w:r w:rsidRPr="00DD63A9">
        <w:rPr>
          <w:rFonts w:ascii="Times New Roman" w:eastAsia="Calibri" w:hAnsi="Times New Roman" w:cs="Times New Roman"/>
          <w:sz w:val="24"/>
          <w:szCs w:val="24"/>
        </w:rPr>
        <w:t xml:space="preserve">, the results suggest that the rhizome extracts exhibit intrinsic immunomodulatory activity rather than direct anti-inflammatory effects in the absence of external inflammatory stimulation. </w:t>
      </w:r>
      <w:r w:rsidR="00124B33" w:rsidRPr="00124B33">
        <w:rPr>
          <w:rFonts w:ascii="Times New Roman" w:eastAsia="Calibri" w:hAnsi="Times New Roman" w:cs="Times New Roman"/>
          <w:sz w:val="24"/>
          <w:szCs w:val="24"/>
          <w:highlight w:val="yellow"/>
        </w:rPr>
        <w:t>This study provides preliminary evidence that these rhizome extracts possess intrinsic immunomodulatory activity in non-induced THP-1 monocytes and warrant further investigation in disease-relevant inflammatory models.</w:t>
      </w:r>
    </w:p>
    <w:p w14:paraId="30B2219D" w14:textId="55E049BE" w:rsidR="00693029" w:rsidRPr="000C4438" w:rsidRDefault="00693029" w:rsidP="00693029">
      <w:pPr>
        <w:spacing w:line="360" w:lineRule="auto"/>
        <w:jc w:val="both"/>
        <w:rPr>
          <w:rFonts w:ascii="Times New Roman" w:eastAsia="Calibri" w:hAnsi="Times New Roman" w:cs="Times New Roman"/>
          <w:sz w:val="24"/>
          <w:szCs w:val="24"/>
        </w:rPr>
      </w:pPr>
      <w:r w:rsidRPr="000C4438">
        <w:rPr>
          <w:rFonts w:ascii="Times New Roman" w:eastAsia="Calibri" w:hAnsi="Times New Roman" w:cs="Times New Roman"/>
          <w:b/>
          <w:bCs/>
          <w:sz w:val="24"/>
          <w:szCs w:val="24"/>
        </w:rPr>
        <w:t>Keywords:</w:t>
      </w:r>
      <w:r w:rsidRPr="000C4438">
        <w:rPr>
          <w:rFonts w:ascii="Times New Roman" w:eastAsia="Calibri" w:hAnsi="Times New Roman" w:cs="Times New Roman"/>
          <w:sz w:val="24"/>
          <w:szCs w:val="24"/>
        </w:rPr>
        <w:br/>
        <w:t>THP</w:t>
      </w:r>
      <w:r w:rsidR="00124B33">
        <w:rPr>
          <w:rFonts w:ascii="Times New Roman" w:eastAsia="Calibri" w:hAnsi="Times New Roman" w:cs="Times New Roman"/>
          <w:sz w:val="24"/>
          <w:szCs w:val="24"/>
        </w:rPr>
        <w:t>-1 cells</w:t>
      </w:r>
      <w:r w:rsidR="00124B33" w:rsidRPr="00124B33">
        <w:rPr>
          <w:rFonts w:ascii="Times New Roman" w:eastAsia="Calibri" w:hAnsi="Times New Roman" w:cs="Times New Roman"/>
          <w:sz w:val="24"/>
          <w:szCs w:val="24"/>
          <w:highlight w:val="yellow"/>
        </w:rPr>
        <w:t>, immunomodulation, inflammatory gene expression</w:t>
      </w:r>
      <w:r w:rsidR="00124B33" w:rsidRPr="00124B33">
        <w:rPr>
          <w:rFonts w:ascii="Times New Roman" w:eastAsia="Calibri" w:hAnsi="Times New Roman" w:cs="Times New Roman"/>
          <w:sz w:val="24"/>
          <w:szCs w:val="24"/>
        </w:rPr>
        <w:t xml:space="preserve">, </w:t>
      </w:r>
      <w:r w:rsidRPr="000C4438">
        <w:rPr>
          <w:rFonts w:ascii="Times New Roman" w:eastAsia="Calibri" w:hAnsi="Times New Roman" w:cs="Times New Roman"/>
          <w:sz w:val="24"/>
          <w:szCs w:val="24"/>
        </w:rPr>
        <w:t xml:space="preserve">cytokine modulation, </w:t>
      </w:r>
      <w:r w:rsidR="00111271" w:rsidRPr="00111271">
        <w:rPr>
          <w:rFonts w:ascii="Times New Roman" w:eastAsia="Calibri" w:hAnsi="Times New Roman" w:cs="Times New Roman"/>
          <w:sz w:val="24"/>
          <w:szCs w:val="24"/>
        </w:rPr>
        <w:t>Macrophages</w:t>
      </w:r>
      <w:r w:rsidR="00111271">
        <w:rPr>
          <w:rFonts w:ascii="Times New Roman" w:eastAsia="Calibri" w:hAnsi="Times New Roman" w:cs="Times New Roman"/>
          <w:sz w:val="24"/>
          <w:szCs w:val="24"/>
        </w:rPr>
        <w:t xml:space="preserve">, </w:t>
      </w:r>
      <w:r w:rsidR="00111271" w:rsidRPr="00111271">
        <w:rPr>
          <w:rFonts w:ascii="Times New Roman" w:eastAsia="Calibri" w:hAnsi="Times New Roman" w:cs="Times New Roman"/>
          <w:sz w:val="24"/>
          <w:szCs w:val="24"/>
        </w:rPr>
        <w:t>Ethanolic Rhizome Extracts</w:t>
      </w:r>
    </w:p>
    <w:p w14:paraId="3CC06392" w14:textId="77777777" w:rsidR="00693029" w:rsidRDefault="00693029" w:rsidP="000C4438">
      <w:pPr>
        <w:rPr>
          <w:rFonts w:ascii="Times New Roman" w:hAnsi="Times New Roman" w:cs="Times New Roman"/>
          <w:b/>
          <w:bCs/>
          <w:sz w:val="28"/>
          <w:szCs w:val="28"/>
        </w:rPr>
      </w:pPr>
    </w:p>
    <w:p w14:paraId="5B145D3C" w14:textId="77777777" w:rsidR="00BE3C69" w:rsidRDefault="00BE3C69" w:rsidP="008B550C">
      <w:pPr>
        <w:rPr>
          <w:rFonts w:ascii="Times New Roman" w:hAnsi="Times New Roman" w:cs="Times New Roman"/>
          <w:b/>
          <w:bCs/>
          <w:sz w:val="28"/>
          <w:szCs w:val="28"/>
        </w:rPr>
      </w:pPr>
    </w:p>
    <w:p w14:paraId="3749BC83" w14:textId="77777777" w:rsidR="00BE3C69" w:rsidRDefault="00BE3C69" w:rsidP="008B550C">
      <w:pPr>
        <w:rPr>
          <w:rFonts w:ascii="Times New Roman" w:hAnsi="Times New Roman" w:cs="Times New Roman"/>
          <w:b/>
          <w:bCs/>
          <w:sz w:val="28"/>
          <w:szCs w:val="28"/>
        </w:rPr>
      </w:pPr>
    </w:p>
    <w:p w14:paraId="4B5756F0" w14:textId="77777777" w:rsidR="008B550C" w:rsidRPr="008B550C" w:rsidRDefault="00431B63" w:rsidP="008B550C">
      <w:pPr>
        <w:rPr>
          <w:rFonts w:ascii="Times New Roman" w:hAnsi="Times New Roman" w:cs="Times New Roman"/>
          <w:b/>
          <w:bCs/>
          <w:sz w:val="28"/>
          <w:szCs w:val="28"/>
        </w:rPr>
      </w:pPr>
      <w:r>
        <w:rPr>
          <w:rFonts w:ascii="Times New Roman" w:hAnsi="Times New Roman" w:cs="Times New Roman"/>
          <w:b/>
          <w:bCs/>
          <w:sz w:val="28"/>
          <w:szCs w:val="28"/>
        </w:rPr>
        <w:lastRenderedPageBreak/>
        <w:t>1.</w:t>
      </w:r>
      <w:r w:rsidRPr="008B550C">
        <w:rPr>
          <w:rFonts w:ascii="Times New Roman" w:hAnsi="Times New Roman" w:cs="Times New Roman"/>
          <w:b/>
          <w:bCs/>
          <w:sz w:val="28"/>
          <w:szCs w:val="28"/>
        </w:rPr>
        <w:t xml:space="preserve"> Introduction</w:t>
      </w:r>
    </w:p>
    <w:p w14:paraId="70AF06EE" w14:textId="5EF99E97" w:rsidR="008B550C" w:rsidRDefault="008B550C" w:rsidP="00616200">
      <w:pPr>
        <w:pStyle w:val="NormalWeb"/>
        <w:spacing w:line="360" w:lineRule="auto"/>
        <w:ind w:firstLine="720"/>
        <w:jc w:val="both"/>
      </w:pPr>
      <w:r>
        <w:t>Monocytes and macrophages play a central role in the innate immune system by regulating inflammatory responses through the production of cytokines, chemokines and other inflammatory mediators. These immune cells function as key regulators of host defense, tissue repair and inflammatory signaling pathways. Upon activation, macrophages produce pro-inflammatory mediators such as tumor necrosis factor-α (TNF-α), interleukin-6 (IL-6), inducible nitric oxide synthase (iNOS) and other cytokines that orchestrate inflammatory responses and immune regulation. Dysregulation of these mediators is associated with various inflammatory and metabolic diseases,</w:t>
      </w:r>
      <w:r w:rsidR="00124B33" w:rsidRPr="00124B33">
        <w:rPr>
          <w:rFonts w:asciiTheme="minorHAnsi" w:eastAsiaTheme="minorHAnsi" w:hAnsiTheme="minorHAnsi" w:cstheme="minorBidi"/>
          <w:sz w:val="22"/>
          <w:szCs w:val="22"/>
          <w:lang w:bidi="ar-SA"/>
        </w:rPr>
        <w:t xml:space="preserve"> </w:t>
      </w:r>
      <w:r w:rsidR="00124B33" w:rsidRPr="00124B33">
        <w:rPr>
          <w:highlight w:val="yellow"/>
        </w:rPr>
        <w:t>making monocytes and macrophages</w:t>
      </w:r>
      <w:r w:rsidR="00124B33" w:rsidRPr="00124B33">
        <w:t xml:space="preserve"> important cellular targets</w:t>
      </w:r>
      <w:r>
        <w:t xml:space="preserve"> for investigating anti-inflammatory agents (Chen </w:t>
      </w:r>
      <w:r w:rsidRPr="008B550C">
        <w:rPr>
          <w:i/>
          <w:iCs/>
        </w:rPr>
        <w:t>et al.,</w:t>
      </w:r>
      <w:r>
        <w:t xml:space="preserve"> 2023).</w:t>
      </w:r>
    </w:p>
    <w:p w14:paraId="05A9DF30" w14:textId="77777777" w:rsidR="008B550C" w:rsidRDefault="008B550C" w:rsidP="00616200">
      <w:pPr>
        <w:pStyle w:val="NormalWeb"/>
        <w:spacing w:line="360" w:lineRule="auto"/>
        <w:ind w:firstLine="720"/>
        <w:jc w:val="both"/>
      </w:pPr>
      <w:r>
        <w:t>To investigate macrophage-mediated inflammatory mechanisms</w:t>
      </w:r>
      <w:r w:rsidRPr="00616200">
        <w:rPr>
          <w:b/>
          <w:bCs/>
        </w:rPr>
        <w:t xml:space="preserve">, </w:t>
      </w:r>
      <w:r w:rsidRPr="00616200">
        <w:rPr>
          <w:rStyle w:val="Strong"/>
          <w:b w:val="0"/>
          <w:bCs w:val="0"/>
          <w:i/>
          <w:iCs/>
        </w:rPr>
        <w:t>in-vitro</w:t>
      </w:r>
      <w:r w:rsidRPr="00616200">
        <w:rPr>
          <w:rStyle w:val="Strong"/>
          <w:b w:val="0"/>
          <w:bCs w:val="0"/>
        </w:rPr>
        <w:t xml:space="preserve"> cell culture models</w:t>
      </w:r>
      <w:r>
        <w:t xml:space="preserve"> are widely used because they provide controlled systems for evaluating cellular responses to bioactive compounds. Among the available monocytic models, the human THP-1 cell line, derived from acute monocytic leukemia (Tsuchiya </w:t>
      </w:r>
      <w:r w:rsidRPr="008B550C">
        <w:rPr>
          <w:i/>
          <w:iCs/>
        </w:rPr>
        <w:t>et al.,</w:t>
      </w:r>
      <w:r>
        <w:t xml:space="preserve"> 1980), is one of the most extensively used experimental models for studying macrophage biology, immune signaling pathways and inflammatory mediator production. THP-1 cells exhibit many functional characteristics of human monocytes and macrophages and therefore provide a reliable model for investigating immune modulation and inflammatory signaling in vitro (Chanput </w:t>
      </w:r>
      <w:r w:rsidRPr="008B550C">
        <w:rPr>
          <w:i/>
          <w:iCs/>
        </w:rPr>
        <w:t>et al.,</w:t>
      </w:r>
      <w:r>
        <w:t xml:space="preserve"> 2014). THP-1 monocytic cells can also differentiate into macrophage-like cells and are widely used to study macrophage polarization, cytokine production, and inflammatory responses associated with immune disorders including gout (Zhao </w:t>
      </w:r>
      <w:r w:rsidRPr="008B550C">
        <w:rPr>
          <w:i/>
          <w:iCs/>
        </w:rPr>
        <w:t>et al.,</w:t>
      </w:r>
      <w:r>
        <w:t xml:space="preserve"> 2022).</w:t>
      </w:r>
    </w:p>
    <w:p w14:paraId="60E3D854" w14:textId="6F38804F" w:rsidR="008B550C" w:rsidRDefault="008B550C" w:rsidP="00616200">
      <w:pPr>
        <w:pStyle w:val="NormalWeb"/>
        <w:spacing w:line="360" w:lineRule="auto"/>
        <w:ind w:firstLine="720"/>
        <w:jc w:val="both"/>
      </w:pPr>
      <w:r>
        <w:t>Gout is a crystal-induced auto</w:t>
      </w:r>
      <w:r w:rsidR="001F4F38">
        <w:t>-</w:t>
      </w:r>
      <w:r>
        <w:t xml:space="preserve">inflammatory disorder characterized by the deposition of monosodium urate (MSU) crystals in synovial joints, which triggers a rapid innate immune-mediated inflammatory response involving macrophages and neutrophils (Steiger </w:t>
      </w:r>
      <w:r w:rsidRPr="00616200">
        <w:rPr>
          <w:i/>
          <w:iCs/>
        </w:rPr>
        <w:t>et al.,</w:t>
      </w:r>
      <w:r>
        <w:t xml:space="preserve"> 2014). Macrophages recognize MSU crystals and initiate downstream inflammatory signaling pathways that lead to the production of cytokines and inflammatory mediators responsible for acute gouty inflammation (So &amp; Martinon, 2017).</w:t>
      </w:r>
      <w:r w:rsidR="00F657D4" w:rsidRPr="00F657D4">
        <w:rPr>
          <w:rFonts w:asciiTheme="minorHAnsi" w:eastAsiaTheme="minorHAnsi" w:hAnsiTheme="minorHAnsi" w:cstheme="minorBidi"/>
          <w:sz w:val="22"/>
          <w:szCs w:val="22"/>
          <w:lang w:bidi="ar-SA"/>
        </w:rPr>
        <w:t xml:space="preserve"> </w:t>
      </w:r>
      <w:r w:rsidR="00F657D4" w:rsidRPr="00F657D4">
        <w:rPr>
          <w:highlight w:val="yellow"/>
        </w:rPr>
        <w:t>However, the present study employed non-induced THP-1 monocytes and was not designed to model MSU-induced gout inflammation.</w:t>
      </w:r>
    </w:p>
    <w:p w14:paraId="1FEEE895" w14:textId="77777777" w:rsidR="000070CB" w:rsidRDefault="000070CB" w:rsidP="00616200">
      <w:pPr>
        <w:pStyle w:val="NormalWeb"/>
        <w:spacing w:line="360" w:lineRule="auto"/>
        <w:ind w:firstLine="720"/>
        <w:jc w:val="both"/>
      </w:pPr>
      <w:r w:rsidRPr="000070CB">
        <w:lastRenderedPageBreak/>
        <w:t xml:space="preserve">TNF-α and IL-6 are key pro-inflammatory cytokines produced by activated macrophages that play central roles in initiating and amplifying inflammatory responses in immune-mediated disorders (Chen </w:t>
      </w:r>
      <w:r w:rsidRPr="000070CB">
        <w:rPr>
          <w:i/>
          <w:iCs/>
        </w:rPr>
        <w:t>et al.,</w:t>
      </w:r>
      <w:r w:rsidRPr="000070CB">
        <w:t xml:space="preserve"> 2006; So &amp; Martinon, 2017). COX-2 and inducible nitric oxide synthase (iNOS) are critical inflammatory enzymes responsible for prostaglandin and nitric oxide production, respectively, both of which contribute to the propagation of inflammatory signaling and tissue injury (Ricciotti &amp; FitzGerald, 2011). Therefore, evaluating the transcriptional mo</w:t>
      </w:r>
      <w:r>
        <w:t xml:space="preserve">dulation of TNF-α, IL-6, COX-2 </w:t>
      </w:r>
      <w:r w:rsidRPr="000070CB">
        <w:t xml:space="preserve">and iNOS provides a reliable molecular framework for assessing the immunomodulatory and anti-inflammatory potential of bioactive compounds in macrophage-based cell models (Chanput </w:t>
      </w:r>
      <w:r w:rsidRPr="000070CB">
        <w:rPr>
          <w:i/>
          <w:iCs/>
        </w:rPr>
        <w:t>et al.,</w:t>
      </w:r>
      <w:r w:rsidRPr="000070CB">
        <w:t xml:space="preserve"> 2014).</w:t>
      </w:r>
    </w:p>
    <w:p w14:paraId="2B5D5C58" w14:textId="77777777" w:rsidR="00616200" w:rsidRPr="00616200" w:rsidRDefault="00616200" w:rsidP="00616200">
      <w:pPr>
        <w:pStyle w:val="NormalWeb"/>
        <w:spacing w:line="360" w:lineRule="auto"/>
        <w:ind w:firstLine="720"/>
        <w:jc w:val="both"/>
      </w:pPr>
      <w:r w:rsidRPr="00616200">
        <w:t xml:space="preserve">The use of non-induced THP-1 cell models provides an important platform for evaluating the intrinsic cytocompatibility and basal immunomodulatory effects of bioactive compounds under physiological conditions. Unlike stimulated inflammatory models, non-induced systems allow the assessment of whether test compounds inherently promote or suppress inflammatory signaling pathways without interference from external inflammatory stimuli. This approach enables the evaluation of basal inflammatory priming or suppression and helps identify the intrinsic pro- or anti-inflammatory bias of bioactive substances. Consequently, THP-1 cells maintained under non-induced conditions serve as a controlled innate immune model for determining whether plant extracts intrinsically activate or suppress macrophage-mediated inflammatory signaling under non-pathological conditions (Chanput </w:t>
      </w:r>
      <w:r w:rsidRPr="00616200">
        <w:rPr>
          <w:i/>
          <w:iCs/>
        </w:rPr>
        <w:t>et al.,</w:t>
      </w:r>
      <w:r w:rsidRPr="00616200">
        <w:t xml:space="preserve"> 2014; Park </w:t>
      </w:r>
      <w:r w:rsidRPr="00616200">
        <w:rPr>
          <w:i/>
          <w:iCs/>
        </w:rPr>
        <w:t>et al.,</w:t>
      </w:r>
      <w:r w:rsidRPr="00616200">
        <w:t xml:space="preserve"> 2007; Lund </w:t>
      </w:r>
      <w:r w:rsidRPr="00616200">
        <w:rPr>
          <w:i/>
          <w:iCs/>
        </w:rPr>
        <w:t>et al.,</w:t>
      </w:r>
      <w:r w:rsidRPr="00616200">
        <w:t xml:space="preserve"> 2016).</w:t>
      </w:r>
    </w:p>
    <w:p w14:paraId="37AC68FF" w14:textId="77777777" w:rsidR="00616200" w:rsidRDefault="00616200" w:rsidP="00616200">
      <w:pPr>
        <w:pStyle w:val="NormalWeb"/>
        <w:spacing w:line="360" w:lineRule="auto"/>
        <w:ind w:firstLine="720"/>
        <w:jc w:val="both"/>
      </w:pPr>
      <w:r w:rsidRPr="00616200">
        <w:t xml:space="preserve">Medicinal plants represent an important source of bioactive compounds with anti-inflammatory and immunomodulatory properties, as numerous plant-derived secondary metabolites such as phenolics, flavonoids, alkaloids, and terpenoids have been shown to modulate inflammatory signaling pathways and cytokine production in immune cells (Pan </w:t>
      </w:r>
      <w:r w:rsidRPr="00616200">
        <w:rPr>
          <w:i/>
          <w:iCs/>
        </w:rPr>
        <w:t>et al.,</w:t>
      </w:r>
      <w:r w:rsidRPr="00616200">
        <w:t xml:space="preserve"> 2010; Newman &amp; Cragg, 2020; Atanasov </w:t>
      </w:r>
      <w:r w:rsidRPr="00616200">
        <w:rPr>
          <w:i/>
          <w:iCs/>
        </w:rPr>
        <w:t>et al.,</w:t>
      </w:r>
      <w:r w:rsidRPr="00616200">
        <w:t xml:space="preserve"> 2021).</w:t>
      </w:r>
    </w:p>
    <w:p w14:paraId="6C44CDFC" w14:textId="1E458A50" w:rsidR="008B550C" w:rsidRDefault="00616200" w:rsidP="00616200">
      <w:pPr>
        <w:pStyle w:val="NormalWeb"/>
        <w:spacing w:line="360" w:lineRule="auto"/>
        <w:ind w:firstLine="720"/>
        <w:jc w:val="both"/>
      </w:pPr>
      <w:r w:rsidRPr="00616200">
        <w:t xml:space="preserve">Our previous studies demonstrated that </w:t>
      </w:r>
      <w:r w:rsidRPr="00616200">
        <w:rPr>
          <w:i/>
          <w:iCs/>
        </w:rPr>
        <w:t>Drynaria quercifolia</w:t>
      </w:r>
      <w:r w:rsidRPr="00616200">
        <w:t xml:space="preserve"> and </w:t>
      </w:r>
      <w:r w:rsidRPr="00616200">
        <w:rPr>
          <w:i/>
          <w:iCs/>
        </w:rPr>
        <w:t>Curcuma aeruginosa</w:t>
      </w:r>
      <w:r w:rsidRPr="00616200">
        <w:t xml:space="preserve"> rhizomes exhibit significant antioxidant and anti-gout potential through xanthine oxidase inhibition and membrane stabilization mechanisms (Narthanaa </w:t>
      </w:r>
      <w:r w:rsidRPr="00616200">
        <w:rPr>
          <w:i/>
          <w:iCs/>
        </w:rPr>
        <w:t>et al</w:t>
      </w:r>
      <w:r>
        <w:t>.,</w:t>
      </w:r>
      <w:r w:rsidRPr="00616200">
        <w:t xml:space="preserve"> 2025).</w:t>
      </w:r>
      <w:r w:rsidR="00297F14" w:rsidRPr="00297F14">
        <w:rPr>
          <w:rFonts w:asciiTheme="minorHAnsi" w:eastAsiaTheme="minorHAnsi" w:hAnsiTheme="minorHAnsi" w:cstheme="minorBidi"/>
          <w:sz w:val="22"/>
          <w:szCs w:val="22"/>
          <w:lang w:bidi="ar-SA"/>
        </w:rPr>
        <w:t xml:space="preserve"> </w:t>
      </w:r>
      <w:r w:rsidR="00297F14" w:rsidRPr="00297F14">
        <w:rPr>
          <w:highlight w:val="yellow"/>
        </w:rPr>
        <w:t>However, the effects of these extracts on inflammatory gene regulatio</w:t>
      </w:r>
      <w:r w:rsidR="00297F14">
        <w:rPr>
          <w:highlight w:val="yellow"/>
        </w:rPr>
        <w:t>n, including TNF-α, IL-6, COX-2</w:t>
      </w:r>
      <w:r w:rsidR="00297F14" w:rsidRPr="00297F14">
        <w:rPr>
          <w:highlight w:val="yellow"/>
        </w:rPr>
        <w:t xml:space="preserve"> and iNOS </w:t>
      </w:r>
      <w:r w:rsidR="00297F14" w:rsidRPr="00297F14">
        <w:rPr>
          <w:highlight w:val="yellow"/>
        </w:rPr>
        <w:lastRenderedPageBreak/>
        <w:t>expression in THP-1 monocytes, remain unexplored</w:t>
      </w:r>
      <w:r w:rsidRPr="00616200">
        <w:t>, thereby necessitating investigation using macrophage-based THP-1 cell models.</w:t>
      </w:r>
    </w:p>
    <w:p w14:paraId="269F241A" w14:textId="717F12AA" w:rsidR="008B550C" w:rsidRPr="000070CB" w:rsidRDefault="000070CB" w:rsidP="000070CB">
      <w:pPr>
        <w:spacing w:line="360" w:lineRule="auto"/>
        <w:ind w:firstLine="720"/>
        <w:jc w:val="both"/>
        <w:rPr>
          <w:rFonts w:ascii="Times New Roman" w:hAnsi="Times New Roman" w:cs="Times New Roman"/>
          <w:sz w:val="24"/>
          <w:szCs w:val="24"/>
        </w:rPr>
      </w:pPr>
      <w:r w:rsidRPr="000070CB">
        <w:rPr>
          <w:rFonts w:ascii="Times New Roman" w:hAnsi="Times New Roman" w:cs="Times New Roman"/>
          <w:sz w:val="24"/>
          <w:szCs w:val="24"/>
        </w:rPr>
        <w:t>Therefore, the present study was designed to elucidate the c</w:t>
      </w:r>
      <w:r w:rsidR="0029278A">
        <w:rPr>
          <w:rFonts w:ascii="Times New Roman" w:hAnsi="Times New Roman" w:cs="Times New Roman"/>
          <w:sz w:val="24"/>
          <w:szCs w:val="24"/>
        </w:rPr>
        <w:t>ellular immunomodulatory</w:t>
      </w:r>
      <w:r w:rsidRPr="000070CB">
        <w:rPr>
          <w:rFonts w:ascii="Times New Roman" w:hAnsi="Times New Roman" w:cs="Times New Roman"/>
          <w:sz w:val="24"/>
          <w:szCs w:val="24"/>
        </w:rPr>
        <w:t xml:space="preserve"> potential of ethanolic extracts of </w:t>
      </w:r>
      <w:r w:rsidRPr="000070CB">
        <w:rPr>
          <w:rFonts w:ascii="Times New Roman" w:hAnsi="Times New Roman" w:cs="Times New Roman"/>
          <w:i/>
          <w:iCs/>
          <w:sz w:val="24"/>
          <w:szCs w:val="24"/>
        </w:rPr>
        <w:t>Drynaria quercifolia</w:t>
      </w:r>
      <w:r w:rsidRPr="000070CB">
        <w:rPr>
          <w:rFonts w:ascii="Times New Roman" w:hAnsi="Times New Roman" w:cs="Times New Roman"/>
          <w:sz w:val="24"/>
          <w:szCs w:val="24"/>
        </w:rPr>
        <w:t xml:space="preserve"> and </w:t>
      </w:r>
      <w:r w:rsidRPr="000070CB">
        <w:rPr>
          <w:rFonts w:ascii="Times New Roman" w:hAnsi="Times New Roman" w:cs="Times New Roman"/>
          <w:i/>
          <w:iCs/>
          <w:sz w:val="24"/>
          <w:szCs w:val="24"/>
        </w:rPr>
        <w:t>Curcuma aeruginosa</w:t>
      </w:r>
      <w:r w:rsidRPr="000070CB">
        <w:rPr>
          <w:rFonts w:ascii="Times New Roman" w:hAnsi="Times New Roman" w:cs="Times New Roman"/>
          <w:sz w:val="24"/>
          <w:szCs w:val="24"/>
        </w:rPr>
        <w:t xml:space="preserve"> rhizomes using a non-induced THP-1 monocytic cell model. The cytocompatibility of the extracts was first evaluated using the MTT assay, followed by investigation of their effects on the transcriptional regulation of key </w:t>
      </w:r>
      <w:r w:rsidRPr="00F657D4">
        <w:rPr>
          <w:rFonts w:ascii="Times New Roman" w:hAnsi="Times New Roman" w:cs="Times New Roman"/>
          <w:sz w:val="24"/>
          <w:szCs w:val="24"/>
          <w:highlight w:val="yellow"/>
        </w:rPr>
        <w:t>inflammatory mediators</w:t>
      </w:r>
      <w:r>
        <w:rPr>
          <w:rFonts w:ascii="Times New Roman" w:hAnsi="Times New Roman" w:cs="Times New Roman"/>
          <w:sz w:val="24"/>
          <w:szCs w:val="24"/>
        </w:rPr>
        <w:t>, including TNF-α, IL-6, COX-2</w:t>
      </w:r>
      <w:r w:rsidRPr="000070CB">
        <w:rPr>
          <w:rFonts w:ascii="Times New Roman" w:hAnsi="Times New Roman" w:cs="Times New Roman"/>
          <w:sz w:val="24"/>
          <w:szCs w:val="24"/>
        </w:rPr>
        <w:t xml:space="preserve"> and inducible nitric oxide synthase (iNOS), through RT-qPCR analysis.</w:t>
      </w:r>
    </w:p>
    <w:p w14:paraId="4238AE1F" w14:textId="77777777" w:rsidR="00731238" w:rsidRPr="000070CB" w:rsidRDefault="000070CB" w:rsidP="000070CB">
      <w:pPr>
        <w:spacing w:line="360" w:lineRule="auto"/>
        <w:jc w:val="both"/>
        <w:rPr>
          <w:rFonts w:ascii="Times New Roman" w:hAnsi="Times New Roman" w:cs="Times New Roman"/>
          <w:b/>
          <w:bCs/>
          <w:sz w:val="24"/>
          <w:szCs w:val="24"/>
        </w:rPr>
      </w:pPr>
      <w:r w:rsidRPr="000070CB">
        <w:rPr>
          <w:rFonts w:ascii="Times New Roman" w:hAnsi="Times New Roman" w:cs="Times New Roman"/>
          <w:b/>
          <w:bCs/>
          <w:sz w:val="24"/>
          <w:szCs w:val="24"/>
        </w:rPr>
        <w:t>2. Materials and Methods</w:t>
      </w:r>
    </w:p>
    <w:p w14:paraId="137CA957" w14:textId="77777777" w:rsidR="000070CB" w:rsidRPr="000070CB" w:rsidRDefault="000070CB" w:rsidP="000070CB">
      <w:pPr>
        <w:spacing w:line="360" w:lineRule="auto"/>
        <w:jc w:val="both"/>
        <w:rPr>
          <w:rFonts w:ascii="Times New Roman" w:hAnsi="Times New Roman" w:cs="Times New Roman"/>
          <w:b/>
          <w:bCs/>
        </w:rPr>
      </w:pPr>
      <w:r w:rsidRPr="000070CB">
        <w:rPr>
          <w:rFonts w:ascii="Times New Roman" w:hAnsi="Times New Roman" w:cs="Times New Roman"/>
          <w:b/>
          <w:bCs/>
          <w:sz w:val="24"/>
          <w:szCs w:val="24"/>
        </w:rPr>
        <w:t>2.1</w:t>
      </w:r>
      <w:r>
        <w:rPr>
          <w:rFonts w:ascii="Times New Roman" w:hAnsi="Times New Roman" w:cs="Times New Roman"/>
          <w:sz w:val="24"/>
          <w:szCs w:val="24"/>
        </w:rPr>
        <w:t xml:space="preserve"> </w:t>
      </w:r>
      <w:r w:rsidRPr="000070CB">
        <w:rPr>
          <w:rFonts w:ascii="Times New Roman" w:hAnsi="Times New Roman" w:cs="Times New Roman"/>
          <w:b/>
          <w:bCs/>
        </w:rPr>
        <w:t>Collection and Extraction of Plant Materials</w:t>
      </w:r>
    </w:p>
    <w:p w14:paraId="30792C6C" w14:textId="77777777" w:rsidR="000070CB" w:rsidRDefault="000070CB" w:rsidP="000070CB">
      <w:pPr>
        <w:spacing w:line="360" w:lineRule="auto"/>
        <w:ind w:firstLine="720"/>
        <w:jc w:val="both"/>
        <w:rPr>
          <w:rFonts w:ascii="Times New Roman" w:hAnsi="Times New Roman" w:cs="Times New Roman"/>
          <w:sz w:val="24"/>
          <w:szCs w:val="24"/>
        </w:rPr>
      </w:pPr>
      <w:r w:rsidRPr="000070CB">
        <w:rPr>
          <w:rFonts w:ascii="Times New Roman" w:hAnsi="Times New Roman" w:cs="Times New Roman"/>
          <w:sz w:val="24"/>
          <w:szCs w:val="24"/>
        </w:rPr>
        <w:t xml:space="preserve">Rhizomes of </w:t>
      </w:r>
      <w:r w:rsidRPr="000070CB">
        <w:rPr>
          <w:rFonts w:ascii="Times New Roman" w:hAnsi="Times New Roman" w:cs="Times New Roman"/>
          <w:i/>
          <w:iCs/>
          <w:sz w:val="24"/>
          <w:szCs w:val="24"/>
        </w:rPr>
        <w:t>Drynaria quercifolia</w:t>
      </w:r>
      <w:r w:rsidRPr="000070CB">
        <w:rPr>
          <w:rFonts w:ascii="Times New Roman" w:hAnsi="Times New Roman" w:cs="Times New Roman"/>
          <w:sz w:val="24"/>
          <w:szCs w:val="24"/>
        </w:rPr>
        <w:t xml:space="preserve"> were collected from Kolli Hills, Tamil Nadu, India, and rhizomes of </w:t>
      </w:r>
      <w:r w:rsidRPr="000070CB">
        <w:rPr>
          <w:rFonts w:ascii="Times New Roman" w:hAnsi="Times New Roman" w:cs="Times New Roman"/>
          <w:i/>
          <w:iCs/>
          <w:sz w:val="24"/>
          <w:szCs w:val="24"/>
        </w:rPr>
        <w:t>Curcuma aeruginosa</w:t>
      </w:r>
      <w:r w:rsidRPr="000070CB">
        <w:rPr>
          <w:rFonts w:ascii="Times New Roman" w:hAnsi="Times New Roman" w:cs="Times New Roman"/>
          <w:sz w:val="24"/>
          <w:szCs w:val="24"/>
        </w:rPr>
        <w:t xml:space="preserve"> were procured from the Beltola Bazaar</w:t>
      </w:r>
      <w:r w:rsidR="00DD63A9">
        <w:rPr>
          <w:rFonts w:ascii="Times New Roman" w:hAnsi="Times New Roman" w:cs="Times New Roman"/>
          <w:sz w:val="24"/>
          <w:szCs w:val="24"/>
        </w:rPr>
        <w:t xml:space="preserve"> herbal market, Guwahati, Assam</w:t>
      </w:r>
      <w:r w:rsidRPr="000070CB">
        <w:rPr>
          <w:rFonts w:ascii="Times New Roman" w:hAnsi="Times New Roman" w:cs="Times New Roman"/>
          <w:sz w:val="24"/>
          <w:szCs w:val="24"/>
        </w:rPr>
        <w:t xml:space="preserve"> and authenticated by the Botanical Survey of India, Southern Circle, Coimbatore. The shade-dried rhizomes were powdered and subjected to Soxhlet extraction using ethanol as the solvent. The extracts were filtered, concentrated under reduced pressure using a rotary vacuum evaporator, and stored at 4 °C until further use following the procedure described in our previous study (Narthanaa </w:t>
      </w:r>
      <w:r w:rsidRPr="000070CB">
        <w:rPr>
          <w:rFonts w:ascii="Times New Roman" w:hAnsi="Times New Roman" w:cs="Times New Roman"/>
          <w:i/>
          <w:iCs/>
          <w:sz w:val="24"/>
          <w:szCs w:val="24"/>
        </w:rPr>
        <w:t>et al.,</w:t>
      </w:r>
      <w:r w:rsidRPr="000070CB">
        <w:rPr>
          <w:rFonts w:ascii="Times New Roman" w:hAnsi="Times New Roman" w:cs="Times New Roman"/>
          <w:sz w:val="24"/>
          <w:szCs w:val="24"/>
        </w:rPr>
        <w:t xml:space="preserve"> 2025).</w:t>
      </w:r>
    </w:p>
    <w:p w14:paraId="33A9FF74" w14:textId="77777777" w:rsidR="000070CB" w:rsidRPr="000070CB" w:rsidRDefault="000070CB" w:rsidP="000070CB">
      <w:pPr>
        <w:spacing w:line="360" w:lineRule="auto"/>
        <w:jc w:val="both"/>
        <w:rPr>
          <w:rFonts w:ascii="Times New Roman" w:hAnsi="Times New Roman" w:cs="Times New Roman"/>
          <w:b/>
          <w:bCs/>
          <w:sz w:val="24"/>
          <w:szCs w:val="24"/>
        </w:rPr>
      </w:pPr>
      <w:r w:rsidRPr="000070CB">
        <w:rPr>
          <w:rFonts w:ascii="Times New Roman" w:hAnsi="Times New Roman" w:cs="Times New Roman"/>
          <w:b/>
          <w:bCs/>
          <w:sz w:val="24"/>
          <w:szCs w:val="24"/>
        </w:rPr>
        <w:t>2.2</w:t>
      </w:r>
      <w:r>
        <w:rPr>
          <w:rFonts w:ascii="Times New Roman" w:hAnsi="Times New Roman" w:cs="Times New Roman"/>
          <w:sz w:val="24"/>
          <w:szCs w:val="24"/>
        </w:rPr>
        <w:t xml:space="preserve"> </w:t>
      </w:r>
      <w:r w:rsidRPr="000070CB">
        <w:rPr>
          <w:rFonts w:ascii="Times New Roman" w:hAnsi="Times New Roman" w:cs="Times New Roman"/>
          <w:b/>
          <w:bCs/>
          <w:sz w:val="24"/>
          <w:szCs w:val="24"/>
        </w:rPr>
        <w:t>Cell Culture Conditions</w:t>
      </w:r>
    </w:p>
    <w:p w14:paraId="1BB9E547" w14:textId="77777777" w:rsidR="000070CB" w:rsidRDefault="000070CB" w:rsidP="000070CB">
      <w:pPr>
        <w:spacing w:line="360" w:lineRule="auto"/>
        <w:ind w:firstLine="720"/>
        <w:jc w:val="both"/>
        <w:rPr>
          <w:rFonts w:ascii="Times New Roman" w:hAnsi="Times New Roman" w:cs="Times New Roman"/>
          <w:sz w:val="24"/>
          <w:szCs w:val="24"/>
        </w:rPr>
      </w:pPr>
      <w:r w:rsidRPr="000070CB">
        <w:rPr>
          <w:rFonts w:ascii="Times New Roman" w:hAnsi="Times New Roman" w:cs="Times New Roman"/>
          <w:sz w:val="24"/>
          <w:szCs w:val="24"/>
        </w:rPr>
        <w:t>THP-1 cells (passage number 5) were procured from NCCS, Pune and maintained in RPMI-1640 medium supplemented with 10% heat-inactivated fetal bovine serum (FBS), penicillin (100 IU/mL), and streptomycin (100 µg/mL). Cells were cultured at 37 °C in a humidified atmosphere containing 5% CO₂. Being suspension cells, THP-1 cultures were maintained by gentle resuspension. Cell viability was assessed using the trypan blue exclusion method prior to experimentation.</w:t>
      </w:r>
    </w:p>
    <w:p w14:paraId="459D89FE" w14:textId="77777777" w:rsidR="000070CB" w:rsidRDefault="000070CB" w:rsidP="000070CB">
      <w:pPr>
        <w:spacing w:line="360" w:lineRule="auto"/>
        <w:jc w:val="both"/>
        <w:rPr>
          <w:rFonts w:ascii="Times New Roman" w:hAnsi="Times New Roman" w:cs="Times New Roman"/>
          <w:b/>
          <w:bCs/>
          <w:sz w:val="24"/>
          <w:szCs w:val="24"/>
        </w:rPr>
      </w:pPr>
      <w:r w:rsidRPr="000070CB">
        <w:rPr>
          <w:rFonts w:ascii="Times New Roman" w:hAnsi="Times New Roman" w:cs="Times New Roman"/>
          <w:b/>
          <w:bCs/>
          <w:sz w:val="24"/>
          <w:szCs w:val="24"/>
        </w:rPr>
        <w:t>2</w:t>
      </w:r>
      <w:r>
        <w:rPr>
          <w:rFonts w:ascii="Times New Roman" w:hAnsi="Times New Roman" w:cs="Times New Roman"/>
          <w:b/>
          <w:bCs/>
          <w:sz w:val="24"/>
          <w:szCs w:val="24"/>
        </w:rPr>
        <w:t>.3</w:t>
      </w:r>
      <w:r w:rsidRPr="000070CB">
        <w:rPr>
          <w:rFonts w:ascii="Times New Roman" w:hAnsi="Times New Roman" w:cs="Times New Roman"/>
          <w:sz w:val="24"/>
          <w:szCs w:val="24"/>
        </w:rPr>
        <w:t xml:space="preserve"> </w:t>
      </w:r>
      <w:r w:rsidRPr="000070CB">
        <w:rPr>
          <w:rFonts w:ascii="Times New Roman" w:hAnsi="Times New Roman" w:cs="Times New Roman"/>
          <w:b/>
          <w:bCs/>
          <w:sz w:val="24"/>
          <w:szCs w:val="24"/>
        </w:rPr>
        <w:t>Preparation of Test Solutions</w:t>
      </w:r>
    </w:p>
    <w:p w14:paraId="47C3ADC3" w14:textId="77777777" w:rsidR="00E972B9" w:rsidRPr="00E972B9" w:rsidRDefault="00E972B9" w:rsidP="00E972B9">
      <w:pPr>
        <w:spacing w:line="360" w:lineRule="auto"/>
        <w:ind w:firstLine="720"/>
        <w:jc w:val="both"/>
        <w:rPr>
          <w:rFonts w:ascii="Times New Roman" w:hAnsi="Times New Roman" w:cs="Times New Roman"/>
          <w:sz w:val="24"/>
          <w:szCs w:val="24"/>
        </w:rPr>
      </w:pPr>
      <w:r w:rsidRPr="00E972B9">
        <w:rPr>
          <w:rFonts w:ascii="Times New Roman" w:hAnsi="Times New Roman" w:cs="Times New Roman"/>
          <w:sz w:val="24"/>
          <w:szCs w:val="24"/>
        </w:rPr>
        <w:t xml:space="preserve">The ethanolic extracts were dissolved in dimethyl sulfoxide (DMSO) to prepare a stock solution of 10 mg/mL. The stock solution was further diluted with RPMI-1640 medium supplemented with 10% FBS to obtain final working concentrations of 10, 20, 30, 40, 50, 60, 70, </w:t>
      </w:r>
      <w:r w:rsidRPr="00E972B9">
        <w:rPr>
          <w:rFonts w:ascii="Times New Roman" w:hAnsi="Times New Roman" w:cs="Times New Roman"/>
          <w:sz w:val="24"/>
          <w:szCs w:val="24"/>
        </w:rPr>
        <w:lastRenderedPageBreak/>
        <w:t>80, 90, and 100 µg/mL. The final concentration of DMSO in all treatments was maintained below 0.1% (v/v).</w:t>
      </w:r>
    </w:p>
    <w:p w14:paraId="38EDFF89" w14:textId="77777777" w:rsidR="000070CB" w:rsidRPr="000070CB" w:rsidRDefault="000070CB" w:rsidP="000070C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2.4</w:t>
      </w:r>
      <w:r w:rsidRPr="000070CB">
        <w:rPr>
          <w:rFonts w:ascii="Times New Roman" w:hAnsi="Times New Roman" w:cs="Times New Roman"/>
          <w:sz w:val="24"/>
          <w:szCs w:val="24"/>
        </w:rPr>
        <w:t xml:space="preserve"> </w:t>
      </w:r>
      <w:r w:rsidRPr="000070CB">
        <w:rPr>
          <w:rFonts w:ascii="Times New Roman" w:hAnsi="Times New Roman" w:cs="Times New Roman"/>
          <w:b/>
          <w:bCs/>
          <w:sz w:val="24"/>
          <w:szCs w:val="24"/>
        </w:rPr>
        <w:t>MTT Cytotoxicity Assay</w:t>
      </w:r>
    </w:p>
    <w:p w14:paraId="1D71019D" w14:textId="19F02375" w:rsidR="000070CB" w:rsidRPr="000070CB" w:rsidRDefault="000070CB" w:rsidP="000070CB">
      <w:pPr>
        <w:spacing w:line="360" w:lineRule="auto"/>
        <w:jc w:val="both"/>
        <w:rPr>
          <w:rFonts w:ascii="Times New Roman" w:hAnsi="Times New Roman" w:cs="Times New Roman"/>
          <w:sz w:val="24"/>
          <w:szCs w:val="24"/>
        </w:rPr>
      </w:pPr>
      <w:r w:rsidRPr="000070CB">
        <w:rPr>
          <w:rFonts w:ascii="Times New Roman" w:hAnsi="Times New Roman" w:cs="Times New Roman"/>
          <w:sz w:val="24"/>
          <w:szCs w:val="24"/>
        </w:rPr>
        <w:t xml:space="preserve">THP-1 cells were seeded in 96-well plates at a density of 50,000 cells per well and incubated for 24 h prior to treatment. Cells were then treated with different concentrations of test samples and incubated for an additional 24 h under standard culture conditions. </w:t>
      </w:r>
      <w:r w:rsidR="00100DEB" w:rsidRPr="00F657D4">
        <w:rPr>
          <w:rFonts w:ascii="Times New Roman" w:hAnsi="Times New Roman" w:cs="Times New Roman"/>
          <w:sz w:val="24"/>
          <w:szCs w:val="24"/>
          <w:highlight w:val="yellow"/>
        </w:rPr>
        <w:t>The final volume in each well was maintained at 200 µL, and the final DMSO concentration did not exceed 0.1% (v/v).</w:t>
      </w:r>
      <w:r w:rsidR="00100DEB">
        <w:rPr>
          <w:rFonts w:ascii="Times New Roman" w:hAnsi="Times New Roman" w:cs="Times New Roman"/>
          <w:sz w:val="24"/>
          <w:szCs w:val="24"/>
        </w:rPr>
        <w:t xml:space="preserve"> </w:t>
      </w:r>
      <w:r w:rsidRPr="000070CB">
        <w:rPr>
          <w:rFonts w:ascii="Times New Roman" w:hAnsi="Times New Roman" w:cs="Times New Roman"/>
          <w:sz w:val="24"/>
          <w:szCs w:val="24"/>
        </w:rPr>
        <w:t>Following treatment, 100 µL of MTT solution (5 mg/mL in PBS) was added to each well and incubated for 4 h at 37 °C. The plates were gently centrifuged, and the supernatant was carefully removed. 100 µL of DMSO was added to dissolve the formazan crystals, and absorbance was measured at 590 nm using a Tecan microplate reader.</w:t>
      </w:r>
      <w:r w:rsidR="002C0DD7" w:rsidRPr="002C0DD7">
        <w:t xml:space="preserve"> </w:t>
      </w:r>
      <w:r w:rsidR="002C0DD7" w:rsidRPr="002C0DD7">
        <w:rPr>
          <w:rFonts w:ascii="Times New Roman" w:hAnsi="Times New Roman" w:cs="Times New Roman"/>
          <w:sz w:val="24"/>
          <w:szCs w:val="24"/>
        </w:rPr>
        <w:t>Untreated cells served as the negative control, while DMSO-treated cells (0.1% v/v) served as the vehicle control.</w:t>
      </w:r>
    </w:p>
    <w:p w14:paraId="1357AB85" w14:textId="77777777" w:rsidR="000070CB" w:rsidRPr="000070CB" w:rsidRDefault="000070CB" w:rsidP="000070C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2.5</w:t>
      </w:r>
      <w:r w:rsidRPr="000070CB">
        <w:rPr>
          <w:rFonts w:ascii="Times New Roman" w:hAnsi="Times New Roman" w:cs="Times New Roman"/>
          <w:b/>
          <w:bCs/>
          <w:sz w:val="24"/>
          <w:szCs w:val="24"/>
        </w:rPr>
        <w:t xml:space="preserve"> Calculation of Cell Viability and IC₅₀</w:t>
      </w:r>
    </w:p>
    <w:p w14:paraId="255BCBBC" w14:textId="77777777" w:rsidR="000070CB" w:rsidRPr="000070CB" w:rsidRDefault="000070CB" w:rsidP="000070CB">
      <w:pPr>
        <w:spacing w:line="360" w:lineRule="auto"/>
        <w:jc w:val="both"/>
        <w:rPr>
          <w:rFonts w:ascii="Times New Roman" w:hAnsi="Times New Roman" w:cs="Times New Roman"/>
          <w:sz w:val="24"/>
          <w:szCs w:val="24"/>
        </w:rPr>
      </w:pPr>
      <w:r w:rsidRPr="000070CB">
        <w:rPr>
          <w:rFonts w:ascii="Times New Roman" w:hAnsi="Times New Roman" w:cs="Times New Roman"/>
          <w:sz w:val="24"/>
          <w:szCs w:val="24"/>
        </w:rPr>
        <w:t xml:space="preserve">Percentage of cell viability was calculated relative to untreated control cells. </w:t>
      </w:r>
      <w:r w:rsidRPr="000070CB">
        <w:rPr>
          <w:rFonts w:ascii="Times New Roman" w:hAnsi="Times New Roman" w:cs="Times New Roman"/>
          <w:sz w:val="24"/>
          <w:szCs w:val="24"/>
        </w:rPr>
        <w:br/>
        <w:t>The half-maximal inhibitory concentration (IC₅₀) values were determined from dose–response curves using nonlinear regression analysis (sigmoidal dose–response, variable slope) in GraphPad Prism 6. The percentage of cell growth inhibition was calculated using the formula,</w:t>
      </w:r>
    </w:p>
    <w:p w14:paraId="4DA3AA89" w14:textId="77777777" w:rsidR="000070CB" w:rsidRPr="000070CB" w:rsidRDefault="000070CB" w:rsidP="000070CB">
      <w:pPr>
        <w:spacing w:line="360" w:lineRule="auto"/>
        <w:jc w:val="center"/>
        <w:rPr>
          <w:rFonts w:ascii="Times New Roman" w:hAnsi="Times New Roman" w:cs="Times New Roman"/>
          <w:sz w:val="24"/>
          <w:szCs w:val="24"/>
          <w:lang w:val="en-IN"/>
        </w:rPr>
      </w:pPr>
      <w:r w:rsidRPr="000070CB">
        <w:rPr>
          <w:rFonts w:ascii="Times New Roman" w:hAnsi="Times New Roman" w:cs="Times New Roman"/>
          <w:bCs/>
          <w:sz w:val="24"/>
          <w:szCs w:val="24"/>
          <w:lang w:val="en-IN"/>
        </w:rPr>
        <w:t>% Inhibition</w:t>
      </w:r>
      <w:r w:rsidRPr="000070CB">
        <w:rPr>
          <w:rFonts w:ascii="Times New Roman" w:hAnsi="Times New Roman" w:cs="Times New Roman"/>
          <w:b/>
          <w:sz w:val="24"/>
          <w:szCs w:val="24"/>
          <w:lang w:val="en-IN"/>
        </w:rPr>
        <w:t xml:space="preserve"> = </w:t>
      </w:r>
      <w:r w:rsidRPr="000070CB">
        <w:rPr>
          <w:rFonts w:ascii="Times New Roman" w:hAnsi="Times New Roman" w:cs="Times New Roman"/>
          <w:sz w:val="24"/>
          <w:szCs w:val="24"/>
          <w:lang w:val="en-IN"/>
        </w:rPr>
        <w:t>100 – (OD of sample/OD of Control) x 100.</w:t>
      </w:r>
    </w:p>
    <w:p w14:paraId="1AD22F4D" w14:textId="77777777" w:rsidR="000070CB" w:rsidRPr="000070CB" w:rsidRDefault="000070CB" w:rsidP="000070CB">
      <w:pPr>
        <w:spacing w:line="360" w:lineRule="auto"/>
        <w:jc w:val="both"/>
        <w:rPr>
          <w:rFonts w:ascii="Times New Roman" w:hAnsi="Times New Roman" w:cs="Times New Roman"/>
          <w:sz w:val="24"/>
          <w:szCs w:val="24"/>
        </w:rPr>
      </w:pPr>
      <w:r w:rsidRPr="000070CB">
        <w:rPr>
          <w:rFonts w:ascii="Times New Roman" w:hAnsi="Times New Roman" w:cs="Times New Roman"/>
          <w:sz w:val="24"/>
          <w:szCs w:val="24"/>
        </w:rPr>
        <w:t xml:space="preserve">The IC₅₀ values (concentration required to inhibit 50% of cell viability) were derived from </w:t>
      </w:r>
      <w:r w:rsidRPr="000070CB">
        <w:rPr>
          <w:rFonts w:ascii="Times New Roman" w:hAnsi="Times New Roman" w:cs="Times New Roman"/>
          <w:sz w:val="24"/>
          <w:szCs w:val="24"/>
        </w:rPr>
        <w:br/>
        <w:t>dose–response curves.</w:t>
      </w:r>
    </w:p>
    <w:p w14:paraId="0C6D552C" w14:textId="77777777" w:rsidR="000070CB" w:rsidRPr="000070CB" w:rsidRDefault="000070CB" w:rsidP="000070C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2.6 </w:t>
      </w:r>
      <w:r w:rsidRPr="000070CB">
        <w:rPr>
          <w:rFonts w:ascii="Times New Roman" w:hAnsi="Times New Roman" w:cs="Times New Roman"/>
          <w:b/>
          <w:bCs/>
          <w:sz w:val="24"/>
          <w:szCs w:val="24"/>
        </w:rPr>
        <w:t>RNA Isolation and cDNA Synthesis</w:t>
      </w:r>
    </w:p>
    <w:p w14:paraId="5969354D" w14:textId="77777777" w:rsidR="000070CB" w:rsidRDefault="000070CB" w:rsidP="000070CB">
      <w:pPr>
        <w:spacing w:line="360" w:lineRule="auto"/>
        <w:jc w:val="both"/>
        <w:rPr>
          <w:rFonts w:ascii="Times New Roman" w:hAnsi="Times New Roman" w:cs="Times New Roman"/>
          <w:sz w:val="24"/>
          <w:szCs w:val="24"/>
        </w:rPr>
      </w:pPr>
      <w:r w:rsidRPr="000070CB">
        <w:rPr>
          <w:rFonts w:ascii="Times New Roman" w:hAnsi="Times New Roman" w:cs="Times New Roman"/>
          <w:sz w:val="24"/>
          <w:szCs w:val="24"/>
        </w:rPr>
        <w:t>For gene expression analysis, THP-1 cells were seeded in 6-well plates at a density of 50,000 cells per well in 2 mL medium and incubated for 24 h.</w:t>
      </w:r>
      <w:r w:rsidR="00A5746B" w:rsidRPr="00A5746B">
        <w:t xml:space="preserve"> </w:t>
      </w:r>
      <w:r w:rsidR="00A5746B" w:rsidRPr="00A5746B">
        <w:rPr>
          <w:rFonts w:ascii="Times New Roman" w:hAnsi="Times New Roman" w:cs="Times New Roman"/>
          <w:sz w:val="24"/>
          <w:szCs w:val="24"/>
        </w:rPr>
        <w:t>Cells were treated with a selected sub-cytotoxic concentration of 20 µg/mL, which was determined based on MTT assay</w:t>
      </w:r>
      <w:r w:rsidR="007A0D1E">
        <w:rPr>
          <w:rFonts w:ascii="Times New Roman" w:hAnsi="Times New Roman" w:cs="Times New Roman"/>
          <w:sz w:val="24"/>
          <w:szCs w:val="24"/>
        </w:rPr>
        <w:t xml:space="preserve"> </w:t>
      </w:r>
      <w:r w:rsidR="007A0D1E" w:rsidRPr="007A0D1E">
        <w:rPr>
          <w:rFonts w:ascii="Times New Roman" w:hAnsi="Times New Roman" w:cs="Times New Roman"/>
          <w:sz w:val="24"/>
          <w:szCs w:val="24"/>
        </w:rPr>
        <w:t>results to maintain approximately 75–80% cell viability.</w:t>
      </w:r>
      <w:r w:rsidR="00A5746B">
        <w:rPr>
          <w:rFonts w:ascii="Times New Roman" w:hAnsi="Times New Roman" w:cs="Times New Roman"/>
          <w:sz w:val="24"/>
          <w:szCs w:val="24"/>
        </w:rPr>
        <w:t xml:space="preserve">. </w:t>
      </w:r>
      <w:r w:rsidR="00A5746B" w:rsidRPr="00A5746B">
        <w:rPr>
          <w:rFonts w:ascii="Times New Roman" w:hAnsi="Times New Roman" w:cs="Times New Roman"/>
          <w:sz w:val="24"/>
          <w:szCs w:val="24"/>
        </w:rPr>
        <w:t>This concentration was selected to avoid cytotoxic interference while allowing accurate assessment of transcriptional modulation.</w:t>
      </w:r>
      <w:r w:rsidR="00AA570B" w:rsidRPr="00AA570B">
        <w:t xml:space="preserve"> </w:t>
      </w:r>
      <w:r w:rsidR="00AA570B" w:rsidRPr="00AA570B">
        <w:rPr>
          <w:rFonts w:ascii="Times New Roman" w:hAnsi="Times New Roman" w:cs="Times New Roman"/>
          <w:sz w:val="24"/>
          <w:szCs w:val="24"/>
        </w:rPr>
        <w:t>Untreated cells served as control for comparative gene expression analysis.</w:t>
      </w:r>
      <w:r w:rsidRPr="000070CB">
        <w:rPr>
          <w:rFonts w:ascii="Times New Roman" w:hAnsi="Times New Roman" w:cs="Times New Roman"/>
          <w:sz w:val="24"/>
          <w:szCs w:val="24"/>
        </w:rPr>
        <w:t xml:space="preserve"> Following treatment, cells were collected by centrifugation, and total RNA was isolated using the Takara RNAiso kit (Cat. No. </w:t>
      </w:r>
      <w:r w:rsidRPr="000070CB">
        <w:rPr>
          <w:rFonts w:ascii="Times New Roman" w:hAnsi="Times New Roman" w:cs="Times New Roman"/>
          <w:sz w:val="24"/>
          <w:szCs w:val="24"/>
        </w:rPr>
        <w:lastRenderedPageBreak/>
        <w:t>9108) according to the manufacturer’s instructions. A two-step RT-qPCR protocol was employed, wherein isolated RNA was first reverse-transcribed into cDNA, followed by quantitative PCR amplification.</w:t>
      </w:r>
    </w:p>
    <w:p w14:paraId="342EAD48" w14:textId="77777777" w:rsidR="000070CB" w:rsidRPr="000070CB" w:rsidRDefault="000070CB" w:rsidP="000070C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2.7</w:t>
      </w:r>
      <w:r w:rsidRPr="000070CB">
        <w:rPr>
          <w:rFonts w:ascii="Times New Roman" w:hAnsi="Times New Roman" w:cs="Times New Roman"/>
          <w:b/>
          <w:bCs/>
          <w:sz w:val="24"/>
          <w:szCs w:val="24"/>
        </w:rPr>
        <w:t xml:space="preserve"> Quantitative Real-Time PCR (RT-qPCR)</w:t>
      </w:r>
    </w:p>
    <w:p w14:paraId="7DBA629E" w14:textId="59180271" w:rsidR="000070CB" w:rsidRPr="0029278A" w:rsidRDefault="000070CB" w:rsidP="000070CB">
      <w:pPr>
        <w:spacing w:line="360" w:lineRule="auto"/>
        <w:jc w:val="both"/>
        <w:rPr>
          <w:rFonts w:ascii="Times New Roman" w:hAnsi="Times New Roman" w:cs="Times New Roman"/>
          <w:sz w:val="24"/>
          <w:szCs w:val="24"/>
        </w:rPr>
      </w:pPr>
      <w:r w:rsidRPr="000070CB">
        <w:rPr>
          <w:rFonts w:ascii="Times New Roman" w:hAnsi="Times New Roman" w:cs="Times New Roman"/>
          <w:sz w:val="24"/>
          <w:szCs w:val="24"/>
        </w:rPr>
        <w:t>Quantitative real-time PCR (RT-qPCR) was performed to analyze the expression of inflammatory marker genes using a 72-well rotor system with a total reaction volume of 20 µL. The thermal cycling conditions consisted of an initial denaturation step at 95 °C for 5 min to ensure complete strand separation, followed by 35 amplification cycles comprising denaturation at 95 °C for 40 s, annealing at 46 °C for 30 s, and extension at 72 °C for 52 s. A final extension step was carried out at 72 °C for 5 min to allow complete synthesis of PCR products. Fluorescence acquisition was performed during the annealing phase. All reactions were carried out under identical cycling conditions to ensure uniform amplification, and the obtained Ct values were used for subsequent relative gene expression analysis. Gene expression levels of inflammatory markers were normalized using GAPDH as the housekeeping gene.</w:t>
      </w:r>
      <w:r w:rsidR="00AA570B" w:rsidRPr="00AA570B">
        <w:t xml:space="preserve"> </w:t>
      </w:r>
      <w:r w:rsidR="00AA570B" w:rsidRPr="00AA570B">
        <w:rPr>
          <w:rFonts w:ascii="Times New Roman" w:hAnsi="Times New Roman" w:cs="Times New Roman"/>
          <w:sz w:val="24"/>
          <w:szCs w:val="24"/>
        </w:rPr>
        <w:t>Untreated control samples were used as calibrators for re</w:t>
      </w:r>
      <w:r w:rsidR="00100DEB">
        <w:rPr>
          <w:rFonts w:ascii="Times New Roman" w:hAnsi="Times New Roman" w:cs="Times New Roman"/>
          <w:sz w:val="24"/>
          <w:szCs w:val="24"/>
        </w:rPr>
        <w:t>lative gene expression analysis</w:t>
      </w:r>
      <w:r w:rsidR="00100DEB" w:rsidRPr="00100DEB">
        <w:rPr>
          <w:rFonts w:ascii="Times New Roman" w:hAnsi="Times New Roman" w:cs="Times New Roman"/>
        </w:rPr>
        <w:t>.</w:t>
      </w:r>
      <w:r w:rsidR="00100DEB">
        <w:t xml:space="preserve"> </w:t>
      </w:r>
      <w:r w:rsidR="0029278A" w:rsidRPr="0029278A">
        <w:rPr>
          <w:rFonts w:ascii="Times New Roman" w:hAnsi="Times New Roman" w:cs="Times New Roman"/>
        </w:rPr>
        <w:t>All RT-qPCR reactions were performed in triplicate, and experiments were conducted using three independent biological replicates.</w:t>
      </w:r>
    </w:p>
    <w:p w14:paraId="726641D4" w14:textId="77777777" w:rsidR="000070CB" w:rsidRPr="000070CB" w:rsidRDefault="000070CB" w:rsidP="000070C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2.8</w:t>
      </w:r>
      <w:r w:rsidRPr="000070CB">
        <w:rPr>
          <w:rFonts w:ascii="Times New Roman" w:hAnsi="Times New Roman" w:cs="Times New Roman"/>
          <w:b/>
          <w:bCs/>
          <w:sz w:val="24"/>
          <w:szCs w:val="24"/>
        </w:rPr>
        <w:t xml:space="preserve"> Primer Sequences</w:t>
      </w:r>
    </w:p>
    <w:p w14:paraId="57F85AB9" w14:textId="77777777" w:rsidR="000070CB" w:rsidRPr="000070CB" w:rsidRDefault="000070CB" w:rsidP="000070CB">
      <w:pPr>
        <w:spacing w:line="360" w:lineRule="auto"/>
        <w:jc w:val="both"/>
        <w:rPr>
          <w:rFonts w:ascii="Times New Roman" w:hAnsi="Times New Roman" w:cs="Times New Roman"/>
          <w:sz w:val="24"/>
          <w:szCs w:val="24"/>
        </w:rPr>
      </w:pPr>
      <w:r w:rsidRPr="000070CB">
        <w:rPr>
          <w:rFonts w:ascii="Times New Roman" w:hAnsi="Times New Roman" w:cs="Times New Roman"/>
          <w:sz w:val="24"/>
          <w:szCs w:val="24"/>
        </w:rPr>
        <w:t>The primer sequences used for quantitative real-time PCR amplification of target inflammatory genes and the housekeeping gene were selected based on previously validated studies. All primers were commercially synthesized, gene-specific and designed to generate short amplicons suitable for quantitative real-time PCR, and are listed in Table 1. GAPDH was used as the internal reference gene for normalization of gene expression levels.</w:t>
      </w:r>
    </w:p>
    <w:p w14:paraId="6DBD5D05" w14:textId="77777777" w:rsidR="000070CB" w:rsidRPr="000070CB" w:rsidRDefault="000070CB" w:rsidP="000070CB">
      <w:pPr>
        <w:spacing w:line="360" w:lineRule="auto"/>
        <w:jc w:val="both"/>
        <w:rPr>
          <w:rFonts w:ascii="Times New Roman" w:hAnsi="Times New Roman" w:cs="Times New Roman"/>
          <w:b/>
          <w:bCs/>
          <w:sz w:val="24"/>
          <w:szCs w:val="24"/>
        </w:rPr>
      </w:pPr>
      <w:r w:rsidRPr="000070CB">
        <w:rPr>
          <w:rFonts w:ascii="Times New Roman" w:hAnsi="Times New Roman" w:cs="Times New Roman"/>
          <w:b/>
          <w:bCs/>
          <w:sz w:val="24"/>
          <w:szCs w:val="24"/>
        </w:rPr>
        <w:t>Table 1.  Primer sequences used for RT-qPCR</w:t>
      </w:r>
    </w:p>
    <w:tbl>
      <w:tblPr>
        <w:tblStyle w:val="TableGrid"/>
        <w:tblW w:w="7666" w:type="dxa"/>
        <w:jc w:val="center"/>
        <w:tblLook w:val="04A0" w:firstRow="1" w:lastRow="0" w:firstColumn="1" w:lastColumn="0" w:noHBand="0" w:noVBand="1"/>
      </w:tblPr>
      <w:tblGrid>
        <w:gridCol w:w="2812"/>
        <w:gridCol w:w="4854"/>
      </w:tblGrid>
      <w:tr w:rsidR="000070CB" w:rsidRPr="00693029" w14:paraId="711EF575" w14:textId="77777777" w:rsidTr="00BC520C">
        <w:trPr>
          <w:trHeight w:val="499"/>
          <w:jc w:val="center"/>
        </w:trPr>
        <w:tc>
          <w:tcPr>
            <w:tcW w:w="0" w:type="auto"/>
            <w:hideMark/>
          </w:tcPr>
          <w:p w14:paraId="14A685A6" w14:textId="77777777" w:rsidR="000070CB" w:rsidRPr="00693029" w:rsidRDefault="000070CB" w:rsidP="000070CB">
            <w:pPr>
              <w:spacing w:line="360" w:lineRule="auto"/>
              <w:jc w:val="both"/>
              <w:rPr>
                <w:rFonts w:ascii="Times New Roman" w:hAnsi="Times New Roman" w:cs="Times New Roman"/>
                <w:b/>
                <w:bCs/>
                <w:sz w:val="18"/>
                <w:szCs w:val="18"/>
              </w:rPr>
            </w:pPr>
            <w:r w:rsidRPr="00693029">
              <w:rPr>
                <w:rFonts w:ascii="Times New Roman" w:hAnsi="Times New Roman" w:cs="Times New Roman"/>
                <w:b/>
                <w:bCs/>
                <w:sz w:val="18"/>
                <w:szCs w:val="18"/>
              </w:rPr>
              <w:t>Oligo name</w:t>
            </w:r>
          </w:p>
        </w:tc>
        <w:tc>
          <w:tcPr>
            <w:tcW w:w="0" w:type="auto"/>
            <w:hideMark/>
          </w:tcPr>
          <w:p w14:paraId="5361FC75" w14:textId="77777777" w:rsidR="000070CB" w:rsidRPr="00693029" w:rsidRDefault="000070CB" w:rsidP="000070CB">
            <w:pPr>
              <w:spacing w:line="360" w:lineRule="auto"/>
              <w:jc w:val="both"/>
              <w:rPr>
                <w:rFonts w:ascii="Times New Roman" w:hAnsi="Times New Roman" w:cs="Times New Roman"/>
                <w:b/>
                <w:bCs/>
                <w:sz w:val="18"/>
                <w:szCs w:val="18"/>
              </w:rPr>
            </w:pPr>
            <w:r w:rsidRPr="00693029">
              <w:rPr>
                <w:rFonts w:ascii="Times New Roman" w:hAnsi="Times New Roman" w:cs="Times New Roman"/>
                <w:b/>
                <w:bCs/>
                <w:sz w:val="18"/>
                <w:szCs w:val="18"/>
              </w:rPr>
              <w:t>Sequence (5′–3′)</w:t>
            </w:r>
          </w:p>
        </w:tc>
      </w:tr>
      <w:tr w:rsidR="000070CB" w:rsidRPr="00693029" w14:paraId="01D94675" w14:textId="77777777" w:rsidTr="00BC520C">
        <w:trPr>
          <w:trHeight w:val="499"/>
          <w:jc w:val="center"/>
        </w:trPr>
        <w:tc>
          <w:tcPr>
            <w:tcW w:w="0" w:type="auto"/>
            <w:hideMark/>
          </w:tcPr>
          <w:p w14:paraId="4BBB8B5B" w14:textId="77777777" w:rsidR="000070CB" w:rsidRPr="00693029" w:rsidRDefault="000070CB" w:rsidP="000070CB">
            <w:pPr>
              <w:spacing w:line="360" w:lineRule="auto"/>
              <w:jc w:val="both"/>
              <w:rPr>
                <w:rFonts w:ascii="Times New Roman" w:hAnsi="Times New Roman" w:cs="Times New Roman"/>
                <w:sz w:val="18"/>
                <w:szCs w:val="18"/>
              </w:rPr>
            </w:pPr>
            <w:r w:rsidRPr="00693029">
              <w:rPr>
                <w:rFonts w:ascii="Times New Roman" w:hAnsi="Times New Roman" w:cs="Times New Roman"/>
                <w:sz w:val="18"/>
                <w:szCs w:val="18"/>
              </w:rPr>
              <w:t>GAPDH – Forward</w:t>
            </w:r>
          </w:p>
        </w:tc>
        <w:tc>
          <w:tcPr>
            <w:tcW w:w="0" w:type="auto"/>
            <w:hideMark/>
          </w:tcPr>
          <w:p w14:paraId="74DDF3A7" w14:textId="77777777" w:rsidR="000070CB" w:rsidRPr="00693029" w:rsidRDefault="000070CB" w:rsidP="000070CB">
            <w:pPr>
              <w:spacing w:line="360" w:lineRule="auto"/>
              <w:jc w:val="both"/>
              <w:rPr>
                <w:rFonts w:ascii="Times New Roman" w:hAnsi="Times New Roman" w:cs="Times New Roman"/>
                <w:sz w:val="18"/>
                <w:szCs w:val="18"/>
              </w:rPr>
            </w:pPr>
            <w:r w:rsidRPr="00693029">
              <w:rPr>
                <w:rFonts w:ascii="Times New Roman" w:hAnsi="Times New Roman" w:cs="Times New Roman"/>
                <w:sz w:val="18"/>
                <w:szCs w:val="18"/>
              </w:rPr>
              <w:t>TTCGACAGTCAGCCGCATCTT</w:t>
            </w:r>
          </w:p>
        </w:tc>
      </w:tr>
      <w:tr w:rsidR="000070CB" w:rsidRPr="00693029" w14:paraId="008C0BE1" w14:textId="77777777" w:rsidTr="00BC520C">
        <w:trPr>
          <w:trHeight w:val="499"/>
          <w:jc w:val="center"/>
        </w:trPr>
        <w:tc>
          <w:tcPr>
            <w:tcW w:w="0" w:type="auto"/>
            <w:hideMark/>
          </w:tcPr>
          <w:p w14:paraId="0770A27E" w14:textId="77777777" w:rsidR="000070CB" w:rsidRPr="00693029" w:rsidRDefault="000070CB" w:rsidP="000070CB">
            <w:pPr>
              <w:spacing w:line="360" w:lineRule="auto"/>
              <w:jc w:val="both"/>
              <w:rPr>
                <w:rFonts w:ascii="Times New Roman" w:hAnsi="Times New Roman" w:cs="Times New Roman"/>
                <w:sz w:val="18"/>
                <w:szCs w:val="18"/>
              </w:rPr>
            </w:pPr>
            <w:r w:rsidRPr="00693029">
              <w:rPr>
                <w:rFonts w:ascii="Times New Roman" w:hAnsi="Times New Roman" w:cs="Times New Roman"/>
                <w:sz w:val="18"/>
                <w:szCs w:val="18"/>
              </w:rPr>
              <w:t>GAPDH – Reverse</w:t>
            </w:r>
          </w:p>
        </w:tc>
        <w:tc>
          <w:tcPr>
            <w:tcW w:w="0" w:type="auto"/>
            <w:hideMark/>
          </w:tcPr>
          <w:p w14:paraId="071660CB" w14:textId="77777777" w:rsidR="000070CB" w:rsidRPr="00693029" w:rsidRDefault="000070CB" w:rsidP="000070CB">
            <w:pPr>
              <w:spacing w:line="360" w:lineRule="auto"/>
              <w:jc w:val="both"/>
              <w:rPr>
                <w:rFonts w:ascii="Times New Roman" w:hAnsi="Times New Roman" w:cs="Times New Roman"/>
                <w:sz w:val="18"/>
                <w:szCs w:val="18"/>
              </w:rPr>
            </w:pPr>
            <w:r w:rsidRPr="00693029">
              <w:rPr>
                <w:rFonts w:ascii="Times New Roman" w:hAnsi="Times New Roman" w:cs="Times New Roman"/>
                <w:sz w:val="18"/>
                <w:szCs w:val="18"/>
              </w:rPr>
              <w:t>ATCCGTTGACTCCGACCTTCA</w:t>
            </w:r>
          </w:p>
        </w:tc>
      </w:tr>
      <w:tr w:rsidR="000070CB" w:rsidRPr="00693029" w14:paraId="1D403373" w14:textId="77777777" w:rsidTr="00BC520C">
        <w:trPr>
          <w:trHeight w:val="499"/>
          <w:jc w:val="center"/>
        </w:trPr>
        <w:tc>
          <w:tcPr>
            <w:tcW w:w="0" w:type="auto"/>
            <w:hideMark/>
          </w:tcPr>
          <w:p w14:paraId="17B06D8B" w14:textId="77777777" w:rsidR="000070CB" w:rsidRPr="00693029" w:rsidRDefault="000070CB" w:rsidP="000070CB">
            <w:pPr>
              <w:spacing w:line="360" w:lineRule="auto"/>
              <w:jc w:val="both"/>
              <w:rPr>
                <w:rFonts w:ascii="Times New Roman" w:hAnsi="Times New Roman" w:cs="Times New Roman"/>
                <w:sz w:val="18"/>
                <w:szCs w:val="18"/>
              </w:rPr>
            </w:pPr>
            <w:r w:rsidRPr="00693029">
              <w:rPr>
                <w:rFonts w:ascii="Times New Roman" w:hAnsi="Times New Roman" w:cs="Times New Roman"/>
                <w:sz w:val="18"/>
                <w:szCs w:val="18"/>
              </w:rPr>
              <w:t>COX-2 – Forward</w:t>
            </w:r>
          </w:p>
        </w:tc>
        <w:tc>
          <w:tcPr>
            <w:tcW w:w="0" w:type="auto"/>
            <w:hideMark/>
          </w:tcPr>
          <w:p w14:paraId="66671FEA" w14:textId="77777777" w:rsidR="000070CB" w:rsidRPr="00693029" w:rsidRDefault="000070CB" w:rsidP="000070CB">
            <w:pPr>
              <w:spacing w:line="360" w:lineRule="auto"/>
              <w:jc w:val="both"/>
              <w:rPr>
                <w:rFonts w:ascii="Times New Roman" w:hAnsi="Times New Roman" w:cs="Times New Roman"/>
                <w:sz w:val="18"/>
                <w:szCs w:val="18"/>
              </w:rPr>
            </w:pPr>
            <w:r w:rsidRPr="00693029">
              <w:rPr>
                <w:rFonts w:ascii="Times New Roman" w:hAnsi="Times New Roman" w:cs="Times New Roman"/>
                <w:sz w:val="18"/>
                <w:szCs w:val="18"/>
              </w:rPr>
              <w:t>CCTGTGTTCACCAGAGGAT</w:t>
            </w:r>
          </w:p>
        </w:tc>
      </w:tr>
      <w:tr w:rsidR="000070CB" w:rsidRPr="00693029" w14:paraId="7434AE77" w14:textId="77777777" w:rsidTr="00BC520C">
        <w:trPr>
          <w:trHeight w:val="499"/>
          <w:jc w:val="center"/>
        </w:trPr>
        <w:tc>
          <w:tcPr>
            <w:tcW w:w="0" w:type="auto"/>
            <w:hideMark/>
          </w:tcPr>
          <w:p w14:paraId="43028DDB" w14:textId="77777777" w:rsidR="000070CB" w:rsidRPr="00693029" w:rsidRDefault="000070CB" w:rsidP="000070CB">
            <w:pPr>
              <w:spacing w:line="360" w:lineRule="auto"/>
              <w:jc w:val="both"/>
              <w:rPr>
                <w:rFonts w:ascii="Times New Roman" w:hAnsi="Times New Roman" w:cs="Times New Roman"/>
                <w:sz w:val="18"/>
                <w:szCs w:val="18"/>
              </w:rPr>
            </w:pPr>
            <w:r w:rsidRPr="00693029">
              <w:rPr>
                <w:rFonts w:ascii="Times New Roman" w:hAnsi="Times New Roman" w:cs="Times New Roman"/>
                <w:sz w:val="18"/>
                <w:szCs w:val="18"/>
              </w:rPr>
              <w:lastRenderedPageBreak/>
              <w:t>COX-2 – Reverse</w:t>
            </w:r>
          </w:p>
        </w:tc>
        <w:tc>
          <w:tcPr>
            <w:tcW w:w="0" w:type="auto"/>
            <w:hideMark/>
          </w:tcPr>
          <w:p w14:paraId="5408E48C" w14:textId="77777777" w:rsidR="000070CB" w:rsidRPr="00693029" w:rsidRDefault="000070CB" w:rsidP="000070CB">
            <w:pPr>
              <w:spacing w:line="360" w:lineRule="auto"/>
              <w:jc w:val="both"/>
              <w:rPr>
                <w:rFonts w:ascii="Times New Roman" w:hAnsi="Times New Roman" w:cs="Times New Roman"/>
                <w:sz w:val="18"/>
                <w:szCs w:val="18"/>
              </w:rPr>
            </w:pPr>
            <w:r w:rsidRPr="00693029">
              <w:rPr>
                <w:rFonts w:ascii="Times New Roman" w:hAnsi="Times New Roman" w:cs="Times New Roman"/>
                <w:sz w:val="18"/>
                <w:szCs w:val="18"/>
              </w:rPr>
              <w:t>CCCTGGCTAGTCTTCAGAC</w:t>
            </w:r>
          </w:p>
        </w:tc>
      </w:tr>
      <w:tr w:rsidR="000070CB" w:rsidRPr="00693029" w14:paraId="2C805E95" w14:textId="77777777" w:rsidTr="00BC520C">
        <w:trPr>
          <w:trHeight w:val="499"/>
          <w:jc w:val="center"/>
        </w:trPr>
        <w:tc>
          <w:tcPr>
            <w:tcW w:w="0" w:type="auto"/>
            <w:hideMark/>
          </w:tcPr>
          <w:p w14:paraId="241602BE" w14:textId="77777777" w:rsidR="000070CB" w:rsidRPr="00693029" w:rsidRDefault="000070CB" w:rsidP="000070CB">
            <w:pPr>
              <w:spacing w:line="360" w:lineRule="auto"/>
              <w:jc w:val="both"/>
              <w:rPr>
                <w:rFonts w:ascii="Times New Roman" w:hAnsi="Times New Roman" w:cs="Times New Roman"/>
                <w:sz w:val="18"/>
                <w:szCs w:val="18"/>
              </w:rPr>
            </w:pPr>
            <w:r w:rsidRPr="00693029">
              <w:rPr>
                <w:rFonts w:ascii="Times New Roman" w:hAnsi="Times New Roman" w:cs="Times New Roman"/>
                <w:sz w:val="18"/>
                <w:szCs w:val="18"/>
              </w:rPr>
              <w:t>iNOS – Forward</w:t>
            </w:r>
          </w:p>
        </w:tc>
        <w:tc>
          <w:tcPr>
            <w:tcW w:w="0" w:type="auto"/>
            <w:hideMark/>
          </w:tcPr>
          <w:p w14:paraId="7B740212" w14:textId="77777777" w:rsidR="000070CB" w:rsidRPr="00693029" w:rsidRDefault="000070CB" w:rsidP="000070CB">
            <w:pPr>
              <w:spacing w:line="360" w:lineRule="auto"/>
              <w:jc w:val="both"/>
              <w:rPr>
                <w:rFonts w:ascii="Times New Roman" w:hAnsi="Times New Roman" w:cs="Times New Roman"/>
                <w:sz w:val="18"/>
                <w:szCs w:val="18"/>
              </w:rPr>
            </w:pPr>
            <w:r w:rsidRPr="00693029">
              <w:rPr>
                <w:rFonts w:ascii="Times New Roman" w:hAnsi="Times New Roman" w:cs="Times New Roman"/>
                <w:sz w:val="18"/>
                <w:szCs w:val="18"/>
              </w:rPr>
              <w:t>AGAAGGAAATGGTCGACAA</w:t>
            </w:r>
          </w:p>
        </w:tc>
      </w:tr>
      <w:tr w:rsidR="000070CB" w:rsidRPr="00693029" w14:paraId="7F7368C4" w14:textId="77777777" w:rsidTr="00BC520C">
        <w:trPr>
          <w:trHeight w:val="499"/>
          <w:jc w:val="center"/>
        </w:trPr>
        <w:tc>
          <w:tcPr>
            <w:tcW w:w="0" w:type="auto"/>
            <w:hideMark/>
          </w:tcPr>
          <w:p w14:paraId="53B93F49" w14:textId="77777777" w:rsidR="000070CB" w:rsidRPr="00693029" w:rsidRDefault="000070CB" w:rsidP="000070CB">
            <w:pPr>
              <w:spacing w:line="360" w:lineRule="auto"/>
              <w:jc w:val="both"/>
              <w:rPr>
                <w:rFonts w:ascii="Times New Roman" w:hAnsi="Times New Roman" w:cs="Times New Roman"/>
                <w:sz w:val="18"/>
                <w:szCs w:val="18"/>
              </w:rPr>
            </w:pPr>
            <w:r w:rsidRPr="00693029">
              <w:rPr>
                <w:rFonts w:ascii="Times New Roman" w:hAnsi="Times New Roman" w:cs="Times New Roman"/>
                <w:sz w:val="18"/>
                <w:szCs w:val="18"/>
              </w:rPr>
              <w:t>iNOS – Reverse</w:t>
            </w:r>
          </w:p>
        </w:tc>
        <w:tc>
          <w:tcPr>
            <w:tcW w:w="0" w:type="auto"/>
            <w:hideMark/>
          </w:tcPr>
          <w:p w14:paraId="04BDC677" w14:textId="77777777" w:rsidR="000070CB" w:rsidRPr="00693029" w:rsidRDefault="000070CB" w:rsidP="000070CB">
            <w:pPr>
              <w:spacing w:line="360" w:lineRule="auto"/>
              <w:jc w:val="both"/>
              <w:rPr>
                <w:rFonts w:ascii="Times New Roman" w:hAnsi="Times New Roman" w:cs="Times New Roman"/>
                <w:sz w:val="18"/>
                <w:szCs w:val="18"/>
              </w:rPr>
            </w:pPr>
            <w:r w:rsidRPr="00693029">
              <w:rPr>
                <w:rFonts w:ascii="Times New Roman" w:hAnsi="Times New Roman" w:cs="Times New Roman"/>
                <w:sz w:val="18"/>
                <w:szCs w:val="18"/>
              </w:rPr>
              <w:t>GCTCGGCTTCCAGTATTGAG</w:t>
            </w:r>
          </w:p>
        </w:tc>
      </w:tr>
      <w:tr w:rsidR="000070CB" w:rsidRPr="00693029" w14:paraId="75E8AF6B" w14:textId="77777777" w:rsidTr="00BC520C">
        <w:trPr>
          <w:trHeight w:val="486"/>
          <w:jc w:val="center"/>
        </w:trPr>
        <w:tc>
          <w:tcPr>
            <w:tcW w:w="0" w:type="auto"/>
            <w:hideMark/>
          </w:tcPr>
          <w:p w14:paraId="0987277C" w14:textId="77777777" w:rsidR="000070CB" w:rsidRPr="00693029" w:rsidRDefault="000070CB" w:rsidP="000070CB">
            <w:pPr>
              <w:spacing w:line="360" w:lineRule="auto"/>
              <w:jc w:val="both"/>
              <w:rPr>
                <w:rFonts w:ascii="Times New Roman" w:hAnsi="Times New Roman" w:cs="Times New Roman"/>
                <w:sz w:val="18"/>
                <w:szCs w:val="18"/>
              </w:rPr>
            </w:pPr>
            <w:r w:rsidRPr="00693029">
              <w:rPr>
                <w:rFonts w:ascii="Times New Roman" w:hAnsi="Times New Roman" w:cs="Times New Roman"/>
                <w:sz w:val="18"/>
                <w:szCs w:val="18"/>
              </w:rPr>
              <w:t>IL-6 – Forward</w:t>
            </w:r>
          </w:p>
        </w:tc>
        <w:tc>
          <w:tcPr>
            <w:tcW w:w="0" w:type="auto"/>
            <w:hideMark/>
          </w:tcPr>
          <w:p w14:paraId="21027253" w14:textId="77777777" w:rsidR="000070CB" w:rsidRPr="00693029" w:rsidRDefault="000070CB" w:rsidP="000070CB">
            <w:pPr>
              <w:spacing w:line="360" w:lineRule="auto"/>
              <w:jc w:val="both"/>
              <w:rPr>
                <w:rFonts w:ascii="Times New Roman" w:hAnsi="Times New Roman" w:cs="Times New Roman"/>
                <w:sz w:val="18"/>
                <w:szCs w:val="18"/>
              </w:rPr>
            </w:pPr>
            <w:r w:rsidRPr="00693029">
              <w:rPr>
                <w:rFonts w:ascii="Times New Roman" w:hAnsi="Times New Roman" w:cs="Times New Roman"/>
                <w:sz w:val="18"/>
                <w:szCs w:val="18"/>
              </w:rPr>
              <w:t>GAAAGGAGTGGGTAGGCTT</w:t>
            </w:r>
          </w:p>
        </w:tc>
      </w:tr>
      <w:tr w:rsidR="000070CB" w:rsidRPr="00693029" w14:paraId="6984F323" w14:textId="77777777" w:rsidTr="00BC520C">
        <w:trPr>
          <w:trHeight w:val="499"/>
          <w:jc w:val="center"/>
        </w:trPr>
        <w:tc>
          <w:tcPr>
            <w:tcW w:w="0" w:type="auto"/>
            <w:hideMark/>
          </w:tcPr>
          <w:p w14:paraId="7A9E90D5" w14:textId="77777777" w:rsidR="000070CB" w:rsidRPr="00693029" w:rsidRDefault="000070CB" w:rsidP="000070CB">
            <w:pPr>
              <w:spacing w:line="360" w:lineRule="auto"/>
              <w:jc w:val="both"/>
              <w:rPr>
                <w:rFonts w:ascii="Times New Roman" w:hAnsi="Times New Roman" w:cs="Times New Roman"/>
                <w:sz w:val="18"/>
                <w:szCs w:val="18"/>
              </w:rPr>
            </w:pPr>
            <w:r w:rsidRPr="00693029">
              <w:rPr>
                <w:rFonts w:ascii="Times New Roman" w:hAnsi="Times New Roman" w:cs="Times New Roman"/>
                <w:sz w:val="18"/>
                <w:szCs w:val="18"/>
              </w:rPr>
              <w:t>IL-6 – Reverse</w:t>
            </w:r>
          </w:p>
        </w:tc>
        <w:tc>
          <w:tcPr>
            <w:tcW w:w="0" w:type="auto"/>
            <w:hideMark/>
          </w:tcPr>
          <w:p w14:paraId="30272A0D" w14:textId="77777777" w:rsidR="000070CB" w:rsidRPr="00693029" w:rsidRDefault="000070CB" w:rsidP="000070CB">
            <w:pPr>
              <w:spacing w:line="360" w:lineRule="auto"/>
              <w:jc w:val="both"/>
              <w:rPr>
                <w:rFonts w:ascii="Times New Roman" w:hAnsi="Times New Roman" w:cs="Times New Roman"/>
                <w:sz w:val="18"/>
                <w:szCs w:val="18"/>
              </w:rPr>
            </w:pPr>
            <w:r w:rsidRPr="00693029">
              <w:rPr>
                <w:rFonts w:ascii="Times New Roman" w:hAnsi="Times New Roman" w:cs="Times New Roman"/>
                <w:sz w:val="18"/>
                <w:szCs w:val="18"/>
              </w:rPr>
              <w:t>AGGTGGGCATGGATTTTCAGA</w:t>
            </w:r>
          </w:p>
        </w:tc>
      </w:tr>
      <w:tr w:rsidR="000070CB" w:rsidRPr="00693029" w14:paraId="62BC5A33" w14:textId="77777777" w:rsidTr="00BC520C">
        <w:trPr>
          <w:trHeight w:val="499"/>
          <w:jc w:val="center"/>
        </w:trPr>
        <w:tc>
          <w:tcPr>
            <w:tcW w:w="0" w:type="auto"/>
            <w:hideMark/>
          </w:tcPr>
          <w:p w14:paraId="2C706B52" w14:textId="77777777" w:rsidR="000070CB" w:rsidRPr="00693029" w:rsidRDefault="000070CB" w:rsidP="000070CB">
            <w:pPr>
              <w:spacing w:line="360" w:lineRule="auto"/>
              <w:jc w:val="both"/>
              <w:rPr>
                <w:rFonts w:ascii="Times New Roman" w:hAnsi="Times New Roman" w:cs="Times New Roman"/>
                <w:sz w:val="18"/>
                <w:szCs w:val="18"/>
              </w:rPr>
            </w:pPr>
            <w:r w:rsidRPr="00693029">
              <w:rPr>
                <w:rFonts w:ascii="Times New Roman" w:hAnsi="Times New Roman" w:cs="Times New Roman"/>
                <w:sz w:val="18"/>
                <w:szCs w:val="18"/>
              </w:rPr>
              <w:t>TNF-α – Forward</w:t>
            </w:r>
          </w:p>
        </w:tc>
        <w:tc>
          <w:tcPr>
            <w:tcW w:w="0" w:type="auto"/>
            <w:hideMark/>
          </w:tcPr>
          <w:p w14:paraId="6FD1E7F3" w14:textId="77777777" w:rsidR="000070CB" w:rsidRPr="00693029" w:rsidRDefault="000070CB" w:rsidP="000070CB">
            <w:pPr>
              <w:spacing w:line="360" w:lineRule="auto"/>
              <w:jc w:val="both"/>
              <w:rPr>
                <w:rFonts w:ascii="Times New Roman" w:hAnsi="Times New Roman" w:cs="Times New Roman"/>
                <w:sz w:val="18"/>
                <w:szCs w:val="18"/>
              </w:rPr>
            </w:pPr>
            <w:r w:rsidRPr="00693029">
              <w:rPr>
                <w:rFonts w:ascii="Times New Roman" w:hAnsi="Times New Roman" w:cs="Times New Roman"/>
                <w:sz w:val="18"/>
                <w:szCs w:val="18"/>
              </w:rPr>
              <w:t>ATGTGCCAAGAGTGAGGAA</w:t>
            </w:r>
          </w:p>
        </w:tc>
      </w:tr>
      <w:tr w:rsidR="000070CB" w:rsidRPr="00693029" w14:paraId="4B588FB5" w14:textId="77777777" w:rsidTr="00BC520C">
        <w:trPr>
          <w:trHeight w:val="499"/>
          <w:jc w:val="center"/>
        </w:trPr>
        <w:tc>
          <w:tcPr>
            <w:tcW w:w="0" w:type="auto"/>
            <w:hideMark/>
          </w:tcPr>
          <w:p w14:paraId="6EDD395B" w14:textId="77777777" w:rsidR="000070CB" w:rsidRPr="00693029" w:rsidRDefault="000070CB" w:rsidP="000070CB">
            <w:pPr>
              <w:spacing w:line="360" w:lineRule="auto"/>
              <w:jc w:val="both"/>
              <w:rPr>
                <w:rFonts w:ascii="Times New Roman" w:hAnsi="Times New Roman" w:cs="Times New Roman"/>
                <w:sz w:val="18"/>
                <w:szCs w:val="18"/>
              </w:rPr>
            </w:pPr>
            <w:r w:rsidRPr="00693029">
              <w:rPr>
                <w:rFonts w:ascii="Times New Roman" w:hAnsi="Times New Roman" w:cs="Times New Roman"/>
                <w:sz w:val="18"/>
                <w:szCs w:val="18"/>
              </w:rPr>
              <w:t>TNF-α – Reverse</w:t>
            </w:r>
          </w:p>
        </w:tc>
        <w:tc>
          <w:tcPr>
            <w:tcW w:w="0" w:type="auto"/>
            <w:hideMark/>
          </w:tcPr>
          <w:p w14:paraId="37EE484D" w14:textId="77777777" w:rsidR="000070CB" w:rsidRPr="00693029" w:rsidRDefault="000070CB" w:rsidP="000070CB">
            <w:pPr>
              <w:spacing w:line="360" w:lineRule="auto"/>
              <w:jc w:val="both"/>
              <w:rPr>
                <w:rFonts w:ascii="Times New Roman" w:hAnsi="Times New Roman" w:cs="Times New Roman"/>
                <w:sz w:val="18"/>
                <w:szCs w:val="18"/>
              </w:rPr>
            </w:pPr>
            <w:r w:rsidRPr="00693029">
              <w:rPr>
                <w:rFonts w:ascii="Times New Roman" w:hAnsi="Times New Roman" w:cs="Times New Roman"/>
                <w:sz w:val="18"/>
                <w:szCs w:val="18"/>
              </w:rPr>
              <w:t>CTCACACCCCACATCTGTCT</w:t>
            </w:r>
          </w:p>
        </w:tc>
      </w:tr>
    </w:tbl>
    <w:p w14:paraId="1F8DF583" w14:textId="77777777" w:rsidR="000070CB" w:rsidRPr="000070CB" w:rsidRDefault="000070CB" w:rsidP="000070CB">
      <w:pPr>
        <w:spacing w:line="360" w:lineRule="auto"/>
        <w:jc w:val="both"/>
        <w:rPr>
          <w:rFonts w:ascii="Times New Roman" w:hAnsi="Times New Roman" w:cs="Times New Roman"/>
          <w:sz w:val="24"/>
          <w:szCs w:val="24"/>
        </w:rPr>
      </w:pPr>
    </w:p>
    <w:p w14:paraId="24106581" w14:textId="77777777" w:rsidR="000070CB" w:rsidRPr="000070CB" w:rsidRDefault="000070CB" w:rsidP="000070C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2.9 </w:t>
      </w:r>
      <w:r w:rsidRPr="000070CB">
        <w:rPr>
          <w:rFonts w:ascii="Times New Roman" w:hAnsi="Times New Roman" w:cs="Times New Roman"/>
          <w:b/>
          <w:bCs/>
          <w:sz w:val="24"/>
          <w:szCs w:val="24"/>
        </w:rPr>
        <w:t>Data Analysis and Statistical Evaluation of THP-1 Cell Line Studies</w:t>
      </w:r>
    </w:p>
    <w:p w14:paraId="2412C135" w14:textId="77777777" w:rsidR="000070CB" w:rsidRPr="000070CB" w:rsidRDefault="000070CB" w:rsidP="000070CB">
      <w:pPr>
        <w:spacing w:line="360" w:lineRule="auto"/>
        <w:jc w:val="both"/>
        <w:rPr>
          <w:rFonts w:ascii="Times New Roman" w:hAnsi="Times New Roman" w:cs="Times New Roman"/>
          <w:sz w:val="24"/>
          <w:szCs w:val="24"/>
        </w:rPr>
      </w:pPr>
      <w:r w:rsidRPr="000070CB">
        <w:rPr>
          <w:rFonts w:ascii="Times New Roman" w:hAnsi="Times New Roman" w:cs="Times New Roman"/>
          <w:sz w:val="24"/>
          <w:szCs w:val="24"/>
        </w:rPr>
        <w:t>Data obtained from cytotoxicity and gene expression studies were analyzed using GraphPad Prism 6 (GraphPad Software, San Diego, CA, USA). IC₅₀ values were calculated from nonlinear regression analysis of sigmoidal dose–response curves. Relative gene expression levels were determined using the comparative Ct (2⁻ΔΔCt) method and normalized against GAPDH. Results were expressed as</w:t>
      </w:r>
      <w:r w:rsidR="001713D1">
        <w:rPr>
          <w:rFonts w:ascii="Times New Roman" w:hAnsi="Times New Roman" w:cs="Times New Roman"/>
          <w:sz w:val="24"/>
          <w:szCs w:val="24"/>
        </w:rPr>
        <w:t xml:space="preserve"> mean ± standard deviation (SD)</w:t>
      </w:r>
      <w:r w:rsidRPr="000070CB">
        <w:rPr>
          <w:rFonts w:ascii="Times New Roman" w:hAnsi="Times New Roman" w:cs="Times New Roman"/>
          <w:sz w:val="24"/>
          <w:szCs w:val="24"/>
        </w:rPr>
        <w:t xml:space="preserve"> and statistical significance was determined using one-way analysis of variance (ANOVA), with </w:t>
      </w:r>
      <w:r w:rsidRPr="000070CB">
        <w:rPr>
          <w:rFonts w:ascii="Times New Roman" w:hAnsi="Times New Roman" w:cs="Times New Roman"/>
          <w:i/>
          <w:iCs/>
          <w:sz w:val="24"/>
          <w:szCs w:val="24"/>
        </w:rPr>
        <w:t>p</w:t>
      </w:r>
      <w:r w:rsidRPr="000070CB">
        <w:rPr>
          <w:rFonts w:ascii="Times New Roman" w:hAnsi="Times New Roman" w:cs="Times New Roman"/>
          <w:sz w:val="24"/>
          <w:szCs w:val="24"/>
        </w:rPr>
        <w:t xml:space="preserve"> &lt; 0.05 considered statistically significant. </w:t>
      </w:r>
    </w:p>
    <w:p w14:paraId="7E8AE2B2" w14:textId="77777777" w:rsidR="000070CB" w:rsidRPr="002227A2" w:rsidRDefault="002227A2" w:rsidP="000070CB">
      <w:pPr>
        <w:spacing w:line="360" w:lineRule="auto"/>
        <w:jc w:val="both"/>
        <w:rPr>
          <w:rFonts w:ascii="Times New Roman" w:hAnsi="Times New Roman" w:cs="Times New Roman"/>
          <w:b/>
          <w:bCs/>
          <w:sz w:val="24"/>
          <w:szCs w:val="24"/>
        </w:rPr>
      </w:pPr>
      <w:r w:rsidRPr="002227A2">
        <w:rPr>
          <w:rFonts w:ascii="Times New Roman" w:hAnsi="Times New Roman" w:cs="Times New Roman"/>
          <w:b/>
          <w:bCs/>
          <w:sz w:val="24"/>
          <w:szCs w:val="24"/>
        </w:rPr>
        <w:t xml:space="preserve">3. Results </w:t>
      </w:r>
    </w:p>
    <w:p w14:paraId="3127BBB4" w14:textId="77777777" w:rsidR="002227A2" w:rsidRDefault="002227A2" w:rsidP="002227A2">
      <w:pPr>
        <w:spacing w:after="0" w:line="360" w:lineRule="auto"/>
        <w:ind w:right="-7" w:firstLine="720"/>
        <w:jc w:val="both"/>
        <w:rPr>
          <w:rFonts w:ascii="Times New Roman" w:eastAsia="Times New Roman" w:hAnsi="Times New Roman" w:cs="Times New Roman"/>
          <w:color w:val="000000"/>
          <w:sz w:val="24"/>
          <w:lang w:bidi="ta-IN"/>
        </w:rPr>
      </w:pPr>
      <w:r w:rsidRPr="004461F8">
        <w:rPr>
          <w:rFonts w:ascii="Times New Roman" w:eastAsia="Times New Roman" w:hAnsi="Times New Roman" w:cs="Times New Roman"/>
          <w:color w:val="000000"/>
          <w:sz w:val="24"/>
          <w:lang w:bidi="ta-IN"/>
        </w:rPr>
        <w:t>Cell viability was initially determined by the MTT assay to establish the cytotoxic profile and identify sub-cytotoxic concentrations. These non-toxic concentrations were subsequently used to examine transcriptional modulation of inflammatory mediators, allowing evaluation of extract-mediated effects under unstimulated conditions.</w:t>
      </w:r>
    </w:p>
    <w:p w14:paraId="5C58B7BD" w14:textId="77777777" w:rsidR="002227A2" w:rsidRDefault="002227A2" w:rsidP="002227A2">
      <w:pPr>
        <w:spacing w:after="0" w:line="360" w:lineRule="auto"/>
        <w:ind w:right="-7"/>
        <w:jc w:val="both"/>
        <w:rPr>
          <w:rFonts w:ascii="Times New Roman" w:eastAsia="Times New Roman" w:hAnsi="Times New Roman" w:cs="Times New Roman"/>
          <w:b/>
          <w:bCs/>
          <w:color w:val="000000"/>
          <w:sz w:val="24"/>
          <w:lang w:bidi="ta-IN"/>
        </w:rPr>
      </w:pPr>
      <w:r>
        <w:rPr>
          <w:rFonts w:ascii="Times New Roman" w:eastAsia="Times New Roman" w:hAnsi="Times New Roman" w:cs="Times New Roman"/>
          <w:b/>
          <w:bCs/>
          <w:color w:val="000000"/>
          <w:sz w:val="24"/>
          <w:lang w:bidi="ta-IN"/>
        </w:rPr>
        <w:t xml:space="preserve">3.1 </w:t>
      </w:r>
      <w:r w:rsidRPr="004461F8">
        <w:rPr>
          <w:rFonts w:ascii="Times New Roman" w:eastAsia="Times New Roman" w:hAnsi="Times New Roman" w:cs="Times New Roman"/>
          <w:b/>
          <w:bCs/>
          <w:color w:val="000000"/>
          <w:sz w:val="24"/>
          <w:lang w:bidi="ta-IN"/>
        </w:rPr>
        <w:t xml:space="preserve">Effect of </w:t>
      </w:r>
      <w:r w:rsidRPr="004171E8">
        <w:rPr>
          <w:rFonts w:ascii="Times New Roman" w:eastAsia="Times New Roman" w:hAnsi="Times New Roman" w:cs="Times New Roman"/>
          <w:b/>
          <w:bCs/>
          <w:color w:val="000000"/>
          <w:sz w:val="24"/>
          <w:lang w:bidi="ta-IN"/>
        </w:rPr>
        <w:t xml:space="preserve">ethanolic extracts </w:t>
      </w:r>
      <w:r w:rsidRPr="004461F8">
        <w:rPr>
          <w:rFonts w:ascii="Times New Roman" w:eastAsia="Times New Roman" w:hAnsi="Times New Roman" w:cs="Times New Roman"/>
          <w:b/>
          <w:bCs/>
          <w:i/>
          <w:iCs/>
          <w:color w:val="000000"/>
          <w:sz w:val="24"/>
          <w:lang w:bidi="ta-IN"/>
        </w:rPr>
        <w:t>D. quercifolia</w:t>
      </w:r>
      <w:r w:rsidRPr="004461F8">
        <w:rPr>
          <w:rFonts w:ascii="Times New Roman" w:eastAsia="Times New Roman" w:hAnsi="Times New Roman" w:cs="Times New Roman"/>
          <w:b/>
          <w:bCs/>
          <w:color w:val="000000"/>
          <w:sz w:val="24"/>
          <w:lang w:bidi="ta-IN"/>
        </w:rPr>
        <w:t xml:space="preserve"> and </w:t>
      </w:r>
      <w:r w:rsidRPr="004461F8">
        <w:rPr>
          <w:rFonts w:ascii="Times New Roman" w:eastAsia="Times New Roman" w:hAnsi="Times New Roman" w:cs="Times New Roman"/>
          <w:b/>
          <w:bCs/>
          <w:i/>
          <w:iCs/>
          <w:color w:val="000000"/>
          <w:sz w:val="24"/>
          <w:lang w:bidi="ta-IN"/>
        </w:rPr>
        <w:t>C. aeruginosa</w:t>
      </w:r>
      <w:r w:rsidRPr="004461F8">
        <w:rPr>
          <w:rFonts w:ascii="Times New Roman" w:eastAsia="Times New Roman" w:hAnsi="Times New Roman" w:cs="Times New Roman"/>
          <w:b/>
          <w:bCs/>
          <w:color w:val="000000"/>
          <w:sz w:val="24"/>
          <w:lang w:bidi="ta-IN"/>
        </w:rPr>
        <w:t xml:space="preserve"> rhizomes on THP-1 Cell Viability</w:t>
      </w:r>
      <w:r>
        <w:rPr>
          <w:rFonts w:ascii="Times New Roman" w:eastAsia="Times New Roman" w:hAnsi="Times New Roman" w:cs="Times New Roman"/>
          <w:b/>
          <w:bCs/>
          <w:color w:val="000000"/>
          <w:sz w:val="24"/>
          <w:lang w:bidi="ta-IN"/>
        </w:rPr>
        <w:t xml:space="preserve"> using MTT assay</w:t>
      </w:r>
    </w:p>
    <w:p w14:paraId="528DB536" w14:textId="77777777" w:rsidR="002227A2" w:rsidRPr="00730D86" w:rsidRDefault="002227A2" w:rsidP="002227A2">
      <w:pPr>
        <w:spacing w:after="0" w:line="360" w:lineRule="auto"/>
        <w:ind w:right="-7"/>
        <w:jc w:val="both"/>
        <w:rPr>
          <w:rFonts w:ascii="Times New Roman" w:eastAsia="Times New Roman" w:hAnsi="Times New Roman" w:cs="Times New Roman"/>
          <w:color w:val="000000"/>
          <w:sz w:val="24"/>
          <w:lang w:bidi="ta-IN"/>
        </w:rPr>
      </w:pPr>
      <w:r>
        <w:rPr>
          <w:rFonts w:ascii="Times New Roman" w:eastAsia="Times New Roman" w:hAnsi="Times New Roman" w:cs="Times New Roman"/>
          <w:b/>
          <w:bCs/>
          <w:color w:val="000000"/>
          <w:sz w:val="24"/>
          <w:lang w:bidi="ta-IN"/>
        </w:rPr>
        <w:tab/>
      </w:r>
      <w:r w:rsidRPr="00730D86">
        <w:rPr>
          <w:rFonts w:ascii="Times New Roman" w:eastAsia="Times New Roman" w:hAnsi="Times New Roman" w:cs="Times New Roman"/>
          <w:color w:val="000000"/>
          <w:sz w:val="24"/>
          <w:lang w:bidi="ta-IN"/>
        </w:rPr>
        <w:t>The cytotoxic potential of the Ethanolic extracts D</w:t>
      </w:r>
      <w:r w:rsidRPr="00730D86">
        <w:rPr>
          <w:rFonts w:ascii="Times New Roman" w:eastAsia="Times New Roman" w:hAnsi="Times New Roman" w:cs="Times New Roman"/>
          <w:i/>
          <w:iCs/>
          <w:color w:val="000000"/>
          <w:sz w:val="24"/>
          <w:lang w:bidi="ta-IN"/>
        </w:rPr>
        <w:t>rynaria quercifolia</w:t>
      </w:r>
      <w:r w:rsidRPr="00730D86">
        <w:rPr>
          <w:rFonts w:ascii="Times New Roman" w:eastAsia="Times New Roman" w:hAnsi="Times New Roman" w:cs="Times New Roman"/>
          <w:color w:val="000000"/>
          <w:sz w:val="24"/>
          <w:lang w:bidi="ta-IN"/>
        </w:rPr>
        <w:t xml:space="preserve"> (EDQ) and </w:t>
      </w:r>
      <w:r w:rsidRPr="00730D86">
        <w:rPr>
          <w:rFonts w:ascii="Times New Roman" w:eastAsia="Times New Roman" w:hAnsi="Times New Roman" w:cs="Times New Roman"/>
          <w:i/>
          <w:iCs/>
          <w:color w:val="000000"/>
          <w:sz w:val="24"/>
          <w:lang w:bidi="ta-IN"/>
        </w:rPr>
        <w:t>Curcuma aeruginosa</w:t>
      </w:r>
      <w:r w:rsidRPr="00730D86">
        <w:rPr>
          <w:rFonts w:ascii="Times New Roman" w:eastAsia="Times New Roman" w:hAnsi="Times New Roman" w:cs="Times New Roman"/>
          <w:color w:val="000000"/>
          <w:sz w:val="24"/>
          <w:lang w:bidi="ta-IN"/>
        </w:rPr>
        <w:t xml:space="preserve"> (ECA) on THP-1 cells was evaluated using the MTT assay after 24 h of exposure. Cell viability was assessed across a concentration range of 0–100 µg/mL to determine dose-dependent effects and to identify sub-cytotoxic concentrations suitable for downstream molecular studies.</w:t>
      </w:r>
    </w:p>
    <w:p w14:paraId="216DB382" w14:textId="77777777" w:rsidR="002227A2" w:rsidRDefault="002227A2" w:rsidP="002227A2">
      <w:pPr>
        <w:spacing w:after="0" w:line="360" w:lineRule="auto"/>
        <w:ind w:right="-7"/>
        <w:jc w:val="both"/>
        <w:rPr>
          <w:rFonts w:ascii="Times New Roman" w:eastAsia="Times New Roman" w:hAnsi="Times New Roman" w:cs="Times New Roman"/>
          <w:color w:val="000000"/>
          <w:sz w:val="24"/>
          <w:lang w:bidi="ta-IN"/>
        </w:rPr>
      </w:pPr>
      <w:r w:rsidRPr="00730D86">
        <w:rPr>
          <w:rFonts w:ascii="Times New Roman" w:eastAsia="Times New Roman" w:hAnsi="Times New Roman" w:cs="Times New Roman"/>
          <w:color w:val="000000"/>
          <w:sz w:val="24"/>
          <w:lang w:bidi="ta-IN"/>
        </w:rPr>
        <w:tab/>
        <w:t>Both extracts exhibited a clear concentration-dependent reduction in THP-1 cell viability, indicating a progressive loss of metabolic activity with increasing extract concentration.</w:t>
      </w:r>
    </w:p>
    <w:p w14:paraId="07DAD636" w14:textId="77777777" w:rsidR="002227A2" w:rsidRPr="00BD7D2B" w:rsidRDefault="002227A2" w:rsidP="002227A2">
      <w:pPr>
        <w:spacing w:after="0" w:line="360" w:lineRule="auto"/>
        <w:ind w:right="-7"/>
        <w:jc w:val="both"/>
        <w:rPr>
          <w:rFonts w:ascii="Times New Roman" w:eastAsia="Times New Roman" w:hAnsi="Times New Roman" w:cs="Times New Roman"/>
          <w:b/>
          <w:bCs/>
          <w:color w:val="000000"/>
          <w:sz w:val="24"/>
          <w:lang w:bidi="ta-IN"/>
        </w:rPr>
      </w:pPr>
      <w:r w:rsidRPr="002227A2">
        <w:rPr>
          <w:rFonts w:ascii="Times New Roman" w:eastAsia="Times New Roman" w:hAnsi="Times New Roman" w:cs="Times New Roman"/>
          <w:b/>
          <w:bCs/>
          <w:color w:val="000000"/>
          <w:sz w:val="24"/>
          <w:lang w:bidi="ta-IN"/>
        </w:rPr>
        <w:lastRenderedPageBreak/>
        <w:t>3.1.1</w:t>
      </w:r>
      <w:r>
        <w:rPr>
          <w:rFonts w:ascii="Times New Roman" w:eastAsia="Times New Roman" w:hAnsi="Times New Roman" w:cs="Times New Roman"/>
          <w:color w:val="000000"/>
          <w:sz w:val="24"/>
          <w:lang w:bidi="ta-IN"/>
        </w:rPr>
        <w:t xml:space="preserve"> </w:t>
      </w:r>
      <w:r w:rsidRPr="00BD7D2B">
        <w:rPr>
          <w:rFonts w:ascii="Times New Roman" w:eastAsia="Times New Roman" w:hAnsi="Times New Roman" w:cs="Times New Roman"/>
          <w:b/>
          <w:bCs/>
          <w:color w:val="000000"/>
          <w:sz w:val="24"/>
          <w:lang w:bidi="ta-IN"/>
        </w:rPr>
        <w:t xml:space="preserve">Cytotoxic Profile of </w:t>
      </w:r>
      <w:r w:rsidRPr="00BD7D2B">
        <w:rPr>
          <w:rFonts w:ascii="Times New Roman" w:eastAsia="Times New Roman" w:hAnsi="Times New Roman" w:cs="Times New Roman"/>
          <w:b/>
          <w:bCs/>
          <w:i/>
          <w:iCs/>
          <w:color w:val="000000"/>
          <w:sz w:val="24"/>
          <w:lang w:bidi="ta-IN"/>
        </w:rPr>
        <w:t>D. quercifolia</w:t>
      </w:r>
      <w:r w:rsidRPr="00BD7D2B">
        <w:rPr>
          <w:rFonts w:ascii="Times New Roman" w:eastAsia="Times New Roman" w:hAnsi="Times New Roman" w:cs="Times New Roman"/>
          <w:b/>
          <w:bCs/>
          <w:color w:val="000000"/>
          <w:sz w:val="24"/>
          <w:lang w:bidi="ta-IN"/>
        </w:rPr>
        <w:t xml:space="preserve"> ethanolic extracts in THP-1 Cells</w:t>
      </w:r>
    </w:p>
    <w:p w14:paraId="715882B9" w14:textId="77777777" w:rsidR="002227A2" w:rsidRDefault="002227A2" w:rsidP="002227A2">
      <w:pPr>
        <w:spacing w:after="0" w:line="360" w:lineRule="auto"/>
        <w:ind w:right="-7"/>
        <w:jc w:val="both"/>
        <w:rPr>
          <w:rFonts w:ascii="Times New Roman" w:eastAsia="Times New Roman" w:hAnsi="Times New Roman" w:cs="Times New Roman"/>
          <w:color w:val="000000"/>
          <w:sz w:val="24"/>
          <w:szCs w:val="24"/>
          <w:lang w:bidi="ta-IN"/>
        </w:rPr>
      </w:pPr>
      <w:r>
        <w:rPr>
          <w:rFonts w:ascii="Times New Roman" w:eastAsia="Times New Roman" w:hAnsi="Times New Roman" w:cs="Times New Roman"/>
          <w:color w:val="000000"/>
          <w:sz w:val="24"/>
          <w:lang w:bidi="ta-IN"/>
        </w:rPr>
        <w:tab/>
      </w:r>
      <w:r>
        <w:rPr>
          <w:rFonts w:ascii="Times New Roman" w:eastAsia="Times New Roman" w:hAnsi="Times New Roman" w:cs="Times New Roman"/>
          <w:color w:val="000000"/>
          <w:sz w:val="24"/>
          <w:szCs w:val="24"/>
          <w:lang w:bidi="ta-IN"/>
        </w:rPr>
        <w:t>Treatment with EDQ</w:t>
      </w:r>
      <w:r w:rsidRPr="004171E8">
        <w:rPr>
          <w:rFonts w:ascii="Times New Roman" w:eastAsia="Times New Roman" w:hAnsi="Times New Roman" w:cs="Times New Roman"/>
          <w:color w:val="000000"/>
          <w:sz w:val="24"/>
          <w:szCs w:val="24"/>
          <w:lang w:bidi="ta-IN"/>
        </w:rPr>
        <w:t xml:space="preserve"> for 24 h resulted in a concentration-dependent reduction in THP-1 cell viability over the range of 0–100 µg/mL, as determined by the MTT assay. The untreated control and lower concentrations (10 and 20 µg/mL) maintained high viability, whereas a marked decline was observed from 30 µg/mL onwards, with near-complete loss of viability at higher concentrations.</w:t>
      </w:r>
      <w:r>
        <w:rPr>
          <w:rFonts w:ascii="Times New Roman" w:eastAsia="Times New Roman" w:hAnsi="Times New Roman" w:cs="Times New Roman"/>
          <w:color w:val="000000"/>
          <w:sz w:val="24"/>
          <w:szCs w:val="24"/>
          <w:lang w:bidi="ta-IN"/>
        </w:rPr>
        <w:t>The IC₅₀ value for EDQ</w:t>
      </w:r>
      <w:r w:rsidRPr="004171E8">
        <w:rPr>
          <w:rFonts w:ascii="Times New Roman" w:eastAsia="Times New Roman" w:hAnsi="Times New Roman" w:cs="Times New Roman"/>
          <w:color w:val="000000"/>
          <w:sz w:val="24"/>
          <w:szCs w:val="24"/>
          <w:lang w:bidi="ta-IN"/>
        </w:rPr>
        <w:t xml:space="preserve"> was calculated to be 40.94 µg/mL, indicating comparatively higher cytotoxic potency.</w:t>
      </w:r>
      <w:r w:rsidRPr="00307767">
        <w:t xml:space="preserve"> </w:t>
      </w:r>
      <w:r w:rsidRPr="00307767">
        <w:rPr>
          <w:rFonts w:ascii="Times New Roman" w:eastAsia="Times New Roman" w:hAnsi="Times New Roman" w:cs="Times New Roman"/>
          <w:color w:val="000000"/>
          <w:sz w:val="24"/>
          <w:szCs w:val="24"/>
          <w:lang w:bidi="ta-IN"/>
        </w:rPr>
        <w:t xml:space="preserve">The detailed absorbance values, percentage viability, and statistical grouping are presented in </w:t>
      </w:r>
      <w:r>
        <w:rPr>
          <w:rFonts w:ascii="Times New Roman" w:eastAsia="Times New Roman" w:hAnsi="Times New Roman" w:cs="Times New Roman"/>
          <w:color w:val="000000"/>
          <w:sz w:val="24"/>
          <w:szCs w:val="24"/>
          <w:lang w:bidi="ta-IN"/>
        </w:rPr>
        <w:t>Table 2, Figure-1.</w:t>
      </w:r>
    </w:p>
    <w:p w14:paraId="6B9BDA62" w14:textId="77777777" w:rsidR="002227A2" w:rsidRDefault="002227A2" w:rsidP="002227A2">
      <w:pPr>
        <w:spacing w:after="0" w:line="360" w:lineRule="auto"/>
        <w:ind w:right="-7" w:firstLine="720"/>
        <w:jc w:val="both"/>
        <w:rPr>
          <w:rFonts w:ascii="Times New Roman" w:eastAsia="Times New Roman" w:hAnsi="Times New Roman" w:cs="Times New Roman"/>
          <w:b/>
          <w:bCs/>
          <w:color w:val="000000"/>
          <w:sz w:val="24"/>
          <w:szCs w:val="24"/>
          <w:lang w:bidi="ta-IN"/>
        </w:rPr>
      </w:pPr>
      <w:r w:rsidRPr="0097724C">
        <w:rPr>
          <w:rFonts w:ascii="Times New Roman" w:eastAsia="Times New Roman" w:hAnsi="Times New Roman" w:cs="Times New Roman"/>
          <w:b/>
          <w:bCs/>
          <w:color w:val="000000"/>
          <w:sz w:val="24"/>
          <w:szCs w:val="24"/>
          <w:lang w:bidi="ta-IN"/>
        </w:rPr>
        <w:t>Table</w:t>
      </w:r>
      <w:r>
        <w:rPr>
          <w:rFonts w:ascii="Times New Roman" w:eastAsia="Times New Roman" w:hAnsi="Times New Roman" w:cs="Times New Roman"/>
          <w:b/>
          <w:bCs/>
          <w:color w:val="000000"/>
          <w:sz w:val="24"/>
          <w:szCs w:val="24"/>
          <w:lang w:bidi="ta-IN"/>
        </w:rPr>
        <w:t xml:space="preserve"> 2</w:t>
      </w:r>
      <w:r w:rsidRPr="0097724C">
        <w:rPr>
          <w:rFonts w:ascii="Times New Roman" w:eastAsia="Times New Roman" w:hAnsi="Times New Roman" w:cs="Times New Roman"/>
          <w:b/>
          <w:bCs/>
          <w:color w:val="000000"/>
          <w:sz w:val="24"/>
          <w:szCs w:val="24"/>
          <w:lang w:bidi="ta-IN"/>
        </w:rPr>
        <w:t xml:space="preserve"> : Effect of </w:t>
      </w:r>
      <w:r>
        <w:rPr>
          <w:rFonts w:ascii="Times New Roman" w:eastAsia="Times New Roman" w:hAnsi="Times New Roman" w:cs="Times New Roman"/>
          <w:b/>
          <w:bCs/>
          <w:i/>
          <w:iCs/>
          <w:color w:val="000000"/>
          <w:sz w:val="24"/>
          <w:szCs w:val="24"/>
          <w:lang w:bidi="ta-IN"/>
        </w:rPr>
        <w:t>D.</w:t>
      </w:r>
      <w:r w:rsidRPr="0097724C">
        <w:rPr>
          <w:rFonts w:ascii="Times New Roman" w:eastAsia="Times New Roman" w:hAnsi="Times New Roman" w:cs="Times New Roman"/>
          <w:b/>
          <w:bCs/>
          <w:i/>
          <w:iCs/>
          <w:color w:val="000000"/>
          <w:sz w:val="24"/>
          <w:szCs w:val="24"/>
          <w:lang w:bidi="ta-IN"/>
        </w:rPr>
        <w:t xml:space="preserve"> quercifolia</w:t>
      </w:r>
      <w:r>
        <w:rPr>
          <w:rFonts w:ascii="Times New Roman" w:eastAsia="Times New Roman" w:hAnsi="Times New Roman" w:cs="Times New Roman"/>
          <w:b/>
          <w:bCs/>
          <w:color w:val="000000"/>
          <w:sz w:val="24"/>
          <w:szCs w:val="24"/>
          <w:lang w:bidi="ta-IN"/>
        </w:rPr>
        <w:t xml:space="preserve"> (EDQ</w:t>
      </w:r>
      <w:r w:rsidRPr="0097724C">
        <w:rPr>
          <w:rFonts w:ascii="Times New Roman" w:eastAsia="Times New Roman" w:hAnsi="Times New Roman" w:cs="Times New Roman"/>
          <w:b/>
          <w:bCs/>
          <w:color w:val="000000"/>
          <w:sz w:val="24"/>
          <w:szCs w:val="24"/>
          <w:lang w:bidi="ta-IN"/>
        </w:rPr>
        <w:t>) on THP-1 Cell Viability (MTT Assay)</w:t>
      </w:r>
    </w:p>
    <w:tbl>
      <w:tblPr>
        <w:tblStyle w:val="TableGrid"/>
        <w:tblW w:w="0" w:type="auto"/>
        <w:tblInd w:w="949" w:type="dxa"/>
        <w:tblLook w:val="04A0" w:firstRow="1" w:lastRow="0" w:firstColumn="1" w:lastColumn="0" w:noHBand="0" w:noVBand="1"/>
      </w:tblPr>
      <w:tblGrid>
        <w:gridCol w:w="2005"/>
        <w:gridCol w:w="2160"/>
        <w:gridCol w:w="1586"/>
      </w:tblGrid>
      <w:tr w:rsidR="002227A2" w:rsidRPr="00693029" w14:paraId="7EEF0344" w14:textId="77777777" w:rsidTr="00BC520C">
        <w:tc>
          <w:tcPr>
            <w:tcW w:w="0" w:type="auto"/>
            <w:hideMark/>
          </w:tcPr>
          <w:p w14:paraId="5515C016" w14:textId="77777777" w:rsidR="002227A2" w:rsidRPr="00693029" w:rsidRDefault="002227A2" w:rsidP="00BC520C">
            <w:pPr>
              <w:spacing w:line="360" w:lineRule="auto"/>
              <w:ind w:right="-7"/>
              <w:jc w:val="both"/>
              <w:rPr>
                <w:rFonts w:ascii="Times New Roman" w:eastAsia="Times New Roman" w:hAnsi="Times New Roman" w:cs="Times New Roman"/>
                <w:b/>
                <w:bCs/>
                <w:color w:val="000000"/>
                <w:sz w:val="18"/>
                <w:szCs w:val="18"/>
                <w:lang w:bidi="ta-IN"/>
              </w:rPr>
            </w:pPr>
            <w:r w:rsidRPr="00693029">
              <w:rPr>
                <w:rFonts w:ascii="Times New Roman" w:eastAsia="Times New Roman" w:hAnsi="Times New Roman" w:cs="Times New Roman"/>
                <w:b/>
                <w:bCs/>
                <w:color w:val="000000"/>
                <w:sz w:val="18"/>
                <w:szCs w:val="18"/>
                <w:lang w:bidi="ta-IN"/>
              </w:rPr>
              <w:t>Concentration (µg/mL)</w:t>
            </w:r>
          </w:p>
        </w:tc>
        <w:tc>
          <w:tcPr>
            <w:tcW w:w="0" w:type="auto"/>
            <w:hideMark/>
          </w:tcPr>
          <w:p w14:paraId="3E76E7C8" w14:textId="77777777" w:rsidR="002227A2" w:rsidRPr="00693029" w:rsidRDefault="002227A2" w:rsidP="00BC520C">
            <w:pPr>
              <w:spacing w:line="360" w:lineRule="auto"/>
              <w:ind w:right="-7"/>
              <w:jc w:val="both"/>
              <w:rPr>
                <w:rFonts w:ascii="Times New Roman" w:eastAsia="Times New Roman" w:hAnsi="Times New Roman" w:cs="Times New Roman"/>
                <w:b/>
                <w:bCs/>
                <w:color w:val="000000"/>
                <w:sz w:val="18"/>
                <w:szCs w:val="18"/>
                <w:lang w:bidi="ta-IN"/>
              </w:rPr>
            </w:pPr>
            <w:r w:rsidRPr="00693029">
              <w:rPr>
                <w:rFonts w:ascii="Times New Roman" w:eastAsia="Times New Roman" w:hAnsi="Times New Roman" w:cs="Times New Roman"/>
                <w:b/>
                <w:bCs/>
                <w:color w:val="000000"/>
                <w:sz w:val="18"/>
                <w:szCs w:val="18"/>
                <w:lang w:bidi="ta-IN"/>
              </w:rPr>
              <w:t>Absorbance (Mean ± SD)</w:t>
            </w:r>
          </w:p>
        </w:tc>
        <w:tc>
          <w:tcPr>
            <w:tcW w:w="0" w:type="auto"/>
            <w:hideMark/>
          </w:tcPr>
          <w:p w14:paraId="72A6AAAF" w14:textId="77777777" w:rsidR="002227A2" w:rsidRPr="00693029" w:rsidRDefault="002227A2" w:rsidP="00BC520C">
            <w:pPr>
              <w:spacing w:line="360" w:lineRule="auto"/>
              <w:ind w:right="-7"/>
              <w:jc w:val="both"/>
              <w:rPr>
                <w:rFonts w:ascii="Times New Roman" w:eastAsia="Times New Roman" w:hAnsi="Times New Roman" w:cs="Times New Roman"/>
                <w:b/>
                <w:bCs/>
                <w:color w:val="000000"/>
                <w:sz w:val="18"/>
                <w:szCs w:val="18"/>
                <w:lang w:bidi="ta-IN"/>
              </w:rPr>
            </w:pPr>
            <w:r w:rsidRPr="00693029">
              <w:rPr>
                <w:rFonts w:ascii="Times New Roman" w:eastAsia="Times New Roman" w:hAnsi="Times New Roman" w:cs="Times New Roman"/>
                <w:b/>
                <w:bCs/>
                <w:color w:val="000000"/>
                <w:sz w:val="18"/>
                <w:szCs w:val="18"/>
                <w:lang w:bidi="ta-IN"/>
              </w:rPr>
              <w:t>Cell Viability (%)</w:t>
            </w:r>
          </w:p>
        </w:tc>
      </w:tr>
      <w:tr w:rsidR="002227A2" w:rsidRPr="00693029" w14:paraId="7583C827" w14:textId="77777777" w:rsidTr="00BC520C">
        <w:tc>
          <w:tcPr>
            <w:tcW w:w="0" w:type="auto"/>
            <w:hideMark/>
          </w:tcPr>
          <w:p w14:paraId="325D461C" w14:textId="77777777" w:rsidR="002227A2" w:rsidRPr="00693029" w:rsidRDefault="002227A2" w:rsidP="00BC520C">
            <w:pPr>
              <w:spacing w:line="360" w:lineRule="auto"/>
              <w:ind w:right="-7"/>
              <w:jc w:val="both"/>
              <w:rPr>
                <w:rFonts w:ascii="Times New Roman" w:eastAsia="Times New Roman" w:hAnsi="Times New Roman" w:cs="Times New Roman"/>
                <w:color w:val="000000"/>
                <w:sz w:val="18"/>
                <w:szCs w:val="18"/>
                <w:lang w:bidi="ta-IN"/>
              </w:rPr>
            </w:pPr>
            <w:r w:rsidRPr="00693029">
              <w:rPr>
                <w:rFonts w:ascii="Times New Roman" w:eastAsia="Times New Roman" w:hAnsi="Times New Roman" w:cs="Times New Roman"/>
                <w:color w:val="000000"/>
                <w:sz w:val="18"/>
                <w:szCs w:val="18"/>
                <w:lang w:bidi="ta-IN"/>
              </w:rPr>
              <w:t>0 (Control)</w:t>
            </w:r>
          </w:p>
        </w:tc>
        <w:tc>
          <w:tcPr>
            <w:tcW w:w="0" w:type="auto"/>
            <w:hideMark/>
          </w:tcPr>
          <w:p w14:paraId="3F576422" w14:textId="77777777" w:rsidR="002227A2" w:rsidRPr="00693029" w:rsidRDefault="002227A2" w:rsidP="00BC520C">
            <w:pPr>
              <w:spacing w:line="360" w:lineRule="auto"/>
              <w:ind w:right="-7"/>
              <w:jc w:val="both"/>
              <w:rPr>
                <w:rFonts w:ascii="Times New Roman" w:eastAsia="Times New Roman" w:hAnsi="Times New Roman" w:cs="Times New Roman"/>
                <w:color w:val="000000"/>
                <w:sz w:val="18"/>
                <w:szCs w:val="18"/>
                <w:lang w:bidi="ta-IN"/>
              </w:rPr>
            </w:pPr>
            <w:r w:rsidRPr="00693029">
              <w:rPr>
                <w:rFonts w:ascii="Times New Roman" w:eastAsia="Times New Roman" w:hAnsi="Times New Roman" w:cs="Times New Roman"/>
                <w:color w:val="000000"/>
                <w:sz w:val="18"/>
                <w:szCs w:val="18"/>
                <w:lang w:bidi="ta-IN"/>
              </w:rPr>
              <w:t>0.770 ± 0.002</w:t>
            </w:r>
          </w:p>
        </w:tc>
        <w:tc>
          <w:tcPr>
            <w:tcW w:w="0" w:type="auto"/>
            <w:hideMark/>
          </w:tcPr>
          <w:p w14:paraId="16A93C87" w14:textId="77777777" w:rsidR="002227A2" w:rsidRPr="00693029" w:rsidRDefault="002227A2" w:rsidP="00BC520C">
            <w:pPr>
              <w:spacing w:line="360" w:lineRule="auto"/>
              <w:ind w:right="-7"/>
              <w:jc w:val="both"/>
              <w:rPr>
                <w:rFonts w:ascii="Times New Roman" w:eastAsia="Times New Roman" w:hAnsi="Times New Roman" w:cs="Times New Roman"/>
                <w:color w:val="000000"/>
                <w:sz w:val="18"/>
                <w:szCs w:val="18"/>
                <w:vertAlign w:val="superscript"/>
                <w:lang w:bidi="ta-IN"/>
              </w:rPr>
            </w:pPr>
            <w:r w:rsidRPr="00693029">
              <w:rPr>
                <w:rFonts w:ascii="Times New Roman" w:eastAsia="Times New Roman" w:hAnsi="Times New Roman" w:cs="Times New Roman"/>
                <w:color w:val="000000"/>
                <w:sz w:val="18"/>
                <w:szCs w:val="18"/>
                <w:lang w:bidi="ta-IN"/>
              </w:rPr>
              <w:t>100</w:t>
            </w:r>
            <w:r w:rsidRPr="00693029">
              <w:rPr>
                <w:rFonts w:ascii="Times New Roman" w:eastAsia="Times New Roman" w:hAnsi="Times New Roman" w:cs="Times New Roman"/>
                <w:color w:val="000000"/>
                <w:sz w:val="18"/>
                <w:szCs w:val="18"/>
                <w:vertAlign w:val="superscript"/>
                <w:lang w:bidi="ta-IN"/>
              </w:rPr>
              <w:t>a</w:t>
            </w:r>
          </w:p>
        </w:tc>
      </w:tr>
      <w:tr w:rsidR="002227A2" w:rsidRPr="00693029" w14:paraId="52643570" w14:textId="77777777" w:rsidTr="00BC520C">
        <w:tc>
          <w:tcPr>
            <w:tcW w:w="0" w:type="auto"/>
            <w:hideMark/>
          </w:tcPr>
          <w:p w14:paraId="5BA27A73" w14:textId="77777777" w:rsidR="002227A2" w:rsidRPr="00693029" w:rsidRDefault="002227A2" w:rsidP="00BC520C">
            <w:pPr>
              <w:spacing w:line="360" w:lineRule="auto"/>
              <w:ind w:right="-7"/>
              <w:jc w:val="both"/>
              <w:rPr>
                <w:rFonts w:ascii="Times New Roman" w:eastAsia="Times New Roman" w:hAnsi="Times New Roman" w:cs="Times New Roman"/>
                <w:color w:val="000000"/>
                <w:sz w:val="18"/>
                <w:szCs w:val="18"/>
                <w:lang w:bidi="ta-IN"/>
              </w:rPr>
            </w:pPr>
            <w:r w:rsidRPr="00693029">
              <w:rPr>
                <w:rFonts w:ascii="Times New Roman" w:eastAsia="Times New Roman" w:hAnsi="Times New Roman" w:cs="Times New Roman"/>
                <w:color w:val="000000"/>
                <w:sz w:val="18"/>
                <w:szCs w:val="18"/>
                <w:lang w:bidi="ta-IN"/>
              </w:rPr>
              <w:t>10</w:t>
            </w:r>
          </w:p>
        </w:tc>
        <w:tc>
          <w:tcPr>
            <w:tcW w:w="0" w:type="auto"/>
            <w:hideMark/>
          </w:tcPr>
          <w:p w14:paraId="03407868" w14:textId="77777777" w:rsidR="002227A2" w:rsidRPr="00693029" w:rsidRDefault="002227A2" w:rsidP="00BC520C">
            <w:pPr>
              <w:spacing w:line="360" w:lineRule="auto"/>
              <w:ind w:right="-7"/>
              <w:jc w:val="both"/>
              <w:rPr>
                <w:rFonts w:ascii="Times New Roman" w:eastAsia="Times New Roman" w:hAnsi="Times New Roman" w:cs="Times New Roman"/>
                <w:color w:val="000000"/>
                <w:sz w:val="18"/>
                <w:szCs w:val="18"/>
                <w:lang w:bidi="ta-IN"/>
              </w:rPr>
            </w:pPr>
            <w:r w:rsidRPr="00693029">
              <w:rPr>
                <w:rFonts w:ascii="Times New Roman" w:eastAsia="Times New Roman" w:hAnsi="Times New Roman" w:cs="Times New Roman"/>
                <w:color w:val="000000"/>
                <w:sz w:val="18"/>
                <w:szCs w:val="18"/>
                <w:lang w:bidi="ta-IN"/>
              </w:rPr>
              <w:t>0.662 ± 0.001</w:t>
            </w:r>
          </w:p>
        </w:tc>
        <w:tc>
          <w:tcPr>
            <w:tcW w:w="0" w:type="auto"/>
            <w:hideMark/>
          </w:tcPr>
          <w:p w14:paraId="5B57CD1A" w14:textId="77777777" w:rsidR="002227A2" w:rsidRPr="00693029" w:rsidRDefault="002227A2" w:rsidP="00BC520C">
            <w:pPr>
              <w:spacing w:line="360" w:lineRule="auto"/>
              <w:ind w:right="-7"/>
              <w:jc w:val="both"/>
              <w:rPr>
                <w:rFonts w:ascii="Times New Roman" w:eastAsia="Times New Roman" w:hAnsi="Times New Roman" w:cs="Times New Roman"/>
                <w:color w:val="000000"/>
                <w:sz w:val="18"/>
                <w:szCs w:val="18"/>
                <w:vertAlign w:val="superscript"/>
                <w:lang w:bidi="ta-IN"/>
              </w:rPr>
            </w:pPr>
            <w:r w:rsidRPr="00693029">
              <w:rPr>
                <w:rFonts w:ascii="Times New Roman" w:eastAsia="Times New Roman" w:hAnsi="Times New Roman" w:cs="Times New Roman"/>
                <w:color w:val="000000"/>
                <w:sz w:val="18"/>
                <w:szCs w:val="18"/>
                <w:lang w:bidi="ta-IN"/>
              </w:rPr>
              <w:t>86</w:t>
            </w:r>
            <w:r w:rsidRPr="00693029">
              <w:rPr>
                <w:rFonts w:ascii="Times New Roman" w:eastAsia="Times New Roman" w:hAnsi="Times New Roman" w:cs="Times New Roman"/>
                <w:color w:val="000000"/>
                <w:sz w:val="18"/>
                <w:szCs w:val="18"/>
                <w:vertAlign w:val="superscript"/>
                <w:lang w:bidi="ta-IN"/>
              </w:rPr>
              <w:t>a</w:t>
            </w:r>
          </w:p>
        </w:tc>
      </w:tr>
      <w:tr w:rsidR="002227A2" w:rsidRPr="00693029" w14:paraId="350FD786" w14:textId="77777777" w:rsidTr="00BC520C">
        <w:tc>
          <w:tcPr>
            <w:tcW w:w="0" w:type="auto"/>
            <w:hideMark/>
          </w:tcPr>
          <w:p w14:paraId="6962F61B" w14:textId="77777777" w:rsidR="002227A2" w:rsidRPr="00693029" w:rsidRDefault="002227A2" w:rsidP="00BC520C">
            <w:pPr>
              <w:spacing w:line="360" w:lineRule="auto"/>
              <w:ind w:right="-7"/>
              <w:jc w:val="both"/>
              <w:rPr>
                <w:rFonts w:ascii="Times New Roman" w:eastAsia="Times New Roman" w:hAnsi="Times New Roman" w:cs="Times New Roman"/>
                <w:color w:val="000000"/>
                <w:sz w:val="18"/>
                <w:szCs w:val="18"/>
                <w:lang w:bidi="ta-IN"/>
              </w:rPr>
            </w:pPr>
            <w:r w:rsidRPr="00693029">
              <w:rPr>
                <w:rFonts w:ascii="Times New Roman" w:eastAsia="Times New Roman" w:hAnsi="Times New Roman" w:cs="Times New Roman"/>
                <w:color w:val="000000"/>
                <w:sz w:val="18"/>
                <w:szCs w:val="18"/>
                <w:lang w:bidi="ta-IN"/>
              </w:rPr>
              <w:t>20</w:t>
            </w:r>
          </w:p>
        </w:tc>
        <w:tc>
          <w:tcPr>
            <w:tcW w:w="0" w:type="auto"/>
            <w:hideMark/>
          </w:tcPr>
          <w:p w14:paraId="148863A5" w14:textId="77777777" w:rsidR="002227A2" w:rsidRPr="00693029" w:rsidRDefault="002227A2" w:rsidP="00BC520C">
            <w:pPr>
              <w:spacing w:line="360" w:lineRule="auto"/>
              <w:ind w:right="-7"/>
              <w:jc w:val="both"/>
              <w:rPr>
                <w:rFonts w:ascii="Times New Roman" w:eastAsia="Times New Roman" w:hAnsi="Times New Roman" w:cs="Times New Roman"/>
                <w:color w:val="000000"/>
                <w:sz w:val="18"/>
                <w:szCs w:val="18"/>
                <w:lang w:bidi="ta-IN"/>
              </w:rPr>
            </w:pPr>
            <w:r w:rsidRPr="00693029">
              <w:rPr>
                <w:rFonts w:ascii="Times New Roman" w:eastAsia="Times New Roman" w:hAnsi="Times New Roman" w:cs="Times New Roman"/>
                <w:color w:val="000000"/>
                <w:sz w:val="18"/>
                <w:szCs w:val="18"/>
                <w:lang w:bidi="ta-IN"/>
              </w:rPr>
              <w:t>0.574 ± 0.003</w:t>
            </w:r>
          </w:p>
        </w:tc>
        <w:tc>
          <w:tcPr>
            <w:tcW w:w="0" w:type="auto"/>
            <w:hideMark/>
          </w:tcPr>
          <w:p w14:paraId="4F6371C1" w14:textId="77777777" w:rsidR="002227A2" w:rsidRPr="00693029" w:rsidRDefault="002227A2" w:rsidP="00BC520C">
            <w:pPr>
              <w:spacing w:line="360" w:lineRule="auto"/>
              <w:ind w:right="-7"/>
              <w:jc w:val="both"/>
              <w:rPr>
                <w:rFonts w:ascii="Times New Roman" w:eastAsia="Times New Roman" w:hAnsi="Times New Roman" w:cs="Times New Roman"/>
                <w:color w:val="000000"/>
                <w:sz w:val="18"/>
                <w:szCs w:val="18"/>
                <w:vertAlign w:val="superscript"/>
                <w:lang w:bidi="ta-IN"/>
              </w:rPr>
            </w:pPr>
            <w:r w:rsidRPr="00693029">
              <w:rPr>
                <w:rFonts w:ascii="Times New Roman" w:eastAsia="Times New Roman" w:hAnsi="Times New Roman" w:cs="Times New Roman"/>
                <w:color w:val="000000"/>
                <w:sz w:val="18"/>
                <w:szCs w:val="18"/>
                <w:lang w:bidi="ta-IN"/>
              </w:rPr>
              <w:t>75</w:t>
            </w:r>
            <w:r w:rsidRPr="00693029">
              <w:rPr>
                <w:rFonts w:ascii="Times New Roman" w:eastAsia="Times New Roman" w:hAnsi="Times New Roman" w:cs="Times New Roman"/>
                <w:color w:val="000000"/>
                <w:sz w:val="18"/>
                <w:szCs w:val="18"/>
                <w:vertAlign w:val="superscript"/>
                <w:lang w:bidi="ta-IN"/>
              </w:rPr>
              <w:t>b</w:t>
            </w:r>
          </w:p>
        </w:tc>
      </w:tr>
      <w:tr w:rsidR="002227A2" w:rsidRPr="00693029" w14:paraId="1CF3056A" w14:textId="77777777" w:rsidTr="00BC520C">
        <w:tc>
          <w:tcPr>
            <w:tcW w:w="0" w:type="auto"/>
            <w:hideMark/>
          </w:tcPr>
          <w:p w14:paraId="3BCC046D" w14:textId="77777777" w:rsidR="002227A2" w:rsidRPr="00693029" w:rsidRDefault="002227A2" w:rsidP="00BC520C">
            <w:pPr>
              <w:spacing w:line="360" w:lineRule="auto"/>
              <w:ind w:right="-7"/>
              <w:jc w:val="both"/>
              <w:rPr>
                <w:rFonts w:ascii="Times New Roman" w:eastAsia="Times New Roman" w:hAnsi="Times New Roman" w:cs="Times New Roman"/>
                <w:color w:val="000000"/>
                <w:sz w:val="18"/>
                <w:szCs w:val="18"/>
                <w:lang w:bidi="ta-IN"/>
              </w:rPr>
            </w:pPr>
            <w:r w:rsidRPr="00693029">
              <w:rPr>
                <w:rFonts w:ascii="Times New Roman" w:eastAsia="Times New Roman" w:hAnsi="Times New Roman" w:cs="Times New Roman"/>
                <w:color w:val="000000"/>
                <w:sz w:val="18"/>
                <w:szCs w:val="18"/>
                <w:lang w:bidi="ta-IN"/>
              </w:rPr>
              <w:t>30</w:t>
            </w:r>
          </w:p>
        </w:tc>
        <w:tc>
          <w:tcPr>
            <w:tcW w:w="0" w:type="auto"/>
            <w:hideMark/>
          </w:tcPr>
          <w:p w14:paraId="1CD28DC9" w14:textId="77777777" w:rsidR="002227A2" w:rsidRPr="00693029" w:rsidRDefault="002227A2" w:rsidP="00BC520C">
            <w:pPr>
              <w:spacing w:line="360" w:lineRule="auto"/>
              <w:ind w:right="-7"/>
              <w:jc w:val="both"/>
              <w:rPr>
                <w:rFonts w:ascii="Times New Roman" w:eastAsia="Times New Roman" w:hAnsi="Times New Roman" w:cs="Times New Roman"/>
                <w:color w:val="000000"/>
                <w:sz w:val="18"/>
                <w:szCs w:val="18"/>
                <w:lang w:bidi="ta-IN"/>
              </w:rPr>
            </w:pPr>
            <w:r w:rsidRPr="00693029">
              <w:rPr>
                <w:rFonts w:ascii="Times New Roman" w:eastAsia="Times New Roman" w:hAnsi="Times New Roman" w:cs="Times New Roman"/>
                <w:color w:val="000000"/>
                <w:sz w:val="18"/>
                <w:szCs w:val="18"/>
                <w:lang w:bidi="ta-IN"/>
              </w:rPr>
              <w:t>0.484 ± 0.004</w:t>
            </w:r>
          </w:p>
        </w:tc>
        <w:tc>
          <w:tcPr>
            <w:tcW w:w="0" w:type="auto"/>
            <w:hideMark/>
          </w:tcPr>
          <w:p w14:paraId="549616BC" w14:textId="77777777" w:rsidR="002227A2" w:rsidRPr="00693029" w:rsidRDefault="002227A2" w:rsidP="00BC520C">
            <w:pPr>
              <w:spacing w:line="360" w:lineRule="auto"/>
              <w:ind w:right="-7"/>
              <w:jc w:val="both"/>
              <w:rPr>
                <w:rFonts w:ascii="Times New Roman" w:eastAsia="Times New Roman" w:hAnsi="Times New Roman" w:cs="Times New Roman"/>
                <w:color w:val="000000"/>
                <w:sz w:val="18"/>
                <w:szCs w:val="18"/>
                <w:vertAlign w:val="superscript"/>
                <w:lang w:bidi="ta-IN"/>
              </w:rPr>
            </w:pPr>
            <w:r w:rsidRPr="00693029">
              <w:rPr>
                <w:rFonts w:ascii="Times New Roman" w:eastAsia="Times New Roman" w:hAnsi="Times New Roman" w:cs="Times New Roman"/>
                <w:color w:val="000000"/>
                <w:sz w:val="18"/>
                <w:szCs w:val="18"/>
                <w:lang w:bidi="ta-IN"/>
              </w:rPr>
              <w:t>63</w:t>
            </w:r>
            <w:r w:rsidRPr="00693029">
              <w:rPr>
                <w:rFonts w:ascii="Times New Roman" w:eastAsia="Times New Roman" w:hAnsi="Times New Roman" w:cs="Times New Roman"/>
                <w:color w:val="000000"/>
                <w:sz w:val="18"/>
                <w:szCs w:val="18"/>
                <w:vertAlign w:val="superscript"/>
                <w:lang w:bidi="ta-IN"/>
              </w:rPr>
              <w:t>c</w:t>
            </w:r>
          </w:p>
        </w:tc>
      </w:tr>
      <w:tr w:rsidR="002227A2" w:rsidRPr="00693029" w14:paraId="57F3118B" w14:textId="77777777" w:rsidTr="00BC520C">
        <w:tc>
          <w:tcPr>
            <w:tcW w:w="0" w:type="auto"/>
            <w:hideMark/>
          </w:tcPr>
          <w:p w14:paraId="32236230" w14:textId="77777777" w:rsidR="002227A2" w:rsidRPr="00693029" w:rsidRDefault="002227A2" w:rsidP="00BC520C">
            <w:pPr>
              <w:spacing w:line="360" w:lineRule="auto"/>
              <w:ind w:right="-7"/>
              <w:jc w:val="both"/>
              <w:rPr>
                <w:rFonts w:ascii="Times New Roman" w:eastAsia="Times New Roman" w:hAnsi="Times New Roman" w:cs="Times New Roman"/>
                <w:color w:val="000000"/>
                <w:sz w:val="18"/>
                <w:szCs w:val="18"/>
                <w:lang w:bidi="ta-IN"/>
              </w:rPr>
            </w:pPr>
            <w:r w:rsidRPr="00693029">
              <w:rPr>
                <w:rFonts w:ascii="Times New Roman" w:eastAsia="Times New Roman" w:hAnsi="Times New Roman" w:cs="Times New Roman"/>
                <w:color w:val="000000"/>
                <w:sz w:val="18"/>
                <w:szCs w:val="18"/>
                <w:lang w:bidi="ta-IN"/>
              </w:rPr>
              <w:t>40</w:t>
            </w:r>
          </w:p>
        </w:tc>
        <w:tc>
          <w:tcPr>
            <w:tcW w:w="0" w:type="auto"/>
            <w:hideMark/>
          </w:tcPr>
          <w:p w14:paraId="127AAB80" w14:textId="77777777" w:rsidR="002227A2" w:rsidRPr="00693029" w:rsidRDefault="002227A2" w:rsidP="00BC520C">
            <w:pPr>
              <w:spacing w:line="360" w:lineRule="auto"/>
              <w:ind w:right="-7"/>
              <w:jc w:val="both"/>
              <w:rPr>
                <w:rFonts w:ascii="Times New Roman" w:eastAsia="Times New Roman" w:hAnsi="Times New Roman" w:cs="Times New Roman"/>
                <w:color w:val="000000"/>
                <w:sz w:val="18"/>
                <w:szCs w:val="18"/>
                <w:lang w:bidi="ta-IN"/>
              </w:rPr>
            </w:pPr>
            <w:r w:rsidRPr="00693029">
              <w:rPr>
                <w:rFonts w:ascii="Times New Roman" w:eastAsia="Times New Roman" w:hAnsi="Times New Roman" w:cs="Times New Roman"/>
                <w:color w:val="000000"/>
                <w:sz w:val="18"/>
                <w:szCs w:val="18"/>
                <w:lang w:bidi="ta-IN"/>
              </w:rPr>
              <w:t>0.392 ± 0.001</w:t>
            </w:r>
          </w:p>
        </w:tc>
        <w:tc>
          <w:tcPr>
            <w:tcW w:w="0" w:type="auto"/>
            <w:hideMark/>
          </w:tcPr>
          <w:p w14:paraId="0711FBBC" w14:textId="77777777" w:rsidR="002227A2" w:rsidRPr="00693029" w:rsidRDefault="002227A2" w:rsidP="00BC520C">
            <w:pPr>
              <w:spacing w:line="360" w:lineRule="auto"/>
              <w:ind w:right="-7"/>
              <w:jc w:val="both"/>
              <w:rPr>
                <w:rFonts w:ascii="Times New Roman" w:eastAsia="Times New Roman" w:hAnsi="Times New Roman" w:cs="Times New Roman"/>
                <w:color w:val="000000"/>
                <w:sz w:val="18"/>
                <w:szCs w:val="18"/>
                <w:vertAlign w:val="superscript"/>
                <w:lang w:bidi="ta-IN"/>
              </w:rPr>
            </w:pPr>
            <w:r w:rsidRPr="00693029">
              <w:rPr>
                <w:rFonts w:ascii="Times New Roman" w:eastAsia="Times New Roman" w:hAnsi="Times New Roman" w:cs="Times New Roman"/>
                <w:color w:val="000000"/>
                <w:sz w:val="18"/>
                <w:szCs w:val="18"/>
                <w:lang w:bidi="ta-IN"/>
              </w:rPr>
              <w:t>51</w:t>
            </w:r>
            <w:r w:rsidRPr="00693029">
              <w:rPr>
                <w:rFonts w:ascii="Times New Roman" w:eastAsia="Times New Roman" w:hAnsi="Times New Roman" w:cs="Times New Roman"/>
                <w:color w:val="000000"/>
                <w:sz w:val="18"/>
                <w:szCs w:val="18"/>
                <w:vertAlign w:val="superscript"/>
                <w:lang w:bidi="ta-IN"/>
              </w:rPr>
              <w:t>d</w:t>
            </w:r>
          </w:p>
        </w:tc>
      </w:tr>
      <w:tr w:rsidR="002227A2" w:rsidRPr="00693029" w14:paraId="79B428FF" w14:textId="77777777" w:rsidTr="00BC520C">
        <w:tc>
          <w:tcPr>
            <w:tcW w:w="0" w:type="auto"/>
            <w:hideMark/>
          </w:tcPr>
          <w:p w14:paraId="22F4EED2" w14:textId="77777777" w:rsidR="002227A2" w:rsidRPr="00693029" w:rsidRDefault="002227A2" w:rsidP="00BC520C">
            <w:pPr>
              <w:spacing w:line="360" w:lineRule="auto"/>
              <w:ind w:right="-7"/>
              <w:jc w:val="both"/>
              <w:rPr>
                <w:rFonts w:ascii="Times New Roman" w:eastAsia="Times New Roman" w:hAnsi="Times New Roman" w:cs="Times New Roman"/>
                <w:color w:val="000000"/>
                <w:sz w:val="18"/>
                <w:szCs w:val="18"/>
                <w:lang w:bidi="ta-IN"/>
              </w:rPr>
            </w:pPr>
            <w:r w:rsidRPr="00693029">
              <w:rPr>
                <w:rFonts w:ascii="Times New Roman" w:eastAsia="Times New Roman" w:hAnsi="Times New Roman" w:cs="Times New Roman"/>
                <w:color w:val="000000"/>
                <w:sz w:val="18"/>
                <w:szCs w:val="18"/>
                <w:lang w:bidi="ta-IN"/>
              </w:rPr>
              <w:t>50</w:t>
            </w:r>
          </w:p>
        </w:tc>
        <w:tc>
          <w:tcPr>
            <w:tcW w:w="0" w:type="auto"/>
            <w:hideMark/>
          </w:tcPr>
          <w:p w14:paraId="297AA24A" w14:textId="77777777" w:rsidR="002227A2" w:rsidRPr="00693029" w:rsidRDefault="002227A2" w:rsidP="00BC520C">
            <w:pPr>
              <w:spacing w:line="360" w:lineRule="auto"/>
              <w:ind w:right="-7"/>
              <w:jc w:val="both"/>
              <w:rPr>
                <w:rFonts w:ascii="Times New Roman" w:eastAsia="Times New Roman" w:hAnsi="Times New Roman" w:cs="Times New Roman"/>
                <w:color w:val="000000"/>
                <w:sz w:val="18"/>
                <w:szCs w:val="18"/>
                <w:lang w:bidi="ta-IN"/>
              </w:rPr>
            </w:pPr>
            <w:r w:rsidRPr="00693029">
              <w:rPr>
                <w:rFonts w:ascii="Times New Roman" w:eastAsia="Times New Roman" w:hAnsi="Times New Roman" w:cs="Times New Roman"/>
                <w:color w:val="000000"/>
                <w:sz w:val="18"/>
                <w:szCs w:val="18"/>
                <w:lang w:bidi="ta-IN"/>
              </w:rPr>
              <w:t>0.302 ± 0.001</w:t>
            </w:r>
          </w:p>
        </w:tc>
        <w:tc>
          <w:tcPr>
            <w:tcW w:w="0" w:type="auto"/>
            <w:hideMark/>
          </w:tcPr>
          <w:p w14:paraId="60B0CCF8" w14:textId="77777777" w:rsidR="002227A2" w:rsidRPr="00693029" w:rsidRDefault="002227A2" w:rsidP="00BC520C">
            <w:pPr>
              <w:spacing w:line="360" w:lineRule="auto"/>
              <w:ind w:right="-7"/>
              <w:jc w:val="both"/>
              <w:rPr>
                <w:rFonts w:ascii="Times New Roman" w:eastAsia="Times New Roman" w:hAnsi="Times New Roman" w:cs="Times New Roman"/>
                <w:color w:val="000000"/>
                <w:sz w:val="18"/>
                <w:szCs w:val="18"/>
                <w:vertAlign w:val="superscript"/>
                <w:lang w:bidi="ta-IN"/>
              </w:rPr>
            </w:pPr>
            <w:r w:rsidRPr="00693029">
              <w:rPr>
                <w:rFonts w:ascii="Times New Roman" w:eastAsia="Times New Roman" w:hAnsi="Times New Roman" w:cs="Times New Roman"/>
                <w:color w:val="000000"/>
                <w:sz w:val="18"/>
                <w:szCs w:val="18"/>
                <w:lang w:bidi="ta-IN"/>
              </w:rPr>
              <w:t>39</w:t>
            </w:r>
            <w:r w:rsidRPr="00693029">
              <w:rPr>
                <w:rFonts w:ascii="Times New Roman" w:eastAsia="Times New Roman" w:hAnsi="Times New Roman" w:cs="Times New Roman"/>
                <w:color w:val="000000"/>
                <w:sz w:val="18"/>
                <w:szCs w:val="18"/>
                <w:vertAlign w:val="superscript"/>
                <w:lang w:bidi="ta-IN"/>
              </w:rPr>
              <w:t>e</w:t>
            </w:r>
          </w:p>
        </w:tc>
      </w:tr>
      <w:tr w:rsidR="002227A2" w:rsidRPr="00693029" w14:paraId="62E7BF82" w14:textId="77777777" w:rsidTr="00BC520C">
        <w:tc>
          <w:tcPr>
            <w:tcW w:w="0" w:type="auto"/>
            <w:hideMark/>
          </w:tcPr>
          <w:p w14:paraId="0F95B5DA" w14:textId="77777777" w:rsidR="002227A2" w:rsidRPr="00693029" w:rsidRDefault="002227A2" w:rsidP="00BC520C">
            <w:pPr>
              <w:spacing w:line="360" w:lineRule="auto"/>
              <w:ind w:right="-7"/>
              <w:jc w:val="both"/>
              <w:rPr>
                <w:rFonts w:ascii="Times New Roman" w:eastAsia="Times New Roman" w:hAnsi="Times New Roman" w:cs="Times New Roman"/>
                <w:color w:val="000000"/>
                <w:sz w:val="18"/>
                <w:szCs w:val="18"/>
                <w:lang w:bidi="ta-IN"/>
              </w:rPr>
            </w:pPr>
            <w:r w:rsidRPr="00693029">
              <w:rPr>
                <w:rFonts w:ascii="Times New Roman" w:eastAsia="Times New Roman" w:hAnsi="Times New Roman" w:cs="Times New Roman"/>
                <w:color w:val="000000"/>
                <w:sz w:val="18"/>
                <w:szCs w:val="18"/>
                <w:lang w:bidi="ta-IN"/>
              </w:rPr>
              <w:t>60</w:t>
            </w:r>
          </w:p>
        </w:tc>
        <w:tc>
          <w:tcPr>
            <w:tcW w:w="0" w:type="auto"/>
            <w:hideMark/>
          </w:tcPr>
          <w:p w14:paraId="7D6E1F5E" w14:textId="77777777" w:rsidR="002227A2" w:rsidRPr="00693029" w:rsidRDefault="002227A2" w:rsidP="00BC520C">
            <w:pPr>
              <w:spacing w:line="360" w:lineRule="auto"/>
              <w:ind w:right="-7"/>
              <w:jc w:val="both"/>
              <w:rPr>
                <w:rFonts w:ascii="Times New Roman" w:eastAsia="Times New Roman" w:hAnsi="Times New Roman" w:cs="Times New Roman"/>
                <w:color w:val="000000"/>
                <w:sz w:val="18"/>
                <w:szCs w:val="18"/>
                <w:lang w:bidi="ta-IN"/>
              </w:rPr>
            </w:pPr>
            <w:r w:rsidRPr="00693029">
              <w:rPr>
                <w:rFonts w:ascii="Times New Roman" w:eastAsia="Times New Roman" w:hAnsi="Times New Roman" w:cs="Times New Roman"/>
                <w:color w:val="000000"/>
                <w:sz w:val="18"/>
                <w:szCs w:val="18"/>
                <w:lang w:bidi="ta-IN"/>
              </w:rPr>
              <w:t>0.209 ± 0.002</w:t>
            </w:r>
          </w:p>
        </w:tc>
        <w:tc>
          <w:tcPr>
            <w:tcW w:w="0" w:type="auto"/>
            <w:hideMark/>
          </w:tcPr>
          <w:p w14:paraId="04B65BAD" w14:textId="77777777" w:rsidR="002227A2" w:rsidRPr="00693029" w:rsidRDefault="002227A2" w:rsidP="00BC520C">
            <w:pPr>
              <w:spacing w:line="360" w:lineRule="auto"/>
              <w:ind w:right="-7"/>
              <w:jc w:val="both"/>
              <w:rPr>
                <w:rFonts w:ascii="Times New Roman" w:eastAsia="Times New Roman" w:hAnsi="Times New Roman" w:cs="Times New Roman"/>
                <w:color w:val="000000"/>
                <w:sz w:val="18"/>
                <w:szCs w:val="18"/>
                <w:vertAlign w:val="superscript"/>
                <w:lang w:bidi="ta-IN"/>
              </w:rPr>
            </w:pPr>
            <w:r w:rsidRPr="00693029">
              <w:rPr>
                <w:rFonts w:ascii="Times New Roman" w:eastAsia="Times New Roman" w:hAnsi="Times New Roman" w:cs="Times New Roman"/>
                <w:color w:val="000000"/>
                <w:sz w:val="18"/>
                <w:szCs w:val="18"/>
                <w:lang w:bidi="ta-IN"/>
              </w:rPr>
              <w:t>27</w:t>
            </w:r>
            <w:r w:rsidRPr="00693029">
              <w:rPr>
                <w:rFonts w:ascii="Times New Roman" w:eastAsia="Times New Roman" w:hAnsi="Times New Roman" w:cs="Times New Roman"/>
                <w:color w:val="000000"/>
                <w:sz w:val="18"/>
                <w:szCs w:val="18"/>
                <w:vertAlign w:val="superscript"/>
                <w:lang w:bidi="ta-IN"/>
              </w:rPr>
              <w:t>f</w:t>
            </w:r>
          </w:p>
        </w:tc>
      </w:tr>
      <w:tr w:rsidR="002227A2" w:rsidRPr="00693029" w14:paraId="0A9D6E09" w14:textId="77777777" w:rsidTr="00BC520C">
        <w:tc>
          <w:tcPr>
            <w:tcW w:w="0" w:type="auto"/>
            <w:hideMark/>
          </w:tcPr>
          <w:p w14:paraId="6FAAB8E3" w14:textId="77777777" w:rsidR="002227A2" w:rsidRPr="00693029" w:rsidRDefault="002227A2" w:rsidP="00BC520C">
            <w:pPr>
              <w:spacing w:line="360" w:lineRule="auto"/>
              <w:ind w:right="-7"/>
              <w:jc w:val="both"/>
              <w:rPr>
                <w:rFonts w:ascii="Times New Roman" w:eastAsia="Times New Roman" w:hAnsi="Times New Roman" w:cs="Times New Roman"/>
                <w:color w:val="000000"/>
                <w:sz w:val="18"/>
                <w:szCs w:val="18"/>
                <w:lang w:bidi="ta-IN"/>
              </w:rPr>
            </w:pPr>
            <w:r w:rsidRPr="00693029">
              <w:rPr>
                <w:rFonts w:ascii="Times New Roman" w:eastAsia="Times New Roman" w:hAnsi="Times New Roman" w:cs="Times New Roman"/>
                <w:color w:val="000000"/>
                <w:sz w:val="18"/>
                <w:szCs w:val="18"/>
                <w:lang w:bidi="ta-IN"/>
              </w:rPr>
              <w:t>70</w:t>
            </w:r>
          </w:p>
        </w:tc>
        <w:tc>
          <w:tcPr>
            <w:tcW w:w="0" w:type="auto"/>
            <w:hideMark/>
          </w:tcPr>
          <w:p w14:paraId="0383D46E" w14:textId="77777777" w:rsidR="002227A2" w:rsidRPr="00693029" w:rsidRDefault="002227A2" w:rsidP="00BC520C">
            <w:pPr>
              <w:spacing w:line="360" w:lineRule="auto"/>
              <w:ind w:right="-7"/>
              <w:jc w:val="both"/>
              <w:rPr>
                <w:rFonts w:ascii="Times New Roman" w:eastAsia="Times New Roman" w:hAnsi="Times New Roman" w:cs="Times New Roman"/>
                <w:color w:val="000000"/>
                <w:sz w:val="18"/>
                <w:szCs w:val="18"/>
                <w:lang w:bidi="ta-IN"/>
              </w:rPr>
            </w:pPr>
            <w:r w:rsidRPr="00693029">
              <w:rPr>
                <w:rFonts w:ascii="Times New Roman" w:eastAsia="Times New Roman" w:hAnsi="Times New Roman" w:cs="Times New Roman"/>
                <w:color w:val="000000"/>
                <w:sz w:val="18"/>
                <w:szCs w:val="18"/>
                <w:lang w:bidi="ta-IN"/>
              </w:rPr>
              <w:t>0.125 ± 0.003</w:t>
            </w:r>
          </w:p>
        </w:tc>
        <w:tc>
          <w:tcPr>
            <w:tcW w:w="0" w:type="auto"/>
            <w:hideMark/>
          </w:tcPr>
          <w:p w14:paraId="73792C17" w14:textId="77777777" w:rsidR="002227A2" w:rsidRPr="00693029" w:rsidRDefault="002227A2" w:rsidP="00BC520C">
            <w:pPr>
              <w:spacing w:line="360" w:lineRule="auto"/>
              <w:ind w:right="-7"/>
              <w:jc w:val="both"/>
              <w:rPr>
                <w:rFonts w:ascii="Times New Roman" w:eastAsia="Times New Roman" w:hAnsi="Times New Roman" w:cs="Times New Roman"/>
                <w:color w:val="000000"/>
                <w:sz w:val="18"/>
                <w:szCs w:val="18"/>
                <w:vertAlign w:val="superscript"/>
                <w:lang w:bidi="ta-IN"/>
              </w:rPr>
            </w:pPr>
            <w:r w:rsidRPr="00693029">
              <w:rPr>
                <w:rFonts w:ascii="Times New Roman" w:eastAsia="Times New Roman" w:hAnsi="Times New Roman" w:cs="Times New Roman"/>
                <w:color w:val="000000"/>
                <w:sz w:val="18"/>
                <w:szCs w:val="18"/>
                <w:lang w:bidi="ta-IN"/>
              </w:rPr>
              <w:t>16</w:t>
            </w:r>
            <w:r w:rsidRPr="00693029">
              <w:rPr>
                <w:rFonts w:ascii="Times New Roman" w:eastAsia="Times New Roman" w:hAnsi="Times New Roman" w:cs="Times New Roman"/>
                <w:color w:val="000000"/>
                <w:sz w:val="18"/>
                <w:szCs w:val="18"/>
                <w:vertAlign w:val="superscript"/>
                <w:lang w:bidi="ta-IN"/>
              </w:rPr>
              <w:t>g</w:t>
            </w:r>
          </w:p>
        </w:tc>
      </w:tr>
      <w:tr w:rsidR="002227A2" w:rsidRPr="00693029" w14:paraId="755136DC" w14:textId="77777777" w:rsidTr="00BC520C">
        <w:tc>
          <w:tcPr>
            <w:tcW w:w="0" w:type="auto"/>
            <w:hideMark/>
          </w:tcPr>
          <w:p w14:paraId="54931687" w14:textId="77777777" w:rsidR="002227A2" w:rsidRPr="00693029" w:rsidRDefault="002227A2" w:rsidP="00BC520C">
            <w:pPr>
              <w:spacing w:line="360" w:lineRule="auto"/>
              <w:ind w:right="-7"/>
              <w:jc w:val="both"/>
              <w:rPr>
                <w:rFonts w:ascii="Times New Roman" w:eastAsia="Times New Roman" w:hAnsi="Times New Roman" w:cs="Times New Roman"/>
                <w:color w:val="000000"/>
                <w:sz w:val="18"/>
                <w:szCs w:val="18"/>
                <w:lang w:bidi="ta-IN"/>
              </w:rPr>
            </w:pPr>
            <w:r w:rsidRPr="00693029">
              <w:rPr>
                <w:rFonts w:ascii="Times New Roman" w:eastAsia="Times New Roman" w:hAnsi="Times New Roman" w:cs="Times New Roman"/>
                <w:color w:val="000000"/>
                <w:sz w:val="18"/>
                <w:szCs w:val="18"/>
                <w:lang w:bidi="ta-IN"/>
              </w:rPr>
              <w:t>80</w:t>
            </w:r>
          </w:p>
        </w:tc>
        <w:tc>
          <w:tcPr>
            <w:tcW w:w="0" w:type="auto"/>
            <w:hideMark/>
          </w:tcPr>
          <w:p w14:paraId="29D408EB" w14:textId="77777777" w:rsidR="002227A2" w:rsidRPr="00693029" w:rsidRDefault="002227A2" w:rsidP="00BC520C">
            <w:pPr>
              <w:spacing w:line="360" w:lineRule="auto"/>
              <w:ind w:right="-7"/>
              <w:jc w:val="both"/>
              <w:rPr>
                <w:rFonts w:ascii="Times New Roman" w:eastAsia="Times New Roman" w:hAnsi="Times New Roman" w:cs="Times New Roman"/>
                <w:color w:val="000000"/>
                <w:sz w:val="18"/>
                <w:szCs w:val="18"/>
                <w:lang w:bidi="ta-IN"/>
              </w:rPr>
            </w:pPr>
            <w:r w:rsidRPr="00693029">
              <w:rPr>
                <w:rFonts w:ascii="Times New Roman" w:eastAsia="Times New Roman" w:hAnsi="Times New Roman" w:cs="Times New Roman"/>
                <w:color w:val="000000"/>
                <w:sz w:val="18"/>
                <w:szCs w:val="18"/>
                <w:lang w:bidi="ta-IN"/>
              </w:rPr>
              <w:t>0.045 ± 0.003</w:t>
            </w:r>
          </w:p>
        </w:tc>
        <w:tc>
          <w:tcPr>
            <w:tcW w:w="0" w:type="auto"/>
            <w:hideMark/>
          </w:tcPr>
          <w:p w14:paraId="4666EAF9" w14:textId="77777777" w:rsidR="002227A2" w:rsidRPr="00693029" w:rsidRDefault="002227A2" w:rsidP="00BC520C">
            <w:pPr>
              <w:spacing w:line="360" w:lineRule="auto"/>
              <w:ind w:right="-7"/>
              <w:jc w:val="both"/>
              <w:rPr>
                <w:rFonts w:ascii="Times New Roman" w:eastAsia="Times New Roman" w:hAnsi="Times New Roman" w:cs="Times New Roman"/>
                <w:color w:val="000000"/>
                <w:sz w:val="18"/>
                <w:szCs w:val="18"/>
                <w:vertAlign w:val="superscript"/>
                <w:lang w:bidi="ta-IN"/>
              </w:rPr>
            </w:pPr>
            <w:r w:rsidRPr="00693029">
              <w:rPr>
                <w:rFonts w:ascii="Times New Roman" w:eastAsia="Times New Roman" w:hAnsi="Times New Roman" w:cs="Times New Roman"/>
                <w:color w:val="000000"/>
                <w:sz w:val="18"/>
                <w:szCs w:val="18"/>
                <w:lang w:bidi="ta-IN"/>
              </w:rPr>
              <w:t>6</w:t>
            </w:r>
            <w:r w:rsidRPr="00693029">
              <w:rPr>
                <w:rFonts w:ascii="Times New Roman" w:eastAsia="Times New Roman" w:hAnsi="Times New Roman" w:cs="Times New Roman"/>
                <w:color w:val="000000"/>
                <w:sz w:val="18"/>
                <w:szCs w:val="18"/>
                <w:vertAlign w:val="superscript"/>
                <w:lang w:bidi="ta-IN"/>
              </w:rPr>
              <w:t>h</w:t>
            </w:r>
          </w:p>
        </w:tc>
      </w:tr>
      <w:tr w:rsidR="002227A2" w:rsidRPr="00693029" w14:paraId="74C915A9" w14:textId="77777777" w:rsidTr="00BC520C">
        <w:tc>
          <w:tcPr>
            <w:tcW w:w="0" w:type="auto"/>
            <w:hideMark/>
          </w:tcPr>
          <w:p w14:paraId="47B27F0C" w14:textId="77777777" w:rsidR="002227A2" w:rsidRPr="00693029" w:rsidRDefault="002227A2" w:rsidP="00BC520C">
            <w:pPr>
              <w:spacing w:line="360" w:lineRule="auto"/>
              <w:ind w:right="-7"/>
              <w:jc w:val="both"/>
              <w:rPr>
                <w:rFonts w:ascii="Times New Roman" w:eastAsia="Times New Roman" w:hAnsi="Times New Roman" w:cs="Times New Roman"/>
                <w:color w:val="000000"/>
                <w:sz w:val="18"/>
                <w:szCs w:val="18"/>
                <w:lang w:bidi="ta-IN"/>
              </w:rPr>
            </w:pPr>
            <w:r w:rsidRPr="00693029">
              <w:rPr>
                <w:rFonts w:ascii="Times New Roman" w:eastAsia="Times New Roman" w:hAnsi="Times New Roman" w:cs="Times New Roman"/>
                <w:color w:val="000000"/>
                <w:sz w:val="18"/>
                <w:szCs w:val="18"/>
                <w:lang w:bidi="ta-IN"/>
              </w:rPr>
              <w:t>90</w:t>
            </w:r>
          </w:p>
        </w:tc>
        <w:tc>
          <w:tcPr>
            <w:tcW w:w="0" w:type="auto"/>
            <w:hideMark/>
          </w:tcPr>
          <w:p w14:paraId="25C0C335" w14:textId="77777777" w:rsidR="002227A2" w:rsidRPr="00693029" w:rsidRDefault="002227A2" w:rsidP="00BC520C">
            <w:pPr>
              <w:spacing w:line="360" w:lineRule="auto"/>
              <w:ind w:right="-7"/>
              <w:jc w:val="both"/>
              <w:rPr>
                <w:rFonts w:ascii="Times New Roman" w:eastAsia="Times New Roman" w:hAnsi="Times New Roman" w:cs="Times New Roman"/>
                <w:color w:val="000000"/>
                <w:sz w:val="18"/>
                <w:szCs w:val="18"/>
                <w:lang w:bidi="ta-IN"/>
              </w:rPr>
            </w:pPr>
            <w:r w:rsidRPr="00693029">
              <w:rPr>
                <w:rFonts w:ascii="Times New Roman" w:eastAsia="Times New Roman" w:hAnsi="Times New Roman" w:cs="Times New Roman"/>
                <w:color w:val="000000"/>
                <w:sz w:val="18"/>
                <w:szCs w:val="18"/>
                <w:lang w:bidi="ta-IN"/>
              </w:rPr>
              <w:t>0.009 ± 0.002</w:t>
            </w:r>
          </w:p>
        </w:tc>
        <w:tc>
          <w:tcPr>
            <w:tcW w:w="0" w:type="auto"/>
            <w:hideMark/>
          </w:tcPr>
          <w:p w14:paraId="6F0D858B" w14:textId="77777777" w:rsidR="002227A2" w:rsidRPr="00693029" w:rsidRDefault="002227A2" w:rsidP="00BC520C">
            <w:pPr>
              <w:spacing w:line="360" w:lineRule="auto"/>
              <w:ind w:right="-7"/>
              <w:jc w:val="both"/>
              <w:rPr>
                <w:rFonts w:ascii="Times New Roman" w:eastAsia="Times New Roman" w:hAnsi="Times New Roman" w:cs="Times New Roman"/>
                <w:color w:val="000000"/>
                <w:sz w:val="18"/>
                <w:szCs w:val="18"/>
                <w:vertAlign w:val="superscript"/>
                <w:lang w:bidi="ta-IN"/>
              </w:rPr>
            </w:pPr>
            <w:r w:rsidRPr="00693029">
              <w:rPr>
                <w:rFonts w:ascii="Times New Roman" w:eastAsia="Times New Roman" w:hAnsi="Times New Roman" w:cs="Times New Roman"/>
                <w:color w:val="000000"/>
                <w:sz w:val="18"/>
                <w:szCs w:val="18"/>
                <w:lang w:bidi="ta-IN"/>
              </w:rPr>
              <w:t>1</w:t>
            </w:r>
            <w:r w:rsidRPr="00693029">
              <w:rPr>
                <w:rFonts w:ascii="Times New Roman" w:eastAsia="Times New Roman" w:hAnsi="Times New Roman" w:cs="Times New Roman"/>
                <w:color w:val="000000"/>
                <w:sz w:val="18"/>
                <w:szCs w:val="18"/>
                <w:vertAlign w:val="superscript"/>
                <w:lang w:bidi="ta-IN"/>
              </w:rPr>
              <w:t>i</w:t>
            </w:r>
          </w:p>
        </w:tc>
      </w:tr>
      <w:tr w:rsidR="002227A2" w:rsidRPr="00693029" w14:paraId="25B5CBF7" w14:textId="77777777" w:rsidTr="00BC520C">
        <w:tc>
          <w:tcPr>
            <w:tcW w:w="0" w:type="auto"/>
            <w:hideMark/>
          </w:tcPr>
          <w:p w14:paraId="6150F173" w14:textId="77777777" w:rsidR="002227A2" w:rsidRPr="00693029" w:rsidRDefault="002227A2" w:rsidP="00BC520C">
            <w:pPr>
              <w:spacing w:line="360" w:lineRule="auto"/>
              <w:ind w:right="-7"/>
              <w:jc w:val="both"/>
              <w:rPr>
                <w:rFonts w:ascii="Times New Roman" w:eastAsia="Times New Roman" w:hAnsi="Times New Roman" w:cs="Times New Roman"/>
                <w:color w:val="000000"/>
                <w:sz w:val="18"/>
                <w:szCs w:val="18"/>
                <w:lang w:bidi="ta-IN"/>
              </w:rPr>
            </w:pPr>
            <w:r w:rsidRPr="00693029">
              <w:rPr>
                <w:rFonts w:ascii="Times New Roman" w:eastAsia="Times New Roman" w:hAnsi="Times New Roman" w:cs="Times New Roman"/>
                <w:color w:val="000000"/>
                <w:sz w:val="18"/>
                <w:szCs w:val="18"/>
                <w:lang w:bidi="ta-IN"/>
              </w:rPr>
              <w:t>100</w:t>
            </w:r>
          </w:p>
        </w:tc>
        <w:tc>
          <w:tcPr>
            <w:tcW w:w="0" w:type="auto"/>
            <w:hideMark/>
          </w:tcPr>
          <w:p w14:paraId="794BA8C2" w14:textId="77777777" w:rsidR="002227A2" w:rsidRPr="00693029" w:rsidRDefault="002227A2" w:rsidP="00BC520C">
            <w:pPr>
              <w:spacing w:line="360" w:lineRule="auto"/>
              <w:ind w:right="-7"/>
              <w:jc w:val="both"/>
              <w:rPr>
                <w:rFonts w:ascii="Times New Roman" w:eastAsia="Times New Roman" w:hAnsi="Times New Roman" w:cs="Times New Roman"/>
                <w:color w:val="000000"/>
                <w:sz w:val="18"/>
                <w:szCs w:val="18"/>
                <w:lang w:bidi="ta-IN"/>
              </w:rPr>
            </w:pPr>
            <w:r w:rsidRPr="00693029">
              <w:rPr>
                <w:rFonts w:ascii="Times New Roman" w:eastAsia="Times New Roman" w:hAnsi="Times New Roman" w:cs="Times New Roman"/>
                <w:color w:val="000000"/>
                <w:sz w:val="18"/>
                <w:szCs w:val="18"/>
                <w:lang w:bidi="ta-IN"/>
              </w:rPr>
              <w:t>0.001 ± 0.000</w:t>
            </w:r>
          </w:p>
        </w:tc>
        <w:tc>
          <w:tcPr>
            <w:tcW w:w="0" w:type="auto"/>
            <w:hideMark/>
          </w:tcPr>
          <w:p w14:paraId="66960E77" w14:textId="77777777" w:rsidR="002227A2" w:rsidRPr="00693029" w:rsidRDefault="002227A2" w:rsidP="00BC520C">
            <w:pPr>
              <w:spacing w:line="360" w:lineRule="auto"/>
              <w:ind w:right="-7"/>
              <w:jc w:val="both"/>
              <w:rPr>
                <w:rFonts w:ascii="Times New Roman" w:eastAsia="Times New Roman" w:hAnsi="Times New Roman" w:cs="Times New Roman"/>
                <w:color w:val="000000"/>
                <w:sz w:val="18"/>
                <w:szCs w:val="18"/>
                <w:vertAlign w:val="superscript"/>
                <w:lang w:bidi="ta-IN"/>
              </w:rPr>
            </w:pPr>
            <w:r w:rsidRPr="00693029">
              <w:rPr>
                <w:rFonts w:ascii="Times New Roman" w:eastAsia="Times New Roman" w:hAnsi="Times New Roman" w:cs="Times New Roman"/>
                <w:color w:val="000000"/>
                <w:sz w:val="18"/>
                <w:szCs w:val="18"/>
                <w:lang w:bidi="ta-IN"/>
              </w:rPr>
              <w:t>0</w:t>
            </w:r>
            <w:r w:rsidRPr="00693029">
              <w:rPr>
                <w:rFonts w:ascii="Times New Roman" w:eastAsia="Times New Roman" w:hAnsi="Times New Roman" w:cs="Times New Roman"/>
                <w:color w:val="000000"/>
                <w:sz w:val="18"/>
                <w:szCs w:val="18"/>
                <w:vertAlign w:val="superscript"/>
                <w:lang w:bidi="ta-IN"/>
              </w:rPr>
              <w:t>j</w:t>
            </w:r>
          </w:p>
        </w:tc>
      </w:tr>
      <w:tr w:rsidR="002227A2" w:rsidRPr="00693029" w14:paraId="09F2F79C" w14:textId="77777777" w:rsidTr="00BC520C">
        <w:tc>
          <w:tcPr>
            <w:tcW w:w="0" w:type="auto"/>
            <w:gridSpan w:val="2"/>
          </w:tcPr>
          <w:p w14:paraId="4A5E8950" w14:textId="77777777" w:rsidR="002227A2" w:rsidRPr="00693029" w:rsidRDefault="002227A2" w:rsidP="00BC520C">
            <w:pPr>
              <w:spacing w:line="360" w:lineRule="auto"/>
              <w:ind w:right="-7"/>
              <w:jc w:val="right"/>
              <w:rPr>
                <w:rFonts w:ascii="Times New Roman" w:eastAsia="Times New Roman" w:hAnsi="Times New Roman" w:cs="Times New Roman"/>
                <w:color w:val="000000"/>
                <w:sz w:val="18"/>
                <w:szCs w:val="18"/>
                <w:lang w:bidi="ta-IN"/>
              </w:rPr>
            </w:pPr>
            <w:r w:rsidRPr="00693029">
              <w:rPr>
                <w:rFonts w:ascii="Times New Roman" w:eastAsia="Times New Roman" w:hAnsi="Times New Roman" w:cs="Times New Roman"/>
                <w:color w:val="000000"/>
                <w:sz w:val="18"/>
                <w:szCs w:val="18"/>
                <w:lang w:bidi="ta-IN"/>
              </w:rPr>
              <w:t xml:space="preserve">IC₅₀ (EDG): </w:t>
            </w:r>
          </w:p>
        </w:tc>
        <w:tc>
          <w:tcPr>
            <w:tcW w:w="0" w:type="auto"/>
          </w:tcPr>
          <w:p w14:paraId="27C69FF3" w14:textId="77777777" w:rsidR="002227A2" w:rsidRPr="00693029" w:rsidRDefault="002227A2" w:rsidP="00BC520C">
            <w:pPr>
              <w:spacing w:line="360" w:lineRule="auto"/>
              <w:ind w:right="-7"/>
              <w:jc w:val="both"/>
              <w:rPr>
                <w:rFonts w:ascii="Times New Roman" w:eastAsia="Times New Roman" w:hAnsi="Times New Roman" w:cs="Times New Roman"/>
                <w:color w:val="000000"/>
                <w:sz w:val="18"/>
                <w:szCs w:val="18"/>
                <w:lang w:bidi="ta-IN"/>
              </w:rPr>
            </w:pPr>
            <w:r w:rsidRPr="00693029">
              <w:rPr>
                <w:rFonts w:ascii="Times New Roman" w:eastAsia="Times New Roman" w:hAnsi="Times New Roman" w:cs="Times New Roman"/>
                <w:color w:val="000000"/>
                <w:sz w:val="18"/>
                <w:szCs w:val="18"/>
                <w:lang w:bidi="ta-IN"/>
              </w:rPr>
              <w:t>40.94 µg/mL</w:t>
            </w:r>
          </w:p>
        </w:tc>
      </w:tr>
    </w:tbl>
    <w:p w14:paraId="4911D657" w14:textId="77777777" w:rsidR="002227A2" w:rsidRPr="00693029" w:rsidRDefault="002227A2" w:rsidP="002227A2">
      <w:pPr>
        <w:spacing w:after="0" w:line="360" w:lineRule="auto"/>
        <w:ind w:right="-7"/>
        <w:jc w:val="both"/>
        <w:rPr>
          <w:rFonts w:ascii="Times New Roman" w:eastAsia="Times New Roman" w:hAnsi="Times New Roman" w:cs="Times New Roman"/>
          <w:i/>
          <w:iCs/>
          <w:color w:val="000000"/>
          <w:sz w:val="18"/>
          <w:szCs w:val="18"/>
          <w:lang w:bidi="ta-IN"/>
        </w:rPr>
      </w:pPr>
      <w:r w:rsidRPr="00693029">
        <w:rPr>
          <w:rFonts w:ascii="Times New Roman" w:eastAsia="Times New Roman" w:hAnsi="Times New Roman" w:cs="Times New Roman"/>
          <w:i/>
          <w:iCs/>
          <w:color w:val="000000"/>
          <w:sz w:val="18"/>
          <w:szCs w:val="18"/>
          <w:lang w:bidi="ta-IN"/>
        </w:rPr>
        <w:t>Data are expressed as mean ± SD (n = 3). a &lt; b &lt; c &lt; d &lt; e &lt; f &lt; g &lt; h</w:t>
      </w:r>
    </w:p>
    <w:p w14:paraId="4C58AA10" w14:textId="77777777" w:rsidR="002227A2" w:rsidRPr="00693029" w:rsidRDefault="002227A2" w:rsidP="002227A2">
      <w:pPr>
        <w:spacing w:after="0" w:line="360" w:lineRule="auto"/>
        <w:ind w:right="-7"/>
        <w:jc w:val="both"/>
        <w:rPr>
          <w:rFonts w:ascii="Times New Roman" w:eastAsia="Times New Roman" w:hAnsi="Times New Roman" w:cs="Times New Roman"/>
          <w:i/>
          <w:iCs/>
          <w:color w:val="000000"/>
          <w:sz w:val="18"/>
          <w:szCs w:val="18"/>
          <w:lang w:bidi="ta-IN"/>
        </w:rPr>
      </w:pPr>
      <w:r w:rsidRPr="00693029">
        <w:rPr>
          <w:rFonts w:ascii="Times New Roman" w:eastAsia="Times New Roman" w:hAnsi="Times New Roman" w:cs="Times New Roman"/>
          <w:i/>
          <w:iCs/>
          <w:color w:val="000000"/>
          <w:sz w:val="18"/>
          <w:szCs w:val="18"/>
          <w:lang w:bidi="ta-IN"/>
        </w:rPr>
        <w:t>One-way ANOVA revealed a statistically significant concentration-dependent reduction in THP-1 cell viability (p &lt; 0.001). Groups sharing the same letter are not significantly different.</w:t>
      </w:r>
    </w:p>
    <w:p w14:paraId="0080F538" w14:textId="77777777" w:rsidR="002227A2" w:rsidRDefault="002227A2" w:rsidP="002227A2">
      <w:pPr>
        <w:spacing w:after="0" w:line="360" w:lineRule="auto"/>
        <w:ind w:right="-7"/>
        <w:jc w:val="both"/>
        <w:rPr>
          <w:rFonts w:ascii="Times New Roman" w:eastAsia="Times New Roman" w:hAnsi="Times New Roman" w:cs="Times New Roman"/>
          <w:b/>
          <w:bCs/>
          <w:color w:val="000000"/>
          <w:sz w:val="24"/>
          <w:szCs w:val="24"/>
          <w:lang w:bidi="ta-IN"/>
        </w:rPr>
      </w:pPr>
      <w:r>
        <w:rPr>
          <w:rFonts w:ascii="Times New Roman" w:eastAsia="Times New Roman" w:hAnsi="Times New Roman" w:cs="Times New Roman"/>
          <w:b/>
          <w:bCs/>
          <w:color w:val="000000"/>
          <w:sz w:val="24"/>
          <w:szCs w:val="24"/>
          <w:lang w:bidi="ta-IN"/>
        </w:rPr>
        <w:t xml:space="preserve">Figure-1. </w:t>
      </w:r>
      <w:r w:rsidRPr="000220B0">
        <w:rPr>
          <w:rFonts w:ascii="Times New Roman" w:eastAsia="Times New Roman" w:hAnsi="Times New Roman" w:cs="Times New Roman"/>
          <w:b/>
          <w:bCs/>
          <w:color w:val="000000"/>
          <w:sz w:val="24"/>
          <w:szCs w:val="24"/>
          <w:lang w:bidi="ta-IN"/>
        </w:rPr>
        <w:t xml:space="preserve">Dose-dependent effect of </w:t>
      </w:r>
      <w:r w:rsidRPr="000220B0">
        <w:rPr>
          <w:rFonts w:ascii="Times New Roman" w:eastAsia="Times New Roman" w:hAnsi="Times New Roman" w:cs="Times New Roman"/>
          <w:b/>
          <w:bCs/>
          <w:i/>
          <w:iCs/>
          <w:color w:val="000000"/>
          <w:sz w:val="24"/>
          <w:szCs w:val="24"/>
          <w:lang w:bidi="ta-IN"/>
        </w:rPr>
        <w:t>Drynaria quercifolia</w:t>
      </w:r>
      <w:r>
        <w:rPr>
          <w:rFonts w:ascii="Times New Roman" w:eastAsia="Times New Roman" w:hAnsi="Times New Roman" w:cs="Times New Roman"/>
          <w:b/>
          <w:bCs/>
          <w:color w:val="000000"/>
          <w:sz w:val="24"/>
          <w:szCs w:val="24"/>
          <w:lang w:bidi="ta-IN"/>
        </w:rPr>
        <w:t xml:space="preserve"> (EDQ</w:t>
      </w:r>
      <w:r w:rsidRPr="000220B0">
        <w:rPr>
          <w:rFonts w:ascii="Times New Roman" w:eastAsia="Times New Roman" w:hAnsi="Times New Roman" w:cs="Times New Roman"/>
          <w:b/>
          <w:bCs/>
          <w:color w:val="000000"/>
          <w:sz w:val="24"/>
          <w:szCs w:val="24"/>
          <w:lang w:bidi="ta-IN"/>
        </w:rPr>
        <w:t>) on THP-1 cell viability</w:t>
      </w:r>
    </w:p>
    <w:p w14:paraId="6E4C0ACE" w14:textId="77777777" w:rsidR="002227A2" w:rsidRPr="0097724C" w:rsidRDefault="004C5576" w:rsidP="004C5576">
      <w:pPr>
        <w:spacing w:after="0" w:line="360" w:lineRule="auto"/>
        <w:ind w:right="-7" w:firstLine="720"/>
        <w:jc w:val="center"/>
        <w:rPr>
          <w:rFonts w:ascii="Times New Roman" w:eastAsia="Times New Roman" w:hAnsi="Times New Roman" w:cs="Times New Roman"/>
          <w:b/>
          <w:bCs/>
          <w:color w:val="000000"/>
          <w:sz w:val="24"/>
          <w:szCs w:val="24"/>
          <w:lang w:bidi="ta-IN"/>
        </w:rPr>
      </w:pPr>
      <w:r>
        <w:rPr>
          <w:rFonts w:ascii="Times New Roman" w:eastAsia="Times New Roman" w:hAnsi="Times New Roman" w:cs="Times New Roman"/>
          <w:b/>
          <w:bCs/>
          <w:noProof/>
          <w:color w:val="000000"/>
          <w:sz w:val="24"/>
          <w:szCs w:val="24"/>
          <w:lang w:bidi="ta-IN"/>
        </w:rPr>
        <w:drawing>
          <wp:inline distT="0" distB="0" distL="0" distR="0" wp14:anchorId="31DA482E" wp14:editId="1E0FE2F5">
            <wp:extent cx="3297193" cy="20201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20046" cy="2034188"/>
                    </a:xfrm>
                    <a:prstGeom prst="rect">
                      <a:avLst/>
                    </a:prstGeom>
                    <a:noFill/>
                  </pic:spPr>
                </pic:pic>
              </a:graphicData>
            </a:graphic>
          </wp:inline>
        </w:drawing>
      </w:r>
    </w:p>
    <w:p w14:paraId="76477A25" w14:textId="77777777" w:rsidR="002227A2" w:rsidRDefault="002227A2" w:rsidP="002227A2">
      <w:pPr>
        <w:spacing w:after="0" w:line="360" w:lineRule="auto"/>
        <w:ind w:right="-7"/>
        <w:jc w:val="both"/>
        <w:rPr>
          <w:rFonts w:ascii="Times New Roman" w:eastAsia="Times New Roman" w:hAnsi="Times New Roman" w:cs="Times New Roman"/>
          <w:b/>
          <w:bCs/>
          <w:color w:val="000000"/>
          <w:sz w:val="24"/>
          <w:lang w:bidi="ta-IN"/>
        </w:rPr>
      </w:pPr>
    </w:p>
    <w:p w14:paraId="2F25C5D1" w14:textId="77777777" w:rsidR="00693029" w:rsidRDefault="00693029" w:rsidP="002227A2">
      <w:pPr>
        <w:spacing w:after="0" w:line="360" w:lineRule="auto"/>
        <w:ind w:right="-7"/>
        <w:jc w:val="both"/>
        <w:rPr>
          <w:rFonts w:ascii="Times New Roman" w:eastAsia="Times New Roman" w:hAnsi="Times New Roman" w:cs="Times New Roman"/>
          <w:b/>
          <w:bCs/>
          <w:color w:val="000000"/>
          <w:sz w:val="24"/>
          <w:lang w:bidi="ta-IN"/>
        </w:rPr>
      </w:pPr>
    </w:p>
    <w:p w14:paraId="5722BDD0" w14:textId="77777777" w:rsidR="00693029" w:rsidRDefault="00693029" w:rsidP="002227A2">
      <w:pPr>
        <w:spacing w:after="0" w:line="360" w:lineRule="auto"/>
        <w:ind w:right="-7"/>
        <w:jc w:val="both"/>
        <w:rPr>
          <w:rFonts w:ascii="Times New Roman" w:eastAsia="Times New Roman" w:hAnsi="Times New Roman" w:cs="Times New Roman"/>
          <w:b/>
          <w:bCs/>
          <w:color w:val="000000"/>
          <w:sz w:val="24"/>
          <w:lang w:bidi="ta-IN"/>
        </w:rPr>
      </w:pPr>
    </w:p>
    <w:p w14:paraId="6AD8BB10" w14:textId="77777777" w:rsidR="00693029" w:rsidRDefault="00693029" w:rsidP="002227A2">
      <w:pPr>
        <w:spacing w:after="0" w:line="360" w:lineRule="auto"/>
        <w:ind w:right="-7"/>
        <w:jc w:val="both"/>
        <w:rPr>
          <w:rFonts w:ascii="Times New Roman" w:eastAsia="Times New Roman" w:hAnsi="Times New Roman" w:cs="Times New Roman"/>
          <w:b/>
          <w:bCs/>
          <w:color w:val="000000"/>
          <w:sz w:val="24"/>
          <w:lang w:bidi="ta-IN"/>
        </w:rPr>
      </w:pPr>
    </w:p>
    <w:p w14:paraId="178D413D" w14:textId="77777777" w:rsidR="002227A2" w:rsidRDefault="002227A2" w:rsidP="002227A2">
      <w:pPr>
        <w:spacing w:after="0" w:line="360" w:lineRule="auto"/>
        <w:ind w:right="-7"/>
        <w:jc w:val="both"/>
        <w:rPr>
          <w:rFonts w:ascii="Times New Roman" w:eastAsia="Times New Roman" w:hAnsi="Times New Roman" w:cs="Times New Roman"/>
          <w:b/>
          <w:bCs/>
          <w:color w:val="000000"/>
          <w:sz w:val="24"/>
          <w:lang w:bidi="ta-IN"/>
        </w:rPr>
      </w:pPr>
      <w:r>
        <w:rPr>
          <w:rFonts w:ascii="Times New Roman" w:eastAsia="Times New Roman" w:hAnsi="Times New Roman" w:cs="Times New Roman"/>
          <w:b/>
          <w:bCs/>
          <w:color w:val="000000"/>
          <w:sz w:val="24"/>
          <w:lang w:bidi="ta-IN"/>
        </w:rPr>
        <w:t xml:space="preserve">3.1.2 </w:t>
      </w:r>
      <w:r w:rsidRPr="00307767">
        <w:rPr>
          <w:rFonts w:ascii="Times New Roman" w:eastAsia="Times New Roman" w:hAnsi="Times New Roman" w:cs="Times New Roman"/>
          <w:b/>
          <w:bCs/>
          <w:color w:val="000000"/>
          <w:sz w:val="24"/>
          <w:lang w:bidi="ta-IN"/>
        </w:rPr>
        <w:t xml:space="preserve">Effect of </w:t>
      </w:r>
      <w:r w:rsidRPr="00307767">
        <w:rPr>
          <w:rFonts w:ascii="Times New Roman" w:eastAsia="Times New Roman" w:hAnsi="Times New Roman" w:cs="Times New Roman"/>
          <w:b/>
          <w:bCs/>
          <w:i/>
          <w:iCs/>
          <w:color w:val="000000"/>
          <w:sz w:val="24"/>
          <w:lang w:bidi="ta-IN"/>
        </w:rPr>
        <w:t>Curcuma aeruginosa</w:t>
      </w:r>
      <w:r w:rsidRPr="00307767">
        <w:rPr>
          <w:rFonts w:ascii="Times New Roman" w:eastAsia="Times New Roman" w:hAnsi="Times New Roman" w:cs="Times New Roman"/>
          <w:b/>
          <w:bCs/>
          <w:color w:val="000000"/>
          <w:sz w:val="24"/>
          <w:lang w:bidi="ta-IN"/>
        </w:rPr>
        <w:t xml:space="preserve"> (ECA) on THP-1 Cell Viability</w:t>
      </w:r>
    </w:p>
    <w:p w14:paraId="210C6E58" w14:textId="77777777" w:rsidR="002227A2" w:rsidRDefault="002227A2" w:rsidP="002227A2">
      <w:pPr>
        <w:spacing w:after="0" w:line="360" w:lineRule="auto"/>
        <w:ind w:right="-7"/>
        <w:jc w:val="both"/>
        <w:rPr>
          <w:rFonts w:ascii="Times New Roman" w:eastAsia="Times New Roman" w:hAnsi="Times New Roman" w:cs="Times New Roman"/>
          <w:b/>
          <w:bCs/>
          <w:color w:val="000000"/>
          <w:sz w:val="24"/>
          <w:lang w:bidi="ta-IN"/>
        </w:rPr>
      </w:pPr>
    </w:p>
    <w:p w14:paraId="74F1EDBF" w14:textId="77777777" w:rsidR="002227A2" w:rsidRDefault="002227A2" w:rsidP="002227A2">
      <w:pPr>
        <w:spacing w:after="0" w:line="360" w:lineRule="auto"/>
        <w:ind w:right="-7" w:firstLine="720"/>
        <w:jc w:val="both"/>
        <w:rPr>
          <w:rFonts w:ascii="Times New Roman" w:eastAsia="Times New Roman" w:hAnsi="Times New Roman" w:cs="Times New Roman"/>
          <w:color w:val="000000"/>
          <w:sz w:val="24"/>
          <w:lang w:bidi="ta-IN"/>
        </w:rPr>
      </w:pPr>
      <w:r w:rsidRPr="00307767">
        <w:rPr>
          <w:rFonts w:ascii="Times New Roman" w:eastAsia="Times New Roman" w:hAnsi="Times New Roman" w:cs="Times New Roman"/>
          <w:color w:val="000000"/>
          <w:sz w:val="24"/>
          <w:lang w:bidi="ta-IN"/>
        </w:rPr>
        <w:t>ECA exposure similarly produced a dose-dependent decrease in THP-1 cell viability following 24 h treatment. Control cells and lower concentrations (10 and 20 µg/mL) exhibited minimal reduction in viability. A significant decline was observed from 30 µg/mL, with increasing cytotoxicity at higher concentrations.</w:t>
      </w:r>
      <w:r>
        <w:rPr>
          <w:rFonts w:ascii="Times New Roman" w:eastAsia="Times New Roman" w:hAnsi="Times New Roman" w:cs="Times New Roman"/>
          <w:color w:val="000000"/>
          <w:sz w:val="24"/>
          <w:lang w:bidi="ta-IN"/>
        </w:rPr>
        <w:t xml:space="preserve"> </w:t>
      </w:r>
      <w:r w:rsidRPr="00307767">
        <w:rPr>
          <w:rFonts w:ascii="Times New Roman" w:eastAsia="Times New Roman" w:hAnsi="Times New Roman" w:cs="Times New Roman"/>
          <w:color w:val="000000"/>
          <w:sz w:val="24"/>
          <w:lang w:bidi="ta-IN"/>
        </w:rPr>
        <w:t xml:space="preserve">The IC₅₀ value for ECA was determined to be 48.18 µg/mL, indicating lower cytotoxic potency </w:t>
      </w:r>
      <w:r>
        <w:rPr>
          <w:rFonts w:ascii="Times New Roman" w:eastAsia="Times New Roman" w:hAnsi="Times New Roman" w:cs="Times New Roman"/>
          <w:color w:val="000000"/>
          <w:sz w:val="24"/>
          <w:lang w:bidi="ta-IN"/>
        </w:rPr>
        <w:t>compared with EDQ</w:t>
      </w:r>
      <w:r w:rsidRPr="00307767">
        <w:rPr>
          <w:rFonts w:ascii="Times New Roman" w:eastAsia="Times New Roman" w:hAnsi="Times New Roman" w:cs="Times New Roman"/>
          <w:color w:val="000000"/>
          <w:sz w:val="24"/>
          <w:lang w:bidi="ta-IN"/>
        </w:rPr>
        <w:t>.</w:t>
      </w:r>
      <w:r w:rsidRPr="00307767">
        <w:t xml:space="preserve"> </w:t>
      </w:r>
      <w:r w:rsidRPr="00307767">
        <w:rPr>
          <w:rFonts w:ascii="Times New Roman" w:eastAsia="Times New Roman" w:hAnsi="Times New Roman" w:cs="Times New Roman"/>
          <w:color w:val="000000"/>
          <w:sz w:val="24"/>
          <w:lang w:bidi="ta-IN"/>
        </w:rPr>
        <w:t>The detailed absorbance values, percentage viability, and statistical grouping are presented in Table</w:t>
      </w:r>
      <w:r>
        <w:rPr>
          <w:rFonts w:ascii="Times New Roman" w:eastAsia="Times New Roman" w:hAnsi="Times New Roman" w:cs="Times New Roman"/>
          <w:color w:val="000000"/>
          <w:sz w:val="24"/>
          <w:lang w:bidi="ta-IN"/>
        </w:rPr>
        <w:t xml:space="preserve"> 3, Figure-2</w:t>
      </w:r>
      <w:r w:rsidRPr="00307767">
        <w:rPr>
          <w:rFonts w:ascii="Times New Roman" w:eastAsia="Times New Roman" w:hAnsi="Times New Roman" w:cs="Times New Roman"/>
          <w:color w:val="000000"/>
          <w:sz w:val="24"/>
          <w:lang w:bidi="ta-IN"/>
        </w:rPr>
        <w:t>.</w:t>
      </w:r>
    </w:p>
    <w:p w14:paraId="003AB90B" w14:textId="77777777" w:rsidR="002227A2" w:rsidRPr="00C37268" w:rsidRDefault="002227A2" w:rsidP="002227A2">
      <w:pPr>
        <w:spacing w:after="0" w:line="360" w:lineRule="auto"/>
        <w:ind w:right="-7"/>
        <w:jc w:val="both"/>
        <w:rPr>
          <w:rFonts w:ascii="Times New Roman" w:eastAsia="Times New Roman" w:hAnsi="Times New Roman" w:cs="Times New Roman"/>
          <w:b/>
          <w:bCs/>
          <w:color w:val="000000"/>
          <w:sz w:val="24"/>
          <w:lang w:bidi="ta-IN"/>
        </w:rPr>
      </w:pPr>
      <w:r>
        <w:rPr>
          <w:rFonts w:ascii="Times New Roman" w:eastAsia="Times New Roman" w:hAnsi="Times New Roman" w:cs="Times New Roman"/>
          <w:b/>
          <w:bCs/>
          <w:color w:val="000000"/>
          <w:sz w:val="24"/>
          <w:lang w:bidi="ta-IN"/>
        </w:rPr>
        <w:t>Table</w:t>
      </w:r>
      <w:r w:rsidR="00786DA5">
        <w:rPr>
          <w:rFonts w:ascii="Times New Roman" w:eastAsia="Times New Roman" w:hAnsi="Times New Roman" w:cs="Times New Roman"/>
          <w:b/>
          <w:bCs/>
          <w:color w:val="000000"/>
          <w:sz w:val="24"/>
          <w:lang w:bidi="ta-IN"/>
        </w:rPr>
        <w:t xml:space="preserve"> 3</w:t>
      </w:r>
      <w:r>
        <w:rPr>
          <w:rFonts w:ascii="Times New Roman" w:eastAsia="Times New Roman" w:hAnsi="Times New Roman" w:cs="Times New Roman"/>
          <w:b/>
          <w:bCs/>
          <w:color w:val="000000"/>
          <w:sz w:val="24"/>
          <w:lang w:bidi="ta-IN"/>
        </w:rPr>
        <w:t>.</w:t>
      </w:r>
      <w:r w:rsidRPr="00C37268">
        <w:rPr>
          <w:rFonts w:ascii="Times New Roman" w:eastAsia="Times New Roman" w:hAnsi="Times New Roman" w:cs="Times New Roman"/>
          <w:b/>
          <w:bCs/>
          <w:color w:val="000000"/>
          <w:sz w:val="24"/>
          <w:lang w:bidi="ta-IN"/>
        </w:rPr>
        <w:t xml:space="preserve"> Effect of </w:t>
      </w:r>
      <w:r w:rsidRPr="00C37268">
        <w:rPr>
          <w:rFonts w:ascii="Times New Roman" w:eastAsia="Times New Roman" w:hAnsi="Times New Roman" w:cs="Times New Roman"/>
          <w:b/>
          <w:bCs/>
          <w:i/>
          <w:iCs/>
          <w:color w:val="000000"/>
          <w:sz w:val="24"/>
          <w:lang w:bidi="ta-IN"/>
        </w:rPr>
        <w:t>Curcuma aeruginosa</w:t>
      </w:r>
      <w:r w:rsidRPr="00C37268">
        <w:rPr>
          <w:rFonts w:ascii="Times New Roman" w:eastAsia="Times New Roman" w:hAnsi="Times New Roman" w:cs="Times New Roman"/>
          <w:b/>
          <w:bCs/>
          <w:color w:val="000000"/>
          <w:sz w:val="24"/>
          <w:lang w:bidi="ta-IN"/>
        </w:rPr>
        <w:t xml:space="preserve"> (ECA) on THP-1 Cell Viability (MTT Assay)</w:t>
      </w:r>
    </w:p>
    <w:tbl>
      <w:tblPr>
        <w:tblStyle w:val="TableGrid"/>
        <w:tblW w:w="0" w:type="auto"/>
        <w:tblInd w:w="947" w:type="dxa"/>
        <w:tblLook w:val="04A0" w:firstRow="1" w:lastRow="0" w:firstColumn="1" w:lastColumn="0" w:noHBand="0" w:noVBand="1"/>
      </w:tblPr>
      <w:tblGrid>
        <w:gridCol w:w="2005"/>
        <w:gridCol w:w="2160"/>
        <w:gridCol w:w="1586"/>
      </w:tblGrid>
      <w:tr w:rsidR="00693029" w:rsidRPr="00426956" w14:paraId="24230690" w14:textId="77777777" w:rsidTr="00426956">
        <w:tc>
          <w:tcPr>
            <w:tcW w:w="0" w:type="auto"/>
            <w:hideMark/>
          </w:tcPr>
          <w:p w14:paraId="67D989D3" w14:textId="77777777" w:rsidR="00693029" w:rsidRPr="00426956" w:rsidRDefault="00693029" w:rsidP="00693029">
            <w:pPr>
              <w:spacing w:line="360" w:lineRule="auto"/>
              <w:ind w:right="-7"/>
              <w:jc w:val="both"/>
              <w:rPr>
                <w:rFonts w:ascii="Times New Roman" w:eastAsia="Times New Roman" w:hAnsi="Times New Roman" w:cs="Times New Roman"/>
                <w:b/>
                <w:bCs/>
                <w:color w:val="000000"/>
                <w:sz w:val="18"/>
                <w:szCs w:val="16"/>
                <w:lang w:bidi="ta-IN"/>
              </w:rPr>
            </w:pPr>
            <w:r w:rsidRPr="00426956">
              <w:rPr>
                <w:rFonts w:ascii="Times New Roman" w:eastAsia="Times New Roman" w:hAnsi="Times New Roman" w:cs="Times New Roman"/>
                <w:b/>
                <w:bCs/>
                <w:color w:val="000000"/>
                <w:sz w:val="18"/>
                <w:szCs w:val="16"/>
                <w:lang w:bidi="ta-IN"/>
              </w:rPr>
              <w:t>Concentration (µg/mL)</w:t>
            </w:r>
          </w:p>
        </w:tc>
        <w:tc>
          <w:tcPr>
            <w:tcW w:w="0" w:type="auto"/>
            <w:hideMark/>
          </w:tcPr>
          <w:p w14:paraId="1F8951A7" w14:textId="77777777" w:rsidR="00693029" w:rsidRPr="00426956" w:rsidRDefault="00693029" w:rsidP="00693029">
            <w:pPr>
              <w:spacing w:line="360" w:lineRule="auto"/>
              <w:ind w:right="-7"/>
              <w:jc w:val="both"/>
              <w:rPr>
                <w:rFonts w:ascii="Times New Roman" w:eastAsia="Times New Roman" w:hAnsi="Times New Roman" w:cs="Times New Roman"/>
                <w:b/>
                <w:bCs/>
                <w:color w:val="000000"/>
                <w:sz w:val="18"/>
                <w:szCs w:val="16"/>
                <w:lang w:bidi="ta-IN"/>
              </w:rPr>
            </w:pPr>
            <w:r w:rsidRPr="00426956">
              <w:rPr>
                <w:rFonts w:ascii="Times New Roman" w:eastAsia="Times New Roman" w:hAnsi="Times New Roman" w:cs="Times New Roman"/>
                <w:b/>
                <w:bCs/>
                <w:color w:val="000000"/>
                <w:sz w:val="18"/>
                <w:szCs w:val="16"/>
                <w:lang w:bidi="ta-IN"/>
              </w:rPr>
              <w:t>Absorbance (Mean ± SD)</w:t>
            </w:r>
          </w:p>
        </w:tc>
        <w:tc>
          <w:tcPr>
            <w:tcW w:w="0" w:type="auto"/>
            <w:hideMark/>
          </w:tcPr>
          <w:p w14:paraId="720E280A" w14:textId="77777777" w:rsidR="00693029" w:rsidRPr="00426956" w:rsidRDefault="00693029" w:rsidP="00693029">
            <w:pPr>
              <w:spacing w:line="360" w:lineRule="auto"/>
              <w:ind w:right="-7"/>
              <w:jc w:val="both"/>
              <w:rPr>
                <w:rFonts w:ascii="Times New Roman" w:eastAsia="Times New Roman" w:hAnsi="Times New Roman" w:cs="Times New Roman"/>
                <w:b/>
                <w:bCs/>
                <w:color w:val="000000"/>
                <w:sz w:val="18"/>
                <w:szCs w:val="16"/>
                <w:lang w:bidi="ta-IN"/>
              </w:rPr>
            </w:pPr>
            <w:r w:rsidRPr="00426956">
              <w:rPr>
                <w:rFonts w:ascii="Times New Roman" w:eastAsia="Times New Roman" w:hAnsi="Times New Roman" w:cs="Times New Roman"/>
                <w:b/>
                <w:bCs/>
                <w:color w:val="000000"/>
                <w:sz w:val="18"/>
                <w:szCs w:val="16"/>
                <w:lang w:bidi="ta-IN"/>
              </w:rPr>
              <w:t>Cell Viability (%)</w:t>
            </w:r>
          </w:p>
        </w:tc>
      </w:tr>
      <w:tr w:rsidR="00693029" w:rsidRPr="00426956" w14:paraId="44C4E148" w14:textId="77777777" w:rsidTr="00426956">
        <w:tc>
          <w:tcPr>
            <w:tcW w:w="0" w:type="auto"/>
            <w:hideMark/>
          </w:tcPr>
          <w:p w14:paraId="6EBF90C3" w14:textId="77777777" w:rsidR="00693029" w:rsidRPr="00426956" w:rsidRDefault="00693029" w:rsidP="00693029">
            <w:pPr>
              <w:spacing w:line="360" w:lineRule="auto"/>
              <w:ind w:right="-7"/>
              <w:jc w:val="both"/>
              <w:rPr>
                <w:rFonts w:ascii="Times New Roman" w:eastAsia="Times New Roman" w:hAnsi="Times New Roman" w:cs="Times New Roman"/>
                <w:color w:val="000000"/>
                <w:sz w:val="18"/>
                <w:szCs w:val="16"/>
                <w:lang w:bidi="ta-IN"/>
              </w:rPr>
            </w:pPr>
            <w:r w:rsidRPr="00426956">
              <w:rPr>
                <w:rFonts w:ascii="Times New Roman" w:eastAsia="Times New Roman" w:hAnsi="Times New Roman" w:cs="Times New Roman"/>
                <w:color w:val="000000"/>
                <w:sz w:val="18"/>
                <w:szCs w:val="16"/>
                <w:lang w:bidi="ta-IN"/>
              </w:rPr>
              <w:t>0 (Control)</w:t>
            </w:r>
          </w:p>
        </w:tc>
        <w:tc>
          <w:tcPr>
            <w:tcW w:w="0" w:type="auto"/>
            <w:hideMark/>
          </w:tcPr>
          <w:p w14:paraId="4621697F" w14:textId="77777777" w:rsidR="00693029" w:rsidRPr="00426956" w:rsidRDefault="00693029" w:rsidP="00693029">
            <w:pPr>
              <w:spacing w:line="360" w:lineRule="auto"/>
              <w:ind w:right="-7"/>
              <w:jc w:val="both"/>
              <w:rPr>
                <w:rFonts w:ascii="Times New Roman" w:eastAsia="Times New Roman" w:hAnsi="Times New Roman" w:cs="Times New Roman"/>
                <w:color w:val="000000"/>
                <w:sz w:val="18"/>
                <w:szCs w:val="16"/>
                <w:lang w:bidi="ta-IN"/>
              </w:rPr>
            </w:pPr>
            <w:r w:rsidRPr="00426956">
              <w:rPr>
                <w:rFonts w:ascii="Times New Roman" w:eastAsia="Times New Roman" w:hAnsi="Times New Roman" w:cs="Times New Roman"/>
                <w:color w:val="000000"/>
                <w:sz w:val="18"/>
                <w:szCs w:val="16"/>
                <w:lang w:bidi="ta-IN"/>
              </w:rPr>
              <w:t>0.764 ± 0.002</w:t>
            </w:r>
          </w:p>
        </w:tc>
        <w:tc>
          <w:tcPr>
            <w:tcW w:w="0" w:type="auto"/>
            <w:hideMark/>
          </w:tcPr>
          <w:p w14:paraId="0AD91344" w14:textId="77777777" w:rsidR="00693029" w:rsidRPr="00426956" w:rsidRDefault="00693029" w:rsidP="00693029">
            <w:pPr>
              <w:spacing w:line="360" w:lineRule="auto"/>
              <w:ind w:right="-7"/>
              <w:jc w:val="both"/>
              <w:rPr>
                <w:rFonts w:ascii="Times New Roman" w:eastAsia="Times New Roman" w:hAnsi="Times New Roman" w:cs="Times New Roman"/>
                <w:color w:val="000000"/>
                <w:sz w:val="18"/>
                <w:szCs w:val="16"/>
                <w:lang w:bidi="ta-IN"/>
              </w:rPr>
            </w:pPr>
            <w:r w:rsidRPr="00426956">
              <w:rPr>
                <w:rFonts w:ascii="Times New Roman" w:eastAsia="Times New Roman" w:hAnsi="Times New Roman" w:cs="Times New Roman"/>
                <w:color w:val="000000"/>
                <w:sz w:val="18"/>
                <w:szCs w:val="16"/>
                <w:lang w:bidi="ta-IN"/>
              </w:rPr>
              <w:t>100ᵃ</w:t>
            </w:r>
          </w:p>
        </w:tc>
      </w:tr>
      <w:tr w:rsidR="00693029" w:rsidRPr="00426956" w14:paraId="62D5DF1B" w14:textId="77777777" w:rsidTr="00426956">
        <w:tc>
          <w:tcPr>
            <w:tcW w:w="0" w:type="auto"/>
            <w:hideMark/>
          </w:tcPr>
          <w:p w14:paraId="50036F3B" w14:textId="77777777" w:rsidR="00693029" w:rsidRPr="00426956" w:rsidRDefault="00693029" w:rsidP="00693029">
            <w:pPr>
              <w:spacing w:line="360" w:lineRule="auto"/>
              <w:ind w:right="-7"/>
              <w:jc w:val="both"/>
              <w:rPr>
                <w:rFonts w:ascii="Times New Roman" w:eastAsia="Times New Roman" w:hAnsi="Times New Roman" w:cs="Times New Roman"/>
                <w:color w:val="000000"/>
                <w:sz w:val="18"/>
                <w:szCs w:val="16"/>
                <w:lang w:bidi="ta-IN"/>
              </w:rPr>
            </w:pPr>
            <w:r w:rsidRPr="00426956">
              <w:rPr>
                <w:rFonts w:ascii="Times New Roman" w:eastAsia="Times New Roman" w:hAnsi="Times New Roman" w:cs="Times New Roman"/>
                <w:color w:val="000000"/>
                <w:sz w:val="18"/>
                <w:szCs w:val="16"/>
                <w:lang w:bidi="ta-IN"/>
              </w:rPr>
              <w:t>10</w:t>
            </w:r>
          </w:p>
        </w:tc>
        <w:tc>
          <w:tcPr>
            <w:tcW w:w="0" w:type="auto"/>
            <w:hideMark/>
          </w:tcPr>
          <w:p w14:paraId="2ECF0FBD" w14:textId="77777777" w:rsidR="00693029" w:rsidRPr="00426956" w:rsidRDefault="00693029" w:rsidP="00693029">
            <w:pPr>
              <w:spacing w:line="360" w:lineRule="auto"/>
              <w:ind w:right="-7"/>
              <w:jc w:val="both"/>
              <w:rPr>
                <w:rFonts w:ascii="Times New Roman" w:eastAsia="Times New Roman" w:hAnsi="Times New Roman" w:cs="Times New Roman"/>
                <w:color w:val="000000"/>
                <w:sz w:val="18"/>
                <w:szCs w:val="16"/>
                <w:lang w:bidi="ta-IN"/>
              </w:rPr>
            </w:pPr>
            <w:r w:rsidRPr="00426956">
              <w:rPr>
                <w:rFonts w:ascii="Times New Roman" w:eastAsia="Times New Roman" w:hAnsi="Times New Roman" w:cs="Times New Roman"/>
                <w:color w:val="000000"/>
                <w:sz w:val="18"/>
                <w:szCs w:val="16"/>
                <w:lang w:bidi="ta-IN"/>
              </w:rPr>
              <w:t>0.681 ± 0.002</w:t>
            </w:r>
          </w:p>
        </w:tc>
        <w:tc>
          <w:tcPr>
            <w:tcW w:w="0" w:type="auto"/>
            <w:hideMark/>
          </w:tcPr>
          <w:p w14:paraId="589B8F50" w14:textId="77777777" w:rsidR="00693029" w:rsidRPr="00426956" w:rsidRDefault="00693029" w:rsidP="00693029">
            <w:pPr>
              <w:spacing w:line="360" w:lineRule="auto"/>
              <w:ind w:right="-7"/>
              <w:jc w:val="both"/>
              <w:rPr>
                <w:rFonts w:ascii="Times New Roman" w:eastAsia="Times New Roman" w:hAnsi="Times New Roman" w:cs="Times New Roman"/>
                <w:color w:val="000000"/>
                <w:sz w:val="18"/>
                <w:szCs w:val="16"/>
                <w:lang w:bidi="ta-IN"/>
              </w:rPr>
            </w:pPr>
            <w:r w:rsidRPr="00426956">
              <w:rPr>
                <w:rFonts w:ascii="Times New Roman" w:eastAsia="Times New Roman" w:hAnsi="Times New Roman" w:cs="Times New Roman"/>
                <w:color w:val="000000"/>
                <w:sz w:val="18"/>
                <w:szCs w:val="16"/>
                <w:lang w:bidi="ta-IN"/>
              </w:rPr>
              <w:t>89ᵃᵇ</w:t>
            </w:r>
          </w:p>
        </w:tc>
      </w:tr>
      <w:tr w:rsidR="00693029" w:rsidRPr="00426956" w14:paraId="01482AB8" w14:textId="77777777" w:rsidTr="00426956">
        <w:tc>
          <w:tcPr>
            <w:tcW w:w="0" w:type="auto"/>
            <w:hideMark/>
          </w:tcPr>
          <w:p w14:paraId="41DCEFFE" w14:textId="77777777" w:rsidR="00693029" w:rsidRPr="00426956" w:rsidRDefault="00693029" w:rsidP="00693029">
            <w:pPr>
              <w:spacing w:line="360" w:lineRule="auto"/>
              <w:ind w:right="-7"/>
              <w:jc w:val="both"/>
              <w:rPr>
                <w:rFonts w:ascii="Times New Roman" w:eastAsia="Times New Roman" w:hAnsi="Times New Roman" w:cs="Times New Roman"/>
                <w:color w:val="000000"/>
                <w:sz w:val="18"/>
                <w:szCs w:val="16"/>
                <w:lang w:bidi="ta-IN"/>
              </w:rPr>
            </w:pPr>
            <w:r w:rsidRPr="00426956">
              <w:rPr>
                <w:rFonts w:ascii="Times New Roman" w:eastAsia="Times New Roman" w:hAnsi="Times New Roman" w:cs="Times New Roman"/>
                <w:color w:val="000000"/>
                <w:sz w:val="18"/>
                <w:szCs w:val="16"/>
                <w:lang w:bidi="ta-IN"/>
              </w:rPr>
              <w:t>20</w:t>
            </w:r>
          </w:p>
        </w:tc>
        <w:tc>
          <w:tcPr>
            <w:tcW w:w="0" w:type="auto"/>
            <w:hideMark/>
          </w:tcPr>
          <w:p w14:paraId="53EFAD4D" w14:textId="77777777" w:rsidR="00693029" w:rsidRPr="00426956" w:rsidRDefault="00693029" w:rsidP="00693029">
            <w:pPr>
              <w:spacing w:line="360" w:lineRule="auto"/>
              <w:ind w:right="-7"/>
              <w:jc w:val="both"/>
              <w:rPr>
                <w:rFonts w:ascii="Times New Roman" w:eastAsia="Times New Roman" w:hAnsi="Times New Roman" w:cs="Times New Roman"/>
                <w:color w:val="000000"/>
                <w:sz w:val="18"/>
                <w:szCs w:val="16"/>
                <w:lang w:bidi="ta-IN"/>
              </w:rPr>
            </w:pPr>
            <w:r w:rsidRPr="00426956">
              <w:rPr>
                <w:rFonts w:ascii="Times New Roman" w:eastAsia="Times New Roman" w:hAnsi="Times New Roman" w:cs="Times New Roman"/>
                <w:color w:val="000000"/>
                <w:sz w:val="18"/>
                <w:szCs w:val="16"/>
                <w:lang w:bidi="ta-IN"/>
              </w:rPr>
              <w:t>0.602 ± 0.002</w:t>
            </w:r>
          </w:p>
        </w:tc>
        <w:tc>
          <w:tcPr>
            <w:tcW w:w="0" w:type="auto"/>
            <w:hideMark/>
          </w:tcPr>
          <w:p w14:paraId="2CD84E7F" w14:textId="77777777" w:rsidR="00693029" w:rsidRPr="00426956" w:rsidRDefault="00693029" w:rsidP="00693029">
            <w:pPr>
              <w:spacing w:line="360" w:lineRule="auto"/>
              <w:ind w:right="-7"/>
              <w:jc w:val="both"/>
              <w:rPr>
                <w:rFonts w:ascii="Times New Roman" w:eastAsia="Times New Roman" w:hAnsi="Times New Roman" w:cs="Times New Roman"/>
                <w:color w:val="000000"/>
                <w:sz w:val="18"/>
                <w:szCs w:val="16"/>
                <w:lang w:bidi="ta-IN"/>
              </w:rPr>
            </w:pPr>
            <w:r w:rsidRPr="00426956">
              <w:rPr>
                <w:rFonts w:ascii="Times New Roman" w:eastAsia="Times New Roman" w:hAnsi="Times New Roman" w:cs="Times New Roman"/>
                <w:color w:val="000000"/>
                <w:sz w:val="18"/>
                <w:szCs w:val="16"/>
                <w:lang w:bidi="ta-IN"/>
              </w:rPr>
              <w:t>79ᵇ</w:t>
            </w:r>
          </w:p>
        </w:tc>
      </w:tr>
      <w:tr w:rsidR="00693029" w:rsidRPr="00426956" w14:paraId="13927BB4" w14:textId="77777777" w:rsidTr="00426956">
        <w:tc>
          <w:tcPr>
            <w:tcW w:w="0" w:type="auto"/>
            <w:hideMark/>
          </w:tcPr>
          <w:p w14:paraId="489B7A62" w14:textId="77777777" w:rsidR="00693029" w:rsidRPr="00426956" w:rsidRDefault="00693029" w:rsidP="00693029">
            <w:pPr>
              <w:spacing w:line="360" w:lineRule="auto"/>
              <w:ind w:right="-7"/>
              <w:jc w:val="both"/>
              <w:rPr>
                <w:rFonts w:ascii="Times New Roman" w:eastAsia="Times New Roman" w:hAnsi="Times New Roman" w:cs="Times New Roman"/>
                <w:color w:val="000000"/>
                <w:sz w:val="18"/>
                <w:szCs w:val="16"/>
                <w:lang w:bidi="ta-IN"/>
              </w:rPr>
            </w:pPr>
            <w:r w:rsidRPr="00426956">
              <w:rPr>
                <w:rFonts w:ascii="Times New Roman" w:eastAsia="Times New Roman" w:hAnsi="Times New Roman" w:cs="Times New Roman"/>
                <w:color w:val="000000"/>
                <w:sz w:val="18"/>
                <w:szCs w:val="16"/>
                <w:lang w:bidi="ta-IN"/>
              </w:rPr>
              <w:t>30</w:t>
            </w:r>
          </w:p>
        </w:tc>
        <w:tc>
          <w:tcPr>
            <w:tcW w:w="0" w:type="auto"/>
            <w:hideMark/>
          </w:tcPr>
          <w:p w14:paraId="0FB2DB85" w14:textId="77777777" w:rsidR="00693029" w:rsidRPr="00426956" w:rsidRDefault="00693029" w:rsidP="00693029">
            <w:pPr>
              <w:spacing w:line="360" w:lineRule="auto"/>
              <w:ind w:right="-7"/>
              <w:jc w:val="both"/>
              <w:rPr>
                <w:rFonts w:ascii="Times New Roman" w:eastAsia="Times New Roman" w:hAnsi="Times New Roman" w:cs="Times New Roman"/>
                <w:color w:val="000000"/>
                <w:sz w:val="18"/>
                <w:szCs w:val="16"/>
                <w:lang w:bidi="ta-IN"/>
              </w:rPr>
            </w:pPr>
            <w:r w:rsidRPr="00426956">
              <w:rPr>
                <w:rFonts w:ascii="Times New Roman" w:eastAsia="Times New Roman" w:hAnsi="Times New Roman" w:cs="Times New Roman"/>
                <w:color w:val="000000"/>
                <w:sz w:val="18"/>
                <w:szCs w:val="16"/>
                <w:lang w:bidi="ta-IN"/>
              </w:rPr>
              <w:t>0.520 ± 0.002</w:t>
            </w:r>
          </w:p>
        </w:tc>
        <w:tc>
          <w:tcPr>
            <w:tcW w:w="0" w:type="auto"/>
            <w:hideMark/>
          </w:tcPr>
          <w:p w14:paraId="5B9C3B0E" w14:textId="77777777" w:rsidR="00693029" w:rsidRPr="00426956" w:rsidRDefault="00693029" w:rsidP="00693029">
            <w:pPr>
              <w:spacing w:line="360" w:lineRule="auto"/>
              <w:ind w:right="-7"/>
              <w:jc w:val="both"/>
              <w:rPr>
                <w:rFonts w:ascii="Times New Roman" w:eastAsia="Times New Roman" w:hAnsi="Times New Roman" w:cs="Times New Roman"/>
                <w:color w:val="000000"/>
                <w:sz w:val="18"/>
                <w:szCs w:val="16"/>
                <w:lang w:bidi="ta-IN"/>
              </w:rPr>
            </w:pPr>
            <w:r w:rsidRPr="00426956">
              <w:rPr>
                <w:rFonts w:ascii="Times New Roman" w:eastAsia="Times New Roman" w:hAnsi="Times New Roman" w:cs="Times New Roman"/>
                <w:color w:val="000000"/>
                <w:sz w:val="18"/>
                <w:szCs w:val="16"/>
                <w:lang w:bidi="ta-IN"/>
              </w:rPr>
              <w:t>68ᶜ</w:t>
            </w:r>
          </w:p>
        </w:tc>
      </w:tr>
      <w:tr w:rsidR="00693029" w:rsidRPr="00426956" w14:paraId="5480E2FE" w14:textId="77777777" w:rsidTr="00426956">
        <w:tc>
          <w:tcPr>
            <w:tcW w:w="0" w:type="auto"/>
            <w:hideMark/>
          </w:tcPr>
          <w:p w14:paraId="75A06647" w14:textId="77777777" w:rsidR="00693029" w:rsidRPr="00426956" w:rsidRDefault="00693029" w:rsidP="00693029">
            <w:pPr>
              <w:spacing w:line="360" w:lineRule="auto"/>
              <w:ind w:right="-7"/>
              <w:jc w:val="both"/>
              <w:rPr>
                <w:rFonts w:ascii="Times New Roman" w:eastAsia="Times New Roman" w:hAnsi="Times New Roman" w:cs="Times New Roman"/>
                <w:color w:val="000000"/>
                <w:sz w:val="18"/>
                <w:szCs w:val="16"/>
                <w:lang w:bidi="ta-IN"/>
              </w:rPr>
            </w:pPr>
            <w:r w:rsidRPr="00426956">
              <w:rPr>
                <w:rFonts w:ascii="Times New Roman" w:eastAsia="Times New Roman" w:hAnsi="Times New Roman" w:cs="Times New Roman"/>
                <w:color w:val="000000"/>
                <w:sz w:val="18"/>
                <w:szCs w:val="16"/>
                <w:lang w:bidi="ta-IN"/>
              </w:rPr>
              <w:t>40</w:t>
            </w:r>
          </w:p>
        </w:tc>
        <w:tc>
          <w:tcPr>
            <w:tcW w:w="0" w:type="auto"/>
            <w:hideMark/>
          </w:tcPr>
          <w:p w14:paraId="2580B359" w14:textId="77777777" w:rsidR="00693029" w:rsidRPr="00426956" w:rsidRDefault="00693029" w:rsidP="00693029">
            <w:pPr>
              <w:spacing w:line="360" w:lineRule="auto"/>
              <w:ind w:right="-7"/>
              <w:jc w:val="both"/>
              <w:rPr>
                <w:rFonts w:ascii="Times New Roman" w:eastAsia="Times New Roman" w:hAnsi="Times New Roman" w:cs="Times New Roman"/>
                <w:color w:val="000000"/>
                <w:sz w:val="18"/>
                <w:szCs w:val="16"/>
                <w:lang w:bidi="ta-IN"/>
              </w:rPr>
            </w:pPr>
            <w:r w:rsidRPr="00426956">
              <w:rPr>
                <w:rFonts w:ascii="Times New Roman" w:eastAsia="Times New Roman" w:hAnsi="Times New Roman" w:cs="Times New Roman"/>
                <w:color w:val="000000"/>
                <w:sz w:val="18"/>
                <w:szCs w:val="16"/>
                <w:lang w:bidi="ta-IN"/>
              </w:rPr>
              <w:t>0.434 ± 0.004</w:t>
            </w:r>
          </w:p>
        </w:tc>
        <w:tc>
          <w:tcPr>
            <w:tcW w:w="0" w:type="auto"/>
            <w:hideMark/>
          </w:tcPr>
          <w:p w14:paraId="556D130E" w14:textId="77777777" w:rsidR="00693029" w:rsidRPr="00426956" w:rsidRDefault="00693029" w:rsidP="00693029">
            <w:pPr>
              <w:spacing w:line="360" w:lineRule="auto"/>
              <w:ind w:right="-7"/>
              <w:jc w:val="both"/>
              <w:rPr>
                <w:rFonts w:ascii="Times New Roman" w:eastAsia="Times New Roman" w:hAnsi="Times New Roman" w:cs="Times New Roman"/>
                <w:color w:val="000000"/>
                <w:sz w:val="18"/>
                <w:szCs w:val="16"/>
                <w:lang w:bidi="ta-IN"/>
              </w:rPr>
            </w:pPr>
            <w:r w:rsidRPr="00426956">
              <w:rPr>
                <w:rFonts w:ascii="Times New Roman" w:eastAsia="Times New Roman" w:hAnsi="Times New Roman" w:cs="Times New Roman"/>
                <w:color w:val="000000"/>
                <w:sz w:val="18"/>
                <w:szCs w:val="16"/>
                <w:lang w:bidi="ta-IN"/>
              </w:rPr>
              <w:t>57ᵈ</w:t>
            </w:r>
          </w:p>
        </w:tc>
      </w:tr>
      <w:tr w:rsidR="00693029" w:rsidRPr="00426956" w14:paraId="03601F94" w14:textId="77777777" w:rsidTr="00426956">
        <w:tc>
          <w:tcPr>
            <w:tcW w:w="0" w:type="auto"/>
            <w:hideMark/>
          </w:tcPr>
          <w:p w14:paraId="6F90FB1E" w14:textId="77777777" w:rsidR="00693029" w:rsidRPr="00426956" w:rsidRDefault="00693029" w:rsidP="00693029">
            <w:pPr>
              <w:spacing w:line="360" w:lineRule="auto"/>
              <w:ind w:right="-7"/>
              <w:jc w:val="both"/>
              <w:rPr>
                <w:rFonts w:ascii="Times New Roman" w:eastAsia="Times New Roman" w:hAnsi="Times New Roman" w:cs="Times New Roman"/>
                <w:color w:val="000000"/>
                <w:sz w:val="18"/>
                <w:szCs w:val="16"/>
                <w:lang w:bidi="ta-IN"/>
              </w:rPr>
            </w:pPr>
            <w:r w:rsidRPr="00426956">
              <w:rPr>
                <w:rFonts w:ascii="Times New Roman" w:eastAsia="Times New Roman" w:hAnsi="Times New Roman" w:cs="Times New Roman"/>
                <w:color w:val="000000"/>
                <w:sz w:val="18"/>
                <w:szCs w:val="16"/>
                <w:lang w:bidi="ta-IN"/>
              </w:rPr>
              <w:t>50</w:t>
            </w:r>
          </w:p>
        </w:tc>
        <w:tc>
          <w:tcPr>
            <w:tcW w:w="0" w:type="auto"/>
            <w:hideMark/>
          </w:tcPr>
          <w:p w14:paraId="27FEADBA" w14:textId="77777777" w:rsidR="00693029" w:rsidRPr="00426956" w:rsidRDefault="00693029" w:rsidP="00693029">
            <w:pPr>
              <w:spacing w:line="360" w:lineRule="auto"/>
              <w:ind w:right="-7"/>
              <w:jc w:val="both"/>
              <w:rPr>
                <w:rFonts w:ascii="Times New Roman" w:eastAsia="Times New Roman" w:hAnsi="Times New Roman" w:cs="Times New Roman"/>
                <w:color w:val="000000"/>
                <w:sz w:val="18"/>
                <w:szCs w:val="16"/>
                <w:lang w:bidi="ta-IN"/>
              </w:rPr>
            </w:pPr>
            <w:r w:rsidRPr="00426956">
              <w:rPr>
                <w:rFonts w:ascii="Times New Roman" w:eastAsia="Times New Roman" w:hAnsi="Times New Roman" w:cs="Times New Roman"/>
                <w:color w:val="000000"/>
                <w:sz w:val="18"/>
                <w:szCs w:val="16"/>
                <w:lang w:bidi="ta-IN"/>
              </w:rPr>
              <w:t>0.365 ± 0.002</w:t>
            </w:r>
          </w:p>
        </w:tc>
        <w:tc>
          <w:tcPr>
            <w:tcW w:w="0" w:type="auto"/>
            <w:hideMark/>
          </w:tcPr>
          <w:p w14:paraId="705B8DE9" w14:textId="77777777" w:rsidR="00693029" w:rsidRPr="00426956" w:rsidRDefault="00693029" w:rsidP="00693029">
            <w:pPr>
              <w:spacing w:line="360" w:lineRule="auto"/>
              <w:ind w:right="-7"/>
              <w:jc w:val="both"/>
              <w:rPr>
                <w:rFonts w:ascii="Times New Roman" w:eastAsia="Times New Roman" w:hAnsi="Times New Roman" w:cs="Times New Roman"/>
                <w:color w:val="000000"/>
                <w:sz w:val="18"/>
                <w:szCs w:val="16"/>
                <w:lang w:bidi="ta-IN"/>
              </w:rPr>
            </w:pPr>
            <w:r w:rsidRPr="00426956">
              <w:rPr>
                <w:rFonts w:ascii="Times New Roman" w:eastAsia="Times New Roman" w:hAnsi="Times New Roman" w:cs="Times New Roman"/>
                <w:color w:val="000000"/>
                <w:sz w:val="18"/>
                <w:szCs w:val="16"/>
                <w:lang w:bidi="ta-IN"/>
              </w:rPr>
              <w:t>48ᵉ</w:t>
            </w:r>
          </w:p>
        </w:tc>
      </w:tr>
      <w:tr w:rsidR="00693029" w:rsidRPr="00426956" w14:paraId="5CA68E3B" w14:textId="77777777" w:rsidTr="00426956">
        <w:tc>
          <w:tcPr>
            <w:tcW w:w="0" w:type="auto"/>
            <w:hideMark/>
          </w:tcPr>
          <w:p w14:paraId="19A83507" w14:textId="77777777" w:rsidR="00693029" w:rsidRPr="00426956" w:rsidRDefault="00693029" w:rsidP="00693029">
            <w:pPr>
              <w:spacing w:line="360" w:lineRule="auto"/>
              <w:ind w:right="-7"/>
              <w:jc w:val="both"/>
              <w:rPr>
                <w:rFonts w:ascii="Times New Roman" w:eastAsia="Times New Roman" w:hAnsi="Times New Roman" w:cs="Times New Roman"/>
                <w:color w:val="000000"/>
                <w:sz w:val="18"/>
                <w:szCs w:val="16"/>
                <w:lang w:bidi="ta-IN"/>
              </w:rPr>
            </w:pPr>
            <w:r w:rsidRPr="00426956">
              <w:rPr>
                <w:rFonts w:ascii="Times New Roman" w:eastAsia="Times New Roman" w:hAnsi="Times New Roman" w:cs="Times New Roman"/>
                <w:color w:val="000000"/>
                <w:sz w:val="18"/>
                <w:szCs w:val="16"/>
                <w:lang w:bidi="ta-IN"/>
              </w:rPr>
              <w:t>60</w:t>
            </w:r>
          </w:p>
        </w:tc>
        <w:tc>
          <w:tcPr>
            <w:tcW w:w="0" w:type="auto"/>
            <w:hideMark/>
          </w:tcPr>
          <w:p w14:paraId="65071339" w14:textId="77777777" w:rsidR="00693029" w:rsidRPr="00426956" w:rsidRDefault="00693029" w:rsidP="00693029">
            <w:pPr>
              <w:spacing w:line="360" w:lineRule="auto"/>
              <w:ind w:right="-7"/>
              <w:jc w:val="both"/>
              <w:rPr>
                <w:rFonts w:ascii="Times New Roman" w:eastAsia="Times New Roman" w:hAnsi="Times New Roman" w:cs="Times New Roman"/>
                <w:color w:val="000000"/>
                <w:sz w:val="18"/>
                <w:szCs w:val="16"/>
                <w:lang w:bidi="ta-IN"/>
              </w:rPr>
            </w:pPr>
            <w:r w:rsidRPr="00426956">
              <w:rPr>
                <w:rFonts w:ascii="Times New Roman" w:eastAsia="Times New Roman" w:hAnsi="Times New Roman" w:cs="Times New Roman"/>
                <w:color w:val="000000"/>
                <w:sz w:val="18"/>
                <w:szCs w:val="16"/>
                <w:lang w:bidi="ta-IN"/>
              </w:rPr>
              <w:t>0.285 ± 0.004</w:t>
            </w:r>
          </w:p>
        </w:tc>
        <w:tc>
          <w:tcPr>
            <w:tcW w:w="0" w:type="auto"/>
            <w:hideMark/>
          </w:tcPr>
          <w:p w14:paraId="5B796F10" w14:textId="77777777" w:rsidR="00693029" w:rsidRPr="00426956" w:rsidRDefault="00693029" w:rsidP="00693029">
            <w:pPr>
              <w:spacing w:line="360" w:lineRule="auto"/>
              <w:ind w:right="-7"/>
              <w:jc w:val="both"/>
              <w:rPr>
                <w:rFonts w:ascii="Times New Roman" w:eastAsia="Times New Roman" w:hAnsi="Times New Roman" w:cs="Times New Roman"/>
                <w:color w:val="000000"/>
                <w:sz w:val="18"/>
                <w:szCs w:val="16"/>
                <w:lang w:bidi="ta-IN"/>
              </w:rPr>
            </w:pPr>
            <w:r w:rsidRPr="00426956">
              <w:rPr>
                <w:rFonts w:ascii="Times New Roman" w:eastAsia="Times New Roman" w:hAnsi="Times New Roman" w:cs="Times New Roman"/>
                <w:color w:val="000000"/>
                <w:sz w:val="18"/>
                <w:szCs w:val="16"/>
                <w:lang w:bidi="ta-IN"/>
              </w:rPr>
              <w:t>37ᶠ</w:t>
            </w:r>
          </w:p>
        </w:tc>
      </w:tr>
      <w:tr w:rsidR="00693029" w:rsidRPr="00426956" w14:paraId="12A75703" w14:textId="77777777" w:rsidTr="00426956">
        <w:tc>
          <w:tcPr>
            <w:tcW w:w="0" w:type="auto"/>
            <w:hideMark/>
          </w:tcPr>
          <w:p w14:paraId="7CAB49F7" w14:textId="77777777" w:rsidR="00693029" w:rsidRPr="00426956" w:rsidRDefault="00693029" w:rsidP="00693029">
            <w:pPr>
              <w:spacing w:line="360" w:lineRule="auto"/>
              <w:ind w:right="-7"/>
              <w:jc w:val="both"/>
              <w:rPr>
                <w:rFonts w:ascii="Times New Roman" w:eastAsia="Times New Roman" w:hAnsi="Times New Roman" w:cs="Times New Roman"/>
                <w:color w:val="000000"/>
                <w:sz w:val="18"/>
                <w:szCs w:val="16"/>
                <w:lang w:bidi="ta-IN"/>
              </w:rPr>
            </w:pPr>
            <w:r w:rsidRPr="00426956">
              <w:rPr>
                <w:rFonts w:ascii="Times New Roman" w:eastAsia="Times New Roman" w:hAnsi="Times New Roman" w:cs="Times New Roman"/>
                <w:color w:val="000000"/>
                <w:sz w:val="18"/>
                <w:szCs w:val="16"/>
                <w:lang w:bidi="ta-IN"/>
              </w:rPr>
              <w:t>70</w:t>
            </w:r>
          </w:p>
        </w:tc>
        <w:tc>
          <w:tcPr>
            <w:tcW w:w="0" w:type="auto"/>
            <w:hideMark/>
          </w:tcPr>
          <w:p w14:paraId="52419572" w14:textId="77777777" w:rsidR="00693029" w:rsidRPr="00426956" w:rsidRDefault="00693029" w:rsidP="00693029">
            <w:pPr>
              <w:spacing w:line="360" w:lineRule="auto"/>
              <w:ind w:right="-7"/>
              <w:jc w:val="both"/>
              <w:rPr>
                <w:rFonts w:ascii="Times New Roman" w:eastAsia="Times New Roman" w:hAnsi="Times New Roman" w:cs="Times New Roman"/>
                <w:color w:val="000000"/>
                <w:sz w:val="18"/>
                <w:szCs w:val="16"/>
                <w:lang w:bidi="ta-IN"/>
              </w:rPr>
            </w:pPr>
            <w:r w:rsidRPr="00426956">
              <w:rPr>
                <w:rFonts w:ascii="Times New Roman" w:eastAsia="Times New Roman" w:hAnsi="Times New Roman" w:cs="Times New Roman"/>
                <w:color w:val="000000"/>
                <w:sz w:val="18"/>
                <w:szCs w:val="16"/>
                <w:lang w:bidi="ta-IN"/>
              </w:rPr>
              <w:t>0.211 ± 0.006</w:t>
            </w:r>
          </w:p>
        </w:tc>
        <w:tc>
          <w:tcPr>
            <w:tcW w:w="0" w:type="auto"/>
            <w:hideMark/>
          </w:tcPr>
          <w:p w14:paraId="390F150D" w14:textId="77777777" w:rsidR="00693029" w:rsidRPr="00426956" w:rsidRDefault="00693029" w:rsidP="00693029">
            <w:pPr>
              <w:spacing w:line="360" w:lineRule="auto"/>
              <w:ind w:right="-7"/>
              <w:jc w:val="both"/>
              <w:rPr>
                <w:rFonts w:ascii="Times New Roman" w:eastAsia="Times New Roman" w:hAnsi="Times New Roman" w:cs="Times New Roman"/>
                <w:color w:val="000000"/>
                <w:sz w:val="18"/>
                <w:szCs w:val="16"/>
                <w:lang w:bidi="ta-IN"/>
              </w:rPr>
            </w:pPr>
            <w:r w:rsidRPr="00426956">
              <w:rPr>
                <w:rFonts w:ascii="Times New Roman" w:eastAsia="Times New Roman" w:hAnsi="Times New Roman" w:cs="Times New Roman"/>
                <w:color w:val="000000"/>
                <w:sz w:val="18"/>
                <w:szCs w:val="16"/>
                <w:lang w:bidi="ta-IN"/>
              </w:rPr>
              <w:t>28ᵍ</w:t>
            </w:r>
          </w:p>
        </w:tc>
      </w:tr>
      <w:tr w:rsidR="00693029" w:rsidRPr="00426956" w14:paraId="66FC7744" w14:textId="77777777" w:rsidTr="00426956">
        <w:tc>
          <w:tcPr>
            <w:tcW w:w="0" w:type="auto"/>
            <w:hideMark/>
          </w:tcPr>
          <w:p w14:paraId="38C1C5EA" w14:textId="77777777" w:rsidR="00693029" w:rsidRPr="00426956" w:rsidRDefault="00693029" w:rsidP="00693029">
            <w:pPr>
              <w:spacing w:line="360" w:lineRule="auto"/>
              <w:ind w:right="-7"/>
              <w:jc w:val="both"/>
              <w:rPr>
                <w:rFonts w:ascii="Times New Roman" w:eastAsia="Times New Roman" w:hAnsi="Times New Roman" w:cs="Times New Roman"/>
                <w:color w:val="000000"/>
                <w:sz w:val="18"/>
                <w:szCs w:val="16"/>
                <w:lang w:bidi="ta-IN"/>
              </w:rPr>
            </w:pPr>
            <w:r w:rsidRPr="00426956">
              <w:rPr>
                <w:rFonts w:ascii="Times New Roman" w:eastAsia="Times New Roman" w:hAnsi="Times New Roman" w:cs="Times New Roman"/>
                <w:color w:val="000000"/>
                <w:sz w:val="18"/>
                <w:szCs w:val="16"/>
                <w:lang w:bidi="ta-IN"/>
              </w:rPr>
              <w:t>80</w:t>
            </w:r>
          </w:p>
        </w:tc>
        <w:tc>
          <w:tcPr>
            <w:tcW w:w="0" w:type="auto"/>
            <w:hideMark/>
          </w:tcPr>
          <w:p w14:paraId="7CD261D8" w14:textId="77777777" w:rsidR="00693029" w:rsidRPr="00426956" w:rsidRDefault="00693029" w:rsidP="00693029">
            <w:pPr>
              <w:spacing w:line="360" w:lineRule="auto"/>
              <w:ind w:right="-7"/>
              <w:jc w:val="both"/>
              <w:rPr>
                <w:rFonts w:ascii="Times New Roman" w:eastAsia="Times New Roman" w:hAnsi="Times New Roman" w:cs="Times New Roman"/>
                <w:color w:val="000000"/>
                <w:sz w:val="18"/>
                <w:szCs w:val="16"/>
                <w:lang w:bidi="ta-IN"/>
              </w:rPr>
            </w:pPr>
            <w:r w:rsidRPr="00426956">
              <w:rPr>
                <w:rFonts w:ascii="Times New Roman" w:eastAsia="Times New Roman" w:hAnsi="Times New Roman" w:cs="Times New Roman"/>
                <w:color w:val="000000"/>
                <w:sz w:val="18"/>
                <w:szCs w:val="16"/>
                <w:lang w:bidi="ta-IN"/>
              </w:rPr>
              <w:t>0.143 ± 0.001</w:t>
            </w:r>
          </w:p>
        </w:tc>
        <w:tc>
          <w:tcPr>
            <w:tcW w:w="0" w:type="auto"/>
            <w:hideMark/>
          </w:tcPr>
          <w:p w14:paraId="2E009262" w14:textId="77777777" w:rsidR="00693029" w:rsidRPr="00426956" w:rsidRDefault="00693029" w:rsidP="00693029">
            <w:pPr>
              <w:spacing w:line="360" w:lineRule="auto"/>
              <w:ind w:right="-7"/>
              <w:jc w:val="both"/>
              <w:rPr>
                <w:rFonts w:ascii="Times New Roman" w:eastAsia="Times New Roman" w:hAnsi="Times New Roman" w:cs="Times New Roman"/>
                <w:color w:val="000000"/>
                <w:sz w:val="18"/>
                <w:szCs w:val="16"/>
                <w:lang w:bidi="ta-IN"/>
              </w:rPr>
            </w:pPr>
            <w:r w:rsidRPr="00426956">
              <w:rPr>
                <w:rFonts w:ascii="Times New Roman" w:eastAsia="Times New Roman" w:hAnsi="Times New Roman" w:cs="Times New Roman"/>
                <w:color w:val="000000"/>
                <w:sz w:val="18"/>
                <w:szCs w:val="16"/>
                <w:lang w:bidi="ta-IN"/>
              </w:rPr>
              <w:t>19ʰ</w:t>
            </w:r>
          </w:p>
        </w:tc>
      </w:tr>
      <w:tr w:rsidR="00693029" w:rsidRPr="00426956" w14:paraId="5641B214" w14:textId="77777777" w:rsidTr="00426956">
        <w:tc>
          <w:tcPr>
            <w:tcW w:w="0" w:type="auto"/>
            <w:hideMark/>
          </w:tcPr>
          <w:p w14:paraId="7E785858" w14:textId="77777777" w:rsidR="00693029" w:rsidRPr="00426956" w:rsidRDefault="00693029" w:rsidP="00693029">
            <w:pPr>
              <w:spacing w:line="360" w:lineRule="auto"/>
              <w:ind w:right="-7"/>
              <w:jc w:val="both"/>
              <w:rPr>
                <w:rFonts w:ascii="Times New Roman" w:eastAsia="Times New Roman" w:hAnsi="Times New Roman" w:cs="Times New Roman"/>
                <w:color w:val="000000"/>
                <w:sz w:val="18"/>
                <w:szCs w:val="16"/>
                <w:lang w:bidi="ta-IN"/>
              </w:rPr>
            </w:pPr>
            <w:r w:rsidRPr="00426956">
              <w:rPr>
                <w:rFonts w:ascii="Times New Roman" w:eastAsia="Times New Roman" w:hAnsi="Times New Roman" w:cs="Times New Roman"/>
                <w:color w:val="000000"/>
                <w:sz w:val="18"/>
                <w:szCs w:val="16"/>
                <w:lang w:bidi="ta-IN"/>
              </w:rPr>
              <w:t>90</w:t>
            </w:r>
          </w:p>
        </w:tc>
        <w:tc>
          <w:tcPr>
            <w:tcW w:w="0" w:type="auto"/>
            <w:hideMark/>
          </w:tcPr>
          <w:p w14:paraId="69E236B4" w14:textId="77777777" w:rsidR="00693029" w:rsidRPr="00426956" w:rsidRDefault="00693029" w:rsidP="00693029">
            <w:pPr>
              <w:spacing w:line="360" w:lineRule="auto"/>
              <w:ind w:right="-7"/>
              <w:jc w:val="both"/>
              <w:rPr>
                <w:rFonts w:ascii="Times New Roman" w:eastAsia="Times New Roman" w:hAnsi="Times New Roman" w:cs="Times New Roman"/>
                <w:color w:val="000000"/>
                <w:sz w:val="18"/>
                <w:szCs w:val="16"/>
                <w:lang w:bidi="ta-IN"/>
              </w:rPr>
            </w:pPr>
            <w:r w:rsidRPr="00426956">
              <w:rPr>
                <w:rFonts w:ascii="Times New Roman" w:eastAsia="Times New Roman" w:hAnsi="Times New Roman" w:cs="Times New Roman"/>
                <w:color w:val="000000"/>
                <w:sz w:val="18"/>
                <w:szCs w:val="16"/>
                <w:lang w:bidi="ta-IN"/>
              </w:rPr>
              <w:t>0.077 ± 0.001</w:t>
            </w:r>
          </w:p>
        </w:tc>
        <w:tc>
          <w:tcPr>
            <w:tcW w:w="0" w:type="auto"/>
            <w:hideMark/>
          </w:tcPr>
          <w:p w14:paraId="265998A5" w14:textId="77777777" w:rsidR="00693029" w:rsidRPr="00426956" w:rsidRDefault="00693029" w:rsidP="00693029">
            <w:pPr>
              <w:spacing w:line="360" w:lineRule="auto"/>
              <w:ind w:right="-7"/>
              <w:jc w:val="both"/>
              <w:rPr>
                <w:rFonts w:ascii="Times New Roman" w:eastAsia="Times New Roman" w:hAnsi="Times New Roman" w:cs="Times New Roman"/>
                <w:color w:val="000000"/>
                <w:sz w:val="18"/>
                <w:szCs w:val="16"/>
                <w:lang w:bidi="ta-IN"/>
              </w:rPr>
            </w:pPr>
            <w:r w:rsidRPr="00426956">
              <w:rPr>
                <w:rFonts w:ascii="Times New Roman" w:eastAsia="Times New Roman" w:hAnsi="Times New Roman" w:cs="Times New Roman"/>
                <w:color w:val="000000"/>
                <w:sz w:val="18"/>
                <w:szCs w:val="16"/>
                <w:lang w:bidi="ta-IN"/>
              </w:rPr>
              <w:t>10ⁱ</w:t>
            </w:r>
          </w:p>
        </w:tc>
      </w:tr>
      <w:tr w:rsidR="00693029" w:rsidRPr="00426956" w14:paraId="4088956A" w14:textId="77777777" w:rsidTr="00426956">
        <w:tc>
          <w:tcPr>
            <w:tcW w:w="0" w:type="auto"/>
            <w:hideMark/>
          </w:tcPr>
          <w:p w14:paraId="315995B0" w14:textId="77777777" w:rsidR="00693029" w:rsidRPr="00426956" w:rsidRDefault="00693029" w:rsidP="00693029">
            <w:pPr>
              <w:spacing w:line="360" w:lineRule="auto"/>
              <w:ind w:right="-7"/>
              <w:jc w:val="both"/>
              <w:rPr>
                <w:rFonts w:ascii="Times New Roman" w:eastAsia="Times New Roman" w:hAnsi="Times New Roman" w:cs="Times New Roman"/>
                <w:color w:val="000000"/>
                <w:sz w:val="18"/>
                <w:szCs w:val="16"/>
                <w:lang w:bidi="ta-IN"/>
              </w:rPr>
            </w:pPr>
            <w:r w:rsidRPr="00426956">
              <w:rPr>
                <w:rFonts w:ascii="Times New Roman" w:eastAsia="Times New Roman" w:hAnsi="Times New Roman" w:cs="Times New Roman"/>
                <w:color w:val="000000"/>
                <w:sz w:val="18"/>
                <w:szCs w:val="16"/>
                <w:lang w:bidi="ta-IN"/>
              </w:rPr>
              <w:t>100</w:t>
            </w:r>
          </w:p>
        </w:tc>
        <w:tc>
          <w:tcPr>
            <w:tcW w:w="0" w:type="auto"/>
            <w:hideMark/>
          </w:tcPr>
          <w:p w14:paraId="54D05468" w14:textId="77777777" w:rsidR="00693029" w:rsidRPr="00426956" w:rsidRDefault="00693029" w:rsidP="00693029">
            <w:pPr>
              <w:spacing w:line="360" w:lineRule="auto"/>
              <w:ind w:right="-7"/>
              <w:jc w:val="both"/>
              <w:rPr>
                <w:rFonts w:ascii="Times New Roman" w:eastAsia="Times New Roman" w:hAnsi="Times New Roman" w:cs="Times New Roman"/>
                <w:color w:val="000000"/>
                <w:sz w:val="18"/>
                <w:szCs w:val="16"/>
                <w:lang w:bidi="ta-IN"/>
              </w:rPr>
            </w:pPr>
            <w:r w:rsidRPr="00426956">
              <w:rPr>
                <w:rFonts w:ascii="Times New Roman" w:eastAsia="Times New Roman" w:hAnsi="Times New Roman" w:cs="Times New Roman"/>
                <w:color w:val="000000"/>
                <w:sz w:val="18"/>
                <w:szCs w:val="16"/>
                <w:lang w:bidi="ta-IN"/>
              </w:rPr>
              <w:t>0.017 ± 0.003</w:t>
            </w:r>
          </w:p>
        </w:tc>
        <w:tc>
          <w:tcPr>
            <w:tcW w:w="0" w:type="auto"/>
            <w:hideMark/>
          </w:tcPr>
          <w:p w14:paraId="574300F5" w14:textId="77777777" w:rsidR="00693029" w:rsidRPr="00426956" w:rsidRDefault="00693029" w:rsidP="00693029">
            <w:pPr>
              <w:spacing w:line="360" w:lineRule="auto"/>
              <w:ind w:right="-7"/>
              <w:jc w:val="both"/>
              <w:rPr>
                <w:rFonts w:ascii="Times New Roman" w:eastAsia="Times New Roman" w:hAnsi="Times New Roman" w:cs="Times New Roman"/>
                <w:color w:val="000000"/>
                <w:sz w:val="18"/>
                <w:szCs w:val="16"/>
                <w:lang w:bidi="ta-IN"/>
              </w:rPr>
            </w:pPr>
            <w:r w:rsidRPr="00426956">
              <w:rPr>
                <w:rFonts w:ascii="Times New Roman" w:eastAsia="Times New Roman" w:hAnsi="Times New Roman" w:cs="Times New Roman"/>
                <w:color w:val="000000"/>
                <w:sz w:val="18"/>
                <w:szCs w:val="16"/>
                <w:lang w:bidi="ta-IN"/>
              </w:rPr>
              <w:t>2ʲ</w:t>
            </w:r>
          </w:p>
        </w:tc>
      </w:tr>
      <w:tr w:rsidR="00426956" w:rsidRPr="00426956" w14:paraId="63ECF9CC" w14:textId="77777777" w:rsidTr="00F948AF">
        <w:tc>
          <w:tcPr>
            <w:tcW w:w="0" w:type="auto"/>
            <w:gridSpan w:val="3"/>
          </w:tcPr>
          <w:p w14:paraId="52D8D840" w14:textId="77777777" w:rsidR="00426956" w:rsidRPr="00426956" w:rsidRDefault="00426956" w:rsidP="00693029">
            <w:pPr>
              <w:spacing w:line="360" w:lineRule="auto"/>
              <w:ind w:right="-7"/>
              <w:jc w:val="both"/>
              <w:rPr>
                <w:rFonts w:ascii="Times New Roman" w:eastAsia="Times New Roman" w:hAnsi="Times New Roman" w:cs="Times New Roman"/>
                <w:color w:val="000000"/>
                <w:sz w:val="18"/>
                <w:szCs w:val="18"/>
                <w:lang w:bidi="ta-IN"/>
              </w:rPr>
            </w:pPr>
            <w:r w:rsidRPr="00426956">
              <w:rPr>
                <w:rStyle w:val="Strong"/>
                <w:rFonts w:ascii="Times New Roman" w:hAnsi="Times New Roman" w:cs="Times New Roman"/>
                <w:sz w:val="18"/>
                <w:szCs w:val="18"/>
              </w:rPr>
              <w:t>IC₅₀ value of ECA:</w:t>
            </w:r>
            <w:r w:rsidRPr="00426956">
              <w:rPr>
                <w:rFonts w:ascii="Times New Roman" w:hAnsi="Times New Roman" w:cs="Times New Roman"/>
                <w:sz w:val="18"/>
                <w:szCs w:val="18"/>
              </w:rPr>
              <w:t xml:space="preserve"> </w:t>
            </w:r>
            <w:r>
              <w:rPr>
                <w:rFonts w:ascii="Times New Roman" w:eastAsia="Times New Roman" w:hAnsi="Times New Roman" w:cs="Times New Roman"/>
                <w:color w:val="000000"/>
                <w:sz w:val="18"/>
                <w:szCs w:val="18"/>
                <w:lang w:bidi="ta-IN"/>
              </w:rPr>
              <w:t xml:space="preserve"> </w:t>
            </w:r>
            <w:r w:rsidRPr="00426956">
              <w:rPr>
                <w:rFonts w:ascii="Times New Roman" w:hAnsi="Times New Roman" w:cs="Times New Roman"/>
                <w:sz w:val="18"/>
                <w:szCs w:val="18"/>
              </w:rPr>
              <w:t>48.18 µg/mL</w:t>
            </w:r>
          </w:p>
        </w:tc>
      </w:tr>
    </w:tbl>
    <w:p w14:paraId="1537EC31" w14:textId="77777777" w:rsidR="002227A2" w:rsidRPr="00693029" w:rsidRDefault="002227A2" w:rsidP="002227A2">
      <w:pPr>
        <w:rPr>
          <w:rFonts w:ascii="Times New Roman" w:eastAsia="Times New Roman" w:hAnsi="Times New Roman" w:cs="Times New Roman"/>
          <w:i/>
          <w:iCs/>
          <w:sz w:val="18"/>
          <w:szCs w:val="18"/>
          <w:lang w:bidi="ta-IN"/>
        </w:rPr>
      </w:pPr>
      <w:r w:rsidRPr="00693029">
        <w:rPr>
          <w:rFonts w:ascii="Times New Roman" w:eastAsia="Times New Roman" w:hAnsi="Times New Roman" w:cs="Times New Roman"/>
          <w:i/>
          <w:iCs/>
          <w:sz w:val="18"/>
          <w:szCs w:val="18"/>
          <w:lang w:bidi="ta-IN"/>
        </w:rPr>
        <w:t>Data are expressed as mean ± SD (n = 3). a &lt; b &lt; c &lt; d &lt; e &lt; f &lt; g &lt; h</w:t>
      </w:r>
    </w:p>
    <w:p w14:paraId="1D6CC88E" w14:textId="77777777" w:rsidR="00693029" w:rsidRDefault="002227A2" w:rsidP="00693029">
      <w:pPr>
        <w:spacing w:line="360" w:lineRule="auto"/>
        <w:rPr>
          <w:rFonts w:ascii="Times New Roman" w:eastAsia="Times New Roman" w:hAnsi="Times New Roman" w:cs="Times New Roman"/>
          <w:i/>
          <w:iCs/>
          <w:sz w:val="18"/>
          <w:szCs w:val="18"/>
          <w:lang w:bidi="ta-IN"/>
        </w:rPr>
      </w:pPr>
      <w:r w:rsidRPr="00693029">
        <w:rPr>
          <w:rFonts w:ascii="Times New Roman" w:eastAsia="Times New Roman" w:hAnsi="Times New Roman" w:cs="Times New Roman"/>
          <w:i/>
          <w:iCs/>
          <w:sz w:val="18"/>
          <w:szCs w:val="18"/>
          <w:lang w:bidi="ta-IN"/>
        </w:rPr>
        <w:t xml:space="preserve">One-way ANOVA revealed a statistically significant concentration-dependent reduction in </w:t>
      </w:r>
      <w:r w:rsidRPr="00693029">
        <w:rPr>
          <w:rFonts w:ascii="Times New Roman" w:eastAsia="Times New Roman" w:hAnsi="Times New Roman" w:cs="Times New Roman"/>
          <w:i/>
          <w:iCs/>
          <w:sz w:val="18"/>
          <w:szCs w:val="18"/>
          <w:lang w:bidi="ta-IN"/>
        </w:rPr>
        <w:br/>
        <w:t>THP-1 cell viability (p &lt; 0.001). Groups sharing the same letter are not significantly different.</w:t>
      </w:r>
    </w:p>
    <w:p w14:paraId="4A017C4D" w14:textId="77777777" w:rsidR="00E63F11" w:rsidRDefault="00E63F11" w:rsidP="00693029">
      <w:pPr>
        <w:spacing w:line="360" w:lineRule="auto"/>
        <w:rPr>
          <w:rFonts w:ascii="Times New Roman" w:eastAsia="Times New Roman" w:hAnsi="Times New Roman" w:cs="Times New Roman"/>
          <w:b/>
          <w:bCs/>
          <w:sz w:val="24"/>
          <w:lang w:bidi="ta-IN"/>
        </w:rPr>
      </w:pPr>
    </w:p>
    <w:p w14:paraId="360A63C0" w14:textId="77777777" w:rsidR="00E63F11" w:rsidRDefault="00E63F11" w:rsidP="00693029">
      <w:pPr>
        <w:spacing w:line="360" w:lineRule="auto"/>
        <w:rPr>
          <w:rFonts w:ascii="Times New Roman" w:eastAsia="Times New Roman" w:hAnsi="Times New Roman" w:cs="Times New Roman"/>
          <w:b/>
          <w:bCs/>
          <w:sz w:val="24"/>
          <w:lang w:bidi="ta-IN"/>
        </w:rPr>
      </w:pPr>
    </w:p>
    <w:p w14:paraId="47A1850E" w14:textId="77777777" w:rsidR="00E63F11" w:rsidRDefault="00E63F11" w:rsidP="00693029">
      <w:pPr>
        <w:spacing w:line="360" w:lineRule="auto"/>
        <w:rPr>
          <w:rFonts w:ascii="Times New Roman" w:eastAsia="Times New Roman" w:hAnsi="Times New Roman" w:cs="Times New Roman"/>
          <w:b/>
          <w:bCs/>
          <w:sz w:val="24"/>
          <w:lang w:bidi="ta-IN"/>
        </w:rPr>
      </w:pPr>
    </w:p>
    <w:p w14:paraId="1A7A4ECB" w14:textId="77777777" w:rsidR="00E63F11" w:rsidRDefault="00E63F11" w:rsidP="00693029">
      <w:pPr>
        <w:spacing w:line="360" w:lineRule="auto"/>
        <w:rPr>
          <w:rFonts w:ascii="Times New Roman" w:eastAsia="Times New Roman" w:hAnsi="Times New Roman" w:cs="Times New Roman"/>
          <w:b/>
          <w:bCs/>
          <w:sz w:val="24"/>
          <w:lang w:bidi="ta-IN"/>
        </w:rPr>
      </w:pPr>
    </w:p>
    <w:p w14:paraId="612D7A04" w14:textId="77777777" w:rsidR="00E63F11" w:rsidRDefault="00E63F11" w:rsidP="00693029">
      <w:pPr>
        <w:spacing w:line="360" w:lineRule="auto"/>
        <w:rPr>
          <w:rFonts w:ascii="Times New Roman" w:eastAsia="Times New Roman" w:hAnsi="Times New Roman" w:cs="Times New Roman"/>
          <w:b/>
          <w:bCs/>
          <w:sz w:val="24"/>
          <w:lang w:bidi="ta-IN"/>
        </w:rPr>
      </w:pPr>
    </w:p>
    <w:p w14:paraId="71569E43" w14:textId="77777777" w:rsidR="00426956" w:rsidRDefault="002227A2" w:rsidP="00693029">
      <w:pPr>
        <w:spacing w:line="360" w:lineRule="auto"/>
        <w:rPr>
          <w:rFonts w:ascii="Times New Roman" w:eastAsia="Times New Roman" w:hAnsi="Times New Roman" w:cs="Times New Roman"/>
          <w:b/>
          <w:bCs/>
          <w:noProof/>
          <w:sz w:val="24"/>
          <w:lang w:bidi="ta-IN"/>
        </w:rPr>
      </w:pPr>
      <w:r>
        <w:rPr>
          <w:rFonts w:ascii="Times New Roman" w:eastAsia="Times New Roman" w:hAnsi="Times New Roman" w:cs="Times New Roman"/>
          <w:b/>
          <w:bCs/>
          <w:sz w:val="24"/>
          <w:lang w:bidi="ta-IN"/>
        </w:rPr>
        <w:lastRenderedPageBreak/>
        <w:t>Figure-2.</w:t>
      </w:r>
      <w:r w:rsidRPr="00C37268">
        <w:rPr>
          <w:rFonts w:ascii="Times New Roman" w:eastAsia="Times New Roman" w:hAnsi="Times New Roman" w:cs="Times New Roman"/>
          <w:b/>
          <w:bCs/>
          <w:sz w:val="24"/>
          <w:lang w:bidi="ta-IN"/>
        </w:rPr>
        <w:t xml:space="preserve"> Dose-response curve of ECA on</w:t>
      </w:r>
      <w:r w:rsidR="00426956" w:rsidRPr="00426956">
        <w:rPr>
          <w:rFonts w:ascii="Times New Roman" w:eastAsia="Times New Roman" w:hAnsi="Times New Roman" w:cs="Times New Roman"/>
          <w:b/>
          <w:bCs/>
          <w:sz w:val="24"/>
          <w:lang w:bidi="ta-IN"/>
        </w:rPr>
        <w:t xml:space="preserve"> </w:t>
      </w:r>
      <w:r w:rsidR="00426956" w:rsidRPr="00C37268">
        <w:rPr>
          <w:rFonts w:ascii="Times New Roman" w:eastAsia="Times New Roman" w:hAnsi="Times New Roman" w:cs="Times New Roman"/>
          <w:b/>
          <w:bCs/>
          <w:sz w:val="24"/>
          <w:lang w:bidi="ta-IN"/>
        </w:rPr>
        <w:t>THP-1 cells</w:t>
      </w:r>
    </w:p>
    <w:p w14:paraId="230276C3" w14:textId="77777777" w:rsidR="002227A2" w:rsidRPr="00426956" w:rsidRDefault="00426956" w:rsidP="00426956">
      <w:pPr>
        <w:spacing w:line="360" w:lineRule="auto"/>
        <w:jc w:val="center"/>
        <w:rPr>
          <w:rFonts w:ascii="Times New Roman" w:eastAsia="Times New Roman" w:hAnsi="Times New Roman" w:cs="Times New Roman"/>
          <w:i/>
          <w:iCs/>
          <w:sz w:val="18"/>
          <w:szCs w:val="18"/>
          <w:lang w:bidi="ta-IN"/>
        </w:rPr>
      </w:pPr>
      <w:r>
        <w:rPr>
          <w:rFonts w:ascii="Times New Roman" w:eastAsia="Times New Roman" w:hAnsi="Times New Roman" w:cs="Times New Roman"/>
          <w:b/>
          <w:bCs/>
          <w:noProof/>
          <w:sz w:val="24"/>
          <w:lang w:bidi="ta-IN"/>
        </w:rPr>
        <w:drawing>
          <wp:inline distT="0" distB="0" distL="0" distR="0" wp14:anchorId="0C6B144B" wp14:editId="02F6474F">
            <wp:extent cx="3048000" cy="1866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1866900"/>
                    </a:xfrm>
                    <a:prstGeom prst="rect">
                      <a:avLst/>
                    </a:prstGeom>
                    <a:noFill/>
                  </pic:spPr>
                </pic:pic>
              </a:graphicData>
            </a:graphic>
          </wp:inline>
        </w:drawing>
      </w:r>
    </w:p>
    <w:p w14:paraId="3092EB96" w14:textId="77777777" w:rsidR="002227A2" w:rsidRPr="00786DA5" w:rsidRDefault="00786DA5" w:rsidP="002227A2">
      <w:pPr>
        <w:spacing w:after="0" w:line="360" w:lineRule="auto"/>
        <w:ind w:right="-7"/>
        <w:jc w:val="both"/>
        <w:rPr>
          <w:rFonts w:ascii="Times New Roman" w:eastAsia="Times New Roman" w:hAnsi="Times New Roman" w:cs="Times New Roman"/>
          <w:b/>
          <w:bCs/>
          <w:sz w:val="24"/>
          <w:lang w:bidi="ta-IN"/>
        </w:rPr>
      </w:pPr>
      <w:r w:rsidRPr="00786DA5">
        <w:rPr>
          <w:rFonts w:ascii="Times New Roman" w:eastAsia="Times New Roman" w:hAnsi="Times New Roman" w:cs="Times New Roman"/>
          <w:b/>
          <w:bCs/>
          <w:sz w:val="24"/>
          <w:lang w:bidi="ta-IN"/>
        </w:rPr>
        <w:t>3.1.3 Statistical Analysis</w:t>
      </w:r>
    </w:p>
    <w:p w14:paraId="0F649DAE" w14:textId="5FBE4592" w:rsidR="00786DA5" w:rsidRDefault="00786DA5" w:rsidP="00786DA5">
      <w:pPr>
        <w:spacing w:after="0" w:line="360" w:lineRule="auto"/>
        <w:ind w:right="-7" w:firstLine="720"/>
        <w:jc w:val="both"/>
        <w:rPr>
          <w:rFonts w:ascii="Times New Roman" w:eastAsia="Times New Roman" w:hAnsi="Times New Roman" w:cs="Times New Roman"/>
          <w:sz w:val="24"/>
          <w:lang w:bidi="ta-IN"/>
        </w:rPr>
      </w:pPr>
      <w:r w:rsidRPr="00786DA5">
        <w:rPr>
          <w:rFonts w:ascii="Times New Roman" w:eastAsia="Times New Roman" w:hAnsi="Times New Roman" w:cs="Times New Roman"/>
          <w:sz w:val="24"/>
          <w:lang w:bidi="ta-IN"/>
        </w:rPr>
        <w:t xml:space="preserve">Statistical analysis was performed using one-way analysis of variance (ANOVA) to evaluate the effect of different concentrations of </w:t>
      </w:r>
      <w:r>
        <w:rPr>
          <w:rFonts w:ascii="Times New Roman" w:eastAsia="Times New Roman" w:hAnsi="Times New Roman" w:cs="Times New Roman"/>
          <w:i/>
          <w:iCs/>
          <w:sz w:val="24"/>
          <w:lang w:bidi="ta-IN"/>
        </w:rPr>
        <w:t>D.</w:t>
      </w:r>
      <w:r w:rsidRPr="00786DA5">
        <w:rPr>
          <w:rFonts w:ascii="Times New Roman" w:eastAsia="Times New Roman" w:hAnsi="Times New Roman" w:cs="Times New Roman"/>
          <w:i/>
          <w:iCs/>
          <w:sz w:val="24"/>
          <w:lang w:bidi="ta-IN"/>
        </w:rPr>
        <w:t xml:space="preserve"> quercifolia</w:t>
      </w:r>
      <w:r w:rsidRPr="00786DA5">
        <w:rPr>
          <w:rFonts w:ascii="Times New Roman" w:eastAsia="Times New Roman" w:hAnsi="Times New Roman" w:cs="Times New Roman"/>
          <w:sz w:val="24"/>
          <w:lang w:bidi="ta-IN"/>
        </w:rPr>
        <w:t xml:space="preserve"> and </w:t>
      </w:r>
      <w:r>
        <w:rPr>
          <w:rFonts w:ascii="Times New Roman" w:eastAsia="Times New Roman" w:hAnsi="Times New Roman" w:cs="Times New Roman"/>
          <w:i/>
          <w:iCs/>
          <w:sz w:val="24"/>
          <w:lang w:bidi="ta-IN"/>
        </w:rPr>
        <w:t>C.</w:t>
      </w:r>
      <w:r w:rsidRPr="00786DA5">
        <w:rPr>
          <w:rFonts w:ascii="Times New Roman" w:eastAsia="Times New Roman" w:hAnsi="Times New Roman" w:cs="Times New Roman"/>
          <w:i/>
          <w:iCs/>
          <w:sz w:val="24"/>
          <w:lang w:bidi="ta-IN"/>
        </w:rPr>
        <w:t xml:space="preserve"> aeruginosa</w:t>
      </w:r>
      <w:r w:rsidRPr="00786DA5">
        <w:rPr>
          <w:rFonts w:ascii="Times New Roman" w:eastAsia="Times New Roman" w:hAnsi="Times New Roman" w:cs="Times New Roman"/>
          <w:sz w:val="24"/>
          <w:lang w:bidi="ta-IN"/>
        </w:rPr>
        <w:t xml:space="preserve"> extracts on THP-1 cell viability. The analysis revealed a significant concentration-dependent effect for both extracts (p &lt; 0.001). </w:t>
      </w:r>
      <w:r w:rsidR="00F34AD3" w:rsidRPr="00F34AD3">
        <w:rPr>
          <w:rFonts w:ascii="Times New Roman" w:eastAsia="Times New Roman" w:hAnsi="Times New Roman" w:cs="Times New Roman"/>
          <w:sz w:val="24"/>
          <w:highlight w:val="yellow"/>
          <w:lang w:bidi="ta-IN"/>
        </w:rPr>
        <w:t>Post-hoc multiple comparison analysis indicated that concentrations ≥30 µg/mL differed significantly from the control group, whereas 10 and 20 µg/mL did not show significant differences.</w:t>
      </w:r>
      <w:r w:rsidR="00F34AD3">
        <w:rPr>
          <w:rFonts w:ascii="Times New Roman" w:eastAsia="Times New Roman" w:hAnsi="Times New Roman" w:cs="Times New Roman"/>
          <w:sz w:val="24"/>
          <w:lang w:bidi="ta-IN"/>
        </w:rPr>
        <w:t xml:space="preserve"> </w:t>
      </w:r>
      <w:r w:rsidRPr="00786DA5">
        <w:rPr>
          <w:rFonts w:ascii="Times New Roman" w:eastAsia="Times New Roman" w:hAnsi="Times New Roman" w:cs="Times New Roman"/>
          <w:sz w:val="24"/>
          <w:lang w:bidi="ta-IN"/>
        </w:rPr>
        <w:t>Homogeneous subset grouping further demonstrated a stepwise reduction in cell viability with increasing extract concentrations for both extracts.</w:t>
      </w:r>
    </w:p>
    <w:p w14:paraId="2201DAEE" w14:textId="77777777" w:rsidR="00786DA5" w:rsidRPr="00786DA5" w:rsidRDefault="00786DA5" w:rsidP="00786DA5">
      <w:pPr>
        <w:spacing w:after="0" w:line="360" w:lineRule="auto"/>
        <w:ind w:right="-7" w:firstLine="720"/>
        <w:jc w:val="both"/>
        <w:rPr>
          <w:rFonts w:ascii="Times New Roman" w:eastAsia="Times New Roman" w:hAnsi="Times New Roman" w:cs="Times New Roman"/>
          <w:sz w:val="24"/>
          <w:lang w:bidi="ta-IN"/>
        </w:rPr>
      </w:pPr>
    </w:p>
    <w:p w14:paraId="3C389136" w14:textId="77777777" w:rsidR="002227A2" w:rsidRDefault="002227A2" w:rsidP="002227A2">
      <w:pPr>
        <w:spacing w:after="0" w:line="360" w:lineRule="auto"/>
        <w:ind w:right="-7"/>
        <w:jc w:val="both"/>
        <w:rPr>
          <w:rFonts w:ascii="Times New Roman" w:eastAsia="Times New Roman" w:hAnsi="Times New Roman" w:cs="Times New Roman"/>
          <w:b/>
          <w:bCs/>
          <w:sz w:val="24"/>
          <w:lang w:bidi="ta-IN"/>
        </w:rPr>
      </w:pPr>
      <w:r w:rsidRPr="00CD5B5E">
        <w:rPr>
          <w:rFonts w:ascii="Times New Roman" w:eastAsia="Times New Roman" w:hAnsi="Times New Roman" w:cs="Times New Roman"/>
          <w:b/>
          <w:bCs/>
          <w:sz w:val="24"/>
          <w:lang w:bidi="ta-IN"/>
        </w:rPr>
        <w:t>3</w:t>
      </w:r>
      <w:r>
        <w:rPr>
          <w:rFonts w:ascii="Times New Roman" w:eastAsia="Times New Roman" w:hAnsi="Times New Roman" w:cs="Times New Roman"/>
          <w:b/>
          <w:bCs/>
          <w:sz w:val="24"/>
          <w:lang w:bidi="ta-IN"/>
        </w:rPr>
        <w:t>.2</w:t>
      </w:r>
      <w:r w:rsidRPr="00CD5B5E">
        <w:rPr>
          <w:rFonts w:ascii="Times New Roman" w:eastAsia="Times New Roman" w:hAnsi="Times New Roman" w:cs="Times New Roman"/>
          <w:b/>
          <w:bCs/>
          <w:sz w:val="24"/>
          <w:lang w:bidi="ta-IN"/>
        </w:rPr>
        <w:t xml:space="preserve"> Morphological assessment of THP-1 cells</w:t>
      </w:r>
    </w:p>
    <w:p w14:paraId="612799A9" w14:textId="77777777" w:rsidR="002227A2" w:rsidRDefault="002227A2" w:rsidP="002227A2">
      <w:pPr>
        <w:spacing w:after="0" w:line="360" w:lineRule="auto"/>
        <w:ind w:right="-7"/>
        <w:jc w:val="both"/>
        <w:rPr>
          <w:rFonts w:ascii="Times New Roman" w:eastAsia="Times New Roman" w:hAnsi="Times New Roman" w:cs="Times New Roman"/>
          <w:sz w:val="24"/>
          <w:lang w:bidi="ta-IN"/>
        </w:rPr>
      </w:pPr>
      <w:r>
        <w:rPr>
          <w:rFonts w:ascii="Times New Roman" w:eastAsia="Times New Roman" w:hAnsi="Times New Roman" w:cs="Times New Roman"/>
          <w:b/>
          <w:bCs/>
          <w:sz w:val="24"/>
          <w:lang w:bidi="ta-IN"/>
        </w:rPr>
        <w:tab/>
      </w:r>
      <w:r w:rsidRPr="006A54B6">
        <w:rPr>
          <w:rFonts w:ascii="Times New Roman" w:eastAsia="Times New Roman" w:hAnsi="Times New Roman" w:cs="Times New Roman"/>
          <w:sz w:val="24"/>
          <w:lang w:bidi="ta-IN"/>
        </w:rPr>
        <w:t>Microscopic examination of non-induced THP-1 cells under bright-field microscopy</w:t>
      </w:r>
      <w:r>
        <w:rPr>
          <w:rFonts w:ascii="Times New Roman" w:eastAsia="Times New Roman" w:hAnsi="Times New Roman" w:cs="Times New Roman"/>
          <w:sz w:val="24"/>
          <w:lang w:bidi="ta-IN"/>
        </w:rPr>
        <w:t xml:space="preserve"> as shown in the figure 3.</w:t>
      </w:r>
      <w:r w:rsidRPr="006A54B6">
        <w:rPr>
          <w:rFonts w:ascii="Times New Roman" w:eastAsia="Times New Roman" w:hAnsi="Times New Roman" w:cs="Times New Roman"/>
          <w:sz w:val="24"/>
          <w:lang w:bidi="ta-IN"/>
        </w:rPr>
        <w:t xml:space="preserve"> (10× objective) revealed distinct morphological differences between control and extract-treated groups. Control cells exhibited normal cellular density and distribution, whereas cells treated with </w:t>
      </w:r>
      <w:r w:rsidRPr="006A54B6">
        <w:rPr>
          <w:rFonts w:ascii="Times New Roman" w:eastAsia="Times New Roman" w:hAnsi="Times New Roman" w:cs="Times New Roman"/>
          <w:i/>
          <w:iCs/>
          <w:sz w:val="24"/>
          <w:lang w:bidi="ta-IN"/>
        </w:rPr>
        <w:t>Drynaria quercifolia</w:t>
      </w:r>
      <w:r w:rsidR="004871CE">
        <w:rPr>
          <w:rFonts w:ascii="Times New Roman" w:eastAsia="Times New Roman" w:hAnsi="Times New Roman" w:cs="Times New Roman"/>
          <w:sz w:val="24"/>
          <w:lang w:bidi="ta-IN"/>
        </w:rPr>
        <w:t xml:space="preserve"> (EDQ</w:t>
      </w:r>
      <w:r w:rsidRPr="006A54B6">
        <w:rPr>
          <w:rFonts w:ascii="Times New Roman" w:eastAsia="Times New Roman" w:hAnsi="Times New Roman" w:cs="Times New Roman"/>
          <w:sz w:val="24"/>
          <w:lang w:bidi="ta-IN"/>
        </w:rPr>
        <w:t xml:space="preserve">) and </w:t>
      </w:r>
      <w:r w:rsidRPr="006A54B6">
        <w:rPr>
          <w:rFonts w:ascii="Times New Roman" w:eastAsia="Times New Roman" w:hAnsi="Times New Roman" w:cs="Times New Roman"/>
          <w:i/>
          <w:iCs/>
          <w:sz w:val="24"/>
          <w:lang w:bidi="ta-IN"/>
        </w:rPr>
        <w:t>Curcuma aeruginosa</w:t>
      </w:r>
      <w:r w:rsidRPr="006A54B6">
        <w:rPr>
          <w:rFonts w:ascii="Times New Roman" w:eastAsia="Times New Roman" w:hAnsi="Times New Roman" w:cs="Times New Roman"/>
          <w:sz w:val="24"/>
          <w:lang w:bidi="ta-IN"/>
        </w:rPr>
        <w:t xml:space="preserve"> (ECA) showed a noticeable reduction in cell density and increased cellular dispersion. These qualitative observations are consistent with the concentration-dependent reduction in cell viability observed in the MTT assay.</w:t>
      </w:r>
    </w:p>
    <w:p w14:paraId="28AED51B" w14:textId="77777777" w:rsidR="00E63F11" w:rsidRDefault="00E63F11" w:rsidP="002227A2">
      <w:pPr>
        <w:spacing w:after="0" w:line="360" w:lineRule="auto"/>
        <w:ind w:right="-7" w:firstLine="720"/>
        <w:jc w:val="both"/>
        <w:rPr>
          <w:rFonts w:ascii="Times New Roman" w:eastAsia="Times New Roman" w:hAnsi="Times New Roman" w:cs="Times New Roman"/>
          <w:b/>
          <w:bCs/>
          <w:color w:val="000000"/>
          <w:sz w:val="24"/>
          <w:lang w:bidi="ta-IN"/>
        </w:rPr>
      </w:pPr>
    </w:p>
    <w:p w14:paraId="563224A1" w14:textId="77777777" w:rsidR="00E63F11" w:rsidRDefault="00E63F11" w:rsidP="002227A2">
      <w:pPr>
        <w:spacing w:after="0" w:line="360" w:lineRule="auto"/>
        <w:ind w:right="-7" w:firstLine="720"/>
        <w:jc w:val="both"/>
        <w:rPr>
          <w:rFonts w:ascii="Times New Roman" w:eastAsia="Times New Roman" w:hAnsi="Times New Roman" w:cs="Times New Roman"/>
          <w:b/>
          <w:bCs/>
          <w:color w:val="000000"/>
          <w:sz w:val="24"/>
          <w:lang w:bidi="ta-IN"/>
        </w:rPr>
      </w:pPr>
    </w:p>
    <w:p w14:paraId="5CB41AB0" w14:textId="77777777" w:rsidR="00E63F11" w:rsidRDefault="00E63F11" w:rsidP="002227A2">
      <w:pPr>
        <w:spacing w:after="0" w:line="360" w:lineRule="auto"/>
        <w:ind w:right="-7" w:firstLine="720"/>
        <w:jc w:val="both"/>
        <w:rPr>
          <w:rFonts w:ascii="Times New Roman" w:eastAsia="Times New Roman" w:hAnsi="Times New Roman" w:cs="Times New Roman"/>
          <w:b/>
          <w:bCs/>
          <w:color w:val="000000"/>
          <w:sz w:val="24"/>
          <w:lang w:bidi="ta-IN"/>
        </w:rPr>
      </w:pPr>
    </w:p>
    <w:p w14:paraId="0470C8DA" w14:textId="77777777" w:rsidR="00E63F11" w:rsidRDefault="00E63F11" w:rsidP="002227A2">
      <w:pPr>
        <w:spacing w:after="0" w:line="360" w:lineRule="auto"/>
        <w:ind w:right="-7" w:firstLine="720"/>
        <w:jc w:val="both"/>
        <w:rPr>
          <w:rFonts w:ascii="Times New Roman" w:eastAsia="Times New Roman" w:hAnsi="Times New Roman" w:cs="Times New Roman"/>
          <w:b/>
          <w:bCs/>
          <w:color w:val="000000"/>
          <w:sz w:val="24"/>
          <w:lang w:bidi="ta-IN"/>
        </w:rPr>
      </w:pPr>
    </w:p>
    <w:p w14:paraId="473EC874" w14:textId="77777777" w:rsidR="002227A2" w:rsidRPr="006A54B6" w:rsidRDefault="002227A2" w:rsidP="002227A2">
      <w:pPr>
        <w:spacing w:after="0" w:line="360" w:lineRule="auto"/>
        <w:ind w:right="-7" w:firstLine="720"/>
        <w:jc w:val="both"/>
        <w:rPr>
          <w:rFonts w:ascii="Times New Roman" w:eastAsia="Times New Roman" w:hAnsi="Times New Roman" w:cs="Times New Roman"/>
          <w:b/>
          <w:bCs/>
          <w:color w:val="000000"/>
          <w:sz w:val="24"/>
          <w:lang w:bidi="ta-IN"/>
        </w:rPr>
      </w:pPr>
      <w:r w:rsidRPr="006A54B6">
        <w:rPr>
          <w:rFonts w:ascii="Times New Roman" w:eastAsia="Times New Roman" w:hAnsi="Times New Roman" w:cs="Times New Roman"/>
          <w:b/>
          <w:bCs/>
          <w:color w:val="000000"/>
          <w:sz w:val="24"/>
          <w:lang w:bidi="ta-IN"/>
        </w:rPr>
        <w:lastRenderedPageBreak/>
        <w:t>Fig</w:t>
      </w:r>
      <w:r>
        <w:rPr>
          <w:rFonts w:ascii="Times New Roman" w:eastAsia="Times New Roman" w:hAnsi="Times New Roman" w:cs="Times New Roman"/>
          <w:b/>
          <w:bCs/>
          <w:color w:val="000000"/>
          <w:sz w:val="24"/>
          <w:lang w:bidi="ta-IN"/>
        </w:rPr>
        <w:t>ure-3</w:t>
      </w:r>
      <w:r w:rsidRPr="006A54B6">
        <w:rPr>
          <w:rFonts w:ascii="Times New Roman" w:eastAsia="Times New Roman" w:hAnsi="Times New Roman" w:cs="Times New Roman"/>
          <w:b/>
          <w:bCs/>
          <w:color w:val="000000"/>
          <w:sz w:val="24"/>
          <w:lang w:bidi="ta-IN"/>
        </w:rPr>
        <w:t>. Morphological changes in non-induced THP-1 cells following treatment with ethanolic rhizome extracts</w:t>
      </w:r>
    </w:p>
    <w:p w14:paraId="4E9CDEBC" w14:textId="77777777" w:rsidR="002227A2" w:rsidRDefault="002227A2" w:rsidP="002227A2">
      <w:pPr>
        <w:spacing w:after="0" w:line="360" w:lineRule="auto"/>
        <w:ind w:right="-7" w:firstLine="720"/>
        <w:jc w:val="both"/>
        <w:rPr>
          <w:rFonts w:ascii="Times New Roman" w:eastAsia="Times New Roman" w:hAnsi="Times New Roman" w:cs="Times New Roman"/>
          <w:color w:val="000000"/>
          <w:sz w:val="24"/>
          <w:lang w:bidi="ta-IN"/>
        </w:rPr>
      </w:pPr>
    </w:p>
    <w:p w14:paraId="7319AEE8" w14:textId="77777777" w:rsidR="002227A2" w:rsidRPr="00C37268" w:rsidRDefault="002227A2" w:rsidP="00426956">
      <w:pPr>
        <w:spacing w:after="0" w:line="360" w:lineRule="auto"/>
        <w:ind w:right="-7" w:firstLine="284"/>
        <w:jc w:val="both"/>
        <w:rPr>
          <w:rFonts w:ascii="Times New Roman" w:eastAsia="Times New Roman" w:hAnsi="Times New Roman" w:cs="Times New Roman"/>
          <w:color w:val="000000"/>
          <w:sz w:val="24"/>
          <w:lang w:bidi="ta-IN"/>
        </w:rPr>
      </w:pPr>
      <w:r>
        <w:rPr>
          <w:rFonts w:ascii="Times New Roman" w:eastAsia="Times New Roman" w:hAnsi="Times New Roman" w:cs="Times New Roman"/>
          <w:noProof/>
          <w:color w:val="000000"/>
          <w:sz w:val="24"/>
          <w:lang w:bidi="ta-IN"/>
        </w:rPr>
        <w:drawing>
          <wp:inline distT="0" distB="0" distL="0" distR="0" wp14:anchorId="4C710233" wp14:editId="266E4B40">
            <wp:extent cx="5596162" cy="1702958"/>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03468" cy="1735612"/>
                    </a:xfrm>
                    <a:prstGeom prst="rect">
                      <a:avLst/>
                    </a:prstGeom>
                    <a:noFill/>
                  </pic:spPr>
                </pic:pic>
              </a:graphicData>
            </a:graphic>
          </wp:inline>
        </w:drawing>
      </w:r>
    </w:p>
    <w:p w14:paraId="3B57E79A" w14:textId="598617B4" w:rsidR="002227A2" w:rsidRPr="00426956" w:rsidRDefault="002227A2" w:rsidP="002227A2">
      <w:pPr>
        <w:spacing w:after="0" w:line="360" w:lineRule="auto"/>
        <w:ind w:right="-7" w:firstLine="720"/>
        <w:jc w:val="both"/>
        <w:rPr>
          <w:rFonts w:ascii="Times New Roman" w:eastAsia="Times New Roman" w:hAnsi="Times New Roman" w:cs="Times New Roman"/>
          <w:color w:val="000000"/>
          <w:sz w:val="18"/>
          <w:szCs w:val="16"/>
          <w:lang w:bidi="ta-IN"/>
        </w:rPr>
      </w:pPr>
      <w:r w:rsidRPr="00426956">
        <w:rPr>
          <w:rFonts w:ascii="Times New Roman" w:eastAsia="Times New Roman" w:hAnsi="Times New Roman" w:cs="Times New Roman"/>
          <w:color w:val="000000"/>
          <w:sz w:val="18"/>
          <w:szCs w:val="16"/>
          <w:lang w:bidi="ta-IN"/>
        </w:rPr>
        <w:t xml:space="preserve">Representative bright-field microscopic images of non-induced THP-1 cells showing (A) control, (B) treatment with </w:t>
      </w:r>
      <w:r w:rsidRPr="00100DEB">
        <w:rPr>
          <w:rFonts w:ascii="Times New Roman" w:eastAsia="Times New Roman" w:hAnsi="Times New Roman" w:cs="Times New Roman"/>
          <w:i/>
          <w:iCs/>
          <w:color w:val="000000"/>
          <w:sz w:val="18"/>
          <w:szCs w:val="16"/>
          <w:highlight w:val="yellow"/>
          <w:lang w:bidi="ta-IN"/>
        </w:rPr>
        <w:t>Drynaria quercifolia</w:t>
      </w:r>
      <w:r w:rsidRPr="00100DEB">
        <w:rPr>
          <w:rFonts w:ascii="Times New Roman" w:eastAsia="Times New Roman" w:hAnsi="Times New Roman" w:cs="Times New Roman"/>
          <w:color w:val="000000"/>
          <w:sz w:val="18"/>
          <w:szCs w:val="16"/>
          <w:highlight w:val="yellow"/>
          <w:lang w:bidi="ta-IN"/>
        </w:rPr>
        <w:t xml:space="preserve"> extract </w:t>
      </w:r>
      <w:r w:rsidR="00100DEB" w:rsidRPr="00100DEB">
        <w:rPr>
          <w:rFonts w:ascii="Times New Roman" w:eastAsia="Times New Roman" w:hAnsi="Times New Roman" w:cs="Times New Roman"/>
          <w:color w:val="000000"/>
          <w:sz w:val="18"/>
          <w:szCs w:val="16"/>
          <w:highlight w:val="yellow"/>
          <w:lang w:bidi="ta-IN"/>
        </w:rPr>
        <w:t xml:space="preserve">(20 µg/mL) </w:t>
      </w:r>
      <w:r w:rsidRPr="00100DEB">
        <w:rPr>
          <w:rFonts w:ascii="Times New Roman" w:eastAsia="Times New Roman" w:hAnsi="Times New Roman" w:cs="Times New Roman"/>
          <w:color w:val="000000"/>
          <w:sz w:val="18"/>
          <w:szCs w:val="16"/>
          <w:highlight w:val="yellow"/>
          <w:lang w:bidi="ta-IN"/>
        </w:rPr>
        <w:t>(EDQ</w:t>
      </w:r>
      <w:r w:rsidR="00B01B26" w:rsidRPr="00100DEB">
        <w:rPr>
          <w:rFonts w:ascii="Times New Roman" w:eastAsia="Times New Roman" w:hAnsi="Times New Roman" w:cs="Times New Roman"/>
          <w:color w:val="000000"/>
          <w:sz w:val="18"/>
          <w:szCs w:val="16"/>
          <w:highlight w:val="yellow"/>
          <w:lang w:bidi="ta-IN"/>
        </w:rPr>
        <w:t>)</w:t>
      </w:r>
      <w:r w:rsidRPr="00100DEB">
        <w:rPr>
          <w:rFonts w:ascii="Times New Roman" w:eastAsia="Times New Roman" w:hAnsi="Times New Roman" w:cs="Times New Roman"/>
          <w:color w:val="000000"/>
          <w:sz w:val="18"/>
          <w:szCs w:val="16"/>
          <w:highlight w:val="yellow"/>
          <w:lang w:bidi="ta-IN"/>
        </w:rPr>
        <w:t xml:space="preserve"> and (C) treatment with </w:t>
      </w:r>
      <w:r w:rsidRPr="00100DEB">
        <w:rPr>
          <w:rFonts w:ascii="Times New Roman" w:eastAsia="Times New Roman" w:hAnsi="Times New Roman" w:cs="Times New Roman"/>
          <w:i/>
          <w:iCs/>
          <w:color w:val="000000"/>
          <w:sz w:val="18"/>
          <w:szCs w:val="16"/>
          <w:highlight w:val="yellow"/>
          <w:lang w:bidi="ta-IN"/>
        </w:rPr>
        <w:t>Curcuma aeruginosa</w:t>
      </w:r>
      <w:r w:rsidRPr="00100DEB">
        <w:rPr>
          <w:rFonts w:ascii="Times New Roman" w:eastAsia="Times New Roman" w:hAnsi="Times New Roman" w:cs="Times New Roman"/>
          <w:color w:val="000000"/>
          <w:sz w:val="18"/>
          <w:szCs w:val="16"/>
          <w:highlight w:val="yellow"/>
          <w:lang w:bidi="ta-IN"/>
        </w:rPr>
        <w:t xml:space="preserve"> extract</w:t>
      </w:r>
      <w:r w:rsidR="00100DEB" w:rsidRPr="00100DEB">
        <w:rPr>
          <w:rFonts w:ascii="Times New Roman" w:eastAsia="Times New Roman" w:hAnsi="Times New Roman" w:cs="Times New Roman"/>
          <w:color w:val="000000"/>
          <w:sz w:val="18"/>
          <w:szCs w:val="16"/>
          <w:highlight w:val="yellow"/>
          <w:lang w:bidi="ta-IN"/>
        </w:rPr>
        <w:t>(20 µg/mL)</w:t>
      </w:r>
      <w:r w:rsidR="00100DEB">
        <w:rPr>
          <w:rFonts w:ascii="Times New Roman" w:eastAsia="Times New Roman" w:hAnsi="Times New Roman" w:cs="Times New Roman"/>
          <w:color w:val="000000"/>
          <w:sz w:val="18"/>
          <w:szCs w:val="16"/>
          <w:lang w:bidi="ta-IN"/>
        </w:rPr>
        <w:t xml:space="preserve"> </w:t>
      </w:r>
      <w:r w:rsidRPr="00426956">
        <w:rPr>
          <w:rFonts w:ascii="Times New Roman" w:eastAsia="Times New Roman" w:hAnsi="Times New Roman" w:cs="Times New Roman"/>
          <w:color w:val="000000"/>
          <w:sz w:val="18"/>
          <w:szCs w:val="16"/>
          <w:lang w:bidi="ta-IN"/>
        </w:rPr>
        <w:t>(ECA).</w:t>
      </w:r>
      <w:r w:rsidRPr="00426956">
        <w:rPr>
          <w:sz w:val="16"/>
          <w:szCs w:val="16"/>
        </w:rPr>
        <w:t xml:space="preserve"> </w:t>
      </w:r>
      <w:r w:rsidRPr="00426956">
        <w:rPr>
          <w:rFonts w:ascii="Times New Roman" w:eastAsia="Times New Roman" w:hAnsi="Times New Roman" w:cs="Times New Roman"/>
          <w:color w:val="000000"/>
          <w:sz w:val="18"/>
          <w:szCs w:val="16"/>
          <w:lang w:bidi="ta-IN"/>
        </w:rPr>
        <w:t>Images were captured under low-magnification bright-field microscopy (10× objective).</w:t>
      </w:r>
      <w:r w:rsidR="00100DEB" w:rsidRPr="00100DEB">
        <w:t xml:space="preserve"> </w:t>
      </w:r>
    </w:p>
    <w:p w14:paraId="0848405E" w14:textId="77777777" w:rsidR="00100DEB" w:rsidRDefault="00100DEB" w:rsidP="002227A2">
      <w:pPr>
        <w:spacing w:after="0" w:line="360" w:lineRule="auto"/>
        <w:ind w:right="-7"/>
        <w:jc w:val="both"/>
        <w:rPr>
          <w:rFonts w:ascii="Times New Roman" w:eastAsia="Times New Roman" w:hAnsi="Times New Roman" w:cs="Times New Roman"/>
          <w:color w:val="000000"/>
          <w:sz w:val="24"/>
          <w:lang w:bidi="ta-IN"/>
        </w:rPr>
      </w:pPr>
    </w:p>
    <w:p w14:paraId="2DF176D1" w14:textId="77777777" w:rsidR="002227A2" w:rsidRDefault="00786DA5" w:rsidP="002227A2">
      <w:pPr>
        <w:spacing w:after="0" w:line="360" w:lineRule="auto"/>
        <w:ind w:right="-7"/>
        <w:jc w:val="both"/>
        <w:rPr>
          <w:rFonts w:ascii="Times New Roman" w:eastAsia="Times New Roman" w:hAnsi="Times New Roman" w:cs="Times New Roman"/>
          <w:b/>
          <w:bCs/>
          <w:color w:val="000000"/>
          <w:sz w:val="24"/>
          <w:lang w:bidi="ta-IN"/>
        </w:rPr>
      </w:pPr>
      <w:r>
        <w:rPr>
          <w:rFonts w:ascii="Times New Roman" w:eastAsia="Times New Roman" w:hAnsi="Times New Roman" w:cs="Times New Roman"/>
          <w:b/>
          <w:bCs/>
          <w:color w:val="000000"/>
          <w:sz w:val="24"/>
          <w:lang w:bidi="ta-IN"/>
        </w:rPr>
        <w:t>3.3</w:t>
      </w:r>
      <w:r w:rsidR="002227A2" w:rsidRPr="00307767">
        <w:rPr>
          <w:rFonts w:ascii="Times New Roman" w:eastAsia="Times New Roman" w:hAnsi="Times New Roman" w:cs="Times New Roman"/>
          <w:b/>
          <w:bCs/>
          <w:color w:val="000000"/>
          <w:sz w:val="24"/>
          <w:lang w:bidi="ta-IN"/>
        </w:rPr>
        <w:t xml:space="preserve"> Selection of Sub-Cytotoxic Concentration for Gene Expression Studies</w:t>
      </w:r>
    </w:p>
    <w:p w14:paraId="23680126" w14:textId="77777777" w:rsidR="002227A2" w:rsidRPr="004A39ED" w:rsidRDefault="002227A2" w:rsidP="002227A2">
      <w:pPr>
        <w:spacing w:after="443" w:line="360" w:lineRule="auto"/>
        <w:ind w:right="-7" w:firstLine="720"/>
        <w:jc w:val="both"/>
        <w:rPr>
          <w:rFonts w:ascii="Times New Roman" w:eastAsia="Times New Roman" w:hAnsi="Times New Roman" w:cs="Times New Roman"/>
          <w:color w:val="000000"/>
          <w:sz w:val="24"/>
          <w:lang w:bidi="ta-IN"/>
        </w:rPr>
      </w:pPr>
      <w:r w:rsidRPr="004A39ED">
        <w:rPr>
          <w:rFonts w:ascii="Times New Roman" w:eastAsia="Times New Roman" w:hAnsi="Times New Roman" w:cs="Times New Roman"/>
          <w:color w:val="000000"/>
          <w:sz w:val="24"/>
          <w:lang w:bidi="ta-IN"/>
        </w:rPr>
        <w:t xml:space="preserve">Based on the MTT assay, </w:t>
      </w:r>
      <w:r w:rsidR="00872556" w:rsidRPr="00872556">
        <w:rPr>
          <w:rFonts w:ascii="Times New Roman" w:eastAsia="Times New Roman" w:hAnsi="Times New Roman" w:cs="Times New Roman"/>
          <w:color w:val="000000"/>
          <w:sz w:val="24"/>
          <w:lang w:bidi="ta-IN"/>
        </w:rPr>
        <w:t>a sub-cytotoxic concentration below the IC₅₀ value that maintained approximately 75–80% cell viability</w:t>
      </w:r>
      <w:r w:rsidR="00872556">
        <w:rPr>
          <w:rFonts w:ascii="Times New Roman" w:eastAsia="Times New Roman" w:hAnsi="Times New Roman" w:cs="Times New Roman"/>
          <w:color w:val="000000"/>
          <w:sz w:val="24"/>
          <w:lang w:bidi="ta-IN"/>
        </w:rPr>
        <w:t xml:space="preserve"> </w:t>
      </w:r>
      <w:r w:rsidRPr="004A39ED">
        <w:rPr>
          <w:rFonts w:ascii="Times New Roman" w:eastAsia="Times New Roman" w:hAnsi="Times New Roman" w:cs="Times New Roman"/>
          <w:color w:val="000000"/>
          <w:sz w:val="24"/>
          <w:lang w:bidi="ta-IN"/>
        </w:rPr>
        <w:t xml:space="preserve">were considered suitable for downstream analysis. A </w:t>
      </w:r>
      <w:r w:rsidR="007A0D1E">
        <w:rPr>
          <w:rFonts w:ascii="Times New Roman" w:eastAsia="Times New Roman" w:hAnsi="Times New Roman" w:cs="Times New Roman"/>
          <w:color w:val="000000"/>
          <w:sz w:val="24"/>
          <w:lang w:bidi="ta-IN"/>
        </w:rPr>
        <w:t xml:space="preserve">sub-cytotoxic </w:t>
      </w:r>
      <w:r w:rsidRPr="004A39ED">
        <w:rPr>
          <w:rFonts w:ascii="Times New Roman" w:eastAsia="Times New Roman" w:hAnsi="Times New Roman" w:cs="Times New Roman"/>
          <w:color w:val="000000"/>
          <w:sz w:val="24"/>
          <w:lang w:bidi="ta-IN"/>
        </w:rPr>
        <w:t>concentration of 20 µg/mL, which preserved approximately 75–80% cell viability, was selected for gene-expression studies to minimize cytotoxic interference while allowing detection of transcriptional modulation.</w:t>
      </w:r>
    </w:p>
    <w:p w14:paraId="6800E4BF" w14:textId="77777777" w:rsidR="002227A2" w:rsidRDefault="00786DA5" w:rsidP="002227A2">
      <w:pPr>
        <w:spacing w:after="0" w:line="360" w:lineRule="auto"/>
        <w:ind w:right="-7"/>
        <w:jc w:val="both"/>
        <w:rPr>
          <w:rFonts w:ascii="Times New Roman" w:eastAsia="Times New Roman" w:hAnsi="Times New Roman" w:cs="Times New Roman"/>
          <w:b/>
          <w:bCs/>
          <w:color w:val="000000"/>
          <w:sz w:val="24"/>
          <w:lang w:bidi="ta-IN"/>
        </w:rPr>
      </w:pPr>
      <w:r>
        <w:rPr>
          <w:rFonts w:ascii="Times New Roman" w:eastAsia="Times New Roman" w:hAnsi="Times New Roman" w:cs="Times New Roman"/>
          <w:b/>
          <w:bCs/>
          <w:color w:val="000000"/>
          <w:sz w:val="24"/>
          <w:lang w:bidi="ta-IN"/>
        </w:rPr>
        <w:t>3.4</w:t>
      </w:r>
      <w:r w:rsidR="002227A2" w:rsidRPr="00AF3D84">
        <w:rPr>
          <w:rFonts w:ascii="Times New Roman" w:eastAsia="Times New Roman" w:hAnsi="Times New Roman" w:cs="Times New Roman"/>
          <w:b/>
          <w:bCs/>
          <w:color w:val="000000"/>
          <w:sz w:val="24"/>
          <w:lang w:bidi="ta-IN"/>
        </w:rPr>
        <w:t xml:space="preserve"> Modulation of Inflammatory Gene Expression in Non-Induced THP-1 Cells</w:t>
      </w:r>
    </w:p>
    <w:p w14:paraId="05545A58" w14:textId="77777777" w:rsidR="002227A2" w:rsidRDefault="002227A2" w:rsidP="002227A2">
      <w:pPr>
        <w:spacing w:after="0" w:line="360" w:lineRule="auto"/>
        <w:ind w:right="-7"/>
        <w:jc w:val="both"/>
        <w:rPr>
          <w:rFonts w:ascii="Times New Roman" w:hAnsi="Times New Roman" w:cs="Times New Roman"/>
          <w:sz w:val="24"/>
          <w:szCs w:val="24"/>
        </w:rPr>
      </w:pPr>
      <w:r>
        <w:rPr>
          <w:rFonts w:ascii="Times New Roman" w:eastAsia="Times New Roman" w:hAnsi="Times New Roman" w:cs="Times New Roman"/>
          <w:color w:val="000000"/>
          <w:sz w:val="24"/>
          <w:lang w:bidi="ta-IN"/>
        </w:rPr>
        <w:tab/>
      </w:r>
      <w:r w:rsidRPr="00AF3D84">
        <w:rPr>
          <w:rFonts w:ascii="Times New Roman" w:eastAsia="Times New Roman" w:hAnsi="Times New Roman" w:cs="Times New Roman"/>
          <w:color w:val="000000"/>
          <w:sz w:val="24"/>
          <w:lang w:bidi="ta-IN"/>
        </w:rPr>
        <w:t xml:space="preserve">The transcriptional effects of </w:t>
      </w:r>
      <w:r w:rsidRPr="00AF3D84">
        <w:rPr>
          <w:rFonts w:ascii="Times New Roman" w:eastAsia="Times New Roman" w:hAnsi="Times New Roman" w:cs="Times New Roman"/>
          <w:i/>
          <w:iCs/>
          <w:color w:val="000000"/>
          <w:sz w:val="24"/>
          <w:lang w:bidi="ta-IN"/>
        </w:rPr>
        <w:t>Drynaria quercifolia</w:t>
      </w:r>
      <w:r w:rsidRPr="00AF3D84">
        <w:rPr>
          <w:rFonts w:ascii="Times New Roman" w:eastAsia="Times New Roman" w:hAnsi="Times New Roman" w:cs="Times New Roman"/>
          <w:color w:val="000000"/>
          <w:sz w:val="24"/>
          <w:lang w:bidi="ta-IN"/>
        </w:rPr>
        <w:t xml:space="preserve"> (EDQ) and </w:t>
      </w:r>
      <w:r w:rsidRPr="00AF3D84">
        <w:rPr>
          <w:rFonts w:ascii="Times New Roman" w:eastAsia="Times New Roman" w:hAnsi="Times New Roman" w:cs="Times New Roman"/>
          <w:i/>
          <w:iCs/>
          <w:color w:val="000000"/>
          <w:sz w:val="24"/>
          <w:lang w:bidi="ta-IN"/>
        </w:rPr>
        <w:t>Curcuma aeruginosa</w:t>
      </w:r>
      <w:r w:rsidRPr="00AF3D84">
        <w:rPr>
          <w:rFonts w:ascii="Times New Roman" w:eastAsia="Times New Roman" w:hAnsi="Times New Roman" w:cs="Times New Roman"/>
          <w:color w:val="000000"/>
          <w:sz w:val="24"/>
          <w:lang w:bidi="ta-IN"/>
        </w:rPr>
        <w:t xml:space="preserve"> (ECA) extracts on key inflammatory mediators were evaluated in non-induced THP-1 cells using </w:t>
      </w:r>
      <w:r>
        <w:rPr>
          <w:rFonts w:ascii="Times New Roman" w:eastAsia="Times New Roman" w:hAnsi="Times New Roman" w:cs="Times New Roman"/>
          <w:color w:val="000000"/>
          <w:sz w:val="24"/>
          <w:lang w:bidi="ta-IN"/>
        </w:rPr>
        <w:br/>
      </w:r>
      <w:r w:rsidRPr="00AF3D84">
        <w:rPr>
          <w:rFonts w:ascii="Times New Roman" w:eastAsia="Times New Roman" w:hAnsi="Times New Roman" w:cs="Times New Roman"/>
          <w:color w:val="000000"/>
          <w:sz w:val="24"/>
          <w:lang w:bidi="ta-IN"/>
        </w:rPr>
        <w:t>RT-qPCR. Gene expression levels of TNF-α, COX-2, IL-6, and iNOS were quantified and normalized against the housekeeping gene GAPDH. Relative gene expression was calculated using the 2⁻ΔΔCt method, with untreated cells serving as the control.</w:t>
      </w:r>
      <w:r w:rsidRPr="00E8021F">
        <w:t xml:space="preserve"> </w:t>
      </w:r>
      <w:r w:rsidRPr="00AB08EE">
        <w:rPr>
          <w:rFonts w:ascii="Times New Roman" w:hAnsi="Times New Roman" w:cs="Times New Roman"/>
          <w:sz w:val="24"/>
          <w:szCs w:val="24"/>
        </w:rPr>
        <w:t>Gene expression levels were expressed relative to untreated control cells (set as 1), allowing direct comparison of transcriptional responses following ECA and EDQ treatment.</w:t>
      </w:r>
    </w:p>
    <w:p w14:paraId="101A851D" w14:textId="77777777" w:rsidR="002227A2" w:rsidRPr="00AF3D84" w:rsidRDefault="00786DA5" w:rsidP="002227A2">
      <w:pPr>
        <w:spacing w:after="0" w:line="360" w:lineRule="auto"/>
        <w:ind w:right="-7"/>
        <w:jc w:val="both"/>
        <w:rPr>
          <w:rFonts w:ascii="Times New Roman" w:eastAsia="Times New Roman" w:hAnsi="Times New Roman" w:cs="Times New Roman"/>
          <w:b/>
          <w:bCs/>
          <w:color w:val="000000"/>
          <w:sz w:val="24"/>
          <w:lang w:bidi="ta-IN"/>
        </w:rPr>
      </w:pPr>
      <w:r>
        <w:rPr>
          <w:rFonts w:ascii="Times New Roman" w:eastAsia="Times New Roman" w:hAnsi="Times New Roman" w:cs="Times New Roman"/>
          <w:b/>
          <w:bCs/>
          <w:color w:val="000000"/>
          <w:sz w:val="24"/>
          <w:lang w:bidi="ta-IN"/>
        </w:rPr>
        <w:t>3.4.1</w:t>
      </w:r>
      <w:r w:rsidR="002227A2">
        <w:rPr>
          <w:rFonts w:ascii="Times New Roman" w:eastAsia="Times New Roman" w:hAnsi="Times New Roman" w:cs="Times New Roman"/>
          <w:b/>
          <w:bCs/>
          <w:color w:val="000000"/>
          <w:sz w:val="24"/>
          <w:lang w:bidi="ta-IN"/>
        </w:rPr>
        <w:t xml:space="preserve"> </w:t>
      </w:r>
      <w:r w:rsidR="002227A2" w:rsidRPr="00AF3D84">
        <w:rPr>
          <w:rFonts w:ascii="Times New Roman" w:eastAsia="Times New Roman" w:hAnsi="Times New Roman" w:cs="Times New Roman"/>
          <w:b/>
          <w:bCs/>
          <w:color w:val="000000"/>
          <w:sz w:val="24"/>
          <w:lang w:bidi="ta-IN"/>
        </w:rPr>
        <w:t xml:space="preserve">Effect of </w:t>
      </w:r>
      <w:r w:rsidR="002227A2" w:rsidRPr="00AF3D84">
        <w:rPr>
          <w:rFonts w:ascii="Times New Roman" w:eastAsia="Times New Roman" w:hAnsi="Times New Roman" w:cs="Times New Roman"/>
          <w:b/>
          <w:bCs/>
          <w:i/>
          <w:iCs/>
          <w:color w:val="000000"/>
          <w:sz w:val="24"/>
          <w:lang w:bidi="ta-IN"/>
        </w:rPr>
        <w:t>Drynaria quercifolia</w:t>
      </w:r>
      <w:r w:rsidR="002227A2" w:rsidRPr="00AF3D84">
        <w:rPr>
          <w:rFonts w:ascii="Times New Roman" w:eastAsia="Times New Roman" w:hAnsi="Times New Roman" w:cs="Times New Roman"/>
          <w:b/>
          <w:bCs/>
          <w:color w:val="000000"/>
          <w:sz w:val="24"/>
          <w:lang w:bidi="ta-IN"/>
        </w:rPr>
        <w:t xml:space="preserve"> (EDQ) on Inflammatory Gene Expression</w:t>
      </w:r>
    </w:p>
    <w:p w14:paraId="64716447" w14:textId="61ADC04E" w:rsidR="002227A2" w:rsidRPr="004C5E5C" w:rsidRDefault="002227A2" w:rsidP="002227A2">
      <w:pPr>
        <w:spacing w:after="0" w:line="360" w:lineRule="auto"/>
        <w:ind w:right="-7" w:firstLine="720"/>
        <w:jc w:val="both"/>
        <w:rPr>
          <w:rFonts w:ascii="Times New Roman" w:eastAsia="Times New Roman" w:hAnsi="Times New Roman" w:cs="Times New Roman"/>
          <w:color w:val="000000"/>
          <w:sz w:val="24"/>
          <w:lang w:bidi="ta-IN"/>
        </w:rPr>
      </w:pPr>
      <w:r w:rsidRPr="004C5E5C">
        <w:rPr>
          <w:rFonts w:ascii="Times New Roman" w:eastAsia="Times New Roman" w:hAnsi="Times New Roman" w:cs="Times New Roman"/>
          <w:color w:val="000000"/>
          <w:sz w:val="24"/>
          <w:lang w:bidi="ta-IN"/>
        </w:rPr>
        <w:t>EDQ treatment produced a more pronounced transcriptional response compared with</w:t>
      </w:r>
      <w:r w:rsidR="00786DA5">
        <w:rPr>
          <w:rFonts w:ascii="Times New Roman" w:eastAsia="Times New Roman" w:hAnsi="Times New Roman" w:cs="Times New Roman"/>
          <w:color w:val="000000"/>
          <w:sz w:val="24"/>
          <w:lang w:bidi="ta-IN"/>
        </w:rPr>
        <w:t xml:space="preserve"> ECA. As summarized in Table 4</w:t>
      </w:r>
      <w:r w:rsidRPr="004C5E5C">
        <w:rPr>
          <w:rFonts w:ascii="Times New Roman" w:eastAsia="Times New Roman" w:hAnsi="Times New Roman" w:cs="Times New Roman"/>
          <w:color w:val="000000"/>
          <w:sz w:val="24"/>
          <w:lang w:bidi="ta-IN"/>
        </w:rPr>
        <w:t xml:space="preserve">, TNF-α expression </w:t>
      </w:r>
      <w:r w:rsidR="00184D71">
        <w:rPr>
          <w:rFonts w:ascii="Times New Roman" w:eastAsia="Times New Roman" w:hAnsi="Times New Roman" w:cs="Times New Roman"/>
          <w:color w:val="000000"/>
          <w:sz w:val="24"/>
          <w:lang w:bidi="ta-IN"/>
        </w:rPr>
        <w:t xml:space="preserve">was </w:t>
      </w:r>
      <w:r w:rsidR="00184D71" w:rsidRPr="00184D71">
        <w:rPr>
          <w:rFonts w:ascii="Times New Roman" w:hAnsi="Times New Roman" w:cs="Times New Roman"/>
          <w:highlight w:val="yellow"/>
        </w:rPr>
        <w:t>markedly reduced relative to untreated controls</w:t>
      </w:r>
      <w:r w:rsidR="00184D71">
        <w:rPr>
          <w:rFonts w:ascii="Times New Roman" w:hAnsi="Times New Roman" w:cs="Times New Roman"/>
        </w:rPr>
        <w:t>,</w:t>
      </w:r>
      <w:r w:rsidR="00184D71">
        <w:t xml:space="preserve"> </w:t>
      </w:r>
      <w:r w:rsidRPr="004C5E5C">
        <w:rPr>
          <w:rFonts w:ascii="Times New Roman" w:eastAsia="Times New Roman" w:hAnsi="Times New Roman" w:cs="Times New Roman"/>
          <w:color w:val="000000"/>
          <w:sz w:val="24"/>
          <w:lang w:bidi="ta-IN"/>
        </w:rPr>
        <w:lastRenderedPageBreak/>
        <w:t>reaching approximately 3.7 × 10⁻⁶-fold relative to control cells. Likewise, COX-2 and IL-6 transcripts were strongly down-regulated to approximately 1.6 × 10⁻⁴-fold and 1.6 × 10⁻⁵-fold, respectively.</w:t>
      </w:r>
    </w:p>
    <w:p w14:paraId="6D20E137" w14:textId="2A6A1508" w:rsidR="002227A2" w:rsidRPr="004C5E5C" w:rsidRDefault="002227A2" w:rsidP="002227A2">
      <w:pPr>
        <w:spacing w:after="0" w:line="360" w:lineRule="auto"/>
        <w:ind w:right="-7" w:firstLine="720"/>
        <w:jc w:val="both"/>
        <w:rPr>
          <w:rFonts w:ascii="Times New Roman" w:eastAsia="Times New Roman" w:hAnsi="Times New Roman" w:cs="Times New Roman"/>
          <w:color w:val="000000"/>
          <w:sz w:val="24"/>
          <w:lang w:bidi="ta-IN"/>
        </w:rPr>
      </w:pPr>
      <w:r w:rsidRPr="004C5E5C">
        <w:rPr>
          <w:rFonts w:ascii="Times New Roman" w:eastAsia="Times New Roman" w:hAnsi="Times New Roman" w:cs="Times New Roman"/>
          <w:color w:val="000000"/>
          <w:sz w:val="24"/>
          <w:lang w:bidi="ta-IN"/>
        </w:rPr>
        <w:t>Notably,</w:t>
      </w:r>
      <w:r w:rsidR="00B10337" w:rsidRPr="00B10337">
        <w:t xml:space="preserve"> </w:t>
      </w:r>
      <w:r w:rsidR="00B10337" w:rsidRPr="00B10337">
        <w:rPr>
          <w:rFonts w:ascii="Times New Roman" w:eastAsia="Times New Roman" w:hAnsi="Times New Roman" w:cs="Times New Roman"/>
          <w:color w:val="000000"/>
          <w:sz w:val="24"/>
          <w:highlight w:val="yellow"/>
          <w:lang w:bidi="ta-IN"/>
        </w:rPr>
        <w:t>EDQ induced an increase in iNOS expression</w:t>
      </w:r>
      <w:r w:rsidRPr="004C5E5C">
        <w:rPr>
          <w:rFonts w:ascii="Times New Roman" w:eastAsia="Times New Roman" w:hAnsi="Times New Roman" w:cs="Times New Roman"/>
          <w:color w:val="000000"/>
          <w:sz w:val="24"/>
          <w:lang w:bidi="ta-IN"/>
        </w:rPr>
        <w:t xml:space="preserve">, with expression increasing by approximately 17-fold compared with control cells. </w:t>
      </w:r>
      <w:r w:rsidR="00B10337" w:rsidRPr="00B10337">
        <w:rPr>
          <w:rFonts w:ascii="Times New Roman" w:eastAsia="Times New Roman" w:hAnsi="Times New Roman" w:cs="Times New Roman"/>
          <w:color w:val="000000"/>
          <w:sz w:val="24"/>
          <w:highlight w:val="yellow"/>
          <w:lang w:bidi="ta-IN"/>
        </w:rPr>
        <w:t>These findings indicate differential modulation of inflammatory gene expression in non-induced THP-1</w:t>
      </w:r>
      <w:r w:rsidR="00B10337" w:rsidRPr="00B10337">
        <w:rPr>
          <w:rFonts w:ascii="Times New Roman" w:eastAsia="Times New Roman" w:hAnsi="Times New Roman" w:cs="Times New Roman"/>
          <w:color w:val="000000"/>
          <w:sz w:val="24"/>
          <w:lang w:bidi="ta-IN"/>
        </w:rPr>
        <w:t xml:space="preserve"> </w:t>
      </w:r>
    </w:p>
    <w:p w14:paraId="216CEAA0" w14:textId="77777777" w:rsidR="002227A2" w:rsidRPr="00AF3D84" w:rsidRDefault="00786DA5" w:rsidP="002227A2">
      <w:pPr>
        <w:spacing w:after="0" w:line="360" w:lineRule="auto"/>
        <w:ind w:right="-7" w:firstLine="720"/>
        <w:jc w:val="both"/>
        <w:rPr>
          <w:rFonts w:ascii="Times New Roman" w:eastAsia="Times New Roman" w:hAnsi="Times New Roman" w:cs="Times New Roman"/>
          <w:b/>
          <w:bCs/>
          <w:color w:val="000000"/>
          <w:sz w:val="24"/>
          <w:lang w:bidi="ta-IN"/>
        </w:rPr>
      </w:pPr>
      <w:r>
        <w:rPr>
          <w:rFonts w:ascii="Times New Roman" w:eastAsia="Times New Roman" w:hAnsi="Times New Roman" w:cs="Times New Roman"/>
          <w:b/>
          <w:bCs/>
          <w:color w:val="000000"/>
          <w:sz w:val="24"/>
          <w:lang w:bidi="ta-IN"/>
        </w:rPr>
        <w:t>Table 4</w:t>
      </w:r>
      <w:r w:rsidR="002227A2" w:rsidRPr="00AF3D84">
        <w:rPr>
          <w:rFonts w:ascii="Times New Roman" w:eastAsia="Times New Roman" w:hAnsi="Times New Roman" w:cs="Times New Roman"/>
          <w:b/>
          <w:bCs/>
          <w:color w:val="000000"/>
          <w:sz w:val="24"/>
          <w:lang w:bidi="ta-IN"/>
        </w:rPr>
        <w:t xml:space="preserve">: Effect of </w:t>
      </w:r>
      <w:r w:rsidR="002227A2" w:rsidRPr="00AF3D84">
        <w:rPr>
          <w:rFonts w:ascii="Times New Roman" w:eastAsia="Times New Roman" w:hAnsi="Times New Roman" w:cs="Times New Roman"/>
          <w:b/>
          <w:bCs/>
          <w:i/>
          <w:iCs/>
          <w:color w:val="000000"/>
          <w:sz w:val="24"/>
          <w:lang w:bidi="ta-IN"/>
        </w:rPr>
        <w:t>Drynaria quercifolia</w:t>
      </w:r>
      <w:r w:rsidR="002227A2" w:rsidRPr="00AF3D84">
        <w:rPr>
          <w:rFonts w:ascii="Times New Roman" w:eastAsia="Times New Roman" w:hAnsi="Times New Roman" w:cs="Times New Roman"/>
          <w:b/>
          <w:bCs/>
          <w:color w:val="000000"/>
          <w:sz w:val="24"/>
          <w:lang w:bidi="ta-IN"/>
        </w:rPr>
        <w:t xml:space="preserve"> (EDQ) on inflammatory gene expression in THP-1 cells</w:t>
      </w:r>
    </w:p>
    <w:tbl>
      <w:tblPr>
        <w:tblStyle w:val="TableGrid"/>
        <w:tblW w:w="9753" w:type="dxa"/>
        <w:tblLook w:val="04A0" w:firstRow="1" w:lastRow="0" w:firstColumn="1" w:lastColumn="0" w:noHBand="0" w:noVBand="1"/>
      </w:tblPr>
      <w:tblGrid>
        <w:gridCol w:w="988"/>
        <w:gridCol w:w="1701"/>
        <w:gridCol w:w="1423"/>
        <w:gridCol w:w="839"/>
        <w:gridCol w:w="2699"/>
        <w:gridCol w:w="2103"/>
      </w:tblGrid>
      <w:tr w:rsidR="002227A2" w:rsidRPr="00426956" w14:paraId="01886170" w14:textId="77777777" w:rsidTr="00426956">
        <w:trPr>
          <w:trHeight w:val="397"/>
        </w:trPr>
        <w:tc>
          <w:tcPr>
            <w:tcW w:w="0" w:type="auto"/>
            <w:hideMark/>
          </w:tcPr>
          <w:p w14:paraId="6A71C87A" w14:textId="77777777" w:rsidR="002227A2" w:rsidRPr="00426956" w:rsidRDefault="002227A2" w:rsidP="00BC520C">
            <w:pPr>
              <w:jc w:val="center"/>
              <w:rPr>
                <w:rFonts w:ascii="Times New Roman" w:eastAsia="Times New Roman" w:hAnsi="Times New Roman" w:cs="Times New Roman"/>
                <w:b/>
                <w:bCs/>
                <w:sz w:val="18"/>
                <w:szCs w:val="18"/>
                <w:lang w:bidi="ta-IN"/>
              </w:rPr>
            </w:pPr>
            <w:r w:rsidRPr="00426956">
              <w:rPr>
                <w:rFonts w:ascii="Times New Roman" w:eastAsia="Times New Roman" w:hAnsi="Times New Roman" w:cs="Times New Roman"/>
                <w:b/>
                <w:bCs/>
                <w:sz w:val="18"/>
                <w:szCs w:val="18"/>
                <w:lang w:bidi="ta-IN"/>
              </w:rPr>
              <w:t>Gene</w:t>
            </w:r>
          </w:p>
        </w:tc>
        <w:tc>
          <w:tcPr>
            <w:tcW w:w="0" w:type="auto"/>
            <w:hideMark/>
          </w:tcPr>
          <w:p w14:paraId="2A24CDAF" w14:textId="77777777" w:rsidR="002227A2" w:rsidRPr="00426956" w:rsidRDefault="002227A2" w:rsidP="00BC520C">
            <w:pPr>
              <w:jc w:val="center"/>
              <w:rPr>
                <w:rFonts w:ascii="Times New Roman" w:eastAsia="Times New Roman" w:hAnsi="Times New Roman" w:cs="Times New Roman"/>
                <w:b/>
                <w:bCs/>
                <w:sz w:val="18"/>
                <w:szCs w:val="18"/>
                <w:lang w:bidi="ta-IN"/>
              </w:rPr>
            </w:pPr>
            <w:r w:rsidRPr="00426956">
              <w:rPr>
                <w:rFonts w:ascii="Times New Roman" w:eastAsia="Times New Roman" w:hAnsi="Times New Roman" w:cs="Times New Roman"/>
                <w:b/>
                <w:bCs/>
                <w:sz w:val="18"/>
                <w:szCs w:val="18"/>
                <w:lang w:bidi="ta-IN"/>
              </w:rPr>
              <w:t>ΔCt (Control)</w:t>
            </w:r>
          </w:p>
        </w:tc>
        <w:tc>
          <w:tcPr>
            <w:tcW w:w="0" w:type="auto"/>
            <w:hideMark/>
          </w:tcPr>
          <w:p w14:paraId="60F3727D" w14:textId="77777777" w:rsidR="002227A2" w:rsidRPr="00426956" w:rsidRDefault="002227A2" w:rsidP="00BC520C">
            <w:pPr>
              <w:jc w:val="center"/>
              <w:rPr>
                <w:rFonts w:ascii="Times New Roman" w:eastAsia="Times New Roman" w:hAnsi="Times New Roman" w:cs="Times New Roman"/>
                <w:b/>
                <w:bCs/>
                <w:sz w:val="18"/>
                <w:szCs w:val="18"/>
                <w:lang w:bidi="ta-IN"/>
              </w:rPr>
            </w:pPr>
            <w:r w:rsidRPr="00426956">
              <w:rPr>
                <w:rFonts w:ascii="Times New Roman" w:eastAsia="Times New Roman" w:hAnsi="Times New Roman" w:cs="Times New Roman"/>
                <w:b/>
                <w:bCs/>
                <w:sz w:val="18"/>
                <w:szCs w:val="18"/>
                <w:lang w:bidi="ta-IN"/>
              </w:rPr>
              <w:t>ΔCt (EDQ)</w:t>
            </w:r>
          </w:p>
        </w:tc>
        <w:tc>
          <w:tcPr>
            <w:tcW w:w="0" w:type="auto"/>
            <w:hideMark/>
          </w:tcPr>
          <w:p w14:paraId="767BFCEC" w14:textId="77777777" w:rsidR="002227A2" w:rsidRPr="00426956" w:rsidRDefault="002227A2" w:rsidP="00BC520C">
            <w:pPr>
              <w:jc w:val="center"/>
              <w:rPr>
                <w:rFonts w:ascii="Times New Roman" w:eastAsia="Times New Roman" w:hAnsi="Times New Roman" w:cs="Times New Roman"/>
                <w:b/>
                <w:bCs/>
                <w:sz w:val="18"/>
                <w:szCs w:val="18"/>
                <w:lang w:bidi="ta-IN"/>
              </w:rPr>
            </w:pPr>
            <w:r w:rsidRPr="00426956">
              <w:rPr>
                <w:rFonts w:ascii="Times New Roman" w:eastAsia="Times New Roman" w:hAnsi="Times New Roman" w:cs="Times New Roman"/>
                <w:b/>
                <w:bCs/>
                <w:sz w:val="18"/>
                <w:szCs w:val="18"/>
                <w:lang w:bidi="ta-IN"/>
              </w:rPr>
              <w:t>ΔΔCt</w:t>
            </w:r>
          </w:p>
        </w:tc>
        <w:tc>
          <w:tcPr>
            <w:tcW w:w="2699" w:type="dxa"/>
            <w:hideMark/>
          </w:tcPr>
          <w:p w14:paraId="0DA2EFEF" w14:textId="77777777" w:rsidR="002227A2" w:rsidRPr="00426956" w:rsidRDefault="002227A2" w:rsidP="00BC520C">
            <w:pPr>
              <w:jc w:val="center"/>
              <w:rPr>
                <w:rFonts w:ascii="Times New Roman" w:eastAsia="Times New Roman" w:hAnsi="Times New Roman" w:cs="Times New Roman"/>
                <w:b/>
                <w:bCs/>
                <w:sz w:val="18"/>
                <w:szCs w:val="18"/>
                <w:lang w:bidi="ta-IN"/>
              </w:rPr>
            </w:pPr>
            <w:r w:rsidRPr="00426956">
              <w:rPr>
                <w:rFonts w:ascii="Times New Roman" w:eastAsia="Times New Roman" w:hAnsi="Times New Roman" w:cs="Times New Roman"/>
                <w:b/>
                <w:bCs/>
                <w:sz w:val="18"/>
                <w:szCs w:val="18"/>
                <w:lang w:bidi="ta-IN"/>
              </w:rPr>
              <w:t>Relative Expression (2⁻ΔΔCt)</w:t>
            </w:r>
          </w:p>
        </w:tc>
        <w:tc>
          <w:tcPr>
            <w:tcW w:w="2103" w:type="dxa"/>
            <w:hideMark/>
          </w:tcPr>
          <w:p w14:paraId="3EDB6397" w14:textId="77777777" w:rsidR="002227A2" w:rsidRPr="00426956" w:rsidRDefault="002227A2" w:rsidP="00BC520C">
            <w:pPr>
              <w:jc w:val="center"/>
              <w:rPr>
                <w:rFonts w:ascii="Times New Roman" w:eastAsia="Times New Roman" w:hAnsi="Times New Roman" w:cs="Times New Roman"/>
                <w:b/>
                <w:bCs/>
                <w:sz w:val="18"/>
                <w:szCs w:val="18"/>
                <w:lang w:bidi="ta-IN"/>
              </w:rPr>
            </w:pPr>
            <w:r w:rsidRPr="00426956">
              <w:rPr>
                <w:rFonts w:ascii="Times New Roman" w:eastAsia="Times New Roman" w:hAnsi="Times New Roman" w:cs="Times New Roman"/>
                <w:b/>
                <w:bCs/>
                <w:sz w:val="18"/>
                <w:szCs w:val="18"/>
                <w:lang w:bidi="ta-IN"/>
              </w:rPr>
              <w:t>Regulation</w:t>
            </w:r>
          </w:p>
        </w:tc>
      </w:tr>
      <w:tr w:rsidR="002227A2" w:rsidRPr="00426956" w14:paraId="460E923A" w14:textId="77777777" w:rsidTr="00426956">
        <w:trPr>
          <w:trHeight w:val="397"/>
        </w:trPr>
        <w:tc>
          <w:tcPr>
            <w:tcW w:w="0" w:type="auto"/>
            <w:hideMark/>
          </w:tcPr>
          <w:p w14:paraId="680EC766"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TNF-α</w:t>
            </w:r>
          </w:p>
        </w:tc>
        <w:tc>
          <w:tcPr>
            <w:tcW w:w="0" w:type="auto"/>
            <w:hideMark/>
          </w:tcPr>
          <w:p w14:paraId="1A04795D"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−4.49</w:t>
            </w:r>
          </w:p>
        </w:tc>
        <w:tc>
          <w:tcPr>
            <w:tcW w:w="0" w:type="auto"/>
            <w:hideMark/>
          </w:tcPr>
          <w:p w14:paraId="38B0938B"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13.56</w:t>
            </w:r>
          </w:p>
        </w:tc>
        <w:tc>
          <w:tcPr>
            <w:tcW w:w="0" w:type="auto"/>
            <w:hideMark/>
          </w:tcPr>
          <w:p w14:paraId="6918FC28"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18.05</w:t>
            </w:r>
          </w:p>
        </w:tc>
        <w:tc>
          <w:tcPr>
            <w:tcW w:w="2699" w:type="dxa"/>
            <w:hideMark/>
          </w:tcPr>
          <w:p w14:paraId="7E8E815D"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3.68 × 10⁻⁶</w:t>
            </w:r>
          </w:p>
        </w:tc>
        <w:tc>
          <w:tcPr>
            <w:tcW w:w="2103" w:type="dxa"/>
            <w:hideMark/>
          </w:tcPr>
          <w:p w14:paraId="3C05D023"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Down regulated</w:t>
            </w:r>
          </w:p>
        </w:tc>
      </w:tr>
      <w:tr w:rsidR="002227A2" w:rsidRPr="00426956" w14:paraId="43E887F8" w14:textId="77777777" w:rsidTr="00426956">
        <w:trPr>
          <w:trHeight w:val="397"/>
        </w:trPr>
        <w:tc>
          <w:tcPr>
            <w:tcW w:w="0" w:type="auto"/>
            <w:hideMark/>
          </w:tcPr>
          <w:p w14:paraId="380C87CC"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COX-2</w:t>
            </w:r>
          </w:p>
        </w:tc>
        <w:tc>
          <w:tcPr>
            <w:tcW w:w="0" w:type="auto"/>
            <w:hideMark/>
          </w:tcPr>
          <w:p w14:paraId="53C276F3"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−9.54</w:t>
            </w:r>
          </w:p>
        </w:tc>
        <w:tc>
          <w:tcPr>
            <w:tcW w:w="0" w:type="auto"/>
            <w:hideMark/>
          </w:tcPr>
          <w:p w14:paraId="665A19F2"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3.06</w:t>
            </w:r>
          </w:p>
        </w:tc>
        <w:tc>
          <w:tcPr>
            <w:tcW w:w="0" w:type="auto"/>
            <w:hideMark/>
          </w:tcPr>
          <w:p w14:paraId="29A258AB"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12.60</w:t>
            </w:r>
          </w:p>
        </w:tc>
        <w:tc>
          <w:tcPr>
            <w:tcW w:w="2699" w:type="dxa"/>
            <w:hideMark/>
          </w:tcPr>
          <w:p w14:paraId="54306658"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1.61 × 10⁻⁴</w:t>
            </w:r>
          </w:p>
        </w:tc>
        <w:tc>
          <w:tcPr>
            <w:tcW w:w="2103" w:type="dxa"/>
            <w:hideMark/>
          </w:tcPr>
          <w:p w14:paraId="5FD33015"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Down regulated</w:t>
            </w:r>
          </w:p>
        </w:tc>
      </w:tr>
      <w:tr w:rsidR="002227A2" w:rsidRPr="00426956" w14:paraId="57FCEFC1" w14:textId="77777777" w:rsidTr="00426956">
        <w:trPr>
          <w:trHeight w:val="397"/>
        </w:trPr>
        <w:tc>
          <w:tcPr>
            <w:tcW w:w="0" w:type="auto"/>
            <w:hideMark/>
          </w:tcPr>
          <w:p w14:paraId="4AB515FA"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IL-6</w:t>
            </w:r>
          </w:p>
        </w:tc>
        <w:tc>
          <w:tcPr>
            <w:tcW w:w="0" w:type="auto"/>
            <w:hideMark/>
          </w:tcPr>
          <w:p w14:paraId="2018EC57"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−5.40</w:t>
            </w:r>
          </w:p>
        </w:tc>
        <w:tc>
          <w:tcPr>
            <w:tcW w:w="0" w:type="auto"/>
            <w:hideMark/>
          </w:tcPr>
          <w:p w14:paraId="772F9B3F"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10.54</w:t>
            </w:r>
          </w:p>
        </w:tc>
        <w:tc>
          <w:tcPr>
            <w:tcW w:w="0" w:type="auto"/>
            <w:hideMark/>
          </w:tcPr>
          <w:p w14:paraId="7863B153"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15.94</w:t>
            </w:r>
          </w:p>
        </w:tc>
        <w:tc>
          <w:tcPr>
            <w:tcW w:w="2699" w:type="dxa"/>
            <w:hideMark/>
          </w:tcPr>
          <w:p w14:paraId="2396BDA8"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1.59 × 10⁻⁵</w:t>
            </w:r>
          </w:p>
        </w:tc>
        <w:tc>
          <w:tcPr>
            <w:tcW w:w="2103" w:type="dxa"/>
            <w:hideMark/>
          </w:tcPr>
          <w:p w14:paraId="68F69D49"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Down regulated</w:t>
            </w:r>
          </w:p>
        </w:tc>
      </w:tr>
      <w:tr w:rsidR="002227A2" w:rsidRPr="00426956" w14:paraId="7DA8BD96" w14:textId="77777777" w:rsidTr="00426956">
        <w:trPr>
          <w:trHeight w:val="397"/>
        </w:trPr>
        <w:tc>
          <w:tcPr>
            <w:tcW w:w="0" w:type="auto"/>
            <w:hideMark/>
          </w:tcPr>
          <w:p w14:paraId="1D86B115"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iNOS</w:t>
            </w:r>
          </w:p>
        </w:tc>
        <w:tc>
          <w:tcPr>
            <w:tcW w:w="0" w:type="auto"/>
            <w:hideMark/>
          </w:tcPr>
          <w:p w14:paraId="534430AB"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12.80</w:t>
            </w:r>
          </w:p>
        </w:tc>
        <w:tc>
          <w:tcPr>
            <w:tcW w:w="0" w:type="auto"/>
            <w:hideMark/>
          </w:tcPr>
          <w:p w14:paraId="7A0BF93E"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8.69</w:t>
            </w:r>
          </w:p>
        </w:tc>
        <w:tc>
          <w:tcPr>
            <w:tcW w:w="0" w:type="auto"/>
            <w:hideMark/>
          </w:tcPr>
          <w:p w14:paraId="3865B9A8"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−4.11</w:t>
            </w:r>
          </w:p>
        </w:tc>
        <w:tc>
          <w:tcPr>
            <w:tcW w:w="2699" w:type="dxa"/>
            <w:hideMark/>
          </w:tcPr>
          <w:p w14:paraId="31903EDE"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17.27</w:t>
            </w:r>
          </w:p>
        </w:tc>
        <w:tc>
          <w:tcPr>
            <w:tcW w:w="2103" w:type="dxa"/>
            <w:hideMark/>
          </w:tcPr>
          <w:p w14:paraId="05C8A684"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Up regulated</w:t>
            </w:r>
          </w:p>
        </w:tc>
      </w:tr>
    </w:tbl>
    <w:p w14:paraId="4D7E2711" w14:textId="77777777" w:rsidR="002227A2" w:rsidRPr="004C5E5C" w:rsidRDefault="00786DA5" w:rsidP="002227A2">
      <w:pPr>
        <w:spacing w:after="0" w:line="360" w:lineRule="auto"/>
        <w:ind w:right="-7"/>
        <w:jc w:val="both"/>
        <w:rPr>
          <w:rFonts w:ascii="Times New Roman" w:eastAsia="Times New Roman" w:hAnsi="Times New Roman" w:cs="Times New Roman"/>
          <w:b/>
          <w:bCs/>
          <w:color w:val="000000"/>
          <w:sz w:val="24"/>
          <w:lang w:bidi="ta-IN"/>
        </w:rPr>
      </w:pPr>
      <w:r>
        <w:rPr>
          <w:rFonts w:ascii="Times New Roman" w:eastAsia="Times New Roman" w:hAnsi="Times New Roman" w:cs="Times New Roman"/>
          <w:b/>
          <w:bCs/>
          <w:color w:val="000000"/>
          <w:sz w:val="24"/>
          <w:lang w:bidi="ta-IN"/>
        </w:rPr>
        <w:t>3.4.2</w:t>
      </w:r>
      <w:r w:rsidR="002227A2">
        <w:rPr>
          <w:rFonts w:ascii="Times New Roman" w:eastAsia="Times New Roman" w:hAnsi="Times New Roman" w:cs="Times New Roman"/>
          <w:b/>
          <w:bCs/>
          <w:color w:val="000000"/>
          <w:sz w:val="24"/>
          <w:lang w:bidi="ta-IN"/>
        </w:rPr>
        <w:t xml:space="preserve"> </w:t>
      </w:r>
      <w:r w:rsidR="002227A2" w:rsidRPr="004C5E5C">
        <w:rPr>
          <w:rFonts w:ascii="Times New Roman" w:eastAsia="Times New Roman" w:hAnsi="Times New Roman" w:cs="Times New Roman"/>
          <w:b/>
          <w:bCs/>
          <w:color w:val="000000"/>
          <w:sz w:val="24"/>
          <w:lang w:bidi="ta-IN"/>
        </w:rPr>
        <w:t xml:space="preserve">Effect of </w:t>
      </w:r>
      <w:r w:rsidR="002227A2" w:rsidRPr="004C5E5C">
        <w:rPr>
          <w:rFonts w:ascii="Times New Roman" w:eastAsia="Times New Roman" w:hAnsi="Times New Roman" w:cs="Times New Roman"/>
          <w:b/>
          <w:bCs/>
          <w:i/>
          <w:iCs/>
          <w:color w:val="000000"/>
          <w:sz w:val="24"/>
          <w:lang w:bidi="ta-IN"/>
        </w:rPr>
        <w:t>Curcuma aeruginosa</w:t>
      </w:r>
      <w:r w:rsidR="002227A2" w:rsidRPr="004C5E5C">
        <w:rPr>
          <w:rFonts w:ascii="Times New Roman" w:eastAsia="Times New Roman" w:hAnsi="Times New Roman" w:cs="Times New Roman"/>
          <w:b/>
          <w:bCs/>
          <w:color w:val="000000"/>
          <w:sz w:val="24"/>
          <w:lang w:bidi="ta-IN"/>
        </w:rPr>
        <w:t xml:space="preserve"> (ECA) on Inflammatory Gene Expression</w:t>
      </w:r>
    </w:p>
    <w:p w14:paraId="7BAD8F83" w14:textId="77777777" w:rsidR="002227A2" w:rsidRPr="00B9100B" w:rsidRDefault="002227A2" w:rsidP="002227A2">
      <w:pPr>
        <w:spacing w:after="0" w:line="360" w:lineRule="auto"/>
        <w:ind w:right="-7" w:firstLine="720"/>
        <w:jc w:val="both"/>
        <w:rPr>
          <w:rFonts w:ascii="Times New Roman" w:eastAsia="Times New Roman" w:hAnsi="Times New Roman" w:cs="Times New Roman"/>
          <w:color w:val="000000"/>
          <w:sz w:val="24"/>
          <w:lang w:bidi="ta-IN"/>
        </w:rPr>
      </w:pPr>
      <w:r w:rsidRPr="004C5E5C">
        <w:rPr>
          <w:rFonts w:ascii="Times New Roman" w:eastAsia="Times New Roman" w:hAnsi="Times New Roman" w:cs="Times New Roman"/>
          <w:color w:val="000000"/>
          <w:sz w:val="24"/>
          <w:lang w:bidi="ta-IN"/>
        </w:rPr>
        <w:t xml:space="preserve">Treatment with ECA resulted in a marked suppression of major pro-inflammatory cytokines in non-induced THP-1 cells. As shown in </w:t>
      </w:r>
      <w:r>
        <w:rPr>
          <w:rFonts w:ascii="Times New Roman" w:eastAsia="Times New Roman" w:hAnsi="Times New Roman" w:cs="Times New Roman"/>
          <w:color w:val="000000"/>
          <w:sz w:val="24"/>
          <w:lang w:bidi="ta-IN"/>
        </w:rPr>
        <w:t>Table</w:t>
      </w:r>
      <w:r w:rsidR="00786DA5">
        <w:rPr>
          <w:rFonts w:ascii="Times New Roman" w:eastAsia="Times New Roman" w:hAnsi="Times New Roman" w:cs="Times New Roman"/>
          <w:color w:val="000000"/>
          <w:sz w:val="24"/>
          <w:lang w:bidi="ta-IN"/>
        </w:rPr>
        <w:t xml:space="preserve"> 5</w:t>
      </w:r>
      <w:r>
        <w:rPr>
          <w:rFonts w:ascii="Times New Roman" w:eastAsia="Times New Roman" w:hAnsi="Times New Roman" w:cs="Times New Roman"/>
          <w:color w:val="000000"/>
          <w:sz w:val="24"/>
          <w:lang w:bidi="ta-IN"/>
        </w:rPr>
        <w:t xml:space="preserve"> </w:t>
      </w:r>
      <w:r w:rsidRPr="004C5E5C">
        <w:rPr>
          <w:rFonts w:ascii="Times New Roman" w:eastAsia="Times New Roman" w:hAnsi="Times New Roman" w:cs="Times New Roman"/>
          <w:color w:val="000000"/>
          <w:sz w:val="24"/>
          <w:lang w:bidi="ta-IN"/>
        </w:rPr>
        <w:t>, TNF-α expression was reduced to approximately 3.2 × 10⁻⁴-fold relative to control cells. Similarly, COX-2 and IL-6 transcripts were strongly down-regulated to approximately 9.4 × 10⁻⁵-fold and 7.1 × 10⁻⁵-fold, respectively.</w:t>
      </w:r>
      <w:r w:rsidRPr="00B9100B">
        <w:rPr>
          <w:i/>
          <w:iCs/>
        </w:rPr>
        <w:t xml:space="preserve"> </w:t>
      </w:r>
      <w:r w:rsidRPr="00B9100B">
        <w:rPr>
          <w:rFonts w:ascii="Times New Roman" w:eastAsia="Times New Roman" w:hAnsi="Times New Roman" w:cs="Times New Roman"/>
          <w:color w:val="000000"/>
          <w:sz w:val="24"/>
          <w:lang w:bidi="ta-IN"/>
        </w:rPr>
        <w:t>Figure illustrates the effect of (ECA) extract on the relative expression of inflammatory genes in non-induced THP-1 cells.</w:t>
      </w:r>
    </w:p>
    <w:p w14:paraId="4C679AB6" w14:textId="77777777" w:rsidR="002227A2" w:rsidRPr="004C5E5C" w:rsidRDefault="002227A2" w:rsidP="002227A2">
      <w:pPr>
        <w:spacing w:after="0" w:line="360" w:lineRule="auto"/>
        <w:ind w:right="-7" w:firstLine="720"/>
        <w:jc w:val="both"/>
        <w:rPr>
          <w:rFonts w:ascii="Times New Roman" w:eastAsia="Times New Roman" w:hAnsi="Times New Roman" w:cs="Times New Roman"/>
          <w:color w:val="000000"/>
          <w:sz w:val="24"/>
          <w:lang w:bidi="ta-IN"/>
        </w:rPr>
      </w:pPr>
      <w:r w:rsidRPr="004C5E5C">
        <w:rPr>
          <w:rFonts w:ascii="Times New Roman" w:eastAsia="Times New Roman" w:hAnsi="Times New Roman" w:cs="Times New Roman"/>
          <w:color w:val="000000"/>
          <w:sz w:val="24"/>
          <w:lang w:bidi="ta-IN"/>
        </w:rPr>
        <w:t>In contrast to cytokine suppression, iNOS expression was moderately up-regulated, showing an approximately 2.4-fold increase compared with control cells. This differential regulation suggests that ECA modulates inflammatory signaling</w:t>
      </w:r>
      <w:r>
        <w:rPr>
          <w:rFonts w:ascii="Times New Roman" w:eastAsia="Times New Roman" w:hAnsi="Times New Roman" w:cs="Times New Roman"/>
          <w:color w:val="000000"/>
          <w:sz w:val="24"/>
          <w:lang w:bidi="ta-IN"/>
        </w:rPr>
        <w:t xml:space="preserve"> while maintaining nitric oxide </w:t>
      </w:r>
      <w:r w:rsidRPr="004C5E5C">
        <w:rPr>
          <w:rFonts w:ascii="Times New Roman" w:eastAsia="Times New Roman" w:hAnsi="Times New Roman" w:cs="Times New Roman"/>
          <w:color w:val="000000"/>
          <w:sz w:val="24"/>
          <w:lang w:bidi="ta-IN"/>
        </w:rPr>
        <w:t>related cellular responses under non-induced conditions</w:t>
      </w:r>
      <w:r>
        <w:rPr>
          <w:rFonts w:ascii="Times New Roman" w:eastAsia="Times New Roman" w:hAnsi="Times New Roman" w:cs="Times New Roman"/>
          <w:color w:val="000000"/>
          <w:sz w:val="24"/>
          <w:lang w:bidi="ta-IN"/>
        </w:rPr>
        <w:t xml:space="preserve"> </w:t>
      </w:r>
      <w:r w:rsidRPr="004C5E5C">
        <w:rPr>
          <w:rFonts w:ascii="Times New Roman" w:eastAsia="Times New Roman" w:hAnsi="Times New Roman" w:cs="Times New Roman"/>
          <w:color w:val="000000"/>
          <w:sz w:val="24"/>
          <w:lang w:bidi="ta-IN"/>
        </w:rPr>
        <w:t>.</w:t>
      </w:r>
    </w:p>
    <w:p w14:paraId="3DA7175A" w14:textId="77777777" w:rsidR="002227A2" w:rsidRDefault="002227A2" w:rsidP="002227A2">
      <w:pPr>
        <w:spacing w:after="0" w:line="360" w:lineRule="auto"/>
        <w:ind w:right="-7"/>
        <w:jc w:val="both"/>
        <w:rPr>
          <w:rFonts w:ascii="Times New Roman" w:eastAsia="Times New Roman" w:hAnsi="Times New Roman" w:cs="Times New Roman"/>
          <w:b/>
          <w:bCs/>
          <w:color w:val="000000"/>
          <w:sz w:val="24"/>
          <w:lang w:bidi="ta-IN"/>
        </w:rPr>
      </w:pPr>
      <w:r>
        <w:rPr>
          <w:rFonts w:ascii="Times New Roman" w:eastAsia="Times New Roman" w:hAnsi="Times New Roman" w:cs="Times New Roman"/>
          <w:b/>
          <w:bCs/>
          <w:color w:val="000000"/>
          <w:sz w:val="24"/>
          <w:lang w:bidi="ta-IN"/>
        </w:rPr>
        <w:t>Table</w:t>
      </w:r>
      <w:r w:rsidR="00786DA5">
        <w:rPr>
          <w:rFonts w:ascii="Times New Roman" w:eastAsia="Times New Roman" w:hAnsi="Times New Roman" w:cs="Times New Roman"/>
          <w:b/>
          <w:bCs/>
          <w:color w:val="000000"/>
          <w:sz w:val="24"/>
          <w:lang w:bidi="ta-IN"/>
        </w:rPr>
        <w:t xml:space="preserve"> 5</w:t>
      </w:r>
      <w:r>
        <w:rPr>
          <w:rFonts w:ascii="Times New Roman" w:eastAsia="Times New Roman" w:hAnsi="Times New Roman" w:cs="Times New Roman"/>
          <w:b/>
          <w:bCs/>
          <w:color w:val="000000"/>
          <w:sz w:val="24"/>
          <w:lang w:bidi="ta-IN"/>
        </w:rPr>
        <w:t xml:space="preserve"> . </w:t>
      </w:r>
      <w:r w:rsidRPr="004C5E5C">
        <w:rPr>
          <w:rFonts w:ascii="Times New Roman" w:eastAsia="Times New Roman" w:hAnsi="Times New Roman" w:cs="Times New Roman"/>
          <w:b/>
          <w:bCs/>
          <w:color w:val="000000"/>
          <w:sz w:val="24"/>
          <w:lang w:bidi="ta-IN"/>
        </w:rPr>
        <w:t xml:space="preserve"> Effect of </w:t>
      </w:r>
      <w:r w:rsidRPr="004C5E5C">
        <w:rPr>
          <w:rFonts w:ascii="Times New Roman" w:eastAsia="Times New Roman" w:hAnsi="Times New Roman" w:cs="Times New Roman"/>
          <w:b/>
          <w:bCs/>
          <w:i/>
          <w:iCs/>
          <w:color w:val="000000"/>
          <w:sz w:val="24"/>
          <w:lang w:bidi="ta-IN"/>
        </w:rPr>
        <w:t>Curcuma aeruginosa</w:t>
      </w:r>
      <w:r w:rsidRPr="004C5E5C">
        <w:rPr>
          <w:rFonts w:ascii="Times New Roman" w:eastAsia="Times New Roman" w:hAnsi="Times New Roman" w:cs="Times New Roman"/>
          <w:b/>
          <w:bCs/>
          <w:color w:val="000000"/>
          <w:sz w:val="24"/>
          <w:lang w:bidi="ta-IN"/>
        </w:rPr>
        <w:t xml:space="preserve"> (ECA) on inflammatory gene expression in THP-1 cells</w:t>
      </w:r>
    </w:p>
    <w:tbl>
      <w:tblPr>
        <w:tblStyle w:val="TableGrid"/>
        <w:tblW w:w="9511" w:type="dxa"/>
        <w:tblLook w:val="04A0" w:firstRow="1" w:lastRow="0" w:firstColumn="1" w:lastColumn="0" w:noHBand="0" w:noVBand="1"/>
      </w:tblPr>
      <w:tblGrid>
        <w:gridCol w:w="988"/>
        <w:gridCol w:w="1540"/>
        <w:gridCol w:w="1312"/>
        <w:gridCol w:w="780"/>
        <w:gridCol w:w="2746"/>
        <w:gridCol w:w="2145"/>
      </w:tblGrid>
      <w:tr w:rsidR="002227A2" w:rsidRPr="00426956" w14:paraId="4B17E3F7" w14:textId="77777777" w:rsidTr="00426956">
        <w:trPr>
          <w:trHeight w:val="340"/>
        </w:trPr>
        <w:tc>
          <w:tcPr>
            <w:tcW w:w="988" w:type="dxa"/>
            <w:hideMark/>
          </w:tcPr>
          <w:p w14:paraId="4E37AC5D" w14:textId="77777777" w:rsidR="002227A2" w:rsidRPr="00426956" w:rsidRDefault="002227A2" w:rsidP="00BC520C">
            <w:pPr>
              <w:jc w:val="center"/>
              <w:rPr>
                <w:rFonts w:ascii="Times New Roman" w:eastAsia="Times New Roman" w:hAnsi="Times New Roman" w:cs="Times New Roman"/>
                <w:b/>
                <w:bCs/>
                <w:sz w:val="18"/>
                <w:szCs w:val="18"/>
                <w:lang w:bidi="ta-IN"/>
              </w:rPr>
            </w:pPr>
            <w:r w:rsidRPr="00426956">
              <w:rPr>
                <w:rFonts w:ascii="Times New Roman" w:eastAsia="Times New Roman" w:hAnsi="Times New Roman" w:cs="Times New Roman"/>
                <w:b/>
                <w:bCs/>
                <w:sz w:val="18"/>
                <w:szCs w:val="18"/>
                <w:lang w:bidi="ta-IN"/>
              </w:rPr>
              <w:t>Gene</w:t>
            </w:r>
          </w:p>
        </w:tc>
        <w:tc>
          <w:tcPr>
            <w:tcW w:w="1540" w:type="dxa"/>
            <w:hideMark/>
          </w:tcPr>
          <w:p w14:paraId="48DC4F5D" w14:textId="77777777" w:rsidR="002227A2" w:rsidRPr="00426956" w:rsidRDefault="002227A2" w:rsidP="00BC520C">
            <w:pPr>
              <w:jc w:val="center"/>
              <w:rPr>
                <w:rFonts w:ascii="Times New Roman" w:eastAsia="Times New Roman" w:hAnsi="Times New Roman" w:cs="Times New Roman"/>
                <w:b/>
                <w:bCs/>
                <w:sz w:val="18"/>
                <w:szCs w:val="18"/>
                <w:lang w:bidi="ta-IN"/>
              </w:rPr>
            </w:pPr>
            <w:r w:rsidRPr="00426956">
              <w:rPr>
                <w:rFonts w:ascii="Times New Roman" w:eastAsia="Times New Roman" w:hAnsi="Times New Roman" w:cs="Times New Roman"/>
                <w:b/>
                <w:bCs/>
                <w:sz w:val="18"/>
                <w:szCs w:val="18"/>
                <w:lang w:bidi="ta-IN"/>
              </w:rPr>
              <w:t>ΔCt (Control)</w:t>
            </w:r>
          </w:p>
        </w:tc>
        <w:tc>
          <w:tcPr>
            <w:tcW w:w="0" w:type="auto"/>
            <w:hideMark/>
          </w:tcPr>
          <w:p w14:paraId="46DD8BFC" w14:textId="77777777" w:rsidR="002227A2" w:rsidRPr="00426956" w:rsidRDefault="002227A2" w:rsidP="00BC520C">
            <w:pPr>
              <w:jc w:val="center"/>
              <w:rPr>
                <w:rFonts w:ascii="Times New Roman" w:eastAsia="Times New Roman" w:hAnsi="Times New Roman" w:cs="Times New Roman"/>
                <w:b/>
                <w:bCs/>
                <w:sz w:val="18"/>
                <w:szCs w:val="18"/>
                <w:lang w:bidi="ta-IN"/>
              </w:rPr>
            </w:pPr>
            <w:r w:rsidRPr="00426956">
              <w:rPr>
                <w:rFonts w:ascii="Times New Roman" w:eastAsia="Times New Roman" w:hAnsi="Times New Roman" w:cs="Times New Roman"/>
                <w:b/>
                <w:bCs/>
                <w:sz w:val="18"/>
                <w:szCs w:val="18"/>
                <w:lang w:bidi="ta-IN"/>
              </w:rPr>
              <w:t>ΔCt (ECA)</w:t>
            </w:r>
          </w:p>
        </w:tc>
        <w:tc>
          <w:tcPr>
            <w:tcW w:w="0" w:type="auto"/>
            <w:hideMark/>
          </w:tcPr>
          <w:p w14:paraId="3C501D49" w14:textId="77777777" w:rsidR="002227A2" w:rsidRPr="00426956" w:rsidRDefault="002227A2" w:rsidP="00BC520C">
            <w:pPr>
              <w:jc w:val="center"/>
              <w:rPr>
                <w:rFonts w:ascii="Times New Roman" w:eastAsia="Times New Roman" w:hAnsi="Times New Roman" w:cs="Times New Roman"/>
                <w:b/>
                <w:bCs/>
                <w:sz w:val="18"/>
                <w:szCs w:val="18"/>
                <w:lang w:bidi="ta-IN"/>
              </w:rPr>
            </w:pPr>
            <w:r w:rsidRPr="00426956">
              <w:rPr>
                <w:rFonts w:ascii="Times New Roman" w:eastAsia="Times New Roman" w:hAnsi="Times New Roman" w:cs="Times New Roman"/>
                <w:b/>
                <w:bCs/>
                <w:sz w:val="18"/>
                <w:szCs w:val="18"/>
                <w:lang w:bidi="ta-IN"/>
              </w:rPr>
              <w:t>ΔΔCt</w:t>
            </w:r>
          </w:p>
        </w:tc>
        <w:tc>
          <w:tcPr>
            <w:tcW w:w="2746" w:type="dxa"/>
            <w:hideMark/>
          </w:tcPr>
          <w:p w14:paraId="68805215" w14:textId="77777777" w:rsidR="002227A2" w:rsidRPr="00426956" w:rsidRDefault="002227A2" w:rsidP="00BC520C">
            <w:pPr>
              <w:jc w:val="center"/>
              <w:rPr>
                <w:rFonts w:ascii="Times New Roman" w:eastAsia="Times New Roman" w:hAnsi="Times New Roman" w:cs="Times New Roman"/>
                <w:b/>
                <w:bCs/>
                <w:sz w:val="18"/>
                <w:szCs w:val="18"/>
                <w:lang w:bidi="ta-IN"/>
              </w:rPr>
            </w:pPr>
            <w:r w:rsidRPr="00426956">
              <w:rPr>
                <w:rFonts w:ascii="Times New Roman" w:eastAsia="Times New Roman" w:hAnsi="Times New Roman" w:cs="Times New Roman"/>
                <w:b/>
                <w:bCs/>
                <w:sz w:val="18"/>
                <w:szCs w:val="18"/>
                <w:lang w:bidi="ta-IN"/>
              </w:rPr>
              <w:t>Relative Expression (2⁻ΔΔCt)</w:t>
            </w:r>
          </w:p>
        </w:tc>
        <w:tc>
          <w:tcPr>
            <w:tcW w:w="2145" w:type="dxa"/>
            <w:hideMark/>
          </w:tcPr>
          <w:p w14:paraId="1DD9E44B" w14:textId="77777777" w:rsidR="002227A2" w:rsidRPr="00426956" w:rsidRDefault="002227A2" w:rsidP="00BC520C">
            <w:pPr>
              <w:jc w:val="center"/>
              <w:rPr>
                <w:rFonts w:ascii="Times New Roman" w:eastAsia="Times New Roman" w:hAnsi="Times New Roman" w:cs="Times New Roman"/>
                <w:b/>
                <w:bCs/>
                <w:sz w:val="18"/>
                <w:szCs w:val="18"/>
                <w:lang w:bidi="ta-IN"/>
              </w:rPr>
            </w:pPr>
            <w:r w:rsidRPr="00426956">
              <w:rPr>
                <w:rFonts w:ascii="Times New Roman" w:eastAsia="Times New Roman" w:hAnsi="Times New Roman" w:cs="Times New Roman"/>
                <w:b/>
                <w:bCs/>
                <w:sz w:val="18"/>
                <w:szCs w:val="18"/>
                <w:lang w:bidi="ta-IN"/>
              </w:rPr>
              <w:t>Regulation</w:t>
            </w:r>
          </w:p>
        </w:tc>
      </w:tr>
      <w:tr w:rsidR="002227A2" w:rsidRPr="00426956" w14:paraId="27E2C341" w14:textId="77777777" w:rsidTr="00426956">
        <w:trPr>
          <w:trHeight w:val="340"/>
        </w:trPr>
        <w:tc>
          <w:tcPr>
            <w:tcW w:w="988" w:type="dxa"/>
            <w:hideMark/>
          </w:tcPr>
          <w:p w14:paraId="6E9168F3"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TNF-α</w:t>
            </w:r>
          </w:p>
        </w:tc>
        <w:tc>
          <w:tcPr>
            <w:tcW w:w="1540" w:type="dxa"/>
            <w:hideMark/>
          </w:tcPr>
          <w:p w14:paraId="5B741388"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−2.73</w:t>
            </w:r>
          </w:p>
        </w:tc>
        <w:tc>
          <w:tcPr>
            <w:tcW w:w="0" w:type="auto"/>
            <w:hideMark/>
          </w:tcPr>
          <w:p w14:paraId="0F1E3FEC"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8.90</w:t>
            </w:r>
          </w:p>
        </w:tc>
        <w:tc>
          <w:tcPr>
            <w:tcW w:w="0" w:type="auto"/>
            <w:hideMark/>
          </w:tcPr>
          <w:p w14:paraId="1686E959"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11.62</w:t>
            </w:r>
          </w:p>
        </w:tc>
        <w:tc>
          <w:tcPr>
            <w:tcW w:w="2746" w:type="dxa"/>
            <w:hideMark/>
          </w:tcPr>
          <w:p w14:paraId="50B2C00A"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3.17 × 10⁻⁴</w:t>
            </w:r>
          </w:p>
        </w:tc>
        <w:tc>
          <w:tcPr>
            <w:tcW w:w="2145" w:type="dxa"/>
            <w:hideMark/>
          </w:tcPr>
          <w:p w14:paraId="747E2F20"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Down regulated</w:t>
            </w:r>
          </w:p>
        </w:tc>
      </w:tr>
      <w:tr w:rsidR="002227A2" w:rsidRPr="00426956" w14:paraId="14DC0D40" w14:textId="77777777" w:rsidTr="00426956">
        <w:trPr>
          <w:trHeight w:val="340"/>
        </w:trPr>
        <w:tc>
          <w:tcPr>
            <w:tcW w:w="988" w:type="dxa"/>
            <w:hideMark/>
          </w:tcPr>
          <w:p w14:paraId="41696C5B"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COX-2</w:t>
            </w:r>
          </w:p>
        </w:tc>
        <w:tc>
          <w:tcPr>
            <w:tcW w:w="1540" w:type="dxa"/>
            <w:hideMark/>
          </w:tcPr>
          <w:p w14:paraId="046EAD70"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−8.41</w:t>
            </w:r>
          </w:p>
        </w:tc>
        <w:tc>
          <w:tcPr>
            <w:tcW w:w="0" w:type="auto"/>
            <w:hideMark/>
          </w:tcPr>
          <w:p w14:paraId="25005504"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4.97</w:t>
            </w:r>
          </w:p>
        </w:tc>
        <w:tc>
          <w:tcPr>
            <w:tcW w:w="0" w:type="auto"/>
            <w:hideMark/>
          </w:tcPr>
          <w:p w14:paraId="18CA3E31"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13.38</w:t>
            </w:r>
          </w:p>
        </w:tc>
        <w:tc>
          <w:tcPr>
            <w:tcW w:w="2746" w:type="dxa"/>
            <w:hideMark/>
          </w:tcPr>
          <w:p w14:paraId="21C09912"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9.40 × 10⁻⁵</w:t>
            </w:r>
          </w:p>
        </w:tc>
        <w:tc>
          <w:tcPr>
            <w:tcW w:w="2145" w:type="dxa"/>
            <w:hideMark/>
          </w:tcPr>
          <w:p w14:paraId="74BD1503"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Down  regulated</w:t>
            </w:r>
          </w:p>
        </w:tc>
      </w:tr>
      <w:tr w:rsidR="002227A2" w:rsidRPr="00426956" w14:paraId="0E171DD1" w14:textId="77777777" w:rsidTr="00426956">
        <w:trPr>
          <w:trHeight w:val="340"/>
        </w:trPr>
        <w:tc>
          <w:tcPr>
            <w:tcW w:w="988" w:type="dxa"/>
            <w:hideMark/>
          </w:tcPr>
          <w:p w14:paraId="58F51F26"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IL-6</w:t>
            </w:r>
          </w:p>
        </w:tc>
        <w:tc>
          <w:tcPr>
            <w:tcW w:w="1540" w:type="dxa"/>
            <w:hideMark/>
          </w:tcPr>
          <w:p w14:paraId="4EB8D8E9"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−3.03</w:t>
            </w:r>
          </w:p>
        </w:tc>
        <w:tc>
          <w:tcPr>
            <w:tcW w:w="0" w:type="auto"/>
            <w:hideMark/>
          </w:tcPr>
          <w:p w14:paraId="24662FE6"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10.75</w:t>
            </w:r>
          </w:p>
        </w:tc>
        <w:tc>
          <w:tcPr>
            <w:tcW w:w="0" w:type="auto"/>
            <w:hideMark/>
          </w:tcPr>
          <w:p w14:paraId="7F484871"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13.78</w:t>
            </w:r>
          </w:p>
        </w:tc>
        <w:tc>
          <w:tcPr>
            <w:tcW w:w="2746" w:type="dxa"/>
            <w:hideMark/>
          </w:tcPr>
          <w:p w14:paraId="1310189B"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7.09 × 10⁻⁵</w:t>
            </w:r>
          </w:p>
        </w:tc>
        <w:tc>
          <w:tcPr>
            <w:tcW w:w="2145" w:type="dxa"/>
            <w:hideMark/>
          </w:tcPr>
          <w:p w14:paraId="6B8CA808"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Down regulated</w:t>
            </w:r>
          </w:p>
        </w:tc>
      </w:tr>
      <w:tr w:rsidR="002227A2" w:rsidRPr="00426956" w14:paraId="12276DA5" w14:textId="77777777" w:rsidTr="00426956">
        <w:trPr>
          <w:trHeight w:val="340"/>
        </w:trPr>
        <w:tc>
          <w:tcPr>
            <w:tcW w:w="988" w:type="dxa"/>
            <w:hideMark/>
          </w:tcPr>
          <w:p w14:paraId="27DF8569"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iNOS</w:t>
            </w:r>
          </w:p>
        </w:tc>
        <w:tc>
          <w:tcPr>
            <w:tcW w:w="1540" w:type="dxa"/>
            <w:hideMark/>
          </w:tcPr>
          <w:p w14:paraId="450DE69C"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6.34</w:t>
            </w:r>
          </w:p>
        </w:tc>
        <w:tc>
          <w:tcPr>
            <w:tcW w:w="0" w:type="auto"/>
            <w:hideMark/>
          </w:tcPr>
          <w:p w14:paraId="4154C3DE"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5.08</w:t>
            </w:r>
          </w:p>
        </w:tc>
        <w:tc>
          <w:tcPr>
            <w:tcW w:w="0" w:type="auto"/>
            <w:hideMark/>
          </w:tcPr>
          <w:p w14:paraId="6BEAE347"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−1.26</w:t>
            </w:r>
          </w:p>
        </w:tc>
        <w:tc>
          <w:tcPr>
            <w:tcW w:w="2746" w:type="dxa"/>
            <w:hideMark/>
          </w:tcPr>
          <w:p w14:paraId="2D1E0D82"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2.39</w:t>
            </w:r>
          </w:p>
        </w:tc>
        <w:tc>
          <w:tcPr>
            <w:tcW w:w="2145" w:type="dxa"/>
            <w:hideMark/>
          </w:tcPr>
          <w:p w14:paraId="74F911A9"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Up regulated</w:t>
            </w:r>
          </w:p>
        </w:tc>
      </w:tr>
    </w:tbl>
    <w:p w14:paraId="44D995E0" w14:textId="77777777" w:rsidR="00F34AD3" w:rsidRDefault="00F34AD3" w:rsidP="002227A2">
      <w:pPr>
        <w:spacing w:after="0" w:line="360" w:lineRule="auto"/>
        <w:ind w:right="-7"/>
        <w:jc w:val="both"/>
        <w:rPr>
          <w:rFonts w:ascii="Times New Roman" w:eastAsia="Times New Roman" w:hAnsi="Times New Roman" w:cs="Times New Roman"/>
          <w:b/>
          <w:bCs/>
          <w:color w:val="000000"/>
          <w:sz w:val="24"/>
          <w:lang w:bidi="ta-IN"/>
        </w:rPr>
      </w:pPr>
    </w:p>
    <w:p w14:paraId="345F9368" w14:textId="77777777" w:rsidR="002227A2" w:rsidRPr="009E5173" w:rsidRDefault="00786DA5" w:rsidP="002227A2">
      <w:pPr>
        <w:spacing w:after="0" w:line="360" w:lineRule="auto"/>
        <w:ind w:right="-7"/>
        <w:jc w:val="both"/>
        <w:rPr>
          <w:rFonts w:ascii="Times New Roman" w:eastAsia="Times New Roman" w:hAnsi="Times New Roman" w:cs="Times New Roman"/>
          <w:b/>
          <w:bCs/>
          <w:color w:val="000000"/>
          <w:sz w:val="24"/>
          <w:lang w:bidi="ta-IN"/>
        </w:rPr>
      </w:pPr>
      <w:r>
        <w:rPr>
          <w:rFonts w:ascii="Times New Roman" w:eastAsia="Times New Roman" w:hAnsi="Times New Roman" w:cs="Times New Roman"/>
          <w:b/>
          <w:bCs/>
          <w:color w:val="000000"/>
          <w:sz w:val="24"/>
          <w:lang w:bidi="ta-IN"/>
        </w:rPr>
        <w:lastRenderedPageBreak/>
        <w:t>3.4.3</w:t>
      </w:r>
      <w:r w:rsidR="002227A2">
        <w:rPr>
          <w:rFonts w:ascii="Times New Roman" w:eastAsia="Times New Roman" w:hAnsi="Times New Roman" w:cs="Times New Roman"/>
          <w:b/>
          <w:bCs/>
          <w:color w:val="000000"/>
          <w:sz w:val="24"/>
          <w:lang w:bidi="ta-IN"/>
        </w:rPr>
        <w:t xml:space="preserve"> </w:t>
      </w:r>
      <w:r w:rsidR="002227A2" w:rsidRPr="009E5173">
        <w:rPr>
          <w:rFonts w:ascii="Times New Roman" w:eastAsia="Times New Roman" w:hAnsi="Times New Roman" w:cs="Times New Roman"/>
          <w:b/>
          <w:bCs/>
          <w:color w:val="000000"/>
          <w:sz w:val="24"/>
          <w:lang w:bidi="ta-IN"/>
        </w:rPr>
        <w:t>Comparative Overview of EDQ and ECA Effects</w:t>
      </w:r>
    </w:p>
    <w:p w14:paraId="51A6D712" w14:textId="77777777" w:rsidR="002227A2" w:rsidRPr="009E5173" w:rsidRDefault="002227A2" w:rsidP="002227A2">
      <w:pPr>
        <w:spacing w:after="0" w:line="360" w:lineRule="auto"/>
        <w:ind w:right="-7" w:firstLine="720"/>
        <w:jc w:val="both"/>
        <w:rPr>
          <w:rFonts w:ascii="Times New Roman" w:eastAsia="Times New Roman" w:hAnsi="Times New Roman" w:cs="Times New Roman"/>
          <w:color w:val="000000"/>
          <w:sz w:val="24"/>
          <w:lang w:bidi="ta-IN"/>
        </w:rPr>
      </w:pPr>
      <w:r w:rsidRPr="009E5173">
        <w:rPr>
          <w:rFonts w:ascii="Times New Roman" w:eastAsia="Times New Roman" w:hAnsi="Times New Roman" w:cs="Times New Roman"/>
          <w:color w:val="000000"/>
          <w:sz w:val="24"/>
          <w:lang w:bidi="ta-IN"/>
        </w:rPr>
        <w:t>A comparative evaluation of both extracts revealed that EDQ exerted stronger transcriptional modulation of inflammatory genes than ECA. While both extracts significantly suppressed TNF-α, COX-2, and IL-6 expression, EDQ demonstrated greater magnitude of cytokine down-regulation and substantially higher iNOS induction. These findings indicate differential immunomodulato</w:t>
      </w:r>
      <w:r>
        <w:rPr>
          <w:rFonts w:ascii="Times New Roman" w:eastAsia="Times New Roman" w:hAnsi="Times New Roman" w:cs="Times New Roman"/>
          <w:color w:val="000000"/>
          <w:sz w:val="24"/>
          <w:lang w:bidi="ta-IN"/>
        </w:rPr>
        <w:t xml:space="preserve">ry profiles of the two rhizome </w:t>
      </w:r>
      <w:r w:rsidRPr="009E5173">
        <w:rPr>
          <w:rFonts w:ascii="Times New Roman" w:eastAsia="Times New Roman" w:hAnsi="Times New Roman" w:cs="Times New Roman"/>
          <w:color w:val="000000"/>
          <w:sz w:val="24"/>
          <w:lang w:bidi="ta-IN"/>
        </w:rPr>
        <w:t>extracts in non-induced THP-1 cells.</w:t>
      </w:r>
    </w:p>
    <w:p w14:paraId="0895A2A9" w14:textId="77777777" w:rsidR="008A4AB7" w:rsidRDefault="002227A2" w:rsidP="008A4AB7">
      <w:pPr>
        <w:spacing w:after="443" w:line="360" w:lineRule="auto"/>
        <w:ind w:right="-7"/>
        <w:jc w:val="both"/>
        <w:rPr>
          <w:rFonts w:ascii="Times New Roman" w:eastAsia="Times New Roman" w:hAnsi="Times New Roman" w:cs="Times New Roman"/>
          <w:color w:val="000000"/>
          <w:sz w:val="24"/>
          <w:lang w:bidi="ta-IN"/>
        </w:rPr>
      </w:pPr>
      <w:r>
        <w:rPr>
          <w:rFonts w:ascii="Times New Roman" w:eastAsia="Times New Roman" w:hAnsi="Times New Roman" w:cs="Times New Roman"/>
          <w:color w:val="000000"/>
          <w:sz w:val="24"/>
          <w:lang w:bidi="ta-IN"/>
        </w:rPr>
        <w:t xml:space="preserve">As shown in Figure </w:t>
      </w:r>
      <w:r w:rsidR="00786DA5">
        <w:rPr>
          <w:rFonts w:ascii="Times New Roman" w:eastAsia="Times New Roman" w:hAnsi="Times New Roman" w:cs="Times New Roman"/>
          <w:color w:val="000000"/>
          <w:sz w:val="24"/>
          <w:lang w:bidi="ta-IN"/>
        </w:rPr>
        <w:t>4</w:t>
      </w:r>
      <w:r w:rsidRPr="00432A63">
        <w:rPr>
          <w:rFonts w:ascii="Times New Roman" w:eastAsia="Times New Roman" w:hAnsi="Times New Roman" w:cs="Times New Roman"/>
          <w:color w:val="000000"/>
          <w:sz w:val="24"/>
          <w:lang w:bidi="ta-IN"/>
        </w:rPr>
        <w:t xml:space="preserve"> (A–B), EDQ induced a stronger transcriptional modulation of inflammatory genes than ECA, characterized by profound cytokine suppression and enhanced iNOS expression.</w:t>
      </w:r>
    </w:p>
    <w:p w14:paraId="1D088BDF" w14:textId="77777777" w:rsidR="002227A2" w:rsidRPr="008A4AB7" w:rsidRDefault="002227A2" w:rsidP="008A4AB7">
      <w:pPr>
        <w:spacing w:after="443" w:line="360" w:lineRule="auto"/>
        <w:ind w:right="-7"/>
        <w:jc w:val="both"/>
        <w:rPr>
          <w:rFonts w:ascii="Times New Roman" w:eastAsia="Times New Roman" w:hAnsi="Times New Roman" w:cs="Times New Roman"/>
          <w:color w:val="000000"/>
          <w:sz w:val="24"/>
          <w:lang w:bidi="ta-IN"/>
        </w:rPr>
      </w:pPr>
      <w:r w:rsidRPr="00786DA5">
        <w:rPr>
          <w:rFonts w:ascii="Times New Roman" w:eastAsia="Times New Roman" w:hAnsi="Times New Roman" w:cs="Times New Roman"/>
          <w:b/>
          <w:bCs/>
          <w:color w:val="000000"/>
          <w:sz w:val="24"/>
          <w:lang w:bidi="ta-IN"/>
        </w:rPr>
        <w:t>Figure-</w:t>
      </w:r>
      <w:r w:rsidR="00786DA5">
        <w:rPr>
          <w:rFonts w:ascii="Times New Roman" w:eastAsia="Times New Roman" w:hAnsi="Times New Roman" w:cs="Times New Roman"/>
          <w:b/>
          <w:bCs/>
          <w:color w:val="000000"/>
          <w:sz w:val="24"/>
          <w:lang w:bidi="ta-IN"/>
        </w:rPr>
        <w:t>4</w:t>
      </w:r>
      <w:r w:rsidRPr="00786DA5">
        <w:rPr>
          <w:rFonts w:ascii="Times New Roman" w:eastAsia="Times New Roman" w:hAnsi="Times New Roman" w:cs="Times New Roman"/>
          <w:b/>
          <w:bCs/>
          <w:color w:val="000000"/>
          <w:sz w:val="24"/>
          <w:lang w:bidi="ta-IN"/>
        </w:rPr>
        <w:t xml:space="preserve">A-B </w:t>
      </w:r>
      <w:r w:rsidRPr="00786DA5">
        <w:rPr>
          <w:rFonts w:ascii="Times New Roman" w:eastAsia="Times New Roman" w:hAnsi="Times New Roman" w:cs="Times New Roman"/>
          <w:b/>
          <w:bCs/>
          <w:color w:val="000000"/>
          <w:lang w:bidi="ta-IN"/>
        </w:rPr>
        <w:t>Modulation of inflammatory gene expression in non-induced THP-1 cells</w:t>
      </w:r>
    </w:p>
    <w:p w14:paraId="6BEABB62" w14:textId="77777777" w:rsidR="002227A2" w:rsidRDefault="002227A2" w:rsidP="002227A2">
      <w:pPr>
        <w:spacing w:after="443" w:line="360" w:lineRule="auto"/>
        <w:ind w:right="-7"/>
        <w:jc w:val="center"/>
        <w:rPr>
          <w:rFonts w:ascii="Times New Roman" w:eastAsia="Times New Roman" w:hAnsi="Times New Roman" w:cs="Times New Roman"/>
          <w:color w:val="000000"/>
          <w:sz w:val="24"/>
          <w:lang w:bidi="ta-IN"/>
        </w:rPr>
      </w:pPr>
      <w:r>
        <w:rPr>
          <w:noProof/>
          <w:lang w:bidi="ta-IN"/>
        </w:rPr>
        <w:drawing>
          <wp:inline distT="0" distB="0" distL="0" distR="0" wp14:anchorId="70499F3A" wp14:editId="536E7120">
            <wp:extent cx="4295775" cy="2362200"/>
            <wp:effectExtent l="0" t="0" r="952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723827C" w14:textId="77777777" w:rsidR="002227A2" w:rsidRPr="00432A63" w:rsidRDefault="002227A2" w:rsidP="002227A2">
      <w:pPr>
        <w:spacing w:after="443" w:line="360" w:lineRule="auto"/>
        <w:ind w:right="-7"/>
        <w:jc w:val="center"/>
        <w:rPr>
          <w:rFonts w:ascii="Times New Roman" w:eastAsia="Times New Roman" w:hAnsi="Times New Roman" w:cs="Times New Roman"/>
          <w:color w:val="000000"/>
          <w:sz w:val="24"/>
          <w:lang w:bidi="ta-IN"/>
        </w:rPr>
      </w:pPr>
      <w:r>
        <w:rPr>
          <w:rFonts w:ascii="Times New Roman" w:eastAsia="Times New Roman" w:hAnsi="Times New Roman" w:cs="Times New Roman"/>
          <w:color w:val="000000"/>
          <w:sz w:val="24"/>
          <w:lang w:bidi="ta-IN"/>
        </w:rPr>
        <w:t>A</w:t>
      </w:r>
    </w:p>
    <w:p w14:paraId="18518778" w14:textId="77777777" w:rsidR="002227A2" w:rsidRDefault="002227A2" w:rsidP="002227A2">
      <w:pPr>
        <w:spacing w:after="443" w:line="360" w:lineRule="auto"/>
        <w:ind w:right="-7"/>
        <w:jc w:val="center"/>
        <w:rPr>
          <w:rFonts w:ascii="Times New Roman" w:eastAsia="Times New Roman" w:hAnsi="Times New Roman" w:cs="Times New Roman"/>
          <w:b/>
          <w:bCs/>
          <w:color w:val="000000"/>
          <w:sz w:val="24"/>
          <w:lang w:bidi="ta-IN"/>
        </w:rPr>
      </w:pPr>
      <w:r>
        <w:rPr>
          <w:noProof/>
          <w:lang w:bidi="ta-IN"/>
        </w:rPr>
        <w:lastRenderedPageBreak/>
        <w:drawing>
          <wp:inline distT="0" distB="0" distL="0" distR="0" wp14:anchorId="4EF6B89C" wp14:editId="6A15064C">
            <wp:extent cx="4572000" cy="2524125"/>
            <wp:effectExtent l="0" t="0" r="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AC6D7D2" w14:textId="77777777" w:rsidR="002227A2" w:rsidRDefault="002227A2" w:rsidP="002227A2">
      <w:pPr>
        <w:spacing w:after="443" w:line="360" w:lineRule="auto"/>
        <w:ind w:right="-7"/>
        <w:jc w:val="center"/>
        <w:rPr>
          <w:rFonts w:ascii="Times New Roman" w:eastAsia="Times New Roman" w:hAnsi="Times New Roman" w:cs="Times New Roman"/>
          <w:b/>
          <w:bCs/>
          <w:color w:val="000000"/>
          <w:sz w:val="24"/>
          <w:lang w:bidi="ta-IN"/>
        </w:rPr>
      </w:pPr>
      <w:r>
        <w:rPr>
          <w:rFonts w:ascii="Times New Roman" w:eastAsia="Times New Roman" w:hAnsi="Times New Roman" w:cs="Times New Roman"/>
          <w:b/>
          <w:bCs/>
          <w:color w:val="000000"/>
          <w:sz w:val="24"/>
          <w:lang w:bidi="ta-IN"/>
        </w:rPr>
        <w:t>B</w:t>
      </w:r>
    </w:p>
    <w:p w14:paraId="095242DF" w14:textId="2E09E62E" w:rsidR="002227A2" w:rsidRPr="00236661" w:rsidRDefault="0012459D" w:rsidP="002227A2">
      <w:pPr>
        <w:spacing w:after="443" w:line="240" w:lineRule="auto"/>
        <w:ind w:right="-7"/>
        <w:jc w:val="both"/>
        <w:rPr>
          <w:rFonts w:ascii="Times New Roman" w:eastAsia="Times New Roman" w:hAnsi="Times New Roman" w:cs="Times New Roman"/>
          <w:color w:val="000000"/>
          <w:sz w:val="24"/>
          <w:lang w:bidi="ta-IN"/>
        </w:rPr>
      </w:pPr>
      <w:r>
        <w:rPr>
          <w:rFonts w:ascii="Times New Roman" w:eastAsia="Times New Roman" w:hAnsi="Times New Roman" w:cs="Times New Roman"/>
          <w:b/>
          <w:bCs/>
          <w:color w:val="000000"/>
          <w:sz w:val="24"/>
          <w:lang w:bidi="ta-IN"/>
        </w:rPr>
        <w:t xml:space="preserve">Fig </w:t>
      </w:r>
      <w:r w:rsidR="00786DA5">
        <w:rPr>
          <w:rFonts w:ascii="Times New Roman" w:eastAsia="Times New Roman" w:hAnsi="Times New Roman" w:cs="Times New Roman"/>
          <w:b/>
          <w:bCs/>
          <w:color w:val="000000"/>
          <w:sz w:val="24"/>
          <w:lang w:bidi="ta-IN"/>
        </w:rPr>
        <w:t>4</w:t>
      </w:r>
      <w:r w:rsidR="002227A2" w:rsidRPr="00236661">
        <w:rPr>
          <w:rFonts w:ascii="Times New Roman" w:eastAsia="Times New Roman" w:hAnsi="Times New Roman" w:cs="Times New Roman"/>
          <w:b/>
          <w:bCs/>
          <w:color w:val="000000"/>
          <w:sz w:val="24"/>
          <w:lang w:bidi="ta-IN"/>
        </w:rPr>
        <w:t>A:</w:t>
      </w:r>
      <w:r w:rsidR="002227A2" w:rsidRPr="00236661">
        <w:rPr>
          <w:rFonts w:ascii="Times New Roman" w:eastAsia="Times New Roman" w:hAnsi="Times New Roman" w:cs="Times New Roman"/>
          <w:color w:val="000000"/>
          <w:sz w:val="24"/>
          <w:lang w:bidi="ta-IN"/>
        </w:rPr>
        <w:t xml:space="preserve"> Effect of </w:t>
      </w:r>
      <w:r w:rsidR="002227A2" w:rsidRPr="00236661">
        <w:rPr>
          <w:rFonts w:ascii="Times New Roman" w:eastAsia="Times New Roman" w:hAnsi="Times New Roman" w:cs="Times New Roman"/>
          <w:i/>
          <w:iCs/>
          <w:color w:val="000000"/>
          <w:sz w:val="24"/>
          <w:lang w:bidi="ta-IN"/>
        </w:rPr>
        <w:t>Drynaria quercifolia</w:t>
      </w:r>
      <w:r w:rsidR="002227A2" w:rsidRPr="00236661">
        <w:rPr>
          <w:rFonts w:ascii="Times New Roman" w:eastAsia="Times New Roman" w:hAnsi="Times New Roman" w:cs="Times New Roman"/>
          <w:color w:val="000000"/>
          <w:sz w:val="24"/>
          <w:lang w:bidi="ta-IN"/>
        </w:rPr>
        <w:t xml:space="preserve"> (EDQ)</w:t>
      </w:r>
      <w:r w:rsidR="002227A2">
        <w:rPr>
          <w:rFonts w:ascii="Times New Roman" w:eastAsia="Times New Roman" w:hAnsi="Times New Roman" w:cs="Times New Roman"/>
          <w:color w:val="000000"/>
          <w:sz w:val="24"/>
          <w:lang w:bidi="ta-IN"/>
        </w:rPr>
        <w:t xml:space="preserve"> &amp; </w:t>
      </w:r>
      <w:r>
        <w:rPr>
          <w:rFonts w:ascii="Times New Roman" w:eastAsia="Times New Roman" w:hAnsi="Times New Roman" w:cs="Times New Roman"/>
          <w:color w:val="000000"/>
          <w:sz w:val="24"/>
          <w:lang w:bidi="ta-IN"/>
        </w:rPr>
        <w:t xml:space="preserve">fig </w:t>
      </w:r>
      <w:r w:rsidR="00786DA5" w:rsidRPr="00786DA5">
        <w:rPr>
          <w:rFonts w:ascii="Times New Roman" w:eastAsia="Times New Roman" w:hAnsi="Times New Roman" w:cs="Times New Roman"/>
          <w:b/>
          <w:bCs/>
          <w:color w:val="000000"/>
          <w:sz w:val="24"/>
          <w:lang w:bidi="ta-IN"/>
        </w:rPr>
        <w:t>4</w:t>
      </w:r>
      <w:r w:rsidR="002227A2" w:rsidRPr="00786DA5">
        <w:rPr>
          <w:rFonts w:ascii="Times New Roman" w:eastAsia="Times New Roman" w:hAnsi="Times New Roman" w:cs="Times New Roman"/>
          <w:b/>
          <w:bCs/>
          <w:color w:val="000000"/>
          <w:sz w:val="24"/>
          <w:lang w:bidi="ta-IN"/>
        </w:rPr>
        <w:t>B:</w:t>
      </w:r>
      <w:r w:rsidR="002227A2">
        <w:rPr>
          <w:rFonts w:ascii="Times New Roman" w:eastAsia="Times New Roman" w:hAnsi="Times New Roman" w:cs="Times New Roman"/>
          <w:b/>
          <w:bCs/>
          <w:color w:val="000000"/>
          <w:sz w:val="24"/>
          <w:lang w:bidi="ta-IN"/>
        </w:rPr>
        <w:t xml:space="preserve"> </w:t>
      </w:r>
      <w:r w:rsidR="002227A2" w:rsidRPr="00236661">
        <w:rPr>
          <w:rFonts w:ascii="Times New Roman" w:eastAsia="Times New Roman" w:hAnsi="Times New Roman" w:cs="Times New Roman"/>
          <w:color w:val="000000"/>
          <w:sz w:val="24"/>
          <w:lang w:bidi="ta-IN"/>
        </w:rPr>
        <w:t xml:space="preserve">Effect of </w:t>
      </w:r>
      <w:r w:rsidR="002227A2" w:rsidRPr="00236661">
        <w:rPr>
          <w:rFonts w:ascii="Times New Roman" w:eastAsia="Times New Roman" w:hAnsi="Times New Roman" w:cs="Times New Roman"/>
          <w:i/>
          <w:iCs/>
          <w:color w:val="000000"/>
          <w:sz w:val="24"/>
          <w:lang w:bidi="ta-IN"/>
        </w:rPr>
        <w:t>Curcuma aeruginosa</w:t>
      </w:r>
      <w:r w:rsidR="002227A2" w:rsidRPr="00236661">
        <w:rPr>
          <w:rFonts w:ascii="Times New Roman" w:eastAsia="Times New Roman" w:hAnsi="Times New Roman" w:cs="Times New Roman"/>
          <w:color w:val="000000"/>
          <w:sz w:val="24"/>
          <w:lang w:bidi="ta-IN"/>
        </w:rPr>
        <w:t xml:space="preserve"> (ECA)</w:t>
      </w:r>
    </w:p>
    <w:p w14:paraId="33DC259A" w14:textId="77777777" w:rsidR="00426956" w:rsidRDefault="00426956" w:rsidP="000070CB">
      <w:pPr>
        <w:spacing w:line="360" w:lineRule="auto"/>
        <w:jc w:val="both"/>
        <w:rPr>
          <w:rFonts w:ascii="Times New Roman" w:hAnsi="Times New Roman" w:cs="Times New Roman"/>
          <w:b/>
          <w:bCs/>
          <w:sz w:val="24"/>
          <w:szCs w:val="24"/>
        </w:rPr>
      </w:pPr>
    </w:p>
    <w:p w14:paraId="1F9B4E74" w14:textId="77777777" w:rsidR="000070CB" w:rsidRDefault="002227A2" w:rsidP="000070CB">
      <w:pPr>
        <w:spacing w:line="360" w:lineRule="auto"/>
        <w:jc w:val="both"/>
        <w:rPr>
          <w:rFonts w:ascii="Times New Roman" w:hAnsi="Times New Roman" w:cs="Times New Roman"/>
          <w:b/>
          <w:bCs/>
          <w:sz w:val="24"/>
          <w:szCs w:val="24"/>
        </w:rPr>
      </w:pPr>
      <w:r w:rsidRPr="00786DA5">
        <w:rPr>
          <w:rFonts w:ascii="Times New Roman" w:hAnsi="Times New Roman" w:cs="Times New Roman"/>
          <w:b/>
          <w:bCs/>
          <w:sz w:val="24"/>
          <w:szCs w:val="24"/>
        </w:rPr>
        <w:t>4. Discussion</w:t>
      </w:r>
    </w:p>
    <w:p w14:paraId="241D72E3" w14:textId="77777777" w:rsidR="004177AD" w:rsidRPr="004177AD" w:rsidRDefault="004177AD" w:rsidP="004177AD">
      <w:pPr>
        <w:spacing w:line="360" w:lineRule="auto"/>
        <w:ind w:firstLine="720"/>
        <w:jc w:val="both"/>
        <w:rPr>
          <w:rFonts w:ascii="Times New Roman" w:hAnsi="Times New Roman" w:cs="Times New Roman"/>
          <w:sz w:val="24"/>
          <w:szCs w:val="24"/>
        </w:rPr>
      </w:pPr>
      <w:r w:rsidRPr="004177AD">
        <w:rPr>
          <w:rFonts w:ascii="Times New Roman" w:hAnsi="Times New Roman" w:cs="Times New Roman"/>
          <w:sz w:val="24"/>
          <w:szCs w:val="24"/>
        </w:rPr>
        <w:t xml:space="preserve">Evaluating cytotoxicity is an essential first step in any cell-based study to ensure that the observed biological effects are not simply due to loss of cell viability. In this study, the cytocompatibility of the ethanolic rhizome extracts was assessed using the MTT assay, which is based on the reduction of tetrazolium salt to formazan by mitochondrial enzymes in viable cells (Mosmann, 1983; Stockert </w:t>
      </w:r>
      <w:r w:rsidRPr="004177AD">
        <w:rPr>
          <w:rFonts w:ascii="Times New Roman" w:hAnsi="Times New Roman" w:cs="Times New Roman"/>
          <w:i/>
          <w:iCs/>
          <w:sz w:val="24"/>
          <w:szCs w:val="24"/>
        </w:rPr>
        <w:t>et al.,</w:t>
      </w:r>
      <w:r w:rsidRPr="004177AD">
        <w:rPr>
          <w:rFonts w:ascii="Times New Roman" w:hAnsi="Times New Roman" w:cs="Times New Roman"/>
          <w:sz w:val="24"/>
          <w:szCs w:val="24"/>
        </w:rPr>
        <w:t xml:space="preserve"> 2012). The results showed a clear concentration-dependent reduction in THP-1 cell viability after 24 h of exposure, indicating that higher concentrations of the extracts affect cellular metabolic activity.</w:t>
      </w:r>
    </w:p>
    <w:p w14:paraId="18CD3187" w14:textId="77777777" w:rsidR="004177AD" w:rsidRPr="004177AD" w:rsidRDefault="004177AD" w:rsidP="004177AD">
      <w:pPr>
        <w:spacing w:line="360" w:lineRule="auto"/>
        <w:ind w:firstLine="720"/>
        <w:jc w:val="both"/>
        <w:rPr>
          <w:rFonts w:ascii="Times New Roman" w:hAnsi="Times New Roman" w:cs="Times New Roman"/>
          <w:sz w:val="24"/>
          <w:szCs w:val="24"/>
        </w:rPr>
      </w:pPr>
      <w:r w:rsidRPr="004177AD">
        <w:rPr>
          <w:rFonts w:ascii="Times New Roman" w:hAnsi="Times New Roman" w:cs="Times New Roman"/>
          <w:sz w:val="24"/>
          <w:szCs w:val="24"/>
        </w:rPr>
        <w:t xml:space="preserve">The IC₅₀ values obtained (40.94 µg/mL for </w:t>
      </w:r>
      <w:r w:rsidRPr="004177AD">
        <w:rPr>
          <w:rFonts w:ascii="Times New Roman" w:hAnsi="Times New Roman" w:cs="Times New Roman"/>
          <w:i/>
          <w:iCs/>
          <w:sz w:val="24"/>
          <w:szCs w:val="24"/>
        </w:rPr>
        <w:t>Drynaria quercifolia</w:t>
      </w:r>
      <w:r w:rsidRPr="004177AD">
        <w:rPr>
          <w:rFonts w:ascii="Times New Roman" w:hAnsi="Times New Roman" w:cs="Times New Roman"/>
          <w:sz w:val="24"/>
          <w:szCs w:val="24"/>
        </w:rPr>
        <w:t xml:space="preserve"> and 48.18 µg/mL for </w:t>
      </w:r>
      <w:r w:rsidRPr="004177AD">
        <w:rPr>
          <w:rFonts w:ascii="Times New Roman" w:hAnsi="Times New Roman" w:cs="Times New Roman"/>
          <w:i/>
          <w:iCs/>
          <w:sz w:val="24"/>
          <w:szCs w:val="24"/>
        </w:rPr>
        <w:t>Curcuma aeruginosa</w:t>
      </w:r>
      <w:r w:rsidRPr="004177AD">
        <w:rPr>
          <w:rFonts w:ascii="Times New Roman" w:hAnsi="Times New Roman" w:cs="Times New Roman"/>
          <w:sz w:val="24"/>
          <w:szCs w:val="24"/>
        </w:rPr>
        <w:t xml:space="preserve">) suggest that both extracts are relatively well tolerated at lower concentrations, although </w:t>
      </w:r>
      <w:r w:rsidRPr="004177AD">
        <w:rPr>
          <w:rFonts w:ascii="Times New Roman" w:hAnsi="Times New Roman" w:cs="Times New Roman"/>
          <w:i/>
          <w:iCs/>
          <w:sz w:val="24"/>
          <w:szCs w:val="24"/>
        </w:rPr>
        <w:t>D. quercifolia</w:t>
      </w:r>
      <w:r w:rsidRPr="004177AD">
        <w:rPr>
          <w:rFonts w:ascii="Times New Roman" w:hAnsi="Times New Roman" w:cs="Times New Roman"/>
          <w:sz w:val="24"/>
          <w:szCs w:val="24"/>
        </w:rPr>
        <w:t xml:space="preserve"> exhibited slightly higher cytotoxicity. This difference may be attributed to variations in their phytochemical composition, as reported in previous studies (Narthanaa </w:t>
      </w:r>
      <w:r w:rsidRPr="00AE730F">
        <w:rPr>
          <w:rFonts w:ascii="Times New Roman" w:hAnsi="Times New Roman" w:cs="Times New Roman"/>
          <w:i/>
          <w:iCs/>
          <w:sz w:val="24"/>
          <w:szCs w:val="24"/>
        </w:rPr>
        <w:t>et al.,</w:t>
      </w:r>
      <w:r w:rsidRPr="004177AD">
        <w:rPr>
          <w:rFonts w:ascii="Times New Roman" w:hAnsi="Times New Roman" w:cs="Times New Roman"/>
          <w:sz w:val="24"/>
          <w:szCs w:val="24"/>
        </w:rPr>
        <w:t xml:space="preserve"> 2025). Importantly, concentrations below 30 µg/mL maintained good cell </w:t>
      </w:r>
      <w:r w:rsidRPr="004177AD">
        <w:rPr>
          <w:rFonts w:ascii="Times New Roman" w:hAnsi="Times New Roman" w:cs="Times New Roman"/>
          <w:sz w:val="24"/>
          <w:szCs w:val="24"/>
        </w:rPr>
        <w:lastRenderedPageBreak/>
        <w:t xml:space="preserve">viability, which supports their use for evaluating biological activity without cytotoxic interference (Fotakis &amp; Timbrell, 2006; Kumar </w:t>
      </w:r>
      <w:r w:rsidRPr="00AE730F">
        <w:rPr>
          <w:rFonts w:ascii="Times New Roman" w:hAnsi="Times New Roman" w:cs="Times New Roman"/>
          <w:i/>
          <w:iCs/>
          <w:sz w:val="24"/>
          <w:szCs w:val="24"/>
        </w:rPr>
        <w:t>et al.,</w:t>
      </w:r>
      <w:r w:rsidRPr="004177AD">
        <w:rPr>
          <w:rFonts w:ascii="Times New Roman" w:hAnsi="Times New Roman" w:cs="Times New Roman"/>
          <w:sz w:val="24"/>
          <w:szCs w:val="24"/>
        </w:rPr>
        <w:t xml:space="preserve"> 2018; Riss </w:t>
      </w:r>
      <w:r w:rsidRPr="00AE730F">
        <w:rPr>
          <w:rFonts w:ascii="Times New Roman" w:hAnsi="Times New Roman" w:cs="Times New Roman"/>
          <w:i/>
          <w:iCs/>
          <w:sz w:val="24"/>
          <w:szCs w:val="24"/>
        </w:rPr>
        <w:t>et al.,</w:t>
      </w:r>
      <w:r w:rsidRPr="004177AD">
        <w:rPr>
          <w:rFonts w:ascii="Times New Roman" w:hAnsi="Times New Roman" w:cs="Times New Roman"/>
          <w:sz w:val="24"/>
          <w:szCs w:val="24"/>
        </w:rPr>
        <w:t xml:space="preserve"> 2016).</w:t>
      </w:r>
    </w:p>
    <w:p w14:paraId="12F1D153" w14:textId="77777777" w:rsidR="004177AD" w:rsidRDefault="004177AD" w:rsidP="004177AD">
      <w:pPr>
        <w:spacing w:line="360" w:lineRule="auto"/>
        <w:ind w:firstLine="720"/>
        <w:jc w:val="both"/>
        <w:rPr>
          <w:rFonts w:ascii="Times New Roman" w:hAnsi="Times New Roman" w:cs="Times New Roman"/>
          <w:sz w:val="24"/>
          <w:szCs w:val="24"/>
        </w:rPr>
      </w:pPr>
      <w:r w:rsidRPr="004177AD">
        <w:rPr>
          <w:rFonts w:ascii="Times New Roman" w:hAnsi="Times New Roman" w:cs="Times New Roman"/>
          <w:sz w:val="24"/>
          <w:szCs w:val="24"/>
        </w:rPr>
        <w:t xml:space="preserve">Macrophages play a central role in gout-associated inflammation, particularly through their response to monosodium urate (MSU) crystals. These crystals activate key inflammatory pathways such as NF-κB signaling and the NLRP3 inflammasome, leading to the production of pro-inflammatory cytokines (Martinon et al., 2006; So &amp; Martinon, 2017; Riaz et al., 2024). In the present study, treatment with both extracts resulted in a marked reduction in TNF-α and IL-6 expression in non-induced THP-1 cells. </w:t>
      </w:r>
      <w:r w:rsidR="00F049B0" w:rsidRPr="00F049B0">
        <w:rPr>
          <w:rFonts w:ascii="Times New Roman" w:hAnsi="Times New Roman" w:cs="Times New Roman"/>
          <w:sz w:val="24"/>
          <w:szCs w:val="24"/>
        </w:rPr>
        <w:t xml:space="preserve">Since TNF-α and IL-6 are key drivers of inflammatory amplification, their suppression suggests that the extracts can effectively modulate macrophage-mediated inflammatory signaling. </w:t>
      </w:r>
      <w:r w:rsidRPr="004177AD">
        <w:rPr>
          <w:rFonts w:ascii="Times New Roman" w:hAnsi="Times New Roman" w:cs="Times New Roman"/>
          <w:sz w:val="24"/>
          <w:szCs w:val="24"/>
        </w:rPr>
        <w:t xml:space="preserve">(Chen </w:t>
      </w:r>
      <w:r w:rsidRPr="00AE730F">
        <w:rPr>
          <w:rFonts w:ascii="Times New Roman" w:hAnsi="Times New Roman" w:cs="Times New Roman"/>
          <w:i/>
          <w:iCs/>
          <w:sz w:val="24"/>
          <w:szCs w:val="24"/>
        </w:rPr>
        <w:t>et al.,</w:t>
      </w:r>
      <w:r w:rsidRPr="004177AD">
        <w:rPr>
          <w:rFonts w:ascii="Times New Roman" w:hAnsi="Times New Roman" w:cs="Times New Roman"/>
          <w:sz w:val="24"/>
          <w:szCs w:val="24"/>
        </w:rPr>
        <w:t xml:space="preserve"> 2006; Kumar </w:t>
      </w:r>
      <w:r w:rsidRPr="00AE730F">
        <w:rPr>
          <w:rFonts w:ascii="Times New Roman" w:hAnsi="Times New Roman" w:cs="Times New Roman"/>
          <w:i/>
          <w:iCs/>
          <w:sz w:val="24"/>
          <w:szCs w:val="24"/>
        </w:rPr>
        <w:t>et al.,</w:t>
      </w:r>
      <w:r w:rsidRPr="004177AD">
        <w:rPr>
          <w:rFonts w:ascii="Times New Roman" w:hAnsi="Times New Roman" w:cs="Times New Roman"/>
          <w:sz w:val="24"/>
          <w:szCs w:val="24"/>
        </w:rPr>
        <w:t xml:space="preserve"> 2018).</w:t>
      </w:r>
      <w:r w:rsidR="00F049B0" w:rsidRPr="00F049B0">
        <w:t xml:space="preserve"> </w:t>
      </w:r>
      <w:r w:rsidR="00F049B0" w:rsidRPr="00F049B0">
        <w:rPr>
          <w:rFonts w:ascii="Times New Roman" w:hAnsi="Times New Roman" w:cs="Times New Roman"/>
          <w:sz w:val="24"/>
          <w:szCs w:val="24"/>
        </w:rPr>
        <w:t xml:space="preserve">Interleukin-6 (IL-6) is a pleiotropic cytokine exhibiting both pro-inflammatory and anti-inflammatory functions and has been implicated in several inflammatory disorders including gouty arthritis, rheumatoid arthritis, inflammatory bowel disease and cancer. During acute inflammatory responses, IL-6 contributes to host defense and tissue repair; however, excessive IL-6 production and dysregulation of IL-6 receptor (IL-6R) signaling may promote pathological inflammation and disease progression. Recent studies further demonstrated the important role of IL-6 and its receptor-mediated signaling in the pathogenesis of gout, suggesting that altered IL-6 activity contributes to inflammatory progression during gout attacks (Zhang </w:t>
      </w:r>
      <w:r w:rsidR="00F049B0" w:rsidRPr="00F049B0">
        <w:rPr>
          <w:rFonts w:ascii="Times New Roman" w:hAnsi="Times New Roman" w:cs="Times New Roman"/>
          <w:i/>
          <w:iCs/>
          <w:sz w:val="24"/>
          <w:szCs w:val="24"/>
        </w:rPr>
        <w:t>et al.,</w:t>
      </w:r>
      <w:r w:rsidR="00F049B0" w:rsidRPr="00F049B0">
        <w:rPr>
          <w:rFonts w:ascii="Times New Roman" w:hAnsi="Times New Roman" w:cs="Times New Roman"/>
          <w:sz w:val="24"/>
          <w:szCs w:val="24"/>
        </w:rPr>
        <w:t xml:space="preserve"> 2024). Clinical observations have additionally shown that reduction of IL-6 and other inflammatory cytokines is associated with improvement in gout-related inflammatory responses and disease severity (Hao </w:t>
      </w:r>
      <w:r w:rsidR="00F049B0" w:rsidRPr="00F049B0">
        <w:rPr>
          <w:rFonts w:ascii="Times New Roman" w:hAnsi="Times New Roman" w:cs="Times New Roman"/>
          <w:i/>
          <w:iCs/>
          <w:sz w:val="24"/>
          <w:szCs w:val="24"/>
        </w:rPr>
        <w:t>et al.,</w:t>
      </w:r>
      <w:r w:rsidR="00F049B0" w:rsidRPr="00F049B0">
        <w:rPr>
          <w:rFonts w:ascii="Times New Roman" w:hAnsi="Times New Roman" w:cs="Times New Roman"/>
          <w:sz w:val="24"/>
          <w:szCs w:val="24"/>
        </w:rPr>
        <w:t xml:space="preserve"> 2019). Therefore, the significant suppression of IL-6 observed following treatment with EDQ and ECA may indicate modulation of cytokine-driven pathways involved in gout-associated inflammatory progression.</w:t>
      </w:r>
    </w:p>
    <w:p w14:paraId="61F8295A" w14:textId="77777777" w:rsidR="00480884" w:rsidRPr="004177AD" w:rsidRDefault="00480884" w:rsidP="004177AD">
      <w:pPr>
        <w:spacing w:line="360" w:lineRule="auto"/>
        <w:ind w:firstLine="720"/>
        <w:jc w:val="both"/>
        <w:rPr>
          <w:rFonts w:ascii="Times New Roman" w:hAnsi="Times New Roman" w:cs="Times New Roman"/>
          <w:sz w:val="24"/>
          <w:szCs w:val="24"/>
        </w:rPr>
      </w:pPr>
      <w:r w:rsidRPr="00480884">
        <w:rPr>
          <w:rFonts w:ascii="Times New Roman" w:hAnsi="Times New Roman" w:cs="Times New Roman"/>
          <w:sz w:val="24"/>
          <w:szCs w:val="24"/>
        </w:rPr>
        <w:t xml:space="preserve">The activation of innate immune responses following monosodium urate (MSU) crystal deposition is associated with coordinated interactions between innate and adaptive immune pathways, thereby amplifying gout-associated inflammation. MSU crystal recognition by macrophages initiates inflammatory cascades involving several cytokines and chemokines, including interleukin-1β (IL-1β), tumor necrosis factor-α (TNF-α), interleukin-6 (IL-6), and interleukin-8 (IL-8), which serve as major mediators of crystal-induced inflammatory responses. Elevated concentrations of these inflammatory mediators contribute not only to localized joint inflammation but also to systemic inflammatory manifestations and pain-associated signaling </w:t>
      </w:r>
      <w:r w:rsidRPr="00480884">
        <w:rPr>
          <w:rFonts w:ascii="Times New Roman" w:hAnsi="Times New Roman" w:cs="Times New Roman"/>
          <w:sz w:val="24"/>
          <w:szCs w:val="24"/>
        </w:rPr>
        <w:lastRenderedPageBreak/>
        <w:t xml:space="preserve">mechanisms. Recent studies further demonstrated that systemic inflammatory markers are positively associated with disease activity and progression in gouty arthritis (Jiang </w:t>
      </w:r>
      <w:r w:rsidRPr="00480884">
        <w:rPr>
          <w:rFonts w:ascii="Times New Roman" w:hAnsi="Times New Roman" w:cs="Times New Roman"/>
          <w:i/>
          <w:iCs/>
          <w:sz w:val="24"/>
          <w:szCs w:val="24"/>
        </w:rPr>
        <w:t>et al.,</w:t>
      </w:r>
      <w:r w:rsidRPr="00480884">
        <w:rPr>
          <w:rFonts w:ascii="Times New Roman" w:hAnsi="Times New Roman" w:cs="Times New Roman"/>
          <w:sz w:val="24"/>
          <w:szCs w:val="24"/>
        </w:rPr>
        <w:t xml:space="preserve"> 2023), while cytokine-mediated pathways significantly contribute to inflammatory pain development and persistence (Pinto </w:t>
      </w:r>
      <w:r w:rsidRPr="00480884">
        <w:rPr>
          <w:rFonts w:ascii="Times New Roman" w:hAnsi="Times New Roman" w:cs="Times New Roman"/>
          <w:i/>
          <w:iCs/>
          <w:sz w:val="24"/>
          <w:szCs w:val="24"/>
        </w:rPr>
        <w:t>et al.,</w:t>
      </w:r>
      <w:r w:rsidRPr="00480884">
        <w:rPr>
          <w:rFonts w:ascii="Times New Roman" w:hAnsi="Times New Roman" w:cs="Times New Roman"/>
          <w:sz w:val="24"/>
          <w:szCs w:val="24"/>
        </w:rPr>
        <w:t xml:space="preserve"> 2021). Therefore, the significant reduction in TNF-α and IL-6 expression observed following EDQ and ECA treatment may indicate suppression of cytokine amplification pathways associated with gout-related inflammatory progression.</w:t>
      </w:r>
    </w:p>
    <w:p w14:paraId="0857577C" w14:textId="77777777" w:rsidR="004177AD" w:rsidRPr="004177AD" w:rsidRDefault="004177AD" w:rsidP="004177AD">
      <w:pPr>
        <w:spacing w:line="360" w:lineRule="auto"/>
        <w:ind w:firstLine="720"/>
        <w:jc w:val="both"/>
        <w:rPr>
          <w:rFonts w:ascii="Times New Roman" w:hAnsi="Times New Roman" w:cs="Times New Roman"/>
          <w:sz w:val="24"/>
          <w:szCs w:val="24"/>
        </w:rPr>
      </w:pPr>
      <w:r w:rsidRPr="004177AD">
        <w:rPr>
          <w:rFonts w:ascii="Times New Roman" w:hAnsi="Times New Roman" w:cs="Times New Roman"/>
          <w:sz w:val="24"/>
          <w:szCs w:val="24"/>
        </w:rPr>
        <w:t>A similar trend was observed for COX-2, which was significantly downregulated following treatment. As COX-2 is responsible for prostaglandin E₂ synthesis and is closely associated with inflammatory pain and tissue responses, its suppression further supports the anti-inflammatory potential of these rhizome extracts (Ricciotti &amp; FitzGerald, 2011).</w:t>
      </w:r>
    </w:p>
    <w:p w14:paraId="19C3F835" w14:textId="77777777" w:rsidR="004177AD" w:rsidRPr="004177AD" w:rsidRDefault="004177AD" w:rsidP="004177AD">
      <w:pPr>
        <w:spacing w:line="360" w:lineRule="auto"/>
        <w:ind w:firstLine="720"/>
        <w:jc w:val="both"/>
        <w:rPr>
          <w:rFonts w:ascii="Times New Roman" w:hAnsi="Times New Roman" w:cs="Times New Roman"/>
          <w:sz w:val="24"/>
          <w:szCs w:val="24"/>
        </w:rPr>
      </w:pPr>
      <w:r w:rsidRPr="004177AD">
        <w:rPr>
          <w:rFonts w:ascii="Times New Roman" w:hAnsi="Times New Roman" w:cs="Times New Roman"/>
          <w:sz w:val="24"/>
          <w:szCs w:val="24"/>
        </w:rPr>
        <w:t xml:space="preserve">Interestingly, in contrast to the suppression of cytokines, iNOS expression was found to be upregulated, particularly in cells treated with </w:t>
      </w:r>
      <w:r w:rsidRPr="004177AD">
        <w:rPr>
          <w:rFonts w:ascii="Times New Roman" w:hAnsi="Times New Roman" w:cs="Times New Roman"/>
          <w:i/>
          <w:iCs/>
          <w:sz w:val="24"/>
          <w:szCs w:val="24"/>
        </w:rPr>
        <w:t>D. quercifolia</w:t>
      </w:r>
      <w:r w:rsidRPr="004177AD">
        <w:rPr>
          <w:rFonts w:ascii="Times New Roman" w:hAnsi="Times New Roman" w:cs="Times New Roman"/>
          <w:sz w:val="24"/>
          <w:szCs w:val="24"/>
        </w:rPr>
        <w:t xml:space="preserve">. Inducible nitric oxide synthase plays a complex role in immune regulation, contributing not only to inflammatory processes but also to host defense and redox balance (Bogdan, 2015). In macrophages, iNOS expression can vary depending on cellular context and external stimuli (Ozleyen </w:t>
      </w:r>
      <w:r w:rsidRPr="00AE730F">
        <w:rPr>
          <w:rFonts w:ascii="Times New Roman" w:hAnsi="Times New Roman" w:cs="Times New Roman"/>
          <w:i/>
          <w:iCs/>
          <w:sz w:val="24"/>
          <w:szCs w:val="24"/>
        </w:rPr>
        <w:t>et al.,</w:t>
      </w:r>
      <w:r w:rsidRPr="004177AD">
        <w:rPr>
          <w:rFonts w:ascii="Times New Roman" w:hAnsi="Times New Roman" w:cs="Times New Roman"/>
          <w:sz w:val="24"/>
          <w:szCs w:val="24"/>
        </w:rPr>
        <w:t xml:space="preserve"> 2021). Since this study was performed under non-induced conditions, the observed increase in iNOS expression may represent a regulatory or adaptive response rather than a purely pro-inflammatory effect.</w:t>
      </w:r>
    </w:p>
    <w:p w14:paraId="0E15B9A9" w14:textId="77777777" w:rsidR="004177AD" w:rsidRDefault="004177AD" w:rsidP="004177AD">
      <w:pPr>
        <w:spacing w:line="360" w:lineRule="auto"/>
        <w:ind w:firstLine="720"/>
        <w:jc w:val="both"/>
        <w:rPr>
          <w:rFonts w:ascii="Times New Roman" w:hAnsi="Times New Roman" w:cs="Times New Roman"/>
          <w:sz w:val="24"/>
          <w:szCs w:val="24"/>
        </w:rPr>
      </w:pPr>
      <w:r w:rsidRPr="004177AD">
        <w:rPr>
          <w:rFonts w:ascii="Times New Roman" w:hAnsi="Times New Roman" w:cs="Times New Roman"/>
          <w:sz w:val="24"/>
          <w:szCs w:val="24"/>
        </w:rPr>
        <w:t>Taken together, the simultaneous suppression of TNF-α, IL-6, and COX-2 along with modulation of iNOS suggests that the extracts do not act through a single pathway but instead influence multiple components of the inflammatory network. This type of multi-target response is often characteristic of plant-derived bioactive compounds.</w:t>
      </w:r>
    </w:p>
    <w:p w14:paraId="728048E8" w14:textId="77777777" w:rsidR="0078179C" w:rsidRPr="0078179C" w:rsidRDefault="0078179C" w:rsidP="0078179C">
      <w:pPr>
        <w:spacing w:line="360" w:lineRule="auto"/>
        <w:ind w:firstLine="720"/>
        <w:jc w:val="both"/>
        <w:rPr>
          <w:rFonts w:ascii="Times New Roman" w:hAnsi="Times New Roman" w:cs="Times New Roman"/>
          <w:sz w:val="24"/>
          <w:szCs w:val="24"/>
        </w:rPr>
      </w:pPr>
      <w:r w:rsidRPr="0078179C">
        <w:rPr>
          <w:rFonts w:ascii="Times New Roman" w:hAnsi="Times New Roman" w:cs="Times New Roman"/>
          <w:sz w:val="24"/>
          <w:szCs w:val="24"/>
        </w:rPr>
        <w:t>The present study evaluated the transcriptional response of THP-1 cells to rhizome extracts under non-induced conditions, thereby reflecting their intrinsic immunomodulatory potential rather than classical anti-inflammatory activity. The significant down regulation of TNF-α, IL-6, and COX-2 suggests suppression of basal inflammatory signaling pathways. However, as the model does not involve prior inflammatory stimulation, these findings should be interpreted as modulation of basal cytokine expression rather than inhibition of an activated inflammatory state.</w:t>
      </w:r>
    </w:p>
    <w:p w14:paraId="3E79D52E" w14:textId="1E49F757" w:rsidR="0078179C" w:rsidRDefault="0078179C" w:rsidP="0078179C">
      <w:pPr>
        <w:spacing w:line="360" w:lineRule="auto"/>
        <w:ind w:firstLine="720"/>
        <w:jc w:val="both"/>
      </w:pPr>
      <w:r w:rsidRPr="0078179C">
        <w:rPr>
          <w:rFonts w:ascii="Times New Roman" w:hAnsi="Times New Roman" w:cs="Times New Roman"/>
          <w:sz w:val="24"/>
          <w:szCs w:val="24"/>
        </w:rPr>
        <w:t xml:space="preserve">The observed up regulation of iNOS, particularly in </w:t>
      </w:r>
      <w:r w:rsidRPr="0078179C">
        <w:rPr>
          <w:rFonts w:ascii="Times New Roman" w:hAnsi="Times New Roman" w:cs="Times New Roman"/>
          <w:i/>
          <w:iCs/>
          <w:sz w:val="24"/>
          <w:szCs w:val="24"/>
        </w:rPr>
        <w:t>D. quercifolia</w:t>
      </w:r>
      <w:r w:rsidRPr="0078179C">
        <w:rPr>
          <w:rFonts w:ascii="Times New Roman" w:hAnsi="Times New Roman" w:cs="Times New Roman"/>
          <w:sz w:val="24"/>
          <w:szCs w:val="24"/>
        </w:rPr>
        <w:t xml:space="preserve">-treated cells, indicates a differential regulatory response that may be associated with nitric oxide–mediated cellular </w:t>
      </w:r>
      <w:r w:rsidRPr="0078179C">
        <w:rPr>
          <w:rFonts w:ascii="Times New Roman" w:hAnsi="Times New Roman" w:cs="Times New Roman"/>
          <w:sz w:val="24"/>
          <w:szCs w:val="24"/>
        </w:rPr>
        <w:lastRenderedPageBreak/>
        <w:t>signaling. Given the dual role of nitric oxide in both pro-inflammatory and regulatory processes, this increase should be interpreted cautiously. Further studies involving measurement of nitric oxide levels and the use of stimulated inflammatory models (e.g., LPS or MSU-induced THP-1 cells) are necessary to clarify the functional implications of iNOS induction.</w:t>
      </w:r>
      <w:r w:rsidR="00E63F11" w:rsidRPr="00E63F11">
        <w:t xml:space="preserve"> </w:t>
      </w:r>
    </w:p>
    <w:p w14:paraId="5E38A7C0" w14:textId="53385056" w:rsidR="00D42ED4" w:rsidRPr="0078179C" w:rsidRDefault="00D42ED4" w:rsidP="0078179C">
      <w:pPr>
        <w:spacing w:line="360" w:lineRule="auto"/>
        <w:ind w:firstLine="720"/>
        <w:jc w:val="both"/>
        <w:rPr>
          <w:rFonts w:ascii="Times New Roman" w:hAnsi="Times New Roman" w:cs="Times New Roman"/>
          <w:sz w:val="24"/>
          <w:szCs w:val="24"/>
        </w:rPr>
      </w:pPr>
      <w:r w:rsidRPr="00D42ED4">
        <w:rPr>
          <w:rFonts w:ascii="Times New Roman" w:hAnsi="Times New Roman" w:cs="Times New Roman"/>
          <w:sz w:val="24"/>
          <w:szCs w:val="24"/>
          <w:highlight w:val="yellow"/>
        </w:rPr>
        <w:t xml:space="preserve">As reported by Xiang </w:t>
      </w:r>
      <w:r w:rsidRPr="00D42ED4">
        <w:rPr>
          <w:rFonts w:ascii="Times New Roman" w:hAnsi="Times New Roman" w:cs="Times New Roman"/>
          <w:i/>
          <w:iCs/>
          <w:sz w:val="24"/>
          <w:szCs w:val="24"/>
          <w:highlight w:val="yellow"/>
        </w:rPr>
        <w:t>et al.</w:t>
      </w:r>
      <w:r>
        <w:rPr>
          <w:rFonts w:ascii="Times New Roman" w:hAnsi="Times New Roman" w:cs="Times New Roman"/>
          <w:i/>
          <w:iCs/>
          <w:sz w:val="24"/>
          <w:szCs w:val="24"/>
          <w:highlight w:val="yellow"/>
        </w:rPr>
        <w:t>,</w:t>
      </w:r>
      <w:r w:rsidRPr="00D42ED4">
        <w:rPr>
          <w:rFonts w:ascii="Times New Roman" w:hAnsi="Times New Roman" w:cs="Times New Roman"/>
          <w:sz w:val="24"/>
          <w:szCs w:val="24"/>
          <w:highlight w:val="yellow"/>
        </w:rPr>
        <w:t xml:space="preserve"> (2026), MSU crystal stimulation is a central driver of gout-associated inflammation through activation of monocytes and macrophages, leading to the production of pro-inflammatory mediators and inflammasome signaling. Therefore, future studies employing MSU-stimulated THP-1 models would further strengthen the translational relevance of the present findings.</w:t>
      </w:r>
    </w:p>
    <w:p w14:paraId="62F42AF0" w14:textId="2115D928" w:rsidR="0078179C" w:rsidRPr="0078179C" w:rsidRDefault="0078179C" w:rsidP="0078179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Thus, </w:t>
      </w:r>
      <w:r w:rsidRPr="0078179C">
        <w:rPr>
          <w:rFonts w:ascii="Times New Roman" w:hAnsi="Times New Roman" w:cs="Times New Roman"/>
          <w:sz w:val="24"/>
          <w:szCs w:val="24"/>
        </w:rPr>
        <w:t>the findings demonstrate that the extracts exert measurable transcriptional effects on key inflammatory mediators under basal conditions, suggesting potential immunomodulatory properties that warrant further mechanistic validation</w:t>
      </w:r>
      <w:r w:rsidR="00D42ED4">
        <w:rPr>
          <w:rFonts w:ascii="Times New Roman" w:hAnsi="Times New Roman" w:cs="Times New Roman"/>
          <w:sz w:val="24"/>
          <w:szCs w:val="24"/>
          <w:highlight w:val="yellow"/>
        </w:rPr>
        <w:t xml:space="preserve">. </w:t>
      </w:r>
      <w:r w:rsidR="00D42ED4" w:rsidRPr="00E63F11">
        <w:rPr>
          <w:rFonts w:ascii="Times New Roman" w:hAnsi="Times New Roman" w:cs="Times New Roman"/>
          <w:sz w:val="24"/>
          <w:szCs w:val="24"/>
          <w:highlight w:val="yellow"/>
        </w:rPr>
        <w:t>Although substantial changes in relative gene expression were observed, these findings should be interpreted cautiously because the experiments were performed in non-induced THP-1 monocytes and assessed only transcriptional responses. Additional studies involving inflammatory stimulation, protein-level validation, and functional assays are required to confirm the biological significance of these observations.</w:t>
      </w:r>
    </w:p>
    <w:p w14:paraId="4C20223D" w14:textId="77777777" w:rsidR="004177AD" w:rsidRDefault="004177AD" w:rsidP="0078179C">
      <w:pPr>
        <w:spacing w:line="360" w:lineRule="auto"/>
        <w:ind w:firstLine="720"/>
        <w:jc w:val="both"/>
        <w:rPr>
          <w:rFonts w:ascii="Times New Roman" w:hAnsi="Times New Roman" w:cs="Times New Roman"/>
          <w:sz w:val="24"/>
          <w:szCs w:val="24"/>
        </w:rPr>
      </w:pPr>
      <w:r w:rsidRPr="004177AD">
        <w:rPr>
          <w:rFonts w:ascii="Times New Roman" w:hAnsi="Times New Roman" w:cs="Times New Roman"/>
          <w:sz w:val="24"/>
          <w:szCs w:val="24"/>
        </w:rPr>
        <w:t xml:space="preserve">Comparatively, </w:t>
      </w:r>
      <w:r w:rsidRPr="004177AD">
        <w:rPr>
          <w:rFonts w:ascii="Times New Roman" w:hAnsi="Times New Roman" w:cs="Times New Roman"/>
          <w:i/>
          <w:iCs/>
          <w:sz w:val="24"/>
          <w:szCs w:val="24"/>
        </w:rPr>
        <w:t>D. quercifolia</w:t>
      </w:r>
      <w:r w:rsidRPr="004177AD">
        <w:rPr>
          <w:rFonts w:ascii="Times New Roman" w:hAnsi="Times New Roman" w:cs="Times New Roman"/>
          <w:sz w:val="24"/>
          <w:szCs w:val="24"/>
        </w:rPr>
        <w:t xml:space="preserve"> showed a stronger effect than </w:t>
      </w:r>
      <w:r w:rsidRPr="004177AD">
        <w:rPr>
          <w:rFonts w:ascii="Times New Roman" w:hAnsi="Times New Roman" w:cs="Times New Roman"/>
          <w:i/>
          <w:iCs/>
          <w:sz w:val="24"/>
          <w:szCs w:val="24"/>
        </w:rPr>
        <w:t>C. aeruginosa</w:t>
      </w:r>
      <w:r w:rsidRPr="004177AD">
        <w:rPr>
          <w:rFonts w:ascii="Times New Roman" w:hAnsi="Times New Roman" w:cs="Times New Roman"/>
          <w:sz w:val="24"/>
          <w:szCs w:val="24"/>
        </w:rPr>
        <w:t xml:space="preserve"> in terms of cytokine suppression and iNOS modulation. This indicates a more pronounced transcriptional impact, possibly due to differences in phytochemical composition. Further studies would be required to identify the specific compounds responsible for these effects and to understand their precise mechanisms of action.</w:t>
      </w:r>
    </w:p>
    <w:p w14:paraId="5BCA4450" w14:textId="1E60EBC3" w:rsidR="00E63F11" w:rsidRDefault="00E63F11" w:rsidP="00E63F11">
      <w:pPr>
        <w:spacing w:line="360" w:lineRule="auto"/>
        <w:jc w:val="both"/>
        <w:rPr>
          <w:rFonts w:ascii="Times New Roman" w:hAnsi="Times New Roman" w:cs="Times New Roman"/>
          <w:b/>
          <w:bCs/>
          <w:sz w:val="24"/>
          <w:szCs w:val="24"/>
        </w:rPr>
      </w:pPr>
      <w:r w:rsidRPr="00E63F11">
        <w:rPr>
          <w:rFonts w:ascii="Times New Roman" w:hAnsi="Times New Roman" w:cs="Times New Roman"/>
          <w:b/>
          <w:bCs/>
          <w:sz w:val="24"/>
          <w:szCs w:val="24"/>
          <w:highlight w:val="yellow"/>
        </w:rPr>
        <w:t>4.1 Limitations of the Study</w:t>
      </w:r>
    </w:p>
    <w:p w14:paraId="720110EB" w14:textId="2A2057D8" w:rsidR="00E63F11" w:rsidRPr="00E63F11" w:rsidRDefault="00E63F11" w:rsidP="00E63F11">
      <w:pPr>
        <w:spacing w:line="360" w:lineRule="auto"/>
        <w:ind w:firstLine="720"/>
        <w:jc w:val="both"/>
        <w:rPr>
          <w:rFonts w:ascii="Times New Roman" w:hAnsi="Times New Roman" w:cs="Times New Roman"/>
          <w:sz w:val="24"/>
          <w:szCs w:val="24"/>
        </w:rPr>
      </w:pPr>
      <w:r w:rsidRPr="00E63F11">
        <w:rPr>
          <w:rFonts w:ascii="Times New Roman" w:hAnsi="Times New Roman" w:cs="Times New Roman"/>
          <w:sz w:val="24"/>
          <w:szCs w:val="24"/>
          <w:highlight w:val="yellow"/>
        </w:rPr>
        <w:t>The present study was conducted using non-induced THP-1 monocytes and therefore reflects basal immunomodulatory effects rather than responses under inflammatory conditions. Gene expression analysis was limited to the mRNA level and protein expression, cytokine secretion, and nitric oxide production were not evaluated. Furthermore, inflammatory stimulation using agents such as monosodium urate (MSU) crystals was not performed.</w:t>
      </w:r>
      <w:r w:rsidRPr="00E63F11">
        <w:rPr>
          <w:highlight w:val="yellow"/>
        </w:rPr>
        <w:t xml:space="preserve"> </w:t>
      </w:r>
      <w:r w:rsidRPr="00E63F11">
        <w:rPr>
          <w:rFonts w:ascii="Times New Roman" w:hAnsi="Times New Roman" w:cs="Times New Roman"/>
          <w:sz w:val="24"/>
          <w:szCs w:val="24"/>
          <w:highlight w:val="yellow"/>
        </w:rPr>
        <w:t xml:space="preserve">In addition, the RT-qPCR protocol employed a relatively low annealing temperature, and further optimization and validation of amplification specificity would strengthen future investigations. Therefore, </w:t>
      </w:r>
      <w:r w:rsidRPr="00E63F11">
        <w:rPr>
          <w:rFonts w:ascii="Times New Roman" w:hAnsi="Times New Roman" w:cs="Times New Roman"/>
          <w:sz w:val="24"/>
          <w:szCs w:val="24"/>
          <w:highlight w:val="yellow"/>
        </w:rPr>
        <w:lastRenderedPageBreak/>
        <w:t>additional studies involving stimulated cell models and protein-level validation are required to further confirm the biological significance of the observed transcriptional changes.</w:t>
      </w:r>
    </w:p>
    <w:p w14:paraId="07CE4AF7" w14:textId="77777777" w:rsidR="00505FBF" w:rsidRPr="00505FBF" w:rsidRDefault="00505FBF" w:rsidP="00505FBF">
      <w:pPr>
        <w:spacing w:line="360" w:lineRule="auto"/>
        <w:jc w:val="both"/>
        <w:rPr>
          <w:rFonts w:ascii="Times New Roman" w:hAnsi="Times New Roman" w:cs="Times New Roman"/>
          <w:b/>
          <w:bCs/>
          <w:sz w:val="24"/>
          <w:szCs w:val="24"/>
        </w:rPr>
      </w:pPr>
      <w:r w:rsidRPr="00505FBF">
        <w:rPr>
          <w:rFonts w:ascii="Times New Roman" w:hAnsi="Times New Roman" w:cs="Times New Roman"/>
          <w:b/>
          <w:bCs/>
          <w:sz w:val="24"/>
          <w:szCs w:val="24"/>
        </w:rPr>
        <w:t>5. Conclusion</w:t>
      </w:r>
    </w:p>
    <w:p w14:paraId="29D17DAB" w14:textId="551A4E45" w:rsidR="004E2F18" w:rsidRPr="00E63F11" w:rsidRDefault="00E63F11" w:rsidP="00E63F11">
      <w:pPr>
        <w:spacing w:after="0" w:line="360" w:lineRule="auto"/>
        <w:ind w:firstLine="720"/>
        <w:jc w:val="both"/>
        <w:rPr>
          <w:rFonts w:ascii="Times New Roman" w:hAnsi="Times New Roman" w:cs="Times New Roman"/>
          <w:iCs/>
        </w:rPr>
      </w:pPr>
      <w:r w:rsidRPr="00E63F11">
        <w:rPr>
          <w:rFonts w:ascii="Times New Roman" w:hAnsi="Times New Roman" w:cs="Times New Roman"/>
          <w:iCs/>
          <w:highlight w:val="yellow"/>
        </w:rPr>
        <w:t xml:space="preserve">The present study demonstrated that ethanolic rhizome extracts of </w:t>
      </w:r>
      <w:r w:rsidRPr="00E63F11">
        <w:rPr>
          <w:rFonts w:ascii="Times New Roman" w:hAnsi="Times New Roman" w:cs="Times New Roman"/>
          <w:i/>
          <w:iCs/>
          <w:highlight w:val="yellow"/>
        </w:rPr>
        <w:t>Drynaria quercifolia</w:t>
      </w:r>
      <w:r w:rsidRPr="00E63F11">
        <w:rPr>
          <w:rFonts w:ascii="Times New Roman" w:hAnsi="Times New Roman" w:cs="Times New Roman"/>
          <w:iCs/>
          <w:highlight w:val="yellow"/>
        </w:rPr>
        <w:t xml:space="preserve"> and </w:t>
      </w:r>
      <w:r w:rsidRPr="00E63F11">
        <w:rPr>
          <w:rFonts w:ascii="Times New Roman" w:hAnsi="Times New Roman" w:cs="Times New Roman"/>
          <w:i/>
          <w:iCs/>
          <w:highlight w:val="yellow"/>
        </w:rPr>
        <w:t>Curcuma aeruginosa</w:t>
      </w:r>
      <w:r w:rsidRPr="00E63F11">
        <w:rPr>
          <w:rFonts w:ascii="Times New Roman" w:hAnsi="Times New Roman" w:cs="Times New Roman"/>
          <w:iCs/>
          <w:highlight w:val="yellow"/>
        </w:rPr>
        <w:t xml:space="preserve"> modulate the expression of key inflammatory mediators in non-induced THP-1 monocytes. Both extracts reduced the expression of TNF-α, IL-6, and COX-2, while differentially regulating iNOS expression, indicating their ability to influence basal inflammatory signaling pathways. Among the two extracts, </w:t>
      </w:r>
      <w:r w:rsidRPr="00E63F11">
        <w:rPr>
          <w:rFonts w:ascii="Times New Roman" w:hAnsi="Times New Roman" w:cs="Times New Roman"/>
          <w:i/>
          <w:iCs/>
          <w:highlight w:val="yellow"/>
        </w:rPr>
        <w:t>D. quercifolia</w:t>
      </w:r>
      <w:r w:rsidRPr="00E63F11">
        <w:rPr>
          <w:rFonts w:ascii="Times New Roman" w:hAnsi="Times New Roman" w:cs="Times New Roman"/>
          <w:iCs/>
          <w:highlight w:val="yellow"/>
        </w:rPr>
        <w:t xml:space="preserve"> exhibited a comparatively stronger transcriptional modulatory effect. These findings suggest that the investigated rhizome extracts possess intrinsic immunomodulatory properties under non-induced conditions. However, as the study was limited to mRNA expression analysis in unstimulated THP-1 cells, further investigations involving inflammatory stimulation models, protein-level validation, and mechanistic studies are required to confirm the biological significance and therapeutic relevance of the observed effects.</w:t>
      </w:r>
    </w:p>
    <w:p w14:paraId="64CED938" w14:textId="77777777" w:rsidR="004E2F18" w:rsidRPr="00E63F11" w:rsidRDefault="004E2F18" w:rsidP="00E63F11">
      <w:pPr>
        <w:spacing w:after="0" w:line="360" w:lineRule="auto"/>
        <w:jc w:val="both"/>
        <w:rPr>
          <w:rFonts w:ascii="Times New Roman" w:hAnsi="Times New Roman" w:cs="Times New Roman"/>
          <w:b/>
          <w:bCs/>
          <w:iCs/>
        </w:rPr>
      </w:pPr>
      <w:r w:rsidRPr="00E63F11">
        <w:rPr>
          <w:rFonts w:ascii="Times New Roman" w:hAnsi="Times New Roman" w:cs="Times New Roman"/>
          <w:b/>
          <w:bCs/>
          <w:iCs/>
        </w:rPr>
        <w:t>Conflict of Interest</w:t>
      </w:r>
    </w:p>
    <w:p w14:paraId="6E7019D9" w14:textId="77777777" w:rsidR="004E2F18" w:rsidRPr="008E7CD5" w:rsidRDefault="004E2F18" w:rsidP="004E2F18">
      <w:pPr>
        <w:spacing w:after="0" w:line="240" w:lineRule="auto"/>
        <w:ind w:firstLine="720"/>
        <w:jc w:val="both"/>
        <w:rPr>
          <w:rFonts w:ascii="Times New Roman" w:hAnsi="Times New Roman" w:cs="Times New Roman"/>
          <w:bCs/>
          <w:iCs/>
          <w:sz w:val="24"/>
          <w:szCs w:val="24"/>
        </w:rPr>
      </w:pPr>
      <w:r w:rsidRPr="008E7CD5">
        <w:rPr>
          <w:rFonts w:ascii="Times New Roman" w:hAnsi="Times New Roman" w:cs="Times New Roman"/>
          <w:bCs/>
          <w:iCs/>
          <w:sz w:val="24"/>
          <w:szCs w:val="24"/>
        </w:rPr>
        <w:t>The authors declare that there are no conflicts of interest regarding the publication of this manuscript.</w:t>
      </w:r>
    </w:p>
    <w:p w14:paraId="5D9C983C" w14:textId="77777777" w:rsidR="004E2F18" w:rsidRDefault="004E2F18" w:rsidP="004E2F18">
      <w:pPr>
        <w:spacing w:after="0" w:line="240" w:lineRule="auto"/>
        <w:jc w:val="both"/>
        <w:rPr>
          <w:rFonts w:ascii="Times New Roman" w:hAnsi="Times New Roman" w:cs="Times New Roman"/>
          <w:bCs/>
          <w:iCs/>
          <w:sz w:val="24"/>
          <w:szCs w:val="24"/>
        </w:rPr>
      </w:pPr>
    </w:p>
    <w:p w14:paraId="04F63848" w14:textId="5E4D486A" w:rsidR="00E63F11" w:rsidRDefault="00E63F11" w:rsidP="00E63F11">
      <w:pPr>
        <w:spacing w:after="0" w:line="240" w:lineRule="auto"/>
        <w:jc w:val="both"/>
        <w:rPr>
          <w:rFonts w:ascii="Times New Roman" w:hAnsi="Times New Roman" w:cs="Times New Roman"/>
          <w:b/>
          <w:bCs/>
          <w:iCs/>
          <w:sz w:val="24"/>
          <w:szCs w:val="24"/>
        </w:rPr>
      </w:pPr>
      <w:r w:rsidRPr="00E63F11">
        <w:rPr>
          <w:rFonts w:ascii="Times New Roman" w:hAnsi="Times New Roman" w:cs="Times New Roman"/>
          <w:b/>
          <w:bCs/>
          <w:iCs/>
          <w:sz w:val="24"/>
          <w:szCs w:val="24"/>
        </w:rPr>
        <w:t xml:space="preserve">Ethical </w:t>
      </w:r>
      <w:r w:rsidR="00181118">
        <w:rPr>
          <w:rFonts w:ascii="Times New Roman" w:hAnsi="Times New Roman" w:cs="Times New Roman"/>
          <w:b/>
          <w:bCs/>
          <w:iCs/>
          <w:sz w:val="24"/>
          <w:szCs w:val="24"/>
        </w:rPr>
        <w:t xml:space="preserve">Approval </w:t>
      </w:r>
    </w:p>
    <w:p w14:paraId="0C8C7660" w14:textId="17008E2B" w:rsidR="00181118" w:rsidRDefault="00181118" w:rsidP="00E63F11">
      <w:pPr>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NA</w:t>
      </w:r>
    </w:p>
    <w:p w14:paraId="630FC52C" w14:textId="77777777" w:rsidR="00181118" w:rsidRDefault="00181118" w:rsidP="00E63F11">
      <w:pPr>
        <w:spacing w:after="0" w:line="240" w:lineRule="auto"/>
        <w:jc w:val="both"/>
        <w:rPr>
          <w:rFonts w:ascii="Times New Roman" w:hAnsi="Times New Roman" w:cs="Times New Roman"/>
          <w:b/>
          <w:bCs/>
          <w:iCs/>
          <w:sz w:val="24"/>
          <w:szCs w:val="24"/>
        </w:rPr>
      </w:pPr>
    </w:p>
    <w:p w14:paraId="3274FA59" w14:textId="33B0291E" w:rsidR="00181118" w:rsidRPr="00181118" w:rsidRDefault="00181118" w:rsidP="00E63F11">
      <w:pPr>
        <w:spacing w:after="0" w:line="240" w:lineRule="auto"/>
        <w:jc w:val="both"/>
        <w:rPr>
          <w:rFonts w:ascii="Times New Roman" w:hAnsi="Times New Roman" w:cs="Times New Roman"/>
          <w:b/>
          <w:iCs/>
          <w:sz w:val="24"/>
          <w:szCs w:val="24"/>
        </w:rPr>
      </w:pPr>
      <w:r w:rsidRPr="00181118">
        <w:rPr>
          <w:rFonts w:ascii="Times New Roman" w:hAnsi="Times New Roman" w:cs="Times New Roman"/>
          <w:b/>
          <w:iCs/>
          <w:sz w:val="24"/>
          <w:szCs w:val="24"/>
        </w:rPr>
        <w:t>Consent</w:t>
      </w:r>
    </w:p>
    <w:p w14:paraId="3D85D40F" w14:textId="24B7DACD" w:rsidR="00181118" w:rsidRPr="00E63F11" w:rsidRDefault="00181118" w:rsidP="00E63F11">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NA</w:t>
      </w:r>
    </w:p>
    <w:p w14:paraId="304BBB3D" w14:textId="77777777" w:rsidR="00BE3C69" w:rsidRDefault="00BE3C69" w:rsidP="00BE3C69">
      <w:pPr>
        <w:spacing w:after="0" w:line="240" w:lineRule="auto"/>
        <w:jc w:val="both"/>
        <w:rPr>
          <w:rFonts w:ascii="Times New Roman" w:hAnsi="Times New Roman" w:cs="Times New Roman"/>
          <w:bCs/>
          <w:iCs/>
          <w:sz w:val="24"/>
          <w:szCs w:val="24"/>
        </w:rPr>
      </w:pPr>
    </w:p>
    <w:p w14:paraId="645AE01C" w14:textId="1B1BE87A" w:rsidR="00BE3C69" w:rsidRPr="00BE3C69" w:rsidRDefault="00BE3C69" w:rsidP="00BE3C69">
      <w:pPr>
        <w:spacing w:after="0" w:line="240" w:lineRule="auto"/>
        <w:jc w:val="both"/>
        <w:rPr>
          <w:rFonts w:ascii="Times New Roman" w:hAnsi="Times New Roman" w:cs="Times New Roman"/>
          <w:b/>
          <w:iCs/>
          <w:sz w:val="24"/>
          <w:szCs w:val="24"/>
        </w:rPr>
      </w:pPr>
      <w:r w:rsidRPr="00BE3C69">
        <w:rPr>
          <w:rFonts w:ascii="Times New Roman" w:hAnsi="Times New Roman" w:cs="Times New Roman"/>
          <w:b/>
          <w:iCs/>
          <w:sz w:val="24"/>
          <w:szCs w:val="24"/>
        </w:rPr>
        <w:t>Author contribution</w:t>
      </w:r>
    </w:p>
    <w:p w14:paraId="22D1AEC8" w14:textId="77777777" w:rsidR="00BE3C69" w:rsidRPr="00BE3C69" w:rsidRDefault="00BE3C69" w:rsidP="00BE3C69">
      <w:pPr>
        <w:spacing w:after="0" w:line="240" w:lineRule="auto"/>
        <w:jc w:val="both"/>
        <w:rPr>
          <w:rFonts w:ascii="Times New Roman" w:hAnsi="Times New Roman" w:cs="Times New Roman"/>
          <w:b/>
          <w:iCs/>
          <w:sz w:val="24"/>
          <w:szCs w:val="24"/>
        </w:rPr>
      </w:pPr>
    </w:p>
    <w:p w14:paraId="612AE32E" w14:textId="4965B332" w:rsidR="00BE3C69" w:rsidRPr="00BE3C69" w:rsidRDefault="00BE3C69" w:rsidP="00BE3C69">
      <w:pPr>
        <w:spacing w:after="0" w:line="240" w:lineRule="auto"/>
        <w:jc w:val="both"/>
        <w:rPr>
          <w:rFonts w:ascii="Times New Roman" w:hAnsi="Times New Roman" w:cs="Times New Roman"/>
          <w:bCs/>
          <w:iCs/>
          <w:sz w:val="24"/>
          <w:szCs w:val="24"/>
          <w:highlight w:val="yellow"/>
        </w:rPr>
      </w:pPr>
      <w:r w:rsidRPr="00BE3C69">
        <w:rPr>
          <w:rFonts w:ascii="Times New Roman" w:hAnsi="Times New Roman" w:cs="Times New Roman"/>
          <w:bCs/>
          <w:iCs/>
          <w:sz w:val="24"/>
          <w:szCs w:val="24"/>
          <w:highlight w:val="yellow"/>
        </w:rPr>
        <w:t>Narthanaa conceived and designed the study, performed the experiments, analyzed and interpreted the data, and prepared the original manuscript draft. Pradheeba contributed to the review the manuscript. Pugalenthi provided technical guidance and reviewed the manusc</w:t>
      </w:r>
      <w:r>
        <w:rPr>
          <w:rFonts w:ascii="Times New Roman" w:hAnsi="Times New Roman" w:cs="Times New Roman"/>
          <w:bCs/>
          <w:iCs/>
          <w:sz w:val="24"/>
          <w:szCs w:val="24"/>
          <w:highlight w:val="yellow"/>
        </w:rPr>
        <w:t xml:space="preserve">ript. </w:t>
      </w:r>
      <w:r w:rsidRPr="00BE3C69">
        <w:rPr>
          <w:rFonts w:ascii="Times New Roman" w:hAnsi="Times New Roman" w:cs="Times New Roman"/>
          <w:bCs/>
          <w:iCs/>
          <w:sz w:val="24"/>
          <w:szCs w:val="24"/>
          <w:highlight w:val="yellow"/>
        </w:rPr>
        <w:t>Deepa supervised the research work, con</w:t>
      </w:r>
      <w:r w:rsidR="00813735">
        <w:rPr>
          <w:rFonts w:ascii="Times New Roman" w:hAnsi="Times New Roman" w:cs="Times New Roman"/>
          <w:bCs/>
          <w:iCs/>
          <w:sz w:val="24"/>
          <w:szCs w:val="24"/>
          <w:highlight w:val="yellow"/>
        </w:rPr>
        <w:t>tributed to manuscript revision</w:t>
      </w:r>
      <w:r w:rsidRPr="00BE3C69">
        <w:rPr>
          <w:rFonts w:ascii="Times New Roman" w:hAnsi="Times New Roman" w:cs="Times New Roman"/>
          <w:bCs/>
          <w:iCs/>
          <w:sz w:val="24"/>
          <w:szCs w:val="24"/>
          <w:highlight w:val="yellow"/>
        </w:rPr>
        <w:t xml:space="preserve"> and approved the final version of the manuscript</w:t>
      </w:r>
      <w:r w:rsidR="00813735">
        <w:rPr>
          <w:rFonts w:ascii="Times New Roman" w:hAnsi="Times New Roman" w:cs="Times New Roman"/>
          <w:bCs/>
          <w:iCs/>
          <w:sz w:val="24"/>
          <w:szCs w:val="24"/>
          <w:highlight w:val="yellow"/>
        </w:rPr>
        <w:t xml:space="preserve"> as corresponding author</w:t>
      </w:r>
      <w:r w:rsidRPr="00BE3C69">
        <w:rPr>
          <w:rFonts w:ascii="Times New Roman" w:hAnsi="Times New Roman" w:cs="Times New Roman"/>
          <w:bCs/>
          <w:iCs/>
          <w:sz w:val="24"/>
          <w:szCs w:val="24"/>
          <w:highlight w:val="yellow"/>
        </w:rPr>
        <w:t>. All authors read and approved the final manuscript.</w:t>
      </w:r>
    </w:p>
    <w:p w14:paraId="18A011FC" w14:textId="77777777" w:rsidR="00B55EFE" w:rsidRPr="00BE3C69" w:rsidRDefault="00B55EFE" w:rsidP="00B55EFE">
      <w:pPr>
        <w:pStyle w:val="NoSpacing"/>
        <w:rPr>
          <w:rFonts w:ascii="Arial" w:hAnsi="Arial" w:cs="Arial"/>
          <w:highlight w:val="yellow"/>
        </w:rPr>
      </w:pPr>
      <w:bookmarkStart w:id="0" w:name="_Hlk221624953"/>
    </w:p>
    <w:bookmarkEnd w:id="0"/>
    <w:p w14:paraId="1E77E5BE" w14:textId="77777777" w:rsidR="00E63F11" w:rsidRPr="00BE3C69" w:rsidRDefault="00E63F11" w:rsidP="00E63F11">
      <w:pPr>
        <w:pStyle w:val="NoSpacing"/>
        <w:rPr>
          <w:rFonts w:ascii="Times New Roman" w:hAnsi="Times New Roman" w:cs="Times New Roman"/>
          <w:b/>
          <w:bCs/>
          <w:highlight w:val="yellow"/>
          <w:lang w:val="en-US"/>
        </w:rPr>
      </w:pPr>
      <w:r w:rsidRPr="00BE3C69">
        <w:rPr>
          <w:rFonts w:ascii="Times New Roman" w:hAnsi="Times New Roman" w:cs="Times New Roman"/>
          <w:b/>
          <w:bCs/>
          <w:highlight w:val="yellow"/>
          <w:lang w:val="en-US"/>
        </w:rPr>
        <w:t>Disclaimer (Artificial Intelligence)</w:t>
      </w:r>
    </w:p>
    <w:p w14:paraId="78B56C55" w14:textId="6D07B0BE" w:rsidR="00E63F11" w:rsidRDefault="00E63F11" w:rsidP="00E63F11">
      <w:pPr>
        <w:pStyle w:val="NoSpacing"/>
        <w:ind w:firstLine="720"/>
        <w:rPr>
          <w:rFonts w:ascii="Times New Roman" w:hAnsi="Times New Roman" w:cs="Times New Roman"/>
          <w:sz w:val="24"/>
          <w:szCs w:val="24"/>
          <w:highlight w:val="yellow"/>
          <w:lang w:val="en-US"/>
        </w:rPr>
      </w:pPr>
      <w:r w:rsidRPr="00BE3C69">
        <w:rPr>
          <w:rFonts w:ascii="Times New Roman" w:hAnsi="Times New Roman" w:cs="Times New Roman"/>
          <w:sz w:val="24"/>
          <w:szCs w:val="24"/>
          <w:highlight w:val="yellow"/>
          <w:lang w:val="en-US"/>
        </w:rPr>
        <w:t>The authors declare that generative artificial intelligence (AI) tools were used solely for langua</w:t>
      </w:r>
      <w:r w:rsidR="00BE3C69">
        <w:rPr>
          <w:rFonts w:ascii="Times New Roman" w:hAnsi="Times New Roman" w:cs="Times New Roman"/>
          <w:sz w:val="24"/>
          <w:szCs w:val="24"/>
          <w:highlight w:val="yellow"/>
          <w:lang w:val="en-US"/>
        </w:rPr>
        <w:t>ge editing, grammar improvement</w:t>
      </w:r>
      <w:r w:rsidRPr="00BE3C69">
        <w:rPr>
          <w:rFonts w:ascii="Times New Roman" w:hAnsi="Times New Roman" w:cs="Times New Roman"/>
          <w:sz w:val="24"/>
          <w:szCs w:val="24"/>
          <w:highlight w:val="yellow"/>
          <w:lang w:val="en-US"/>
        </w:rPr>
        <w:t xml:space="preserve"> and manuscript organization. All scientific content, data analysis, interpr</w:t>
      </w:r>
      <w:r w:rsidR="00BE3C69">
        <w:rPr>
          <w:rFonts w:ascii="Times New Roman" w:hAnsi="Times New Roman" w:cs="Times New Roman"/>
          <w:sz w:val="24"/>
          <w:szCs w:val="24"/>
          <w:highlight w:val="yellow"/>
          <w:lang w:val="en-US"/>
        </w:rPr>
        <w:t>etation of results, conclusions</w:t>
      </w:r>
      <w:r w:rsidRPr="00BE3C69">
        <w:rPr>
          <w:rFonts w:ascii="Times New Roman" w:hAnsi="Times New Roman" w:cs="Times New Roman"/>
          <w:sz w:val="24"/>
          <w:szCs w:val="24"/>
          <w:highlight w:val="yellow"/>
          <w:lang w:val="en-US"/>
        </w:rPr>
        <w:t xml:space="preserve"> and final manuscript preparation were performed and verified by the authors. The authors take full responsibility for the accuracy, originality and integrity of the manuscript.</w:t>
      </w:r>
    </w:p>
    <w:p w14:paraId="5B1C43F8" w14:textId="77777777" w:rsidR="00813735" w:rsidRDefault="00813735" w:rsidP="00813735">
      <w:pPr>
        <w:pStyle w:val="NoSpacing"/>
        <w:rPr>
          <w:rFonts w:ascii="Times New Roman" w:hAnsi="Times New Roman" w:cs="Times New Roman"/>
          <w:b/>
          <w:bCs/>
          <w:sz w:val="24"/>
          <w:szCs w:val="24"/>
          <w:highlight w:val="yellow"/>
        </w:rPr>
      </w:pPr>
    </w:p>
    <w:p w14:paraId="2175D4E4" w14:textId="77777777" w:rsidR="00DD5C73" w:rsidRDefault="00DD5C73" w:rsidP="00813735">
      <w:pPr>
        <w:pStyle w:val="NoSpacing"/>
        <w:rPr>
          <w:rFonts w:ascii="Times New Roman" w:hAnsi="Times New Roman" w:cs="Times New Roman"/>
          <w:b/>
          <w:bCs/>
          <w:sz w:val="24"/>
          <w:szCs w:val="24"/>
          <w:highlight w:val="yellow"/>
        </w:rPr>
      </w:pPr>
    </w:p>
    <w:p w14:paraId="4074FF27" w14:textId="77777777" w:rsidR="00DD5C73" w:rsidRDefault="00DD5C73" w:rsidP="00813735">
      <w:pPr>
        <w:pStyle w:val="NoSpacing"/>
        <w:rPr>
          <w:rFonts w:ascii="Times New Roman" w:hAnsi="Times New Roman" w:cs="Times New Roman"/>
          <w:b/>
          <w:bCs/>
          <w:sz w:val="24"/>
          <w:szCs w:val="24"/>
          <w:highlight w:val="yellow"/>
        </w:rPr>
      </w:pPr>
    </w:p>
    <w:p w14:paraId="2B884198" w14:textId="77777777" w:rsidR="00813735" w:rsidRPr="00813735" w:rsidRDefault="00813735" w:rsidP="00813735">
      <w:pPr>
        <w:pStyle w:val="NoSpacing"/>
        <w:rPr>
          <w:rFonts w:ascii="Times New Roman" w:hAnsi="Times New Roman" w:cs="Times New Roman"/>
          <w:b/>
          <w:bCs/>
          <w:sz w:val="24"/>
          <w:szCs w:val="24"/>
          <w:highlight w:val="yellow"/>
        </w:rPr>
      </w:pPr>
      <w:r w:rsidRPr="00813735">
        <w:rPr>
          <w:rFonts w:ascii="Times New Roman" w:hAnsi="Times New Roman" w:cs="Times New Roman"/>
          <w:b/>
          <w:bCs/>
          <w:sz w:val="24"/>
          <w:szCs w:val="24"/>
          <w:highlight w:val="yellow"/>
        </w:rPr>
        <w:lastRenderedPageBreak/>
        <w:t>Acknowledgement</w:t>
      </w:r>
    </w:p>
    <w:p w14:paraId="254938F7" w14:textId="77777777" w:rsidR="00813735" w:rsidRPr="00813735" w:rsidRDefault="00813735" w:rsidP="00813735">
      <w:pPr>
        <w:pStyle w:val="NoSpacing"/>
        <w:rPr>
          <w:rFonts w:ascii="Times New Roman" w:hAnsi="Times New Roman" w:cs="Times New Roman"/>
          <w:sz w:val="24"/>
          <w:szCs w:val="24"/>
          <w:highlight w:val="yellow"/>
        </w:rPr>
      </w:pPr>
      <w:r w:rsidRPr="00813735">
        <w:rPr>
          <w:rFonts w:ascii="Times New Roman" w:hAnsi="Times New Roman" w:cs="Times New Roman"/>
          <w:sz w:val="24"/>
          <w:szCs w:val="24"/>
          <w:highlight w:val="yellow"/>
        </w:rPr>
        <w:t>The authors sincerely acknowledge the Department of Pharmacology, KMCH College of Pharmacy, for providing the necessary facilities and technical support to carry out the cell line studies. The authors also express their heartfelt gratitude to Dr. Ariharasivakumar for his valuable guidance, support and assistance throughout the experimental work related to the cell line studies.</w:t>
      </w:r>
    </w:p>
    <w:p w14:paraId="66686220" w14:textId="77777777" w:rsidR="00813735" w:rsidRDefault="00813735" w:rsidP="00813735">
      <w:pPr>
        <w:pStyle w:val="NoSpacing"/>
        <w:rPr>
          <w:rFonts w:ascii="Times New Roman" w:hAnsi="Times New Roman" w:cs="Times New Roman"/>
          <w:b/>
          <w:bCs/>
          <w:sz w:val="24"/>
          <w:szCs w:val="24"/>
          <w:highlight w:val="yellow"/>
        </w:rPr>
      </w:pPr>
    </w:p>
    <w:p w14:paraId="051B1FEB" w14:textId="77777777" w:rsidR="00813735" w:rsidRPr="00813735" w:rsidRDefault="00813735" w:rsidP="00813735">
      <w:pPr>
        <w:pStyle w:val="NoSpacing"/>
        <w:rPr>
          <w:rFonts w:ascii="Times New Roman" w:hAnsi="Times New Roman" w:cs="Times New Roman"/>
          <w:b/>
          <w:bCs/>
          <w:sz w:val="24"/>
          <w:szCs w:val="24"/>
          <w:highlight w:val="yellow"/>
        </w:rPr>
      </w:pPr>
      <w:r w:rsidRPr="00813735">
        <w:rPr>
          <w:rFonts w:ascii="Times New Roman" w:hAnsi="Times New Roman" w:cs="Times New Roman"/>
          <w:b/>
          <w:bCs/>
          <w:sz w:val="24"/>
          <w:szCs w:val="24"/>
          <w:highlight w:val="yellow"/>
        </w:rPr>
        <w:t>Funding</w:t>
      </w:r>
    </w:p>
    <w:p w14:paraId="7CA43915" w14:textId="77777777" w:rsidR="00813735" w:rsidRDefault="00813735" w:rsidP="00813735">
      <w:pPr>
        <w:pStyle w:val="NoSpacing"/>
        <w:rPr>
          <w:rFonts w:ascii="Times New Roman" w:hAnsi="Times New Roman" w:cs="Times New Roman"/>
          <w:sz w:val="24"/>
          <w:szCs w:val="24"/>
          <w:highlight w:val="yellow"/>
        </w:rPr>
      </w:pPr>
      <w:r w:rsidRPr="00813735">
        <w:rPr>
          <w:rFonts w:ascii="Times New Roman" w:hAnsi="Times New Roman" w:cs="Times New Roman"/>
          <w:bCs/>
          <w:iCs/>
          <w:sz w:val="24"/>
          <w:szCs w:val="24"/>
          <w:highlight w:val="yellow"/>
        </w:rPr>
        <w:t>The authors acknowledge the financial support provided by the Tamil Nadu State Council for Science and Technology (TNSCST) through the Research Funding for Research Scholars in Colleges (RFRS) scheme, which facilitated the successful completion of this study.</w:t>
      </w:r>
      <w:r w:rsidRPr="00813735">
        <w:rPr>
          <w:rFonts w:ascii="Times New Roman" w:hAnsi="Times New Roman" w:cs="Times New Roman"/>
          <w:sz w:val="24"/>
          <w:szCs w:val="24"/>
          <w:highlight w:val="yellow"/>
        </w:rPr>
        <w:t xml:space="preserve"> </w:t>
      </w:r>
    </w:p>
    <w:p w14:paraId="4D894815" w14:textId="77777777" w:rsidR="00813735" w:rsidRPr="00813735" w:rsidRDefault="00813735" w:rsidP="00813735">
      <w:pPr>
        <w:pStyle w:val="NoSpacing"/>
        <w:rPr>
          <w:rFonts w:ascii="Times New Roman" w:hAnsi="Times New Roman" w:cs="Times New Roman"/>
          <w:bCs/>
          <w:iCs/>
          <w:sz w:val="24"/>
          <w:szCs w:val="24"/>
          <w:highlight w:val="yellow"/>
        </w:rPr>
      </w:pPr>
    </w:p>
    <w:p w14:paraId="432EDC1B" w14:textId="77777777" w:rsidR="00813735" w:rsidRPr="00813735" w:rsidRDefault="00813735" w:rsidP="00813735">
      <w:pPr>
        <w:pStyle w:val="NoSpacing"/>
        <w:rPr>
          <w:rFonts w:ascii="Times New Roman" w:hAnsi="Times New Roman" w:cs="Times New Roman"/>
          <w:b/>
          <w:bCs/>
          <w:iCs/>
          <w:sz w:val="24"/>
          <w:szCs w:val="24"/>
          <w:highlight w:val="yellow"/>
        </w:rPr>
      </w:pPr>
    </w:p>
    <w:p w14:paraId="34047EFB" w14:textId="77777777" w:rsidR="00813735" w:rsidRDefault="00813735" w:rsidP="00813735">
      <w:pPr>
        <w:pStyle w:val="NoSpacing"/>
        <w:rPr>
          <w:rFonts w:ascii="Times New Roman" w:hAnsi="Times New Roman" w:cs="Times New Roman"/>
          <w:sz w:val="24"/>
          <w:szCs w:val="24"/>
          <w:highlight w:val="yellow"/>
          <w:lang w:val="en-US"/>
        </w:rPr>
      </w:pPr>
    </w:p>
    <w:p w14:paraId="10FFCE65" w14:textId="3C75D1AE" w:rsidR="00480884" w:rsidRPr="00480884" w:rsidRDefault="00E61B0C" w:rsidP="00480884">
      <w:pPr>
        <w:spacing w:line="360" w:lineRule="auto"/>
        <w:jc w:val="both"/>
        <w:rPr>
          <w:rFonts w:ascii="Times New Roman" w:hAnsi="Times New Roman" w:cs="Times New Roman"/>
          <w:b/>
          <w:bCs/>
          <w:sz w:val="24"/>
          <w:szCs w:val="24"/>
        </w:rPr>
      </w:pPr>
      <w:r w:rsidRPr="00E61B0C">
        <w:rPr>
          <w:rFonts w:ascii="Times New Roman" w:hAnsi="Times New Roman" w:cs="Times New Roman"/>
          <w:b/>
          <w:bCs/>
          <w:sz w:val="24"/>
          <w:szCs w:val="24"/>
        </w:rPr>
        <w:t>References</w:t>
      </w:r>
    </w:p>
    <w:p w14:paraId="17CBFD77" w14:textId="77777777" w:rsidR="00DD5C73" w:rsidRPr="00AB079E" w:rsidRDefault="00DD5C73" w:rsidP="003D7F1A">
      <w:pPr>
        <w:pStyle w:val="ListParagraph"/>
        <w:numPr>
          <w:ilvl w:val="0"/>
          <w:numId w:val="1"/>
        </w:numPr>
        <w:spacing w:after="0" w:line="240" w:lineRule="auto"/>
        <w:jc w:val="both"/>
        <w:rPr>
          <w:rFonts w:ascii="Times New Roman" w:hAnsi="Times New Roman" w:cs="Times New Roman"/>
          <w:highlight w:val="yellow"/>
        </w:rPr>
      </w:pPr>
      <w:r w:rsidRPr="00AB079E">
        <w:rPr>
          <w:rFonts w:ascii="Times New Roman" w:hAnsi="Times New Roman" w:cs="Times New Roman"/>
          <w:highlight w:val="yellow"/>
        </w:rPr>
        <w:t>Ahmed, A., Rozario, P., &amp; Zhu, Y. (2026). Differentiation and Polarization of THP-1 Cells into M1 and M2 Macrophages for Cancer Research. </w:t>
      </w:r>
      <w:r w:rsidRPr="00AB079E">
        <w:rPr>
          <w:rFonts w:ascii="Times New Roman" w:hAnsi="Times New Roman" w:cs="Times New Roman"/>
          <w:i/>
          <w:iCs/>
          <w:highlight w:val="yellow"/>
        </w:rPr>
        <w:t>Methods in molecular biology (Clifton, N.J.)</w:t>
      </w:r>
      <w:r w:rsidRPr="00AB079E">
        <w:rPr>
          <w:rFonts w:ascii="Times New Roman" w:hAnsi="Times New Roman" w:cs="Times New Roman"/>
          <w:highlight w:val="yellow"/>
        </w:rPr>
        <w:t>, </w:t>
      </w:r>
      <w:r w:rsidRPr="00AB079E">
        <w:rPr>
          <w:rFonts w:ascii="Times New Roman" w:hAnsi="Times New Roman" w:cs="Times New Roman"/>
          <w:i/>
          <w:iCs/>
          <w:highlight w:val="yellow"/>
        </w:rPr>
        <w:t>2983</w:t>
      </w:r>
      <w:r w:rsidRPr="00AB079E">
        <w:rPr>
          <w:rFonts w:ascii="Times New Roman" w:hAnsi="Times New Roman" w:cs="Times New Roman"/>
          <w:highlight w:val="yellow"/>
        </w:rPr>
        <w:t xml:space="preserve">, 205–213. </w:t>
      </w:r>
      <w:hyperlink r:id="rId12" w:history="1">
        <w:r w:rsidRPr="00AB079E">
          <w:rPr>
            <w:rStyle w:val="Hyperlink"/>
            <w:rFonts w:ascii="Times New Roman" w:hAnsi="Times New Roman" w:cs="Times New Roman"/>
            <w:highlight w:val="yellow"/>
          </w:rPr>
          <w:t>https://doi.org/10.1007/978-1-0716-4901-5_18</w:t>
        </w:r>
      </w:hyperlink>
    </w:p>
    <w:p w14:paraId="07C77635" w14:textId="77777777" w:rsidR="00DD5C73" w:rsidRPr="00890D32" w:rsidRDefault="00DD5C73" w:rsidP="004E2F18">
      <w:pPr>
        <w:pStyle w:val="ListParagraph"/>
        <w:numPr>
          <w:ilvl w:val="0"/>
          <w:numId w:val="1"/>
        </w:numPr>
        <w:spacing w:after="0" w:line="240" w:lineRule="auto"/>
        <w:jc w:val="both"/>
        <w:rPr>
          <w:rFonts w:ascii="Times New Roman" w:hAnsi="Times New Roman" w:cs="Times New Roman"/>
        </w:rPr>
      </w:pPr>
      <w:r w:rsidRPr="00890D32">
        <w:rPr>
          <w:rFonts w:ascii="Times New Roman" w:hAnsi="Times New Roman" w:cs="Times New Roman"/>
        </w:rPr>
        <w:t>Atanasov, A. G., Zotchev, S. B., Dirsch, V. M., &amp; Supuran, C. T. (2021). Natural products in drug discovery: Advances and opportunities. Nature Reviews Drug Discovery, 20(3), 200–216. https://doi.org/10.1038/s41573-020-00114-z</w:t>
      </w:r>
    </w:p>
    <w:p w14:paraId="0A0E76AB" w14:textId="77777777" w:rsidR="00DD5C73" w:rsidRPr="00890D32" w:rsidRDefault="00DD5C73" w:rsidP="004E2F18">
      <w:pPr>
        <w:pStyle w:val="ListParagraph"/>
        <w:numPr>
          <w:ilvl w:val="0"/>
          <w:numId w:val="1"/>
        </w:numPr>
        <w:spacing w:after="0" w:line="240" w:lineRule="auto"/>
        <w:jc w:val="both"/>
        <w:rPr>
          <w:rFonts w:ascii="Times New Roman" w:hAnsi="Times New Roman" w:cs="Times New Roman"/>
        </w:rPr>
      </w:pPr>
      <w:r w:rsidRPr="00890D32">
        <w:rPr>
          <w:rFonts w:ascii="Times New Roman" w:hAnsi="Times New Roman" w:cs="Times New Roman"/>
        </w:rPr>
        <w:t>Bogdan, C. (2015). Nitric oxide synthase in innate and adaptive immunity: An update. Trends in Immunology, 36(3), 161–178. https://doi.org/10.1016/j.it.2015.01.003</w:t>
      </w:r>
    </w:p>
    <w:p w14:paraId="67EB466D" w14:textId="77777777" w:rsidR="00DD5C73" w:rsidRPr="00890D32" w:rsidRDefault="00DD5C73" w:rsidP="004E2F18">
      <w:pPr>
        <w:pStyle w:val="ListParagraph"/>
        <w:numPr>
          <w:ilvl w:val="0"/>
          <w:numId w:val="1"/>
        </w:numPr>
        <w:spacing w:after="0" w:line="240" w:lineRule="auto"/>
        <w:jc w:val="both"/>
        <w:rPr>
          <w:rFonts w:ascii="Times New Roman" w:hAnsi="Times New Roman" w:cs="Times New Roman"/>
        </w:rPr>
      </w:pPr>
      <w:r w:rsidRPr="00890D32">
        <w:rPr>
          <w:rFonts w:ascii="Times New Roman" w:hAnsi="Times New Roman" w:cs="Times New Roman"/>
        </w:rPr>
        <w:t>Chanput, W., Mes, J. J., &amp; Wichers, H. J. (2014). THP-1 cell line: An in vitro cell model for immune modulation approach. International Immunopharmacology, 23(1), 37–45. https://doi.org/10.1016/j.intimp.2014.08.002</w:t>
      </w:r>
    </w:p>
    <w:p w14:paraId="47F9A84D" w14:textId="77777777" w:rsidR="00DD5C73" w:rsidRPr="00890D32" w:rsidRDefault="00DD5C73" w:rsidP="004E2F18">
      <w:pPr>
        <w:pStyle w:val="ListParagraph"/>
        <w:numPr>
          <w:ilvl w:val="0"/>
          <w:numId w:val="1"/>
        </w:numPr>
        <w:spacing w:after="0" w:line="240" w:lineRule="auto"/>
        <w:jc w:val="both"/>
        <w:rPr>
          <w:rFonts w:ascii="Times New Roman" w:hAnsi="Times New Roman" w:cs="Times New Roman"/>
        </w:rPr>
      </w:pPr>
      <w:r w:rsidRPr="00890D32">
        <w:rPr>
          <w:rFonts w:ascii="Times New Roman" w:hAnsi="Times New Roman" w:cs="Times New Roman"/>
        </w:rPr>
        <w:t>Chen, C. J., Shi, Y., Hearn, A., Fitzgerald, K., Golenbock, D., Reed, G., &amp; Rock, K. L. (2006). MyD88-dependent IL-1 receptor signaling is essential for gouty inflammation triggered by monosodium urate crystals. Journal of Clinical Investigation, 116(8), 2262–2271. https://doi.org/10.1172/JCI28075</w:t>
      </w:r>
    </w:p>
    <w:p w14:paraId="4FBA709B" w14:textId="77777777" w:rsidR="00DD5C73" w:rsidRPr="00890D32" w:rsidRDefault="00DD5C73" w:rsidP="004E2F18">
      <w:pPr>
        <w:pStyle w:val="ListParagraph"/>
        <w:numPr>
          <w:ilvl w:val="0"/>
          <w:numId w:val="1"/>
        </w:numPr>
        <w:spacing w:after="0" w:line="240" w:lineRule="auto"/>
        <w:jc w:val="both"/>
        <w:rPr>
          <w:rFonts w:ascii="Times New Roman" w:hAnsi="Times New Roman" w:cs="Times New Roman"/>
        </w:rPr>
      </w:pPr>
      <w:r w:rsidRPr="00890D32">
        <w:rPr>
          <w:rFonts w:ascii="Times New Roman" w:hAnsi="Times New Roman" w:cs="Times New Roman"/>
        </w:rPr>
        <w:t>Chen, S., Zhang, L., &amp; Chen, X. (2023). Macrophages in immunoregulation and inflammatory diseases. Signal Transduction and Targeted Therapy, 8, 276. https://doi.org/10.1038/s41392-023-01506-1</w:t>
      </w:r>
    </w:p>
    <w:p w14:paraId="3E7ED3F5" w14:textId="77777777" w:rsidR="00DD5C73" w:rsidRPr="00890D32" w:rsidRDefault="00DD5C73" w:rsidP="004E2F18">
      <w:pPr>
        <w:pStyle w:val="ListParagraph"/>
        <w:numPr>
          <w:ilvl w:val="0"/>
          <w:numId w:val="1"/>
        </w:numPr>
        <w:spacing w:after="0" w:line="240" w:lineRule="auto"/>
        <w:jc w:val="both"/>
        <w:rPr>
          <w:rFonts w:ascii="Times New Roman" w:hAnsi="Times New Roman" w:cs="Times New Roman"/>
        </w:rPr>
      </w:pPr>
      <w:r w:rsidRPr="00890D32">
        <w:rPr>
          <w:rFonts w:ascii="Times New Roman" w:hAnsi="Times New Roman" w:cs="Times New Roman"/>
        </w:rPr>
        <w:t>Cronstein, B. N., &amp; Terkeltaub, R. (2006). The inflammatory process of gout and its treatment. Arthritis Research &amp; Therapy, 8(Suppl 1), S3. https://doi.org/10.1186/ar1908</w:t>
      </w:r>
    </w:p>
    <w:p w14:paraId="22963C31" w14:textId="77777777" w:rsidR="00DD5C73" w:rsidRPr="00890D32" w:rsidRDefault="00DD5C73" w:rsidP="004E2F18">
      <w:pPr>
        <w:pStyle w:val="ListParagraph"/>
        <w:numPr>
          <w:ilvl w:val="0"/>
          <w:numId w:val="1"/>
        </w:numPr>
        <w:spacing w:after="0" w:line="240" w:lineRule="auto"/>
        <w:jc w:val="both"/>
        <w:rPr>
          <w:rFonts w:ascii="Times New Roman" w:hAnsi="Times New Roman" w:cs="Times New Roman"/>
        </w:rPr>
      </w:pPr>
      <w:r w:rsidRPr="00890D32">
        <w:rPr>
          <w:rFonts w:ascii="Times New Roman" w:hAnsi="Times New Roman" w:cs="Times New Roman"/>
        </w:rPr>
        <w:t>Dalbeth, N., Merriman, T. R., &amp; Stamp, L. K. (2016). Gout. The Lancet, 388(10055), 2039–2052. https://doi.org/10.1016/S0140-6736(16)00346-9</w:t>
      </w:r>
    </w:p>
    <w:p w14:paraId="788FE3A3" w14:textId="77777777" w:rsidR="00DD5C73" w:rsidRPr="00DD5C73" w:rsidRDefault="00DD5C73" w:rsidP="00DD5C73">
      <w:pPr>
        <w:pStyle w:val="ListParagraph"/>
        <w:numPr>
          <w:ilvl w:val="0"/>
          <w:numId w:val="1"/>
        </w:numPr>
        <w:spacing w:after="0" w:line="240" w:lineRule="auto"/>
        <w:jc w:val="both"/>
        <w:rPr>
          <w:rFonts w:ascii="Times New Roman" w:hAnsi="Times New Roman" w:cs="Times New Roman"/>
          <w:highlight w:val="yellow"/>
        </w:rPr>
      </w:pPr>
      <w:r w:rsidRPr="00DD5C73">
        <w:rPr>
          <w:rFonts w:ascii="Times New Roman" w:hAnsi="Times New Roman" w:cs="Times New Roman"/>
          <w:highlight w:val="yellow"/>
        </w:rPr>
        <w:t>Ding T, Du Y, Yang B, Tian W, Li J and Xie J (2025) Comprehensive review of macrophage models: primary cells and immortalized lines across species. Front. Immunol. 16:1640935. doi: 10.3389/fimmu.2025.1640935</w:t>
      </w:r>
    </w:p>
    <w:p w14:paraId="431CDB20" w14:textId="77777777" w:rsidR="00DD5C73" w:rsidRPr="00890D32" w:rsidRDefault="00DD5C73" w:rsidP="004E2F18">
      <w:pPr>
        <w:pStyle w:val="ListParagraph"/>
        <w:numPr>
          <w:ilvl w:val="0"/>
          <w:numId w:val="1"/>
        </w:numPr>
        <w:spacing w:after="0" w:line="240" w:lineRule="auto"/>
        <w:jc w:val="both"/>
        <w:rPr>
          <w:rFonts w:ascii="Times New Roman" w:hAnsi="Times New Roman" w:cs="Times New Roman"/>
        </w:rPr>
      </w:pPr>
      <w:r w:rsidRPr="00890D32">
        <w:rPr>
          <w:rFonts w:ascii="Times New Roman" w:hAnsi="Times New Roman" w:cs="Times New Roman"/>
        </w:rPr>
        <w:t>Fotakis, G., &amp; Timbrell, J. A. (2006). In vitro cytotoxicity assays: Comparison of LDH, neutral red, MTT and protein assay in hepatoma cell lines following exposure to cadmium chloride. Toxicology Letters, 160(2), 171–177. https://doi.org/10.1016/j.toxlet.2005.07.001</w:t>
      </w:r>
    </w:p>
    <w:p w14:paraId="450F3EA7" w14:textId="77777777" w:rsidR="00DD5C73" w:rsidRDefault="00DD5C73" w:rsidP="004E2F18">
      <w:pPr>
        <w:pStyle w:val="ListParagraph"/>
        <w:numPr>
          <w:ilvl w:val="0"/>
          <w:numId w:val="1"/>
        </w:numPr>
        <w:spacing w:after="0" w:line="240" w:lineRule="auto"/>
        <w:jc w:val="both"/>
        <w:rPr>
          <w:rFonts w:ascii="Times New Roman" w:hAnsi="Times New Roman" w:cs="Times New Roman"/>
        </w:rPr>
      </w:pPr>
      <w:r w:rsidRPr="00F049B0">
        <w:rPr>
          <w:rFonts w:ascii="Times New Roman" w:hAnsi="Times New Roman" w:cs="Times New Roman"/>
        </w:rPr>
        <w:t xml:space="preserve">Hao, G., Duan, W., Sun, J., Liu, J., &amp; Peng, B. (2019). </w:t>
      </w:r>
      <w:r w:rsidRPr="00F049B0">
        <w:rPr>
          <w:rFonts w:ascii="Times New Roman" w:hAnsi="Times New Roman" w:cs="Times New Roman"/>
          <w:i/>
          <w:iCs/>
        </w:rPr>
        <w:t>Effects of febuxostat on serum cytokines IL-1, IL-4, IL-6, IL-8, TNF-α and COX-2</w:t>
      </w:r>
      <w:r w:rsidRPr="00F049B0">
        <w:rPr>
          <w:rFonts w:ascii="Times New Roman" w:hAnsi="Times New Roman" w:cs="Times New Roman"/>
        </w:rPr>
        <w:t xml:space="preserve">. </w:t>
      </w:r>
      <w:r w:rsidRPr="00F049B0">
        <w:rPr>
          <w:rFonts w:ascii="Times New Roman" w:hAnsi="Times New Roman" w:cs="Times New Roman"/>
          <w:i/>
          <w:iCs/>
        </w:rPr>
        <w:t>Experimental and Therapeutic Medicine, 17</w:t>
      </w:r>
      <w:r w:rsidRPr="00F049B0">
        <w:rPr>
          <w:rFonts w:ascii="Times New Roman" w:hAnsi="Times New Roman" w:cs="Times New Roman"/>
        </w:rPr>
        <w:t>, 812–816.</w:t>
      </w:r>
    </w:p>
    <w:p w14:paraId="74E37950" w14:textId="77777777" w:rsidR="00DD5C73" w:rsidRDefault="00DD5C73" w:rsidP="003D7F1A">
      <w:pPr>
        <w:pStyle w:val="ListParagraph"/>
        <w:numPr>
          <w:ilvl w:val="0"/>
          <w:numId w:val="1"/>
        </w:numPr>
        <w:spacing w:after="0" w:line="240" w:lineRule="auto"/>
        <w:jc w:val="both"/>
        <w:rPr>
          <w:rFonts w:ascii="Times New Roman" w:hAnsi="Times New Roman" w:cs="Times New Roman"/>
          <w:highlight w:val="yellow"/>
        </w:rPr>
      </w:pPr>
      <w:r w:rsidRPr="00AB079E">
        <w:rPr>
          <w:rFonts w:ascii="Times New Roman" w:hAnsi="Times New Roman" w:cs="Times New Roman"/>
          <w:highlight w:val="yellow"/>
        </w:rPr>
        <w:t>Herb, M., Schatz, V., Hadrian, K., Hos, D., Holoborodko, B., Jantsch, J., &amp; Brigo, N. (2024). Macrophage variants in laboratory research: most are well done, but some are RAW. </w:t>
      </w:r>
      <w:r w:rsidRPr="00AB079E">
        <w:rPr>
          <w:rFonts w:ascii="Times New Roman" w:hAnsi="Times New Roman" w:cs="Times New Roman"/>
          <w:i/>
          <w:iCs/>
          <w:highlight w:val="yellow"/>
        </w:rPr>
        <w:t>Frontiers in cellular and infection microbiology</w:t>
      </w:r>
      <w:r w:rsidRPr="00AB079E">
        <w:rPr>
          <w:rFonts w:ascii="Times New Roman" w:hAnsi="Times New Roman" w:cs="Times New Roman"/>
          <w:highlight w:val="yellow"/>
        </w:rPr>
        <w:t>, </w:t>
      </w:r>
      <w:r w:rsidRPr="00AB079E">
        <w:rPr>
          <w:rFonts w:ascii="Times New Roman" w:hAnsi="Times New Roman" w:cs="Times New Roman"/>
          <w:i/>
          <w:iCs/>
          <w:highlight w:val="yellow"/>
        </w:rPr>
        <w:t>14</w:t>
      </w:r>
      <w:r w:rsidRPr="00AB079E">
        <w:rPr>
          <w:rFonts w:ascii="Times New Roman" w:hAnsi="Times New Roman" w:cs="Times New Roman"/>
          <w:highlight w:val="yellow"/>
        </w:rPr>
        <w:t xml:space="preserve">, 1457323. </w:t>
      </w:r>
      <w:hyperlink r:id="rId13" w:history="1">
        <w:r w:rsidRPr="005251C8">
          <w:rPr>
            <w:rStyle w:val="Hyperlink"/>
            <w:rFonts w:ascii="Times New Roman" w:hAnsi="Times New Roman" w:cs="Times New Roman"/>
            <w:highlight w:val="yellow"/>
          </w:rPr>
          <w:t>https://doi.org/10.3389/fcimb.2024.1457323</w:t>
        </w:r>
      </w:hyperlink>
    </w:p>
    <w:p w14:paraId="55B1DA70" w14:textId="77777777" w:rsidR="00DD5C73" w:rsidRPr="00890D32" w:rsidRDefault="00DD5C73" w:rsidP="004E2F18">
      <w:pPr>
        <w:pStyle w:val="ListParagraph"/>
        <w:numPr>
          <w:ilvl w:val="0"/>
          <w:numId w:val="1"/>
        </w:numPr>
        <w:spacing w:after="0" w:line="240" w:lineRule="auto"/>
        <w:jc w:val="both"/>
        <w:rPr>
          <w:rFonts w:ascii="Times New Roman" w:hAnsi="Times New Roman" w:cs="Times New Roman"/>
        </w:rPr>
      </w:pPr>
      <w:r w:rsidRPr="00890D32">
        <w:rPr>
          <w:rFonts w:ascii="Times New Roman" w:hAnsi="Times New Roman" w:cs="Times New Roman"/>
        </w:rPr>
        <w:lastRenderedPageBreak/>
        <w:t>Hölken, J. M., Gabel-Schloermann, A., &amp; Haarmann-Stemmann, T. (2023). The monocytic cell line THP-1 as a validated and robust immune model: A systematic review. International Journal of Molecular Sciences, 24(2), 1452. https://doi.org/10.3390/ijms24021452</w:t>
      </w:r>
    </w:p>
    <w:p w14:paraId="2315D594" w14:textId="77777777" w:rsidR="00DD5C73" w:rsidRPr="00480884" w:rsidRDefault="00DD5C73" w:rsidP="0048088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bidi="ta-IN"/>
        </w:rPr>
      </w:pPr>
      <w:r w:rsidRPr="00480884">
        <w:rPr>
          <w:rFonts w:ascii="Times New Roman" w:eastAsia="Times New Roman" w:hAnsi="Times New Roman" w:cs="Times New Roman"/>
          <w:sz w:val="24"/>
          <w:szCs w:val="24"/>
          <w:lang w:bidi="ta-IN"/>
        </w:rPr>
        <w:t xml:space="preserve"> Jiang, Y., Tu, X., Liao, X., He, Y., Wang, S., Zhang, Q., &amp; Qing, Y. (2023). </w:t>
      </w:r>
      <w:r w:rsidRPr="00480884">
        <w:rPr>
          <w:rFonts w:ascii="Times New Roman" w:eastAsia="Times New Roman" w:hAnsi="Times New Roman" w:cs="Times New Roman"/>
          <w:i/>
          <w:iCs/>
          <w:sz w:val="24"/>
          <w:szCs w:val="24"/>
          <w:lang w:bidi="ta-IN"/>
        </w:rPr>
        <w:t>New inflammatory marker associated with disease activity in gouty arthritis: the systemic inflammatory response index</w:t>
      </w:r>
      <w:r w:rsidRPr="00480884">
        <w:rPr>
          <w:rFonts w:ascii="Times New Roman" w:eastAsia="Times New Roman" w:hAnsi="Times New Roman" w:cs="Times New Roman"/>
          <w:sz w:val="24"/>
          <w:szCs w:val="24"/>
          <w:lang w:bidi="ta-IN"/>
        </w:rPr>
        <w:t xml:space="preserve">. </w:t>
      </w:r>
      <w:r w:rsidRPr="00480884">
        <w:rPr>
          <w:rFonts w:ascii="Times New Roman" w:eastAsia="Times New Roman" w:hAnsi="Times New Roman" w:cs="Times New Roman"/>
          <w:i/>
          <w:iCs/>
          <w:sz w:val="24"/>
          <w:szCs w:val="24"/>
          <w:lang w:bidi="ta-IN"/>
        </w:rPr>
        <w:t>Journal of Inflammation Research, 16</w:t>
      </w:r>
      <w:r w:rsidRPr="00480884">
        <w:rPr>
          <w:rFonts w:ascii="Times New Roman" w:eastAsia="Times New Roman" w:hAnsi="Times New Roman" w:cs="Times New Roman"/>
          <w:sz w:val="24"/>
          <w:szCs w:val="24"/>
          <w:lang w:bidi="ta-IN"/>
        </w:rPr>
        <w:t>, 5565–5573.</w:t>
      </w:r>
    </w:p>
    <w:p w14:paraId="17AF4EE8" w14:textId="77777777" w:rsidR="00DD5C73" w:rsidRPr="00890D32" w:rsidRDefault="00DD5C73" w:rsidP="004E2F18">
      <w:pPr>
        <w:pStyle w:val="ListParagraph"/>
        <w:numPr>
          <w:ilvl w:val="0"/>
          <w:numId w:val="1"/>
        </w:numPr>
        <w:spacing w:after="0" w:line="240" w:lineRule="auto"/>
        <w:jc w:val="both"/>
        <w:rPr>
          <w:rFonts w:ascii="Times New Roman" w:hAnsi="Times New Roman" w:cs="Times New Roman"/>
        </w:rPr>
      </w:pPr>
      <w:r w:rsidRPr="00890D32">
        <w:rPr>
          <w:rFonts w:ascii="Times New Roman" w:hAnsi="Times New Roman" w:cs="Times New Roman"/>
        </w:rPr>
        <w:t>Joosten, L. A. B., et al. (2010). Inflammatory arthritis in caspase-1 gene-deficient mice: Contribution of IL-1β to gout inflammation. Arthritis &amp; Rheumatism, 62(11), 3237–3248. https://doi.org/10.1002/art.27667</w:t>
      </w:r>
    </w:p>
    <w:p w14:paraId="3B72E057" w14:textId="77777777" w:rsidR="00DD5C73" w:rsidRPr="00890D32" w:rsidRDefault="00DD5C73" w:rsidP="004E2F18">
      <w:pPr>
        <w:pStyle w:val="ListParagraph"/>
        <w:numPr>
          <w:ilvl w:val="0"/>
          <w:numId w:val="1"/>
        </w:numPr>
        <w:spacing w:after="0" w:line="240" w:lineRule="auto"/>
        <w:jc w:val="both"/>
        <w:rPr>
          <w:rFonts w:ascii="Times New Roman" w:hAnsi="Times New Roman" w:cs="Times New Roman"/>
        </w:rPr>
      </w:pPr>
      <w:r w:rsidRPr="00890D32">
        <w:rPr>
          <w:rFonts w:ascii="Times New Roman" w:hAnsi="Times New Roman" w:cs="Times New Roman"/>
        </w:rPr>
        <w:t>Kumar, P., Nagarajan, A., &amp; Uchil, P. D. (2018). Analysis of cell viability by the MTT assay. Cold Spring Harbor Protocols, 2018(6), pdb-prot095505. https://doi.org/10.1101/pdb.prot095505</w:t>
      </w:r>
    </w:p>
    <w:p w14:paraId="41153D13" w14:textId="77777777" w:rsidR="00DD5C73" w:rsidRPr="00890D32" w:rsidRDefault="00DD5C73" w:rsidP="004E2F18">
      <w:pPr>
        <w:pStyle w:val="ListParagraph"/>
        <w:numPr>
          <w:ilvl w:val="0"/>
          <w:numId w:val="1"/>
        </w:numPr>
        <w:spacing w:after="0" w:line="240" w:lineRule="auto"/>
        <w:jc w:val="both"/>
        <w:rPr>
          <w:rFonts w:ascii="Times New Roman" w:hAnsi="Times New Roman" w:cs="Times New Roman"/>
        </w:rPr>
      </w:pPr>
      <w:r w:rsidRPr="00890D32">
        <w:rPr>
          <w:rFonts w:ascii="Times New Roman" w:hAnsi="Times New Roman" w:cs="Times New Roman"/>
        </w:rPr>
        <w:t>Kumar, V., Abbas, A. K., &amp; Aster, J. C. (2018). Robbins basic pathology (10th ed.). Elsevier.</w:t>
      </w:r>
    </w:p>
    <w:p w14:paraId="66D4E914" w14:textId="77777777" w:rsidR="00DD5C73" w:rsidRDefault="00DD5C73" w:rsidP="003D7F1A">
      <w:pPr>
        <w:pStyle w:val="ListParagraph"/>
        <w:numPr>
          <w:ilvl w:val="0"/>
          <w:numId w:val="1"/>
        </w:numPr>
        <w:spacing w:after="0" w:line="240" w:lineRule="auto"/>
        <w:jc w:val="both"/>
        <w:rPr>
          <w:rFonts w:ascii="Times New Roman" w:hAnsi="Times New Roman" w:cs="Times New Roman"/>
          <w:highlight w:val="yellow"/>
        </w:rPr>
      </w:pPr>
      <w:r w:rsidRPr="00AB079E">
        <w:rPr>
          <w:rFonts w:ascii="Times New Roman" w:hAnsi="Times New Roman" w:cs="Times New Roman"/>
          <w:highlight w:val="yellow"/>
        </w:rPr>
        <w:t xml:space="preserve">Launa, A., &amp; Peng, Q. (2026). Effects of culture conditions on cell morphology and differentiation responses to PMA in THP-1 cells. Journal of Immunological Methods, 546, Article 114020. </w:t>
      </w:r>
      <w:hyperlink r:id="rId14" w:history="1">
        <w:r w:rsidRPr="005251C8">
          <w:rPr>
            <w:rStyle w:val="Hyperlink"/>
            <w:rFonts w:ascii="Times New Roman" w:hAnsi="Times New Roman" w:cs="Times New Roman"/>
            <w:highlight w:val="yellow"/>
          </w:rPr>
          <w:t>https://doi.org/10.1016/j.jim.2025.114020</w:t>
        </w:r>
      </w:hyperlink>
    </w:p>
    <w:p w14:paraId="10FE82AE" w14:textId="77777777" w:rsidR="00DD5C73" w:rsidRPr="00890D32" w:rsidRDefault="00DD5C73" w:rsidP="004E2F18">
      <w:pPr>
        <w:pStyle w:val="ListParagraph"/>
        <w:numPr>
          <w:ilvl w:val="0"/>
          <w:numId w:val="1"/>
        </w:numPr>
        <w:spacing w:after="0" w:line="240" w:lineRule="auto"/>
        <w:jc w:val="both"/>
        <w:rPr>
          <w:rFonts w:ascii="Times New Roman" w:hAnsi="Times New Roman" w:cs="Times New Roman"/>
        </w:rPr>
      </w:pPr>
      <w:r w:rsidRPr="00890D32">
        <w:rPr>
          <w:rFonts w:ascii="Times New Roman" w:hAnsi="Times New Roman" w:cs="Times New Roman"/>
        </w:rPr>
        <w:t>Liu, L., Zhu, L., Liu, M., Zhao, L., Yu, Y., Xue, Y., &amp; Shan, L. (2022). Recent insights into the role of macrophages in acute gout. Frontiers in Immunology, 13, 955806. https://doi.org/10.3389/fimmu.2022.955806</w:t>
      </w:r>
    </w:p>
    <w:p w14:paraId="0EE7FB98" w14:textId="77777777" w:rsidR="00DD5C73" w:rsidRPr="00890D32" w:rsidRDefault="00DD5C73" w:rsidP="004E2F18">
      <w:pPr>
        <w:pStyle w:val="ListParagraph"/>
        <w:numPr>
          <w:ilvl w:val="0"/>
          <w:numId w:val="1"/>
        </w:numPr>
        <w:spacing w:after="0" w:line="240" w:lineRule="auto"/>
        <w:jc w:val="both"/>
        <w:rPr>
          <w:rFonts w:ascii="Times New Roman" w:hAnsi="Times New Roman" w:cs="Times New Roman"/>
        </w:rPr>
      </w:pPr>
      <w:r w:rsidRPr="00890D32">
        <w:rPr>
          <w:rFonts w:ascii="Times New Roman" w:hAnsi="Times New Roman" w:cs="Times New Roman"/>
        </w:rPr>
        <w:t>Lund, M. E., To, J., O’Brien, B. A., &amp; Donnelly, S. (2016). The choice of phorbol 12-myristate 13-acetate differentiation protocol influences the response of THP-1 macrophages to a pro-inflammatory stimulus. Journal of Immunological Methods, 430, 64–70. https://doi.org/10.1016/j.jim.2016.01.003</w:t>
      </w:r>
    </w:p>
    <w:p w14:paraId="74ABBA67" w14:textId="77777777" w:rsidR="00DD5C73" w:rsidRPr="00890D32" w:rsidRDefault="00DD5C73" w:rsidP="004E2F18">
      <w:pPr>
        <w:pStyle w:val="ListParagraph"/>
        <w:numPr>
          <w:ilvl w:val="0"/>
          <w:numId w:val="1"/>
        </w:numPr>
        <w:spacing w:after="0" w:line="240" w:lineRule="auto"/>
        <w:jc w:val="both"/>
        <w:rPr>
          <w:rFonts w:ascii="Times New Roman" w:hAnsi="Times New Roman" w:cs="Times New Roman"/>
        </w:rPr>
      </w:pPr>
      <w:r w:rsidRPr="00890D32">
        <w:rPr>
          <w:rFonts w:ascii="Times New Roman" w:hAnsi="Times New Roman" w:cs="Times New Roman"/>
        </w:rPr>
        <w:t>Martinon, F., Pétrilli, V., Mayor, A., Tardivel, A., &amp; Tschopp, J. (2006). Gout-associated uric acid crystals activate the NALP3 inflammasome. Nature, 440(7081), 237–241. https://doi.org/10.1038/nature04516</w:t>
      </w:r>
    </w:p>
    <w:p w14:paraId="7B1AE67E" w14:textId="77777777" w:rsidR="00DD5C73" w:rsidRPr="00890D32" w:rsidRDefault="00DD5C73" w:rsidP="004E2F18">
      <w:pPr>
        <w:pStyle w:val="ListParagraph"/>
        <w:numPr>
          <w:ilvl w:val="0"/>
          <w:numId w:val="1"/>
        </w:numPr>
        <w:spacing w:after="0" w:line="240" w:lineRule="auto"/>
        <w:jc w:val="both"/>
        <w:rPr>
          <w:rFonts w:ascii="Times New Roman" w:hAnsi="Times New Roman" w:cs="Times New Roman"/>
        </w:rPr>
      </w:pPr>
      <w:r w:rsidRPr="00890D32">
        <w:rPr>
          <w:rFonts w:ascii="Times New Roman" w:hAnsi="Times New Roman" w:cs="Times New Roman"/>
        </w:rPr>
        <w:t>Mosmann, T. (1983). Rapid colorimetric assay for cellular growth and survival: Application to proliferation and cytotoxicity assays. Journal of Immunological Methods, 65(1–2), 55–63. https://doi.org/10.1016/0022-1759(83)90303-4</w:t>
      </w:r>
    </w:p>
    <w:p w14:paraId="52097153" w14:textId="77777777" w:rsidR="00DD5C73" w:rsidRPr="00890D32" w:rsidRDefault="00DD5C73" w:rsidP="004E2F18">
      <w:pPr>
        <w:pStyle w:val="ListParagraph"/>
        <w:numPr>
          <w:ilvl w:val="0"/>
          <w:numId w:val="1"/>
        </w:numPr>
        <w:spacing w:after="0" w:line="240" w:lineRule="auto"/>
        <w:jc w:val="both"/>
        <w:rPr>
          <w:rFonts w:ascii="Times New Roman" w:hAnsi="Times New Roman" w:cs="Times New Roman"/>
        </w:rPr>
      </w:pPr>
      <w:r w:rsidRPr="00890D32">
        <w:rPr>
          <w:rFonts w:ascii="Times New Roman" w:hAnsi="Times New Roman" w:cs="Times New Roman"/>
        </w:rPr>
        <w:t>Narthanaa, S., Pradheeba, M., Vasukipriyadharshini, G., Pugalenthi, M., Narmathasri, J., &amp; Deepa, M. A. (2025). Biochemical evaluation of xanthine oxidase inhibition and anti-inflammatory activity of Drynaria quercifolia (L.) J. Sm and Curcuma aeruginosa Roxb. rhizomes. International Journal of Advanced Chemistry Research, 7(12), 40–46.</w:t>
      </w:r>
    </w:p>
    <w:p w14:paraId="4F4D593D" w14:textId="77777777" w:rsidR="00DD5C73" w:rsidRPr="00890D32" w:rsidRDefault="00DD5C73" w:rsidP="004E2F18">
      <w:pPr>
        <w:pStyle w:val="ListParagraph"/>
        <w:numPr>
          <w:ilvl w:val="0"/>
          <w:numId w:val="1"/>
        </w:numPr>
        <w:spacing w:after="0" w:line="240" w:lineRule="auto"/>
        <w:jc w:val="both"/>
        <w:rPr>
          <w:rFonts w:ascii="Times New Roman" w:hAnsi="Times New Roman" w:cs="Times New Roman"/>
        </w:rPr>
      </w:pPr>
      <w:r w:rsidRPr="00890D32">
        <w:rPr>
          <w:rFonts w:ascii="Times New Roman" w:hAnsi="Times New Roman" w:cs="Times New Roman"/>
        </w:rPr>
        <w:t>Newman, D. J., &amp; Cragg, G. M. (2020). Natural products as sources of new drugs over the nearly four decades from 1981 to 2019. Journal of Natural Products, 83(3), 770–803. https://doi.org/10.1021/acs.jnatprod.9b01285</w:t>
      </w:r>
    </w:p>
    <w:p w14:paraId="65655C10" w14:textId="77777777" w:rsidR="00DD5C73" w:rsidRPr="00890D32" w:rsidRDefault="00DD5C73" w:rsidP="004E2F18">
      <w:pPr>
        <w:pStyle w:val="ListParagraph"/>
        <w:numPr>
          <w:ilvl w:val="0"/>
          <w:numId w:val="1"/>
        </w:numPr>
        <w:spacing w:after="0" w:line="240" w:lineRule="auto"/>
        <w:jc w:val="both"/>
        <w:rPr>
          <w:rFonts w:ascii="Times New Roman" w:hAnsi="Times New Roman" w:cs="Times New Roman"/>
        </w:rPr>
      </w:pPr>
      <w:r w:rsidRPr="00890D32">
        <w:rPr>
          <w:rFonts w:ascii="Times New Roman" w:hAnsi="Times New Roman" w:cs="Times New Roman"/>
        </w:rPr>
        <w:t>Ozleyen, A., Yilmaz, Y. B., &amp; Tumer, T. B. (2021). Dataset on the differentiation of THP-1 monocytes to LPS inducible adherent macrophages and their capacity for NO/iNOS signaling. Data in Brief, 35, 106786. https://doi.org/10.1016/j.dib.2021.106786</w:t>
      </w:r>
    </w:p>
    <w:p w14:paraId="7C89C905" w14:textId="77777777" w:rsidR="00DD5C73" w:rsidRPr="00890D32" w:rsidRDefault="00DD5C73" w:rsidP="004E2F18">
      <w:pPr>
        <w:pStyle w:val="ListParagraph"/>
        <w:numPr>
          <w:ilvl w:val="0"/>
          <w:numId w:val="1"/>
        </w:numPr>
        <w:spacing w:after="0" w:line="240" w:lineRule="auto"/>
        <w:jc w:val="both"/>
        <w:rPr>
          <w:rFonts w:ascii="Times New Roman" w:hAnsi="Times New Roman" w:cs="Times New Roman"/>
        </w:rPr>
      </w:pPr>
      <w:r w:rsidRPr="00890D32">
        <w:rPr>
          <w:rFonts w:ascii="Times New Roman" w:hAnsi="Times New Roman" w:cs="Times New Roman"/>
        </w:rPr>
        <w:t>Pan, M. H., Lai, C. S., &amp; Ho, C. T. (2010). Anti-inflammatory activity of natural dietary flavonoids. Food &amp; Function, 1(1), 15–31. https://doi.org/10.1039/C0FO00103A</w:t>
      </w:r>
    </w:p>
    <w:p w14:paraId="4CF1C4A5" w14:textId="77777777" w:rsidR="00DD5C73" w:rsidRPr="00890D32" w:rsidRDefault="00DD5C73" w:rsidP="004E2F18">
      <w:pPr>
        <w:pStyle w:val="ListParagraph"/>
        <w:numPr>
          <w:ilvl w:val="0"/>
          <w:numId w:val="1"/>
        </w:numPr>
        <w:spacing w:after="0" w:line="240" w:lineRule="auto"/>
        <w:jc w:val="both"/>
        <w:rPr>
          <w:rFonts w:ascii="Times New Roman" w:hAnsi="Times New Roman" w:cs="Times New Roman"/>
        </w:rPr>
      </w:pPr>
      <w:r w:rsidRPr="00890D32">
        <w:rPr>
          <w:rFonts w:ascii="Times New Roman" w:hAnsi="Times New Roman" w:cs="Times New Roman"/>
        </w:rPr>
        <w:t>Park, E. K., et al. (2007). Optimized THP-1 differentiation is required for the detection of responses to weak stimuli. Inflammation Research, 56, 45–50. https://doi.org/10.1007/s00011-007-6115-5</w:t>
      </w:r>
    </w:p>
    <w:p w14:paraId="7211C348" w14:textId="77777777" w:rsidR="00DD5C73" w:rsidRPr="00890D32" w:rsidRDefault="00DD5C73" w:rsidP="004E2F18">
      <w:pPr>
        <w:pStyle w:val="ListParagraph"/>
        <w:numPr>
          <w:ilvl w:val="0"/>
          <w:numId w:val="1"/>
        </w:numPr>
        <w:spacing w:after="0" w:line="240" w:lineRule="auto"/>
        <w:jc w:val="both"/>
        <w:rPr>
          <w:rFonts w:ascii="Times New Roman" w:hAnsi="Times New Roman" w:cs="Times New Roman"/>
        </w:rPr>
      </w:pPr>
      <w:r w:rsidRPr="00890D32">
        <w:rPr>
          <w:rFonts w:ascii="Times New Roman" w:hAnsi="Times New Roman" w:cs="Times New Roman"/>
        </w:rPr>
        <w:t>Piatnitskaia, S., Glaros, E. N., &amp; Noordermeer, D. (2024). Modelling macrophage responses in vitro. Frontiers in Immunology, 15, 1349461. https://doi.org/10.3389/fimmu.2024.1349461</w:t>
      </w:r>
    </w:p>
    <w:p w14:paraId="2E7D9D17" w14:textId="77777777" w:rsidR="00DD5C73" w:rsidRPr="00480884" w:rsidRDefault="00DD5C73" w:rsidP="0048088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bidi="ta-IN"/>
        </w:rPr>
      </w:pPr>
      <w:r w:rsidRPr="00480884">
        <w:rPr>
          <w:rFonts w:ascii="Times New Roman" w:eastAsia="Times New Roman" w:hAnsi="Times New Roman" w:cs="Times New Roman"/>
          <w:sz w:val="24"/>
          <w:szCs w:val="24"/>
          <w:lang w:bidi="ta-IN"/>
        </w:rPr>
        <w:t xml:space="preserve"> Pinto, L.G., Pinho-Ribeiro, F.A., &amp; Verri, W.J. (2021). </w:t>
      </w:r>
      <w:r w:rsidRPr="00480884">
        <w:rPr>
          <w:rFonts w:ascii="Times New Roman" w:eastAsia="Times New Roman" w:hAnsi="Times New Roman" w:cs="Times New Roman"/>
          <w:i/>
          <w:iCs/>
          <w:sz w:val="24"/>
          <w:szCs w:val="24"/>
          <w:lang w:bidi="ta-IN"/>
        </w:rPr>
        <w:t>Editorial: Cytokines and pain</w:t>
      </w:r>
      <w:r w:rsidRPr="00480884">
        <w:rPr>
          <w:rFonts w:ascii="Times New Roman" w:eastAsia="Times New Roman" w:hAnsi="Times New Roman" w:cs="Times New Roman"/>
          <w:sz w:val="24"/>
          <w:szCs w:val="24"/>
          <w:lang w:bidi="ta-IN"/>
        </w:rPr>
        <w:t xml:space="preserve">. </w:t>
      </w:r>
      <w:r w:rsidRPr="00480884">
        <w:rPr>
          <w:rFonts w:ascii="Times New Roman" w:eastAsia="Times New Roman" w:hAnsi="Times New Roman" w:cs="Times New Roman"/>
          <w:i/>
          <w:iCs/>
          <w:sz w:val="24"/>
          <w:szCs w:val="24"/>
          <w:lang w:bidi="ta-IN"/>
        </w:rPr>
        <w:t>Frontiers in Immunology, 12</w:t>
      </w:r>
      <w:r w:rsidRPr="00480884">
        <w:rPr>
          <w:rFonts w:ascii="Times New Roman" w:eastAsia="Times New Roman" w:hAnsi="Times New Roman" w:cs="Times New Roman"/>
          <w:sz w:val="24"/>
          <w:szCs w:val="24"/>
          <w:lang w:bidi="ta-IN"/>
        </w:rPr>
        <w:t>, 788578.</w:t>
      </w:r>
    </w:p>
    <w:p w14:paraId="24003F9E" w14:textId="77777777" w:rsidR="00DD5C73" w:rsidRDefault="00DD5C73" w:rsidP="003D7F1A">
      <w:pPr>
        <w:pStyle w:val="ListParagraph"/>
        <w:numPr>
          <w:ilvl w:val="0"/>
          <w:numId w:val="1"/>
        </w:numPr>
        <w:spacing w:after="0" w:line="240" w:lineRule="auto"/>
        <w:jc w:val="both"/>
        <w:rPr>
          <w:rFonts w:ascii="Times New Roman" w:hAnsi="Times New Roman" w:cs="Times New Roman"/>
          <w:highlight w:val="yellow"/>
        </w:rPr>
      </w:pPr>
      <w:r w:rsidRPr="00AB079E">
        <w:rPr>
          <w:rFonts w:ascii="Times New Roman" w:hAnsi="Times New Roman" w:cs="Times New Roman"/>
          <w:highlight w:val="yellow"/>
        </w:rPr>
        <w:t>Prajitha, N., &amp; Mohanan, P. V. (2021). Cellular and Immunological Response of THP-1 Cells in Response to Lipopolysaccharides and Lipoteichoic Acid Exposure. </w:t>
      </w:r>
      <w:r w:rsidRPr="00AB079E">
        <w:rPr>
          <w:rFonts w:ascii="Times New Roman" w:hAnsi="Times New Roman" w:cs="Times New Roman"/>
          <w:i/>
          <w:iCs/>
          <w:highlight w:val="yellow"/>
        </w:rPr>
        <w:t>Biomedical Research and Therapy</w:t>
      </w:r>
      <w:r w:rsidRPr="00AB079E">
        <w:rPr>
          <w:rFonts w:ascii="Times New Roman" w:hAnsi="Times New Roman" w:cs="Times New Roman"/>
          <w:highlight w:val="yellow"/>
        </w:rPr>
        <w:t>, </w:t>
      </w:r>
      <w:r w:rsidRPr="00AB079E">
        <w:rPr>
          <w:rFonts w:ascii="Times New Roman" w:hAnsi="Times New Roman" w:cs="Times New Roman"/>
          <w:i/>
          <w:iCs/>
          <w:highlight w:val="yellow"/>
        </w:rPr>
        <w:t>8</w:t>
      </w:r>
      <w:r w:rsidRPr="00AB079E">
        <w:rPr>
          <w:rFonts w:ascii="Times New Roman" w:hAnsi="Times New Roman" w:cs="Times New Roman"/>
          <w:highlight w:val="yellow"/>
        </w:rPr>
        <w:t>(9), 4562-4582. </w:t>
      </w:r>
      <w:hyperlink r:id="rId15" w:history="1">
        <w:r w:rsidRPr="00AB079E">
          <w:rPr>
            <w:rStyle w:val="Hyperlink"/>
            <w:rFonts w:ascii="Times New Roman" w:hAnsi="Times New Roman" w:cs="Times New Roman"/>
            <w:highlight w:val="yellow"/>
          </w:rPr>
          <w:t>https://doi.org/10.15419/bmrat.v8i9.693</w:t>
        </w:r>
      </w:hyperlink>
    </w:p>
    <w:p w14:paraId="38955615" w14:textId="77777777" w:rsidR="00DD5C73" w:rsidRPr="00890D32" w:rsidRDefault="00DD5C73" w:rsidP="004E2F18">
      <w:pPr>
        <w:pStyle w:val="ListParagraph"/>
        <w:numPr>
          <w:ilvl w:val="0"/>
          <w:numId w:val="1"/>
        </w:numPr>
        <w:spacing w:after="0" w:line="240" w:lineRule="auto"/>
        <w:jc w:val="both"/>
        <w:rPr>
          <w:rFonts w:ascii="Times New Roman" w:hAnsi="Times New Roman" w:cs="Times New Roman"/>
        </w:rPr>
      </w:pPr>
      <w:r w:rsidRPr="00890D32">
        <w:rPr>
          <w:rFonts w:ascii="Times New Roman" w:hAnsi="Times New Roman" w:cs="Times New Roman"/>
        </w:rPr>
        <w:lastRenderedPageBreak/>
        <w:t>Riaz, A., et al. (2024). Exploring the effect of herbal monomers in treating gouty arthritis based on nuclear factor-κB signaling pathways: A review. Frontiers in Pharmacology, 15, 10843426. https://doi.org/10.3389/fphar.2024.1384042</w:t>
      </w:r>
    </w:p>
    <w:p w14:paraId="54143A9F" w14:textId="77777777" w:rsidR="00DD5C73" w:rsidRPr="00890D32" w:rsidRDefault="00DD5C73" w:rsidP="004E2F18">
      <w:pPr>
        <w:pStyle w:val="ListParagraph"/>
        <w:numPr>
          <w:ilvl w:val="0"/>
          <w:numId w:val="1"/>
        </w:numPr>
        <w:spacing w:after="0" w:line="240" w:lineRule="auto"/>
        <w:jc w:val="both"/>
        <w:rPr>
          <w:rFonts w:ascii="Times New Roman" w:hAnsi="Times New Roman" w:cs="Times New Roman"/>
        </w:rPr>
      </w:pPr>
      <w:r w:rsidRPr="00890D32">
        <w:rPr>
          <w:rFonts w:ascii="Times New Roman" w:hAnsi="Times New Roman" w:cs="Times New Roman"/>
        </w:rPr>
        <w:t>Ricciotti, E., &amp; FitzGerald, G. A. (2011). Prostaglandins and inflammation. Arteriosclerosis, Thrombosis, and Vascular Biology, 31(5), 986–1000. https://doi.org/10.1161/ATVBAHA.110.207449</w:t>
      </w:r>
    </w:p>
    <w:p w14:paraId="2719BB2F" w14:textId="77777777" w:rsidR="00DD5C73" w:rsidRPr="00890D32" w:rsidRDefault="00DD5C73" w:rsidP="004E2F18">
      <w:pPr>
        <w:pStyle w:val="ListParagraph"/>
        <w:numPr>
          <w:ilvl w:val="0"/>
          <w:numId w:val="1"/>
        </w:numPr>
        <w:spacing w:after="0" w:line="240" w:lineRule="auto"/>
        <w:jc w:val="both"/>
        <w:rPr>
          <w:rFonts w:ascii="Times New Roman" w:hAnsi="Times New Roman" w:cs="Times New Roman"/>
        </w:rPr>
      </w:pPr>
      <w:r w:rsidRPr="00890D32">
        <w:rPr>
          <w:rFonts w:ascii="Times New Roman" w:hAnsi="Times New Roman" w:cs="Times New Roman"/>
        </w:rPr>
        <w:t>Riss, T. L., et al. (2016). Cell viability assays. In G. Sittampalam et al. (Eds.), Assay guidance manual. Eli Lilly &amp; Company and the National Center for Advancing Translational Sciences.</w:t>
      </w:r>
    </w:p>
    <w:p w14:paraId="212EB040" w14:textId="77777777" w:rsidR="00DD5C73" w:rsidRPr="00890D32" w:rsidRDefault="00DD5C73" w:rsidP="004E2F18">
      <w:pPr>
        <w:pStyle w:val="ListParagraph"/>
        <w:numPr>
          <w:ilvl w:val="0"/>
          <w:numId w:val="1"/>
        </w:numPr>
        <w:spacing w:after="0" w:line="240" w:lineRule="auto"/>
        <w:jc w:val="both"/>
        <w:rPr>
          <w:rFonts w:ascii="Times New Roman" w:hAnsi="Times New Roman" w:cs="Times New Roman"/>
        </w:rPr>
      </w:pPr>
      <w:r w:rsidRPr="00890D32">
        <w:rPr>
          <w:rFonts w:ascii="Times New Roman" w:hAnsi="Times New Roman" w:cs="Times New Roman"/>
        </w:rPr>
        <w:t>So, A., &amp; Martinon, F. (2017). Inflammation in gout: Mechanisms and therapeutic targets. Nature Reviews Rheumatology, 13(11), 639–647. https://doi.org/10.1038/nrrheum.2017.155</w:t>
      </w:r>
    </w:p>
    <w:p w14:paraId="172C473E" w14:textId="77777777" w:rsidR="00DD5C73" w:rsidRPr="00890D32" w:rsidRDefault="00DD5C73" w:rsidP="004E2F18">
      <w:pPr>
        <w:pStyle w:val="ListParagraph"/>
        <w:numPr>
          <w:ilvl w:val="0"/>
          <w:numId w:val="1"/>
        </w:numPr>
        <w:spacing w:after="0" w:line="240" w:lineRule="auto"/>
        <w:jc w:val="both"/>
        <w:rPr>
          <w:rFonts w:ascii="Times New Roman" w:hAnsi="Times New Roman" w:cs="Times New Roman"/>
        </w:rPr>
      </w:pPr>
      <w:r w:rsidRPr="00890D32">
        <w:rPr>
          <w:rFonts w:ascii="Times New Roman" w:hAnsi="Times New Roman" w:cs="Times New Roman"/>
        </w:rPr>
        <w:t>Steiger, S., &amp; Harper, J. L. (2014). Mechanisms of spontaneous resolution of acute gouty inflammation. Current Rheumatology Reports, 16(1), 392. https://doi.org/10.1007/s11926-013-0392-5</w:t>
      </w:r>
    </w:p>
    <w:p w14:paraId="18B5CDA6" w14:textId="77777777" w:rsidR="00DD5C73" w:rsidRPr="00890D32" w:rsidRDefault="00DD5C73" w:rsidP="004E2F18">
      <w:pPr>
        <w:pStyle w:val="ListParagraph"/>
        <w:numPr>
          <w:ilvl w:val="0"/>
          <w:numId w:val="1"/>
        </w:numPr>
        <w:spacing w:after="0" w:line="240" w:lineRule="auto"/>
        <w:jc w:val="both"/>
        <w:rPr>
          <w:rFonts w:ascii="Times New Roman" w:hAnsi="Times New Roman" w:cs="Times New Roman"/>
        </w:rPr>
      </w:pPr>
      <w:r w:rsidRPr="00890D32">
        <w:rPr>
          <w:rFonts w:ascii="Times New Roman" w:hAnsi="Times New Roman" w:cs="Times New Roman"/>
        </w:rPr>
        <w:t>Steiger, S., Harper, J. L., &amp; Anders, H. J. (2014). The role of innate immunity in gout. Nature Reviews Rheumatology, 10(11), 654–662. https://doi.org/10.1038/nrrheum.2014.127</w:t>
      </w:r>
    </w:p>
    <w:p w14:paraId="119F0EA8" w14:textId="77777777" w:rsidR="00DD5C73" w:rsidRPr="00890D32" w:rsidRDefault="00DD5C73" w:rsidP="004E2F18">
      <w:pPr>
        <w:pStyle w:val="ListParagraph"/>
        <w:numPr>
          <w:ilvl w:val="0"/>
          <w:numId w:val="1"/>
        </w:numPr>
        <w:spacing w:after="0" w:line="240" w:lineRule="auto"/>
        <w:jc w:val="both"/>
        <w:rPr>
          <w:rFonts w:ascii="Times New Roman" w:hAnsi="Times New Roman" w:cs="Times New Roman"/>
        </w:rPr>
      </w:pPr>
      <w:r w:rsidRPr="00890D32">
        <w:rPr>
          <w:rFonts w:ascii="Times New Roman" w:hAnsi="Times New Roman" w:cs="Times New Roman"/>
        </w:rPr>
        <w:t>Stockert, J. C., Blázquez-Castro, A., Cañete, M., Horobin, R. W., &amp; Villanueva, Á. (2012). MTT assay for cell viability: Intracellular localization of the formazan product is in lipid droplets. Acta Histochemica, 114(8), 785–796. https://doi.org/10.1016/j.acthis.2012.01.006</w:t>
      </w:r>
    </w:p>
    <w:p w14:paraId="1E020319" w14:textId="77777777" w:rsidR="00DD5C73" w:rsidRPr="00890D32" w:rsidRDefault="00DD5C73" w:rsidP="004E2F18">
      <w:pPr>
        <w:pStyle w:val="ListParagraph"/>
        <w:numPr>
          <w:ilvl w:val="0"/>
          <w:numId w:val="1"/>
        </w:numPr>
        <w:spacing w:after="0" w:line="240" w:lineRule="auto"/>
        <w:jc w:val="both"/>
        <w:rPr>
          <w:rFonts w:ascii="Times New Roman" w:hAnsi="Times New Roman" w:cs="Times New Roman"/>
        </w:rPr>
      </w:pPr>
      <w:r w:rsidRPr="00890D32">
        <w:rPr>
          <w:rFonts w:ascii="Times New Roman" w:hAnsi="Times New Roman" w:cs="Times New Roman"/>
        </w:rPr>
        <w:t>Tschopp, J., &amp; Schroder, K. (2010). NLRP3 inflammasome activation: The convergence of multiple signalling pathways on ROS production? Nature Reviews Immunology, 10(3), 210–215. https://doi.org/10.1038/nri2725</w:t>
      </w:r>
    </w:p>
    <w:p w14:paraId="4E3D952C" w14:textId="77777777" w:rsidR="00DD5C73" w:rsidRPr="00890D32" w:rsidRDefault="00DD5C73" w:rsidP="004E2F18">
      <w:pPr>
        <w:pStyle w:val="ListParagraph"/>
        <w:numPr>
          <w:ilvl w:val="0"/>
          <w:numId w:val="1"/>
        </w:numPr>
        <w:spacing w:after="0" w:line="240" w:lineRule="auto"/>
        <w:jc w:val="both"/>
        <w:rPr>
          <w:rFonts w:ascii="Times New Roman" w:hAnsi="Times New Roman" w:cs="Times New Roman"/>
        </w:rPr>
      </w:pPr>
      <w:r w:rsidRPr="00890D32">
        <w:rPr>
          <w:rFonts w:ascii="Times New Roman" w:hAnsi="Times New Roman" w:cs="Times New Roman"/>
        </w:rPr>
        <w:t>Tsuchiya, S., et al. (1980). Establishment and characterization of a human acute monocytic leukemia cell line (THP-1). International Journal of Cancer, 26(2), 171–176. https://doi.org/10.1002/ijc.2910260208</w:t>
      </w:r>
    </w:p>
    <w:p w14:paraId="2B909094" w14:textId="77777777" w:rsidR="00DD5C73" w:rsidRPr="00890D32" w:rsidRDefault="00DD5C73" w:rsidP="004E2F18">
      <w:pPr>
        <w:pStyle w:val="ListParagraph"/>
        <w:numPr>
          <w:ilvl w:val="0"/>
          <w:numId w:val="1"/>
        </w:numPr>
        <w:spacing w:after="0" w:line="240" w:lineRule="auto"/>
        <w:jc w:val="both"/>
        <w:rPr>
          <w:rFonts w:ascii="Times New Roman" w:hAnsi="Times New Roman" w:cs="Times New Roman"/>
        </w:rPr>
      </w:pPr>
      <w:r w:rsidRPr="00890D32">
        <w:rPr>
          <w:rFonts w:ascii="Times New Roman" w:hAnsi="Times New Roman" w:cs="Times New Roman"/>
        </w:rPr>
        <w:t>Tung, N. T. C., et al. (2025). M2-like macrophages derived from THP-1 cells promote immune regulation. Scientific Reports.</w:t>
      </w:r>
    </w:p>
    <w:p w14:paraId="64073E34" w14:textId="77777777" w:rsidR="00DD5C73" w:rsidRDefault="00DD5C73" w:rsidP="003D7F1A">
      <w:pPr>
        <w:pStyle w:val="ListParagraph"/>
        <w:numPr>
          <w:ilvl w:val="0"/>
          <w:numId w:val="1"/>
        </w:numPr>
        <w:spacing w:after="0" w:line="240" w:lineRule="auto"/>
        <w:jc w:val="both"/>
        <w:rPr>
          <w:rFonts w:ascii="Times New Roman" w:hAnsi="Times New Roman" w:cs="Times New Roman"/>
          <w:highlight w:val="yellow"/>
        </w:rPr>
      </w:pPr>
      <w:r w:rsidRPr="00AB079E">
        <w:rPr>
          <w:rFonts w:ascii="Times New Roman" w:hAnsi="Times New Roman" w:cs="Times New Roman"/>
          <w:highlight w:val="yellow"/>
        </w:rPr>
        <w:t>Xiang Y, Chien A-T, Hall C. Non-Hyperuricemia Experimental Models of Gout. </w:t>
      </w:r>
      <w:r w:rsidRPr="00AB079E">
        <w:rPr>
          <w:rFonts w:ascii="Times New Roman" w:hAnsi="Times New Roman" w:cs="Times New Roman"/>
          <w:i/>
          <w:iCs/>
          <w:highlight w:val="yellow"/>
        </w:rPr>
        <w:t>Gout, Urate, and Crystal Deposition Disease</w:t>
      </w:r>
      <w:r w:rsidRPr="00AB079E">
        <w:rPr>
          <w:rFonts w:ascii="Times New Roman" w:hAnsi="Times New Roman" w:cs="Times New Roman"/>
          <w:highlight w:val="yellow"/>
        </w:rPr>
        <w:t xml:space="preserve">. 2026; 4(1):8. </w:t>
      </w:r>
      <w:hyperlink r:id="rId16" w:history="1">
        <w:r w:rsidRPr="005251C8">
          <w:rPr>
            <w:rStyle w:val="Hyperlink"/>
            <w:rFonts w:ascii="Times New Roman" w:hAnsi="Times New Roman" w:cs="Times New Roman"/>
            <w:highlight w:val="yellow"/>
          </w:rPr>
          <w:t>https://doi.org/10.3390/gucdd4010008</w:t>
        </w:r>
      </w:hyperlink>
    </w:p>
    <w:p w14:paraId="04EA32D3" w14:textId="77777777" w:rsidR="00DD5C73" w:rsidRDefault="00DD5C73" w:rsidP="004E2F18">
      <w:pPr>
        <w:pStyle w:val="ListParagraph"/>
        <w:numPr>
          <w:ilvl w:val="0"/>
          <w:numId w:val="1"/>
        </w:numPr>
        <w:spacing w:after="0" w:line="240" w:lineRule="auto"/>
        <w:jc w:val="both"/>
        <w:rPr>
          <w:rFonts w:ascii="Times New Roman" w:hAnsi="Times New Roman" w:cs="Times New Roman"/>
        </w:rPr>
      </w:pPr>
      <w:r w:rsidRPr="00F049B0">
        <w:rPr>
          <w:rFonts w:ascii="Times New Roman" w:hAnsi="Times New Roman" w:cs="Times New Roman"/>
        </w:rPr>
        <w:t xml:space="preserve">Zhang, Z., Wang, P., Xiong, Q., Xu, S., Kang, D., He, Z., Yao, C., &amp; Jian, G. (2024). </w:t>
      </w:r>
      <w:r w:rsidRPr="00F049B0">
        <w:rPr>
          <w:rFonts w:ascii="Times New Roman" w:hAnsi="Times New Roman" w:cs="Times New Roman"/>
          <w:i/>
          <w:iCs/>
        </w:rPr>
        <w:t>Advancements in the study of IL-6 and its receptors in the pathogenesis of gout</w:t>
      </w:r>
      <w:r w:rsidRPr="00F049B0">
        <w:rPr>
          <w:rFonts w:ascii="Times New Roman" w:hAnsi="Times New Roman" w:cs="Times New Roman"/>
        </w:rPr>
        <w:t xml:space="preserve">. </w:t>
      </w:r>
      <w:r w:rsidRPr="00F049B0">
        <w:rPr>
          <w:rFonts w:ascii="Times New Roman" w:hAnsi="Times New Roman" w:cs="Times New Roman"/>
          <w:i/>
          <w:iCs/>
        </w:rPr>
        <w:t>Cytokine, 182</w:t>
      </w:r>
      <w:r w:rsidRPr="00F049B0">
        <w:rPr>
          <w:rFonts w:ascii="Times New Roman" w:hAnsi="Times New Roman" w:cs="Times New Roman"/>
        </w:rPr>
        <w:t>, 156705.</w:t>
      </w:r>
    </w:p>
    <w:p w14:paraId="27AC8BA4" w14:textId="77777777" w:rsidR="00DD5C73" w:rsidRPr="003D7F1A" w:rsidRDefault="00DD5C73" w:rsidP="004E2F18">
      <w:pPr>
        <w:pStyle w:val="ListParagraph"/>
        <w:numPr>
          <w:ilvl w:val="0"/>
          <w:numId w:val="1"/>
        </w:numPr>
        <w:spacing w:after="0" w:line="240" w:lineRule="auto"/>
        <w:jc w:val="both"/>
        <w:rPr>
          <w:rStyle w:val="Hyperlink"/>
          <w:rFonts w:ascii="Times New Roman" w:hAnsi="Times New Roman" w:cs="Times New Roman"/>
          <w:color w:val="auto"/>
          <w:u w:val="none"/>
        </w:rPr>
      </w:pPr>
      <w:r w:rsidRPr="00890D32">
        <w:rPr>
          <w:rFonts w:ascii="Times New Roman" w:hAnsi="Times New Roman" w:cs="Times New Roman"/>
        </w:rPr>
        <w:t xml:space="preserve">Zhao, L., Ye, W., Zhu, Y., et al. (2022). Distinct macrophage polarization in acute and chronic gout. Laboratory Investigation, 102(10), 1054–1063. </w:t>
      </w:r>
      <w:hyperlink r:id="rId17" w:history="1">
        <w:r w:rsidRPr="00AA22FD">
          <w:rPr>
            <w:rStyle w:val="Hyperlink"/>
            <w:rFonts w:ascii="Times New Roman" w:hAnsi="Times New Roman" w:cs="Times New Roman"/>
          </w:rPr>
          <w:t>https://doi.org/10.1038/s41374-022-00798-4</w:t>
        </w:r>
      </w:hyperlink>
    </w:p>
    <w:p w14:paraId="77AC3977" w14:textId="77777777" w:rsidR="00DD5C73" w:rsidRPr="00DD5C73" w:rsidRDefault="00DD5C73" w:rsidP="00DD5C73">
      <w:pPr>
        <w:pStyle w:val="ListParagraph"/>
        <w:spacing w:after="0" w:line="240" w:lineRule="auto"/>
        <w:jc w:val="both"/>
        <w:rPr>
          <w:rFonts w:ascii="Times New Roman" w:hAnsi="Times New Roman" w:cs="Times New Roman"/>
          <w:highlight w:val="yellow"/>
        </w:rPr>
      </w:pPr>
    </w:p>
    <w:p w14:paraId="60E203EB" w14:textId="77777777" w:rsidR="00731238" w:rsidRPr="00890D32" w:rsidRDefault="00731238" w:rsidP="004E2F18">
      <w:pPr>
        <w:spacing w:line="240" w:lineRule="auto"/>
        <w:jc w:val="both"/>
        <w:rPr>
          <w:rFonts w:ascii="Times New Roman" w:hAnsi="Times New Roman" w:cs="Times New Roman"/>
        </w:rPr>
      </w:pPr>
    </w:p>
    <w:p w14:paraId="59BD3732" w14:textId="77777777" w:rsidR="004E2F18" w:rsidRPr="004E2F18" w:rsidRDefault="004E2F18" w:rsidP="004E2F18">
      <w:pPr>
        <w:rPr>
          <w:rFonts w:ascii="Times New Roman" w:hAnsi="Times New Roman" w:cs="Times New Roman"/>
          <w:b/>
          <w:bCs/>
        </w:rPr>
      </w:pPr>
    </w:p>
    <w:p w14:paraId="4AFB576C" w14:textId="77777777" w:rsidR="00731238" w:rsidRPr="00890D32" w:rsidRDefault="00731238" w:rsidP="00731238">
      <w:pPr>
        <w:rPr>
          <w:rFonts w:ascii="Times New Roman" w:hAnsi="Times New Roman" w:cs="Times New Roman"/>
        </w:rPr>
      </w:pPr>
    </w:p>
    <w:sectPr w:rsidR="00731238" w:rsidRPr="00890D32">
      <w:headerReference w:type="even" r:id="rId18"/>
      <w:headerReference w:type="default" r:id="rId19"/>
      <w:head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74661" w14:textId="77777777" w:rsidR="00692EFF" w:rsidRDefault="00692EFF" w:rsidP="003E2243">
      <w:pPr>
        <w:spacing w:after="0" w:line="240" w:lineRule="auto"/>
      </w:pPr>
      <w:r>
        <w:separator/>
      </w:r>
    </w:p>
  </w:endnote>
  <w:endnote w:type="continuationSeparator" w:id="0">
    <w:p w14:paraId="760B7872" w14:textId="77777777" w:rsidR="00692EFF" w:rsidRDefault="00692EFF" w:rsidP="003E2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F5522" w14:textId="77777777" w:rsidR="00692EFF" w:rsidRDefault="00692EFF" w:rsidP="003E2243">
      <w:pPr>
        <w:spacing w:after="0" w:line="240" w:lineRule="auto"/>
      </w:pPr>
      <w:r>
        <w:separator/>
      </w:r>
    </w:p>
  </w:footnote>
  <w:footnote w:type="continuationSeparator" w:id="0">
    <w:p w14:paraId="20E4F8E2" w14:textId="77777777" w:rsidR="00692EFF" w:rsidRDefault="00692EFF" w:rsidP="003E22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1849E" w14:textId="05FFAFDA" w:rsidR="003E2243" w:rsidRDefault="00000000">
    <w:pPr>
      <w:pStyle w:val="Header"/>
    </w:pPr>
    <w:r>
      <w:rPr>
        <w:noProof/>
      </w:rPr>
      <w:pict w14:anchorId="1A5D3D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79344"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39EA0" w14:textId="1D30C27E" w:rsidR="003E2243" w:rsidRDefault="00000000">
    <w:pPr>
      <w:pStyle w:val="Header"/>
    </w:pPr>
    <w:r>
      <w:rPr>
        <w:noProof/>
      </w:rPr>
      <w:pict w14:anchorId="7DE389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79345"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F88B8" w14:textId="21C0AB61" w:rsidR="003E2243" w:rsidRDefault="00000000">
    <w:pPr>
      <w:pStyle w:val="Header"/>
    </w:pPr>
    <w:r>
      <w:rPr>
        <w:noProof/>
      </w:rPr>
      <w:pict w14:anchorId="2BEC42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79343"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8A2E58"/>
    <w:multiLevelType w:val="hybridMultilevel"/>
    <w:tmpl w:val="20667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3870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238"/>
    <w:rsid w:val="000070CB"/>
    <w:rsid w:val="000C4438"/>
    <w:rsid w:val="00100DEB"/>
    <w:rsid w:val="00111271"/>
    <w:rsid w:val="0012459D"/>
    <w:rsid w:val="00124B33"/>
    <w:rsid w:val="001713D1"/>
    <w:rsid w:val="00181118"/>
    <w:rsid w:val="00184D71"/>
    <w:rsid w:val="001F4F38"/>
    <w:rsid w:val="002077C1"/>
    <w:rsid w:val="00215269"/>
    <w:rsid w:val="002227A2"/>
    <w:rsid w:val="002568DA"/>
    <w:rsid w:val="0029278A"/>
    <w:rsid w:val="00297F14"/>
    <w:rsid w:val="002C0DD7"/>
    <w:rsid w:val="003D7F1A"/>
    <w:rsid w:val="003E2243"/>
    <w:rsid w:val="004177AD"/>
    <w:rsid w:val="00426956"/>
    <w:rsid w:val="00431B63"/>
    <w:rsid w:val="00480884"/>
    <w:rsid w:val="004871CE"/>
    <w:rsid w:val="00497326"/>
    <w:rsid w:val="004C5576"/>
    <w:rsid w:val="004E2F18"/>
    <w:rsid w:val="005008B1"/>
    <w:rsid w:val="00505FBF"/>
    <w:rsid w:val="00616200"/>
    <w:rsid w:val="006528DB"/>
    <w:rsid w:val="00680F50"/>
    <w:rsid w:val="00692EFF"/>
    <w:rsid w:val="00693029"/>
    <w:rsid w:val="006D6F66"/>
    <w:rsid w:val="00731238"/>
    <w:rsid w:val="00736BFE"/>
    <w:rsid w:val="007566C5"/>
    <w:rsid w:val="0078179C"/>
    <w:rsid w:val="00786DA5"/>
    <w:rsid w:val="00794D71"/>
    <w:rsid w:val="007A0D1E"/>
    <w:rsid w:val="007D7BF5"/>
    <w:rsid w:val="00812B93"/>
    <w:rsid w:val="00813735"/>
    <w:rsid w:val="00872556"/>
    <w:rsid w:val="008879EB"/>
    <w:rsid w:val="00890D32"/>
    <w:rsid w:val="008A4AB7"/>
    <w:rsid w:val="008B550C"/>
    <w:rsid w:val="00991A5F"/>
    <w:rsid w:val="009E1538"/>
    <w:rsid w:val="00A14836"/>
    <w:rsid w:val="00A5746B"/>
    <w:rsid w:val="00AA570B"/>
    <w:rsid w:val="00AB079E"/>
    <w:rsid w:val="00AE730F"/>
    <w:rsid w:val="00B01B26"/>
    <w:rsid w:val="00B02A94"/>
    <w:rsid w:val="00B04550"/>
    <w:rsid w:val="00B10337"/>
    <w:rsid w:val="00B55EFE"/>
    <w:rsid w:val="00B83018"/>
    <w:rsid w:val="00B85FB5"/>
    <w:rsid w:val="00BE3C69"/>
    <w:rsid w:val="00C15070"/>
    <w:rsid w:val="00C2389E"/>
    <w:rsid w:val="00CB60C1"/>
    <w:rsid w:val="00CC1859"/>
    <w:rsid w:val="00D42ED4"/>
    <w:rsid w:val="00D66A29"/>
    <w:rsid w:val="00DB477E"/>
    <w:rsid w:val="00DD5C73"/>
    <w:rsid w:val="00DD63A9"/>
    <w:rsid w:val="00DF66A3"/>
    <w:rsid w:val="00E01E59"/>
    <w:rsid w:val="00E47D30"/>
    <w:rsid w:val="00E61B0C"/>
    <w:rsid w:val="00E63F11"/>
    <w:rsid w:val="00E972B9"/>
    <w:rsid w:val="00EB2994"/>
    <w:rsid w:val="00F049B0"/>
    <w:rsid w:val="00F20841"/>
    <w:rsid w:val="00F34AD3"/>
    <w:rsid w:val="00F44D89"/>
    <w:rsid w:val="00F657D4"/>
    <w:rsid w:val="00F676B3"/>
    <w:rsid w:val="00FE5111"/>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FECFD"/>
  <w15:chartTrackingRefBased/>
  <w15:docId w15:val="{C662E7DF-57B5-424C-AA49-913A57DD0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070C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550C"/>
    <w:pPr>
      <w:spacing w:before="100" w:beforeAutospacing="1" w:after="100" w:afterAutospacing="1" w:line="240" w:lineRule="auto"/>
    </w:pPr>
    <w:rPr>
      <w:rFonts w:ascii="Times New Roman" w:eastAsia="Times New Roman" w:hAnsi="Times New Roman" w:cs="Times New Roman"/>
      <w:sz w:val="24"/>
      <w:szCs w:val="24"/>
      <w:lang w:bidi="ta-IN"/>
    </w:rPr>
  </w:style>
  <w:style w:type="character" w:styleId="Strong">
    <w:name w:val="Strong"/>
    <w:basedOn w:val="DefaultParagraphFont"/>
    <w:uiPriority w:val="22"/>
    <w:qFormat/>
    <w:rsid w:val="008B550C"/>
    <w:rPr>
      <w:b/>
      <w:bCs/>
    </w:rPr>
  </w:style>
  <w:style w:type="character" w:styleId="Emphasis">
    <w:name w:val="Emphasis"/>
    <w:basedOn w:val="DefaultParagraphFont"/>
    <w:uiPriority w:val="20"/>
    <w:qFormat/>
    <w:rsid w:val="008B550C"/>
    <w:rPr>
      <w:i/>
      <w:iCs/>
    </w:rPr>
  </w:style>
  <w:style w:type="character" w:customStyle="1" w:styleId="Heading3Char">
    <w:name w:val="Heading 3 Char"/>
    <w:basedOn w:val="DefaultParagraphFont"/>
    <w:link w:val="Heading3"/>
    <w:uiPriority w:val="9"/>
    <w:semiHidden/>
    <w:rsid w:val="000070CB"/>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007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66A3"/>
    <w:pPr>
      <w:ind w:left="720"/>
      <w:contextualSpacing/>
    </w:pPr>
  </w:style>
  <w:style w:type="paragraph" w:styleId="BalloonText">
    <w:name w:val="Balloon Text"/>
    <w:basedOn w:val="Normal"/>
    <w:link w:val="BalloonTextChar"/>
    <w:uiPriority w:val="99"/>
    <w:semiHidden/>
    <w:unhideWhenUsed/>
    <w:rsid w:val="002568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8DA"/>
    <w:rPr>
      <w:rFonts w:ascii="Segoe UI" w:hAnsi="Segoe UI" w:cs="Segoe UI"/>
      <w:sz w:val="18"/>
      <w:szCs w:val="18"/>
    </w:rPr>
  </w:style>
  <w:style w:type="paragraph" w:customStyle="1" w:styleId="Default">
    <w:name w:val="Default"/>
    <w:rsid w:val="00693029"/>
    <w:pPr>
      <w:autoSpaceDE w:val="0"/>
      <w:autoSpaceDN w:val="0"/>
      <w:adjustRightInd w:val="0"/>
      <w:spacing w:after="0" w:line="240" w:lineRule="auto"/>
    </w:pPr>
    <w:rPr>
      <w:rFonts w:ascii="Times New Roman" w:hAnsi="Times New Roman" w:cs="Times New Roman"/>
      <w:color w:val="000000"/>
      <w:sz w:val="24"/>
      <w:szCs w:val="24"/>
      <w:lang w:bidi="ta-IN"/>
    </w:rPr>
  </w:style>
  <w:style w:type="character" w:styleId="Hyperlink">
    <w:name w:val="Hyperlink"/>
    <w:basedOn w:val="DefaultParagraphFont"/>
    <w:uiPriority w:val="99"/>
    <w:unhideWhenUsed/>
    <w:rsid w:val="00480884"/>
    <w:rPr>
      <w:color w:val="0563C1" w:themeColor="hyperlink"/>
      <w:u w:val="single"/>
    </w:rPr>
  </w:style>
  <w:style w:type="character" w:customStyle="1" w:styleId="UnresolvedMention1">
    <w:name w:val="Unresolved Mention1"/>
    <w:basedOn w:val="DefaultParagraphFont"/>
    <w:uiPriority w:val="99"/>
    <w:semiHidden/>
    <w:unhideWhenUsed/>
    <w:rsid w:val="007566C5"/>
    <w:rPr>
      <w:color w:val="605E5C"/>
      <w:shd w:val="clear" w:color="auto" w:fill="E1DFDD"/>
    </w:rPr>
  </w:style>
  <w:style w:type="paragraph" w:styleId="Header">
    <w:name w:val="header"/>
    <w:basedOn w:val="Normal"/>
    <w:link w:val="HeaderChar"/>
    <w:uiPriority w:val="99"/>
    <w:unhideWhenUsed/>
    <w:rsid w:val="003E22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243"/>
  </w:style>
  <w:style w:type="paragraph" w:styleId="Footer">
    <w:name w:val="footer"/>
    <w:basedOn w:val="Normal"/>
    <w:link w:val="FooterChar"/>
    <w:uiPriority w:val="99"/>
    <w:unhideWhenUsed/>
    <w:rsid w:val="003E22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243"/>
  </w:style>
  <w:style w:type="paragraph" w:styleId="NoSpacing">
    <w:name w:val="No Spacing"/>
    <w:uiPriority w:val="1"/>
    <w:qFormat/>
    <w:rsid w:val="00B55EFE"/>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67248">
      <w:bodyDiv w:val="1"/>
      <w:marLeft w:val="0"/>
      <w:marRight w:val="0"/>
      <w:marTop w:val="0"/>
      <w:marBottom w:val="0"/>
      <w:divBdr>
        <w:top w:val="none" w:sz="0" w:space="0" w:color="auto"/>
        <w:left w:val="none" w:sz="0" w:space="0" w:color="auto"/>
        <w:bottom w:val="none" w:sz="0" w:space="0" w:color="auto"/>
        <w:right w:val="none" w:sz="0" w:space="0" w:color="auto"/>
      </w:divBdr>
    </w:div>
    <w:div w:id="191772504">
      <w:bodyDiv w:val="1"/>
      <w:marLeft w:val="0"/>
      <w:marRight w:val="0"/>
      <w:marTop w:val="0"/>
      <w:marBottom w:val="0"/>
      <w:divBdr>
        <w:top w:val="none" w:sz="0" w:space="0" w:color="auto"/>
        <w:left w:val="none" w:sz="0" w:space="0" w:color="auto"/>
        <w:bottom w:val="none" w:sz="0" w:space="0" w:color="auto"/>
        <w:right w:val="none" w:sz="0" w:space="0" w:color="auto"/>
      </w:divBdr>
    </w:div>
    <w:div w:id="327707726">
      <w:bodyDiv w:val="1"/>
      <w:marLeft w:val="0"/>
      <w:marRight w:val="0"/>
      <w:marTop w:val="0"/>
      <w:marBottom w:val="0"/>
      <w:divBdr>
        <w:top w:val="none" w:sz="0" w:space="0" w:color="auto"/>
        <w:left w:val="none" w:sz="0" w:space="0" w:color="auto"/>
        <w:bottom w:val="none" w:sz="0" w:space="0" w:color="auto"/>
        <w:right w:val="none" w:sz="0" w:space="0" w:color="auto"/>
      </w:divBdr>
    </w:div>
    <w:div w:id="442237594">
      <w:bodyDiv w:val="1"/>
      <w:marLeft w:val="0"/>
      <w:marRight w:val="0"/>
      <w:marTop w:val="0"/>
      <w:marBottom w:val="0"/>
      <w:divBdr>
        <w:top w:val="none" w:sz="0" w:space="0" w:color="auto"/>
        <w:left w:val="none" w:sz="0" w:space="0" w:color="auto"/>
        <w:bottom w:val="none" w:sz="0" w:space="0" w:color="auto"/>
        <w:right w:val="none" w:sz="0" w:space="0" w:color="auto"/>
      </w:divBdr>
    </w:div>
    <w:div w:id="475531970">
      <w:bodyDiv w:val="1"/>
      <w:marLeft w:val="0"/>
      <w:marRight w:val="0"/>
      <w:marTop w:val="0"/>
      <w:marBottom w:val="0"/>
      <w:divBdr>
        <w:top w:val="none" w:sz="0" w:space="0" w:color="auto"/>
        <w:left w:val="none" w:sz="0" w:space="0" w:color="auto"/>
        <w:bottom w:val="none" w:sz="0" w:space="0" w:color="auto"/>
        <w:right w:val="none" w:sz="0" w:space="0" w:color="auto"/>
      </w:divBdr>
      <w:divsChild>
        <w:div w:id="1602908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7450203">
      <w:bodyDiv w:val="1"/>
      <w:marLeft w:val="0"/>
      <w:marRight w:val="0"/>
      <w:marTop w:val="0"/>
      <w:marBottom w:val="0"/>
      <w:divBdr>
        <w:top w:val="none" w:sz="0" w:space="0" w:color="auto"/>
        <w:left w:val="none" w:sz="0" w:space="0" w:color="auto"/>
        <w:bottom w:val="none" w:sz="0" w:space="0" w:color="auto"/>
        <w:right w:val="none" w:sz="0" w:space="0" w:color="auto"/>
      </w:divBdr>
    </w:div>
    <w:div w:id="543370926">
      <w:bodyDiv w:val="1"/>
      <w:marLeft w:val="0"/>
      <w:marRight w:val="0"/>
      <w:marTop w:val="0"/>
      <w:marBottom w:val="0"/>
      <w:divBdr>
        <w:top w:val="none" w:sz="0" w:space="0" w:color="auto"/>
        <w:left w:val="none" w:sz="0" w:space="0" w:color="auto"/>
        <w:bottom w:val="none" w:sz="0" w:space="0" w:color="auto"/>
        <w:right w:val="none" w:sz="0" w:space="0" w:color="auto"/>
      </w:divBdr>
    </w:div>
    <w:div w:id="558135278">
      <w:bodyDiv w:val="1"/>
      <w:marLeft w:val="0"/>
      <w:marRight w:val="0"/>
      <w:marTop w:val="0"/>
      <w:marBottom w:val="0"/>
      <w:divBdr>
        <w:top w:val="none" w:sz="0" w:space="0" w:color="auto"/>
        <w:left w:val="none" w:sz="0" w:space="0" w:color="auto"/>
        <w:bottom w:val="none" w:sz="0" w:space="0" w:color="auto"/>
        <w:right w:val="none" w:sz="0" w:space="0" w:color="auto"/>
      </w:divBdr>
    </w:div>
    <w:div w:id="815028767">
      <w:bodyDiv w:val="1"/>
      <w:marLeft w:val="0"/>
      <w:marRight w:val="0"/>
      <w:marTop w:val="0"/>
      <w:marBottom w:val="0"/>
      <w:divBdr>
        <w:top w:val="none" w:sz="0" w:space="0" w:color="auto"/>
        <w:left w:val="none" w:sz="0" w:space="0" w:color="auto"/>
        <w:bottom w:val="none" w:sz="0" w:space="0" w:color="auto"/>
        <w:right w:val="none" w:sz="0" w:space="0" w:color="auto"/>
      </w:divBdr>
    </w:div>
    <w:div w:id="1068502801">
      <w:bodyDiv w:val="1"/>
      <w:marLeft w:val="0"/>
      <w:marRight w:val="0"/>
      <w:marTop w:val="0"/>
      <w:marBottom w:val="0"/>
      <w:divBdr>
        <w:top w:val="none" w:sz="0" w:space="0" w:color="auto"/>
        <w:left w:val="none" w:sz="0" w:space="0" w:color="auto"/>
        <w:bottom w:val="none" w:sz="0" w:space="0" w:color="auto"/>
        <w:right w:val="none" w:sz="0" w:space="0" w:color="auto"/>
      </w:divBdr>
    </w:div>
    <w:div w:id="1213690044">
      <w:bodyDiv w:val="1"/>
      <w:marLeft w:val="0"/>
      <w:marRight w:val="0"/>
      <w:marTop w:val="0"/>
      <w:marBottom w:val="0"/>
      <w:divBdr>
        <w:top w:val="none" w:sz="0" w:space="0" w:color="auto"/>
        <w:left w:val="none" w:sz="0" w:space="0" w:color="auto"/>
        <w:bottom w:val="none" w:sz="0" w:space="0" w:color="auto"/>
        <w:right w:val="none" w:sz="0" w:space="0" w:color="auto"/>
      </w:divBdr>
    </w:div>
    <w:div w:id="1460226172">
      <w:bodyDiv w:val="1"/>
      <w:marLeft w:val="0"/>
      <w:marRight w:val="0"/>
      <w:marTop w:val="0"/>
      <w:marBottom w:val="0"/>
      <w:divBdr>
        <w:top w:val="none" w:sz="0" w:space="0" w:color="auto"/>
        <w:left w:val="none" w:sz="0" w:space="0" w:color="auto"/>
        <w:bottom w:val="none" w:sz="0" w:space="0" w:color="auto"/>
        <w:right w:val="none" w:sz="0" w:space="0" w:color="auto"/>
      </w:divBdr>
    </w:div>
    <w:div w:id="1513254825">
      <w:bodyDiv w:val="1"/>
      <w:marLeft w:val="0"/>
      <w:marRight w:val="0"/>
      <w:marTop w:val="0"/>
      <w:marBottom w:val="0"/>
      <w:divBdr>
        <w:top w:val="none" w:sz="0" w:space="0" w:color="auto"/>
        <w:left w:val="none" w:sz="0" w:space="0" w:color="auto"/>
        <w:bottom w:val="none" w:sz="0" w:space="0" w:color="auto"/>
        <w:right w:val="none" w:sz="0" w:space="0" w:color="auto"/>
      </w:divBdr>
      <w:divsChild>
        <w:div w:id="1285380271">
          <w:marLeft w:val="0"/>
          <w:marRight w:val="0"/>
          <w:marTop w:val="0"/>
          <w:marBottom w:val="0"/>
          <w:divBdr>
            <w:top w:val="none" w:sz="0" w:space="0" w:color="auto"/>
            <w:left w:val="none" w:sz="0" w:space="0" w:color="auto"/>
            <w:bottom w:val="none" w:sz="0" w:space="0" w:color="auto"/>
            <w:right w:val="none" w:sz="0" w:space="0" w:color="auto"/>
          </w:divBdr>
          <w:divsChild>
            <w:div w:id="445933223">
              <w:marLeft w:val="0"/>
              <w:marRight w:val="0"/>
              <w:marTop w:val="0"/>
              <w:marBottom w:val="0"/>
              <w:divBdr>
                <w:top w:val="none" w:sz="0" w:space="0" w:color="auto"/>
                <w:left w:val="none" w:sz="0" w:space="0" w:color="auto"/>
                <w:bottom w:val="none" w:sz="0" w:space="0" w:color="auto"/>
                <w:right w:val="none" w:sz="0" w:space="0" w:color="auto"/>
              </w:divBdr>
              <w:divsChild>
                <w:div w:id="10018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293992">
      <w:bodyDiv w:val="1"/>
      <w:marLeft w:val="0"/>
      <w:marRight w:val="0"/>
      <w:marTop w:val="0"/>
      <w:marBottom w:val="0"/>
      <w:divBdr>
        <w:top w:val="none" w:sz="0" w:space="0" w:color="auto"/>
        <w:left w:val="none" w:sz="0" w:space="0" w:color="auto"/>
        <w:bottom w:val="none" w:sz="0" w:space="0" w:color="auto"/>
        <w:right w:val="none" w:sz="0" w:space="0" w:color="auto"/>
      </w:divBdr>
    </w:div>
    <w:div w:id="1860461719">
      <w:bodyDiv w:val="1"/>
      <w:marLeft w:val="0"/>
      <w:marRight w:val="0"/>
      <w:marTop w:val="0"/>
      <w:marBottom w:val="0"/>
      <w:divBdr>
        <w:top w:val="none" w:sz="0" w:space="0" w:color="auto"/>
        <w:left w:val="none" w:sz="0" w:space="0" w:color="auto"/>
        <w:bottom w:val="none" w:sz="0" w:space="0" w:color="auto"/>
        <w:right w:val="none" w:sz="0" w:space="0" w:color="auto"/>
      </w:divBdr>
    </w:div>
    <w:div w:id="2052918684">
      <w:bodyDiv w:val="1"/>
      <w:marLeft w:val="0"/>
      <w:marRight w:val="0"/>
      <w:marTop w:val="0"/>
      <w:marBottom w:val="0"/>
      <w:divBdr>
        <w:top w:val="none" w:sz="0" w:space="0" w:color="auto"/>
        <w:left w:val="none" w:sz="0" w:space="0" w:color="auto"/>
        <w:bottom w:val="none" w:sz="0" w:space="0" w:color="auto"/>
        <w:right w:val="none" w:sz="0" w:space="0" w:color="auto"/>
      </w:divBdr>
    </w:div>
    <w:div w:id="213131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3389/fcimb.2024.1457323"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i.org/10.1007/978-1-0716-4901-5_18" TargetMode="External"/><Relationship Id="rId17" Type="http://schemas.openxmlformats.org/officeDocument/2006/relationships/hyperlink" Target="https://doi.org/10.1038/s41374-022-00798-4" TargetMode="External"/><Relationship Id="rId2" Type="http://schemas.openxmlformats.org/officeDocument/2006/relationships/styles" Target="styles.xml"/><Relationship Id="rId16" Type="http://schemas.openxmlformats.org/officeDocument/2006/relationships/hyperlink" Target="https://doi.org/10.3390/gucdd4010008"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hyperlink" Target="https://doi.org/10.15419/bmrat.v8i9.693" TargetMode="External"/><Relationship Id="rId10" Type="http://schemas.openxmlformats.org/officeDocument/2006/relationships/chart" Target="charts/chart1.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16/j.jim.2025.114020"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EDQ on inflammatory gene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Sheet2!$B$1</c:f>
              <c:strCache>
                <c:ptCount val="1"/>
                <c:pt idx="0">
                  <c:v>EDQ (2^-ΔΔCt)</c:v>
                </c:pt>
              </c:strCache>
            </c:strRef>
          </c:tx>
          <c:spPr>
            <a:solidFill>
              <a:schemeClr val="accent6"/>
            </a:solidFill>
            <a:ln>
              <a:noFill/>
            </a:ln>
            <a:effectLst/>
          </c:spPr>
          <c:invertIfNegative val="0"/>
          <c:dLbls>
            <c:dLbl>
              <c:idx val="0"/>
              <c:tx>
                <c:rich>
                  <a:bodyPr/>
                  <a:lstStyle/>
                  <a:p>
                    <a:fld id="{AB96807A-67AB-4E50-8A9A-A54001442BC1}"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88A5-4402-8E1E-F0A18692C655}"/>
                </c:ext>
              </c:extLst>
            </c:dLbl>
            <c:dLbl>
              <c:idx val="1"/>
              <c:tx>
                <c:rich>
                  <a:bodyPr/>
                  <a:lstStyle/>
                  <a:p>
                    <a:fld id="{6B8D6FAB-5D26-40CF-A091-465D95C459D1}"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88A5-4402-8E1E-F0A18692C655}"/>
                </c:ext>
              </c:extLst>
            </c:dLbl>
            <c:dLbl>
              <c:idx val="2"/>
              <c:tx>
                <c:rich>
                  <a:bodyPr/>
                  <a:lstStyle/>
                  <a:p>
                    <a:fld id="{DCD6DA77-FE9E-4E86-8C1A-15CBA597591C}"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88A5-4402-8E1E-F0A18692C655}"/>
                </c:ext>
              </c:extLst>
            </c:dLbl>
            <c:dLbl>
              <c:idx val="3"/>
              <c:tx>
                <c:rich>
                  <a:bodyPr/>
                  <a:lstStyle/>
                  <a:p>
                    <a:fld id="{8E4B6852-FF46-43B7-9C59-2C5D89F27527}"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88A5-4402-8E1E-F0A18692C65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cat>
            <c:numRef>
              <c:f>Sheet2!$C$2:$C$5</c:f>
              <c:numCache>
                <c:formatCode>General</c:formatCode>
                <c:ptCount val="4"/>
                <c:pt idx="0">
                  <c:v>1</c:v>
                </c:pt>
                <c:pt idx="1">
                  <c:v>1</c:v>
                </c:pt>
                <c:pt idx="2">
                  <c:v>1</c:v>
                </c:pt>
                <c:pt idx="3">
                  <c:v>1</c:v>
                </c:pt>
              </c:numCache>
            </c:numRef>
          </c:cat>
          <c:val>
            <c:numRef>
              <c:f>Sheet2!$B$2:$B$5</c:f>
              <c:numCache>
                <c:formatCode>General</c:formatCode>
                <c:ptCount val="4"/>
                <c:pt idx="0">
                  <c:v>3.6799999999999999E-6</c:v>
                </c:pt>
                <c:pt idx="1">
                  <c:v>1.6100000000000001E-4</c:v>
                </c:pt>
                <c:pt idx="2">
                  <c:v>1.59E-5</c:v>
                </c:pt>
                <c:pt idx="3">
                  <c:v>17.27</c:v>
                </c:pt>
              </c:numCache>
            </c:numRef>
          </c:val>
          <c:extLst>
            <c:ext xmlns:c15="http://schemas.microsoft.com/office/drawing/2012/chart" uri="{02D57815-91ED-43cb-92C2-25804820EDAC}">
              <c15:datalabelsRange>
                <c15:f>Sheet2!$A$2:$A$5</c15:f>
                <c15:dlblRangeCache>
                  <c:ptCount val="4"/>
                  <c:pt idx="0">
                    <c:v>TNF-α</c:v>
                  </c:pt>
                  <c:pt idx="1">
                    <c:v>COX-2</c:v>
                  </c:pt>
                  <c:pt idx="2">
                    <c:v>IL-6</c:v>
                  </c:pt>
                  <c:pt idx="3">
                    <c:v>iNOS</c:v>
                  </c:pt>
                </c15:dlblRangeCache>
              </c15:datalabelsRange>
            </c:ext>
            <c:ext xmlns:c16="http://schemas.microsoft.com/office/drawing/2014/chart" uri="{C3380CC4-5D6E-409C-BE32-E72D297353CC}">
              <c16:uniqueId val="{00000004-60CB-4917-933B-D9E8C306E243}"/>
            </c:ext>
          </c:extLst>
        </c:ser>
        <c:dLbls>
          <c:showLegendKey val="0"/>
          <c:showVal val="0"/>
          <c:showCatName val="0"/>
          <c:showSerName val="0"/>
          <c:showPercent val="0"/>
          <c:showBubbleSize val="0"/>
        </c:dLbls>
        <c:gapWidth val="219"/>
        <c:overlap val="-27"/>
        <c:axId val="317988056"/>
        <c:axId val="317989232"/>
      </c:barChart>
      <c:lineChart>
        <c:grouping val="standard"/>
        <c:varyColors val="0"/>
        <c:ser>
          <c:idx val="1"/>
          <c:order val="1"/>
          <c:tx>
            <c:strRef>
              <c:f>Sheet2!$C$1</c:f>
              <c:strCache>
                <c:ptCount val="1"/>
                <c:pt idx="0">
                  <c:v>Control</c:v>
                </c:pt>
              </c:strCache>
            </c:strRef>
          </c:tx>
          <c:spPr>
            <a:ln w="28575" cap="rnd">
              <a:solidFill>
                <a:schemeClr val="accent5"/>
              </a:solidFill>
              <a:round/>
            </a:ln>
            <a:effectLst/>
          </c:spPr>
          <c:marker>
            <c:symbol val="none"/>
          </c:marker>
          <c:cat>
            <c:numRef>
              <c:f>Sheet2!$C$2:$C$5</c:f>
              <c:numCache>
                <c:formatCode>General</c:formatCode>
                <c:ptCount val="4"/>
                <c:pt idx="0">
                  <c:v>1</c:v>
                </c:pt>
                <c:pt idx="1">
                  <c:v>1</c:v>
                </c:pt>
                <c:pt idx="2">
                  <c:v>1</c:v>
                </c:pt>
                <c:pt idx="3">
                  <c:v>1</c:v>
                </c:pt>
              </c:numCache>
            </c:numRef>
          </c:cat>
          <c:val>
            <c:numRef>
              <c:f>Sheet2!$C$2:$C$5</c:f>
              <c:numCache>
                <c:formatCode>General</c:formatCode>
                <c:ptCount val="4"/>
                <c:pt idx="0">
                  <c:v>1</c:v>
                </c:pt>
                <c:pt idx="1">
                  <c:v>1</c:v>
                </c:pt>
                <c:pt idx="2">
                  <c:v>1</c:v>
                </c:pt>
                <c:pt idx="3">
                  <c:v>1</c:v>
                </c:pt>
              </c:numCache>
            </c:numRef>
          </c:val>
          <c:smooth val="0"/>
          <c:extLst>
            <c:ext xmlns:c16="http://schemas.microsoft.com/office/drawing/2014/chart" uri="{C3380CC4-5D6E-409C-BE32-E72D297353CC}">
              <c16:uniqueId val="{00000005-60CB-4917-933B-D9E8C306E243}"/>
            </c:ext>
          </c:extLst>
        </c:ser>
        <c:dLbls>
          <c:showLegendKey val="0"/>
          <c:showVal val="0"/>
          <c:showCatName val="0"/>
          <c:showSerName val="0"/>
          <c:showPercent val="0"/>
          <c:showBubbleSize val="0"/>
        </c:dLbls>
        <c:marker val="1"/>
        <c:smooth val="0"/>
        <c:axId val="317988056"/>
        <c:axId val="317989232"/>
      </c:lineChart>
      <c:catAx>
        <c:axId val="3179880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Inflammatory Genes</a:t>
                </a:r>
              </a:p>
              <a:p>
                <a:pPr>
                  <a:defRPr/>
                </a:pP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7989232"/>
        <c:crosses val="autoZero"/>
        <c:auto val="1"/>
        <c:lblAlgn val="ctr"/>
        <c:lblOffset val="100"/>
        <c:noMultiLvlLbl val="0"/>
      </c:catAx>
      <c:valAx>
        <c:axId val="317989232"/>
        <c:scaling>
          <c:logBase val="10"/>
          <c:orientation val="minMax"/>
          <c:max val="100"/>
          <c:min val="1.0000000000000004E-6"/>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(2⁻</a:t>
                </a:r>
                <a:r>
                  <a:rPr lang="el-GR"/>
                  <a:t>ΔΔ</a:t>
                </a:r>
                <a:r>
                  <a:rPr lang="en-US"/>
                  <a:t>Ct, log scale)</a:t>
                </a:r>
              </a:p>
            </c:rich>
          </c:tx>
          <c:layout>
            <c:manualLayout>
              <c:xMode val="edge"/>
              <c:yMode val="edge"/>
              <c:x val="3.3333333333333333E-2"/>
              <c:y val="0.2385064887722367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7988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ECA on Inflammatory Gene </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1843476939961376"/>
          <c:y val="0.16712962962962963"/>
          <c:w val="0.71776938374015653"/>
          <c:h val="0.60891149023038782"/>
        </c:manualLayout>
      </c:layout>
      <c:barChart>
        <c:barDir val="col"/>
        <c:grouping val="clustered"/>
        <c:varyColors val="0"/>
        <c:ser>
          <c:idx val="0"/>
          <c:order val="0"/>
          <c:tx>
            <c:strRef>
              <c:f>Sheet1!$B$1</c:f>
              <c:strCache>
                <c:ptCount val="1"/>
                <c:pt idx="0">
                  <c:v>ECA (2^-ΔΔCt)</c:v>
                </c:pt>
              </c:strCache>
            </c:strRef>
          </c:tx>
          <c:spPr>
            <a:solidFill>
              <a:schemeClr val="accent1"/>
            </a:solidFill>
            <a:ln>
              <a:noFill/>
            </a:ln>
            <a:effectLst/>
          </c:spPr>
          <c:invertIfNegative val="0"/>
          <c:dLbls>
            <c:dLbl>
              <c:idx val="0"/>
              <c:tx>
                <c:rich>
                  <a:bodyPr/>
                  <a:lstStyle/>
                  <a:p>
                    <a:fld id="{BB98D7A1-C427-4226-B6F7-8FD1C08B29CF}"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B25E-4D37-B562-3B198BD254FE}"/>
                </c:ext>
              </c:extLst>
            </c:dLbl>
            <c:dLbl>
              <c:idx val="1"/>
              <c:tx>
                <c:rich>
                  <a:bodyPr/>
                  <a:lstStyle/>
                  <a:p>
                    <a:fld id="{DAE2C4A1-A699-4026-95F8-CB65A1E71471}"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B25E-4D37-B562-3B198BD254FE}"/>
                </c:ext>
              </c:extLst>
            </c:dLbl>
            <c:dLbl>
              <c:idx val="2"/>
              <c:tx>
                <c:rich>
                  <a:bodyPr/>
                  <a:lstStyle/>
                  <a:p>
                    <a:fld id="{A914BAD7-29FC-46EE-AA19-55AEC95AB2BB}"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B25E-4D37-B562-3B198BD254FE}"/>
                </c:ext>
              </c:extLst>
            </c:dLbl>
            <c:dLbl>
              <c:idx val="3"/>
              <c:tx>
                <c:rich>
                  <a:bodyPr/>
                  <a:lstStyle/>
                  <a:p>
                    <a:fld id="{48E92E26-3980-4ED4-A533-AA48C16C4A1A}"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B25E-4D37-B562-3B198BD254FE}"/>
                </c:ext>
              </c:extLst>
            </c:dLbl>
            <c:spPr>
              <a:noFill/>
              <a:ln>
                <a:noFill/>
              </a:ln>
              <a:effectLst/>
            </c:spPr>
            <c:txPr>
              <a:bodyPr rot="0" spcFirstLastPara="1" vertOverflow="ellipsis" vert="horz" wrap="square" lIns="38100" tIns="19050" rIns="38100" bIns="19050" anchor="ctr" anchorCtr="1">
                <a:spAutoFit/>
              </a:bodyPr>
              <a:lstStyle/>
              <a:p>
                <a:pPr>
                  <a:defRPr sz="900" b="0" i="1"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numRef>
              <c:f>Sheet1!$C$2:$C$5</c:f>
              <c:numCache>
                <c:formatCode>General</c:formatCode>
                <c:ptCount val="4"/>
                <c:pt idx="0">
                  <c:v>1</c:v>
                </c:pt>
                <c:pt idx="1">
                  <c:v>1</c:v>
                </c:pt>
                <c:pt idx="2">
                  <c:v>1</c:v>
                </c:pt>
                <c:pt idx="3">
                  <c:v>1</c:v>
                </c:pt>
              </c:numCache>
            </c:numRef>
          </c:cat>
          <c:val>
            <c:numRef>
              <c:f>Sheet1!$B$2:$B$5</c:f>
              <c:numCache>
                <c:formatCode>General</c:formatCode>
                <c:ptCount val="4"/>
                <c:pt idx="0">
                  <c:v>3.1700000000000001E-4</c:v>
                </c:pt>
                <c:pt idx="1">
                  <c:v>9.3999999999999994E-5</c:v>
                </c:pt>
                <c:pt idx="2">
                  <c:v>7.1000000000000005E-5</c:v>
                </c:pt>
                <c:pt idx="3">
                  <c:v>2.39</c:v>
                </c:pt>
              </c:numCache>
            </c:numRef>
          </c:val>
          <c:extLst>
            <c:ext xmlns:c15="http://schemas.microsoft.com/office/drawing/2012/chart" uri="{02D57815-91ED-43cb-92C2-25804820EDAC}">
              <c15:datalabelsRange>
                <c15:f>Sheet1!$A$2:$A$5</c15:f>
                <c15:dlblRangeCache>
                  <c:ptCount val="4"/>
                  <c:pt idx="0">
                    <c:v>TNF-α</c:v>
                  </c:pt>
                  <c:pt idx="1">
                    <c:v>COX-2</c:v>
                  </c:pt>
                  <c:pt idx="2">
                    <c:v>IL-6</c:v>
                  </c:pt>
                  <c:pt idx="3">
                    <c:v>iNOS</c:v>
                  </c:pt>
                </c15:dlblRangeCache>
              </c15:datalabelsRange>
            </c:ext>
            <c:ext xmlns:c16="http://schemas.microsoft.com/office/drawing/2014/chart" uri="{C3380CC4-5D6E-409C-BE32-E72D297353CC}">
              <c16:uniqueId val="{00000004-B25E-4D37-B562-3B198BD254FE}"/>
            </c:ext>
          </c:extLst>
        </c:ser>
        <c:dLbls>
          <c:showLegendKey val="0"/>
          <c:showVal val="0"/>
          <c:showCatName val="0"/>
          <c:showSerName val="0"/>
          <c:showPercent val="0"/>
          <c:showBubbleSize val="0"/>
        </c:dLbls>
        <c:gapWidth val="219"/>
        <c:axId val="317990016"/>
        <c:axId val="317990408"/>
      </c:barChart>
      <c:lineChart>
        <c:grouping val="standard"/>
        <c:varyColors val="0"/>
        <c:ser>
          <c:idx val="1"/>
          <c:order val="1"/>
          <c:tx>
            <c:strRef>
              <c:f>Sheet1!$C$1</c:f>
              <c:strCache>
                <c:ptCount val="1"/>
                <c:pt idx="0">
                  <c:v>Control</c:v>
                </c:pt>
              </c:strCache>
            </c:strRef>
          </c:tx>
          <c:spPr>
            <a:ln w="28575" cap="rnd">
              <a:solidFill>
                <a:schemeClr val="accent2"/>
              </a:solidFill>
              <a:round/>
            </a:ln>
            <a:effectLst/>
          </c:spPr>
          <c:marker>
            <c:symbol val="none"/>
          </c:marker>
          <c:cat>
            <c:numRef>
              <c:f>Sheet1!$C$2:$C$5</c:f>
              <c:numCache>
                <c:formatCode>General</c:formatCode>
                <c:ptCount val="4"/>
                <c:pt idx="0">
                  <c:v>1</c:v>
                </c:pt>
                <c:pt idx="1">
                  <c:v>1</c:v>
                </c:pt>
                <c:pt idx="2">
                  <c:v>1</c:v>
                </c:pt>
                <c:pt idx="3">
                  <c:v>1</c:v>
                </c:pt>
              </c:numCache>
            </c:numRef>
          </c:cat>
          <c:val>
            <c:numRef>
              <c:f>Sheet1!$C$2:$C$5</c:f>
              <c:numCache>
                <c:formatCode>General</c:formatCode>
                <c:ptCount val="4"/>
                <c:pt idx="0">
                  <c:v>1</c:v>
                </c:pt>
                <c:pt idx="1">
                  <c:v>1</c:v>
                </c:pt>
                <c:pt idx="2">
                  <c:v>1</c:v>
                </c:pt>
                <c:pt idx="3">
                  <c:v>1</c:v>
                </c:pt>
              </c:numCache>
            </c:numRef>
          </c:val>
          <c:smooth val="0"/>
          <c:extLst>
            <c:ext xmlns:c16="http://schemas.microsoft.com/office/drawing/2014/chart" uri="{C3380CC4-5D6E-409C-BE32-E72D297353CC}">
              <c16:uniqueId val="{00000005-B25E-4D37-B562-3B198BD254FE}"/>
            </c:ext>
          </c:extLst>
        </c:ser>
        <c:dLbls>
          <c:showLegendKey val="0"/>
          <c:showVal val="0"/>
          <c:showCatName val="0"/>
          <c:showSerName val="0"/>
          <c:showPercent val="0"/>
          <c:showBubbleSize val="0"/>
        </c:dLbls>
        <c:marker val="1"/>
        <c:smooth val="0"/>
        <c:axId val="317990016"/>
        <c:axId val="317990408"/>
      </c:lineChart>
      <c:catAx>
        <c:axId val="31799001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Inflammatory Genes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7990408"/>
        <c:crosses val="autoZero"/>
        <c:auto val="1"/>
        <c:lblAlgn val="ctr"/>
        <c:lblOffset val="100"/>
        <c:noMultiLvlLbl val="0"/>
      </c:catAx>
      <c:valAx>
        <c:axId val="317990408"/>
        <c:scaling>
          <c:logBase val="10"/>
          <c:orientation val="minMax"/>
          <c:max val="100"/>
          <c:min val="1.0000000000000004E-6"/>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(2⁻</a:t>
                </a:r>
                <a:r>
                  <a:rPr lang="el-GR">
                    <a:solidFill>
                      <a:sysClr val="windowText" lastClr="000000"/>
                    </a:solidFill>
                    <a:latin typeface="Times New Roman" panose="02020603050405020304" pitchFamily="18" charset="0"/>
                    <a:cs typeface="Times New Roman" panose="02020603050405020304" pitchFamily="18" charset="0"/>
                  </a:rPr>
                  <a:t>ΔΔ</a:t>
                </a:r>
                <a:r>
                  <a:rPr lang="en-US">
                    <a:solidFill>
                      <a:sysClr val="windowText" lastClr="000000"/>
                    </a:solidFill>
                    <a:latin typeface="Times New Roman" panose="02020603050405020304" pitchFamily="18" charset="0"/>
                    <a:cs typeface="Times New Roman" panose="02020603050405020304" pitchFamily="18" charset="0"/>
                  </a:rPr>
                  <a:t>Ct, log scale)</a:t>
                </a:r>
              </a:p>
            </c:rich>
          </c:tx>
          <c:layout>
            <c:manualLayout>
              <c:xMode val="edge"/>
              <c:yMode val="edge"/>
              <c:x val="5.099267342373523E-2"/>
              <c:y val="0.2967129629629629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7990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21</Pages>
  <Words>6714</Words>
  <Characters>38270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SENAVARAYAN E</dc:creator>
  <cp:keywords/>
  <dc:description/>
  <cp:lastModifiedBy>SDI CPU 1117</cp:lastModifiedBy>
  <cp:revision>26</cp:revision>
  <cp:lastPrinted>2026-03-24T00:38:00Z</cp:lastPrinted>
  <dcterms:created xsi:type="dcterms:W3CDTF">2026-05-24T17:45:00Z</dcterms:created>
  <dcterms:modified xsi:type="dcterms:W3CDTF">2026-06-04T12:17:00Z</dcterms:modified>
</cp:coreProperties>
</file>