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DA7866" w14:textId="77777777" w:rsidR="00754C9A" w:rsidRDefault="00754C9A" w:rsidP="00441B6F">
      <w:pPr>
        <w:pStyle w:val="Title"/>
        <w:spacing w:after="0"/>
        <w:jc w:val="both"/>
        <w:rPr>
          <w:rFonts w:ascii="Arial" w:hAnsi="Arial" w:cs="Arial"/>
        </w:rPr>
      </w:pPr>
    </w:p>
    <w:p w14:paraId="4437E61C" w14:textId="77777777" w:rsidR="00BC132E" w:rsidRPr="00BC132E" w:rsidRDefault="00BC132E" w:rsidP="00BC132E">
      <w:pPr>
        <w:pStyle w:val="Author"/>
        <w:rPr>
          <w:rFonts w:ascii="Arial" w:hAnsi="Arial" w:cs="Arial"/>
          <w:bCs/>
          <w:i/>
          <w:iCs/>
          <w:kern w:val="28"/>
          <w:sz w:val="20"/>
          <w:u w:val="single"/>
        </w:rPr>
      </w:pPr>
      <w:r w:rsidRPr="00BC132E">
        <w:rPr>
          <w:rFonts w:ascii="Arial" w:hAnsi="Arial" w:cs="Arial"/>
          <w:bCs/>
          <w:i/>
          <w:iCs/>
          <w:kern w:val="28"/>
          <w:sz w:val="20"/>
          <w:u w:val="single"/>
        </w:rPr>
        <w:t>Original Research Article</w:t>
      </w:r>
    </w:p>
    <w:p w14:paraId="4649C708" w14:textId="77777777" w:rsidR="00A56555" w:rsidRPr="00A56555" w:rsidRDefault="00A56555" w:rsidP="00A56555">
      <w:pPr>
        <w:pStyle w:val="Author"/>
        <w:spacing w:line="240" w:lineRule="auto"/>
        <w:rPr>
          <w:rFonts w:ascii="Arial" w:hAnsi="Arial" w:cs="Arial"/>
          <w:bCs/>
          <w:iCs/>
          <w:kern w:val="28"/>
          <w:sz w:val="36"/>
        </w:rPr>
      </w:pPr>
      <w:bookmarkStart w:id="0" w:name="_Hlk230196151"/>
      <w:r w:rsidRPr="00A56555">
        <w:rPr>
          <w:rFonts w:ascii="Arial" w:hAnsi="Arial" w:cs="Arial"/>
          <w:bCs/>
          <w:i/>
          <w:iCs/>
          <w:kern w:val="28"/>
          <w:sz w:val="36"/>
        </w:rPr>
        <w:t>In vitro</w:t>
      </w:r>
      <w:r w:rsidRPr="00A56555">
        <w:rPr>
          <w:rFonts w:ascii="Arial" w:hAnsi="Arial" w:cs="Arial"/>
          <w:bCs/>
          <w:iCs/>
          <w:kern w:val="28"/>
          <w:sz w:val="36"/>
        </w:rPr>
        <w:t xml:space="preserve"> regeneration of </w:t>
      </w:r>
      <w:proofErr w:type="spellStart"/>
      <w:r w:rsidRPr="00A56555">
        <w:rPr>
          <w:rFonts w:ascii="Arial" w:hAnsi="Arial" w:cs="Arial"/>
          <w:bCs/>
          <w:i/>
          <w:iCs/>
          <w:kern w:val="28"/>
          <w:sz w:val="36"/>
        </w:rPr>
        <w:t>Hymenodictyon</w:t>
      </w:r>
      <w:proofErr w:type="spellEnd"/>
      <w:r w:rsidRPr="00A56555">
        <w:rPr>
          <w:rFonts w:ascii="Arial" w:hAnsi="Arial" w:cs="Arial"/>
          <w:bCs/>
          <w:i/>
          <w:iCs/>
          <w:kern w:val="28"/>
          <w:sz w:val="36"/>
        </w:rPr>
        <w:t xml:space="preserve"> </w:t>
      </w:r>
      <w:proofErr w:type="spellStart"/>
      <w:r w:rsidRPr="00A56555">
        <w:rPr>
          <w:rFonts w:ascii="Arial" w:hAnsi="Arial" w:cs="Arial"/>
          <w:bCs/>
          <w:i/>
          <w:iCs/>
          <w:kern w:val="28"/>
          <w:sz w:val="36"/>
        </w:rPr>
        <w:t>orixense</w:t>
      </w:r>
      <w:proofErr w:type="spellEnd"/>
      <w:r w:rsidRPr="00A56555">
        <w:rPr>
          <w:rFonts w:ascii="Arial" w:hAnsi="Arial" w:cs="Arial"/>
          <w:bCs/>
          <w:iCs/>
          <w:kern w:val="28"/>
          <w:sz w:val="36"/>
        </w:rPr>
        <w:t xml:space="preserve"> (</w:t>
      </w:r>
      <w:proofErr w:type="spellStart"/>
      <w:r w:rsidRPr="00A56555">
        <w:rPr>
          <w:rFonts w:ascii="Arial" w:hAnsi="Arial" w:cs="Arial"/>
          <w:bCs/>
          <w:iCs/>
          <w:kern w:val="28"/>
          <w:sz w:val="36"/>
        </w:rPr>
        <w:t>Roxb</w:t>
      </w:r>
      <w:proofErr w:type="spellEnd"/>
      <w:r w:rsidRPr="00A56555">
        <w:rPr>
          <w:rFonts w:ascii="Arial" w:hAnsi="Arial" w:cs="Arial"/>
          <w:bCs/>
          <w:iCs/>
          <w:kern w:val="28"/>
          <w:sz w:val="36"/>
        </w:rPr>
        <w:t xml:space="preserve">.) Mabb., a highly valuable tree species of </w:t>
      </w:r>
      <w:proofErr w:type="spellStart"/>
      <w:r w:rsidRPr="00A56555">
        <w:rPr>
          <w:rFonts w:ascii="Arial" w:hAnsi="Arial" w:cs="Arial"/>
          <w:bCs/>
          <w:iCs/>
          <w:kern w:val="28"/>
          <w:sz w:val="36"/>
        </w:rPr>
        <w:t>Rubiaceae</w:t>
      </w:r>
      <w:proofErr w:type="spellEnd"/>
      <w:r w:rsidRPr="00A56555">
        <w:rPr>
          <w:rFonts w:ascii="Arial" w:hAnsi="Arial" w:cs="Arial"/>
          <w:bCs/>
          <w:iCs/>
          <w:kern w:val="28"/>
          <w:sz w:val="36"/>
        </w:rPr>
        <w:t xml:space="preserve"> family</w:t>
      </w:r>
    </w:p>
    <w:bookmarkEnd w:id="0"/>
    <w:p w14:paraId="17655FEA" w14:textId="77777777" w:rsidR="00A258C3" w:rsidRPr="00790ADA" w:rsidRDefault="00A258C3" w:rsidP="00441B6F">
      <w:pPr>
        <w:pStyle w:val="Author"/>
        <w:spacing w:line="240" w:lineRule="auto"/>
        <w:jc w:val="both"/>
        <w:rPr>
          <w:rFonts w:ascii="Arial" w:hAnsi="Arial" w:cs="Arial"/>
          <w:sz w:val="36"/>
        </w:rPr>
      </w:pPr>
    </w:p>
    <w:p w14:paraId="68FAF1A1" w14:textId="1854026A" w:rsidR="00790ADA" w:rsidRDefault="00790ADA" w:rsidP="00441B6F">
      <w:pPr>
        <w:pStyle w:val="Affiliation"/>
        <w:spacing w:after="0" w:line="240" w:lineRule="auto"/>
        <w:jc w:val="both"/>
        <w:rPr>
          <w:rFonts w:ascii="Arial" w:hAnsi="Arial" w:cs="Arial"/>
        </w:rPr>
      </w:pPr>
    </w:p>
    <w:p w14:paraId="69ED48F0" w14:textId="4F141460" w:rsidR="003B19F6" w:rsidRDefault="003B19F6" w:rsidP="00441B6F">
      <w:pPr>
        <w:pStyle w:val="Affiliation"/>
        <w:spacing w:after="0" w:line="240" w:lineRule="auto"/>
        <w:jc w:val="both"/>
        <w:rPr>
          <w:rFonts w:ascii="Arial" w:hAnsi="Arial" w:cs="Arial"/>
        </w:rPr>
      </w:pPr>
    </w:p>
    <w:p w14:paraId="505E8403" w14:textId="54FB3876" w:rsidR="003B19F6" w:rsidRDefault="003B19F6" w:rsidP="00441B6F">
      <w:pPr>
        <w:pStyle w:val="Affiliation"/>
        <w:spacing w:after="0" w:line="240" w:lineRule="auto"/>
        <w:jc w:val="both"/>
        <w:rPr>
          <w:rFonts w:ascii="Arial" w:hAnsi="Arial" w:cs="Arial"/>
        </w:rPr>
      </w:pPr>
    </w:p>
    <w:p w14:paraId="44B1EABF" w14:textId="77777777" w:rsidR="003B19F6" w:rsidRDefault="003B19F6" w:rsidP="00441B6F">
      <w:pPr>
        <w:pStyle w:val="Affiliation"/>
        <w:spacing w:after="0" w:line="240" w:lineRule="auto"/>
        <w:jc w:val="both"/>
        <w:rPr>
          <w:rFonts w:ascii="Arial" w:hAnsi="Arial" w:cs="Arial"/>
        </w:rPr>
      </w:pPr>
    </w:p>
    <w:p w14:paraId="7E149ABB" w14:textId="77777777" w:rsidR="002C57D2" w:rsidRPr="00FB3A86" w:rsidRDefault="002C57D2" w:rsidP="00441B6F">
      <w:pPr>
        <w:pStyle w:val="Affiliation"/>
        <w:spacing w:after="0" w:line="240" w:lineRule="auto"/>
        <w:jc w:val="both"/>
        <w:rPr>
          <w:rFonts w:ascii="Arial" w:hAnsi="Arial" w:cs="Arial"/>
        </w:rPr>
      </w:pPr>
    </w:p>
    <w:p w14:paraId="7780F1B0" w14:textId="77777777" w:rsidR="00B01FCD" w:rsidRPr="00FB3A86" w:rsidRDefault="00E8315A" w:rsidP="00441B6F">
      <w:pPr>
        <w:pStyle w:val="Copyright"/>
        <w:spacing w:after="0" w:line="240" w:lineRule="auto"/>
        <w:jc w:val="both"/>
        <w:rPr>
          <w:rFonts w:ascii="Arial" w:hAnsi="Arial" w:cs="Arial"/>
        </w:rPr>
        <w:sectPr w:rsidR="00B01FCD" w:rsidRPr="00FB3A86" w:rsidSect="00A17BB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5C7AB83">
          <v:shapetype id="_x0000_t32" coordsize="21600,21600" o:spt="32" o:oned="t" path="m,l21600,21600e" filled="f">
            <v:path arrowok="t" fillok="f" o:connecttype="none"/>
            <o:lock v:ext="edit" shapetype="t"/>
          </v:shapetype>
          <v:shape id="_x0000_s2063"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8C4F396"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26C184B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9DF58A2" w14:textId="77777777" w:rsidTr="001E44FE">
        <w:tc>
          <w:tcPr>
            <w:tcW w:w="9576" w:type="dxa"/>
            <w:shd w:val="clear" w:color="auto" w:fill="F2F2F2"/>
          </w:tcPr>
          <w:p w14:paraId="690CC49B" w14:textId="5253EE29" w:rsidR="00505F06" w:rsidRPr="00BA1B01" w:rsidRDefault="00087DB1" w:rsidP="003270C8">
            <w:pPr>
              <w:pStyle w:val="Body"/>
              <w:spacing w:after="0"/>
              <w:rPr>
                <w:rFonts w:ascii="Arial" w:eastAsia="Calibri" w:hAnsi="Arial" w:cs="Arial"/>
                <w:szCs w:val="22"/>
              </w:rPr>
            </w:pPr>
            <w:proofErr w:type="spellStart"/>
            <w:r w:rsidRPr="00087DB1">
              <w:rPr>
                <w:rFonts w:ascii="Arial" w:eastAsia="Calibri" w:hAnsi="Arial" w:cs="Arial"/>
                <w:i/>
                <w:iCs/>
                <w:szCs w:val="22"/>
              </w:rPr>
              <w:t>Hymenodictyon</w:t>
            </w:r>
            <w:proofErr w:type="spellEnd"/>
            <w:r w:rsidRPr="00087DB1">
              <w:rPr>
                <w:rFonts w:ascii="Arial" w:eastAsia="Calibri" w:hAnsi="Arial" w:cs="Arial"/>
                <w:i/>
                <w:iCs/>
                <w:szCs w:val="22"/>
              </w:rPr>
              <w:t xml:space="preserve"> </w:t>
            </w:r>
            <w:proofErr w:type="spellStart"/>
            <w:r w:rsidRPr="00087DB1">
              <w:rPr>
                <w:rFonts w:ascii="Arial" w:eastAsia="Calibri" w:hAnsi="Arial" w:cs="Arial"/>
                <w:i/>
                <w:iCs/>
                <w:szCs w:val="22"/>
              </w:rPr>
              <w:t>orixense</w:t>
            </w:r>
            <w:proofErr w:type="spellEnd"/>
            <w:r w:rsidRPr="00087DB1">
              <w:rPr>
                <w:rFonts w:ascii="Arial" w:eastAsia="Calibri" w:hAnsi="Arial" w:cs="Arial"/>
                <w:szCs w:val="22"/>
              </w:rPr>
              <w:t xml:space="preserve"> (</w:t>
            </w:r>
            <w:proofErr w:type="spellStart"/>
            <w:r w:rsidRPr="00087DB1">
              <w:rPr>
                <w:rFonts w:ascii="Arial" w:eastAsia="Calibri" w:hAnsi="Arial" w:cs="Arial"/>
                <w:szCs w:val="22"/>
              </w:rPr>
              <w:t>Roxb</w:t>
            </w:r>
            <w:proofErr w:type="spellEnd"/>
            <w:r w:rsidRPr="00087DB1">
              <w:rPr>
                <w:rFonts w:ascii="Arial" w:eastAsia="Calibri" w:hAnsi="Arial" w:cs="Arial"/>
                <w:szCs w:val="22"/>
              </w:rPr>
              <w:t>.) Mabb. (</w:t>
            </w:r>
            <w:proofErr w:type="spellStart"/>
            <w:r w:rsidRPr="00087DB1">
              <w:rPr>
                <w:rFonts w:ascii="Arial" w:eastAsia="Calibri" w:hAnsi="Arial" w:cs="Arial"/>
                <w:szCs w:val="22"/>
              </w:rPr>
              <w:t>Rubiaceae</w:t>
            </w:r>
            <w:proofErr w:type="spellEnd"/>
            <w:r w:rsidRPr="00087DB1">
              <w:rPr>
                <w:rFonts w:ascii="Arial" w:eastAsia="Calibri" w:hAnsi="Arial" w:cs="Arial"/>
                <w:szCs w:val="22"/>
              </w:rPr>
              <w:t xml:space="preserve">) also called as Bridal Couch tree, is a medicinal tree species parts of which are rich source of bioactive metabolites imparting the plant an impressive antioxidant, antimicrobial, anti-inflammatory and anti-apoptotic activities. Early loss of viability in seeds, lack of optimized propagation methods and increased anthropogenic pressure has led to conservation concern in this valuable tree species. The paper presents a robust </w:t>
            </w:r>
            <w:r w:rsidRPr="00087DB1">
              <w:rPr>
                <w:rFonts w:ascii="Arial" w:eastAsia="Calibri" w:hAnsi="Arial" w:cs="Arial"/>
                <w:i/>
                <w:iCs/>
                <w:szCs w:val="22"/>
              </w:rPr>
              <w:t>in vitro</w:t>
            </w:r>
            <w:r w:rsidRPr="00087DB1">
              <w:rPr>
                <w:rFonts w:ascii="Arial" w:eastAsia="Calibri" w:hAnsi="Arial" w:cs="Arial"/>
                <w:szCs w:val="22"/>
              </w:rPr>
              <w:t xml:space="preserve"> propagation protocol for mass multiplication of </w:t>
            </w:r>
            <w:r w:rsidRPr="00087DB1">
              <w:rPr>
                <w:rFonts w:ascii="Arial" w:eastAsia="Calibri" w:hAnsi="Arial" w:cs="Arial"/>
                <w:i/>
                <w:iCs/>
                <w:szCs w:val="22"/>
              </w:rPr>
              <w:t>H. orixense</w:t>
            </w:r>
            <w:r w:rsidRPr="00087DB1">
              <w:rPr>
                <w:rFonts w:ascii="Arial" w:eastAsia="Calibri" w:hAnsi="Arial" w:cs="Arial"/>
                <w:szCs w:val="22"/>
              </w:rPr>
              <w:t xml:space="preserve"> through seedling explants. </w:t>
            </w:r>
            <w:r w:rsidRPr="00087DB1">
              <w:rPr>
                <w:rFonts w:ascii="Arial" w:eastAsia="Calibri" w:hAnsi="Arial" w:cs="Arial"/>
                <w:i/>
                <w:iCs/>
                <w:szCs w:val="22"/>
              </w:rPr>
              <w:t>In vitro</w:t>
            </w:r>
            <w:r w:rsidRPr="00087DB1">
              <w:rPr>
                <w:rFonts w:ascii="Arial" w:eastAsia="Calibri" w:hAnsi="Arial" w:cs="Arial"/>
                <w:szCs w:val="22"/>
              </w:rPr>
              <w:t xml:space="preserve"> seed germination was done in basal Murashige &amp; Skoog’s (MS) medium and nodal segments from aseptically grown seedlings were used for further culture establishment. MS medium supplemented with 0.25 mg L</w:t>
            </w:r>
            <w:r w:rsidRPr="00087DB1">
              <w:rPr>
                <w:rFonts w:ascii="Arial" w:eastAsia="Calibri" w:hAnsi="Arial" w:cs="Arial"/>
                <w:szCs w:val="22"/>
                <w:vertAlign w:val="superscript"/>
              </w:rPr>
              <w:t>-1</w:t>
            </w:r>
            <w:r w:rsidRPr="00087DB1">
              <w:rPr>
                <w:rFonts w:ascii="Arial" w:eastAsia="Calibri" w:hAnsi="Arial" w:cs="Arial"/>
                <w:szCs w:val="22"/>
              </w:rPr>
              <w:t xml:space="preserve"> kinetin was found optimal producing the highest mean shoot number (7.67 ± 0.88) and mean shoot length (4.91 ± 0.15cm). The addition of 0.025 mgL</w:t>
            </w:r>
            <w:r w:rsidRPr="00087DB1">
              <w:rPr>
                <w:rFonts w:ascii="Arial" w:eastAsia="Calibri" w:hAnsi="Arial" w:cs="Arial"/>
                <w:szCs w:val="22"/>
                <w:vertAlign w:val="superscript"/>
              </w:rPr>
              <w:t>-1</w:t>
            </w:r>
            <w:r w:rsidRPr="00087DB1">
              <w:rPr>
                <w:rFonts w:ascii="Arial" w:eastAsia="Calibri" w:hAnsi="Arial" w:cs="Arial"/>
                <w:szCs w:val="22"/>
              </w:rPr>
              <w:t xml:space="preserve"> GA</w:t>
            </w:r>
            <w:r w:rsidRPr="00087DB1">
              <w:rPr>
                <w:rFonts w:ascii="Arial" w:eastAsia="Calibri" w:hAnsi="Arial" w:cs="Arial"/>
                <w:szCs w:val="22"/>
                <w:vertAlign w:val="subscript"/>
              </w:rPr>
              <w:t xml:space="preserve">3 </w:t>
            </w:r>
            <w:r w:rsidRPr="00087DB1">
              <w:rPr>
                <w:rFonts w:ascii="Arial" w:eastAsia="Calibri" w:hAnsi="Arial" w:cs="Arial"/>
                <w:szCs w:val="22"/>
              </w:rPr>
              <w:t xml:space="preserve">during shoot multiplication cycle enhanced the shoot length to a mean </w:t>
            </w:r>
            <w:r w:rsidRPr="00087DB1">
              <w:rPr>
                <w:rFonts w:ascii="Arial" w:eastAsia="Calibri" w:hAnsi="Arial" w:cs="Arial"/>
                <w:bCs/>
                <w:szCs w:val="22"/>
              </w:rPr>
              <w:t xml:space="preserve">8.49 ± 0.33 cm </w:t>
            </w:r>
            <w:r w:rsidRPr="00087DB1">
              <w:rPr>
                <w:rFonts w:ascii="Arial" w:eastAsia="Calibri" w:hAnsi="Arial" w:cs="Arial"/>
                <w:szCs w:val="22"/>
              </w:rPr>
              <w:t xml:space="preserve">nearly double the shoot length achieved with kinetin alone. </w:t>
            </w:r>
            <w:r w:rsidRPr="00087DB1">
              <w:rPr>
                <w:rFonts w:ascii="Arial" w:eastAsia="Calibri" w:hAnsi="Arial" w:cs="Arial"/>
                <w:bCs/>
                <w:szCs w:val="22"/>
              </w:rPr>
              <w:t xml:space="preserve"> Root formation was 100% </w:t>
            </w:r>
            <w:r w:rsidRPr="00087DB1">
              <w:rPr>
                <w:rFonts w:ascii="Arial" w:eastAsia="Calibri" w:hAnsi="Arial" w:cs="Arial"/>
                <w:szCs w:val="22"/>
              </w:rPr>
              <w:t>with ½ strength MS medium containing 1 mg L</w:t>
            </w:r>
            <w:r w:rsidRPr="00087DB1">
              <w:rPr>
                <w:rFonts w:ascii="Arial" w:eastAsia="Calibri" w:hAnsi="Arial" w:cs="Arial"/>
                <w:szCs w:val="22"/>
                <w:vertAlign w:val="superscript"/>
              </w:rPr>
              <w:t>-1</w:t>
            </w:r>
            <w:r w:rsidRPr="00087DB1">
              <w:rPr>
                <w:rFonts w:ascii="Arial" w:eastAsia="Calibri" w:hAnsi="Arial" w:cs="Arial"/>
                <w:szCs w:val="22"/>
              </w:rPr>
              <w:t xml:space="preserve"> IAA and 0.025 mg L</w:t>
            </w:r>
            <w:r w:rsidRPr="00087DB1">
              <w:rPr>
                <w:rFonts w:ascii="Arial" w:eastAsia="Calibri" w:hAnsi="Arial" w:cs="Arial"/>
                <w:szCs w:val="22"/>
                <w:vertAlign w:val="superscript"/>
              </w:rPr>
              <w:t>-1</w:t>
            </w:r>
            <w:r w:rsidRPr="00087DB1">
              <w:rPr>
                <w:rFonts w:ascii="Arial" w:eastAsia="Calibri" w:hAnsi="Arial" w:cs="Arial"/>
                <w:szCs w:val="22"/>
              </w:rPr>
              <w:t xml:space="preserve"> kinetin with highest mean number of roots. A 15-day cycle in optimized medium without gelling agent enhanced the quality of </w:t>
            </w:r>
            <w:r w:rsidRPr="00087DB1">
              <w:rPr>
                <w:rFonts w:ascii="Arial" w:eastAsia="Calibri" w:hAnsi="Arial" w:cs="Arial"/>
                <w:i/>
                <w:iCs/>
                <w:szCs w:val="22"/>
              </w:rPr>
              <w:t>in vitro</w:t>
            </w:r>
            <w:r w:rsidRPr="00087DB1">
              <w:rPr>
                <w:rFonts w:ascii="Arial" w:eastAsia="Calibri" w:hAnsi="Arial" w:cs="Arial"/>
                <w:szCs w:val="22"/>
              </w:rPr>
              <w:t xml:space="preserve"> roots and developed plantlets were successfully acclimatized under greenhouse conditions with 85% survival. </w:t>
            </w:r>
            <w:r w:rsidR="00371CE7">
              <w:rPr>
                <w:rFonts w:ascii="Arial" w:eastAsia="Calibri" w:hAnsi="Arial" w:cs="Arial"/>
                <w:szCs w:val="22"/>
              </w:rPr>
              <w:t xml:space="preserve"> </w:t>
            </w:r>
            <w:r w:rsidR="00371CE7">
              <w:t xml:space="preserve">As the species possesses considerable medicinal importance, the propagation method described in the present study offers significant potential for the large-scale multiplication of selected genotypes exhibiting superior phytochemical characteristics. Furthermore, this approach may serve as an effective strategy for the ex situ conservation of the species, thereby contributing to its sustainable </w:t>
            </w:r>
            <w:proofErr w:type="spellStart"/>
            <w:r w:rsidR="00371CE7">
              <w:t>utilisation</w:t>
            </w:r>
            <w:proofErr w:type="spellEnd"/>
            <w:r w:rsidR="00371CE7">
              <w:t xml:space="preserve"> and long-term preservation.</w:t>
            </w:r>
          </w:p>
        </w:tc>
      </w:tr>
    </w:tbl>
    <w:p w14:paraId="78580F06" w14:textId="77777777" w:rsidR="00636EB2" w:rsidRDefault="00636EB2" w:rsidP="00441B6F">
      <w:pPr>
        <w:pStyle w:val="Body"/>
        <w:spacing w:after="0"/>
        <w:rPr>
          <w:rFonts w:ascii="Arial" w:hAnsi="Arial" w:cs="Arial"/>
          <w:i/>
        </w:rPr>
      </w:pPr>
    </w:p>
    <w:p w14:paraId="654540A7" w14:textId="77777777" w:rsidR="00A24E7E" w:rsidRDefault="00087DB1" w:rsidP="00441B6F">
      <w:pPr>
        <w:pStyle w:val="Body"/>
        <w:spacing w:after="0"/>
        <w:rPr>
          <w:rFonts w:ascii="Arial" w:hAnsi="Arial" w:cs="Arial"/>
          <w:i/>
        </w:rPr>
      </w:pPr>
      <w:r>
        <w:rPr>
          <w:rFonts w:ascii="Arial" w:hAnsi="Arial" w:cs="Arial"/>
          <w:i/>
        </w:rPr>
        <w:t xml:space="preserve">Keywords: </w:t>
      </w:r>
      <w:proofErr w:type="spellStart"/>
      <w:r w:rsidRPr="00087DB1">
        <w:rPr>
          <w:rFonts w:ascii="Arial" w:hAnsi="Arial" w:cs="Arial"/>
          <w:i/>
          <w:iCs/>
        </w:rPr>
        <w:t>Hymenodictyon</w:t>
      </w:r>
      <w:proofErr w:type="spellEnd"/>
      <w:r w:rsidRPr="00087DB1">
        <w:rPr>
          <w:rFonts w:ascii="Arial" w:hAnsi="Arial" w:cs="Arial"/>
          <w:i/>
          <w:iCs/>
        </w:rPr>
        <w:t xml:space="preserve"> </w:t>
      </w:r>
      <w:proofErr w:type="spellStart"/>
      <w:r w:rsidRPr="00087DB1">
        <w:rPr>
          <w:rFonts w:ascii="Arial" w:hAnsi="Arial" w:cs="Arial"/>
          <w:i/>
          <w:iCs/>
        </w:rPr>
        <w:t>orixense</w:t>
      </w:r>
      <w:proofErr w:type="spellEnd"/>
      <w:r w:rsidRPr="00087DB1">
        <w:rPr>
          <w:rFonts w:ascii="Arial" w:hAnsi="Arial" w:cs="Arial"/>
          <w:i/>
          <w:iCs/>
        </w:rPr>
        <w:t xml:space="preserve">, </w:t>
      </w:r>
      <w:r w:rsidRPr="00087DB1">
        <w:rPr>
          <w:rFonts w:ascii="Arial" w:hAnsi="Arial" w:cs="Arial"/>
          <w:i/>
        </w:rPr>
        <w:t>micropropagation, conservation</w:t>
      </w:r>
      <w:r w:rsidR="00196B7A">
        <w:rPr>
          <w:rFonts w:ascii="Arial" w:hAnsi="Arial" w:cs="Arial"/>
          <w:i/>
        </w:rPr>
        <w:t>, MS medium</w:t>
      </w:r>
    </w:p>
    <w:p w14:paraId="2CCE4107" w14:textId="77777777" w:rsidR="00790ADA" w:rsidRDefault="00790ADA" w:rsidP="00441B6F">
      <w:pPr>
        <w:pStyle w:val="Body"/>
        <w:spacing w:after="0"/>
        <w:rPr>
          <w:rFonts w:ascii="Arial" w:hAnsi="Arial" w:cs="Arial"/>
          <w:i/>
        </w:rPr>
      </w:pPr>
    </w:p>
    <w:p w14:paraId="7FA174C4"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009917D" w14:textId="77777777" w:rsidR="00790ADA" w:rsidRPr="00FB3A86" w:rsidRDefault="00790ADA" w:rsidP="00441B6F">
      <w:pPr>
        <w:pStyle w:val="AbstHead"/>
        <w:spacing w:after="0"/>
        <w:jc w:val="both"/>
        <w:rPr>
          <w:rFonts w:ascii="Arial" w:hAnsi="Arial" w:cs="Arial"/>
        </w:rPr>
      </w:pPr>
    </w:p>
    <w:p w14:paraId="3A1F6637" w14:textId="77777777" w:rsidR="00087DB1" w:rsidRPr="00735057" w:rsidRDefault="00087DB1" w:rsidP="00087DB1">
      <w:pPr>
        <w:pStyle w:val="Body"/>
        <w:spacing w:after="0"/>
        <w:ind w:firstLine="720"/>
        <w:rPr>
          <w:rFonts w:ascii="Arial" w:hAnsi="Arial" w:cs="Arial"/>
        </w:rPr>
      </w:pPr>
      <w:proofErr w:type="spellStart"/>
      <w:r w:rsidRPr="00087DB1">
        <w:rPr>
          <w:rFonts w:ascii="Arial" w:hAnsi="Arial" w:cs="Arial"/>
          <w:i/>
          <w:iCs/>
        </w:rPr>
        <w:t>Hymenodictyon</w:t>
      </w:r>
      <w:proofErr w:type="spellEnd"/>
      <w:r w:rsidRPr="00087DB1">
        <w:rPr>
          <w:rFonts w:ascii="Arial" w:hAnsi="Arial" w:cs="Arial"/>
          <w:i/>
          <w:iCs/>
        </w:rPr>
        <w:t xml:space="preserve"> </w:t>
      </w:r>
      <w:proofErr w:type="spellStart"/>
      <w:r w:rsidRPr="00087DB1">
        <w:rPr>
          <w:rFonts w:ascii="Arial" w:hAnsi="Arial" w:cs="Arial"/>
          <w:i/>
          <w:iCs/>
        </w:rPr>
        <w:t>orixense</w:t>
      </w:r>
      <w:proofErr w:type="spellEnd"/>
      <w:r w:rsidRPr="00087DB1">
        <w:rPr>
          <w:rFonts w:ascii="Arial" w:hAnsi="Arial" w:cs="Arial"/>
        </w:rPr>
        <w:t xml:space="preserve"> (</w:t>
      </w:r>
      <w:proofErr w:type="spellStart"/>
      <w:r w:rsidRPr="00087DB1">
        <w:rPr>
          <w:rFonts w:ascii="Arial" w:hAnsi="Arial" w:cs="Arial"/>
        </w:rPr>
        <w:t>Roxb</w:t>
      </w:r>
      <w:proofErr w:type="spellEnd"/>
      <w:r w:rsidRPr="00087DB1">
        <w:rPr>
          <w:rFonts w:ascii="Arial" w:hAnsi="Arial" w:cs="Arial"/>
        </w:rPr>
        <w:t xml:space="preserve">.) Mabb. (family </w:t>
      </w:r>
      <w:proofErr w:type="spellStart"/>
      <w:r w:rsidRPr="00087DB1">
        <w:rPr>
          <w:rFonts w:ascii="Arial" w:hAnsi="Arial" w:cs="Arial"/>
        </w:rPr>
        <w:t>Rubiaceae</w:t>
      </w:r>
      <w:proofErr w:type="spellEnd"/>
      <w:r w:rsidRPr="00087DB1">
        <w:rPr>
          <w:rFonts w:ascii="Arial" w:hAnsi="Arial" w:cs="Arial"/>
        </w:rPr>
        <w:t xml:space="preserve">) is a highly valued traditional medicine species also known by synonyms such as </w:t>
      </w:r>
      <w:proofErr w:type="spellStart"/>
      <w:r w:rsidRPr="00087DB1">
        <w:rPr>
          <w:rFonts w:ascii="Arial" w:hAnsi="Arial" w:cs="Arial"/>
          <w:i/>
          <w:iCs/>
        </w:rPr>
        <w:t>Hymenodictyon</w:t>
      </w:r>
      <w:proofErr w:type="spellEnd"/>
      <w:r w:rsidRPr="00087DB1">
        <w:rPr>
          <w:rFonts w:ascii="Arial" w:hAnsi="Arial" w:cs="Arial"/>
          <w:i/>
          <w:iCs/>
        </w:rPr>
        <w:t xml:space="preserve"> </w:t>
      </w:r>
      <w:proofErr w:type="spellStart"/>
      <w:r w:rsidRPr="00087DB1">
        <w:rPr>
          <w:rFonts w:ascii="Arial" w:hAnsi="Arial" w:cs="Arial"/>
          <w:i/>
          <w:iCs/>
        </w:rPr>
        <w:t>excelsum</w:t>
      </w:r>
      <w:proofErr w:type="spellEnd"/>
      <w:r w:rsidRPr="00087DB1">
        <w:rPr>
          <w:rFonts w:ascii="Arial" w:hAnsi="Arial" w:cs="Arial"/>
        </w:rPr>
        <w:t xml:space="preserve"> (</w:t>
      </w:r>
      <w:proofErr w:type="spellStart"/>
      <w:r w:rsidRPr="00087DB1">
        <w:rPr>
          <w:rFonts w:ascii="Arial" w:hAnsi="Arial" w:cs="Arial"/>
        </w:rPr>
        <w:t>Roxb</w:t>
      </w:r>
      <w:proofErr w:type="spellEnd"/>
      <w:r w:rsidRPr="00087DB1">
        <w:rPr>
          <w:rFonts w:ascii="Arial" w:hAnsi="Arial" w:cs="Arial"/>
        </w:rPr>
        <w:t xml:space="preserve">.) Wall., and </w:t>
      </w:r>
      <w:r w:rsidRPr="00087DB1">
        <w:rPr>
          <w:rFonts w:ascii="Arial" w:hAnsi="Arial" w:cs="Arial"/>
          <w:i/>
          <w:iCs/>
        </w:rPr>
        <w:t xml:space="preserve">Cinchona </w:t>
      </w:r>
      <w:proofErr w:type="spellStart"/>
      <w:r w:rsidRPr="00087DB1">
        <w:rPr>
          <w:rFonts w:ascii="Arial" w:hAnsi="Arial" w:cs="Arial"/>
          <w:i/>
          <w:iCs/>
        </w:rPr>
        <w:t>orixensis</w:t>
      </w:r>
      <w:proofErr w:type="spellEnd"/>
      <w:r w:rsidRPr="00087DB1">
        <w:rPr>
          <w:rFonts w:ascii="Arial" w:hAnsi="Arial" w:cs="Arial"/>
        </w:rPr>
        <w:t xml:space="preserve"> </w:t>
      </w:r>
      <w:proofErr w:type="spellStart"/>
      <w:r w:rsidRPr="00087DB1">
        <w:rPr>
          <w:rFonts w:ascii="Arial" w:hAnsi="Arial" w:cs="Arial"/>
        </w:rPr>
        <w:t>Roxb</w:t>
      </w:r>
      <w:proofErr w:type="spellEnd"/>
      <w:r w:rsidRPr="00735057">
        <w:rPr>
          <w:rFonts w:ascii="Arial" w:hAnsi="Arial" w:cs="Arial"/>
        </w:rPr>
        <w:t xml:space="preserve">. </w:t>
      </w:r>
      <w:r w:rsidRPr="00735057">
        <w:rPr>
          <w:rFonts w:ascii="Arial" w:hAnsi="Arial" w:cs="Arial"/>
          <w:bCs/>
        </w:rPr>
        <w:t>(</w:t>
      </w:r>
      <w:proofErr w:type="spellStart"/>
      <w:r w:rsidRPr="00735057">
        <w:rPr>
          <w:rFonts w:ascii="Arial" w:hAnsi="Arial" w:cs="Arial"/>
          <w:bCs/>
        </w:rPr>
        <w:t>Razafimandimbison</w:t>
      </w:r>
      <w:proofErr w:type="spellEnd"/>
      <w:r w:rsidRPr="00735057">
        <w:rPr>
          <w:rFonts w:ascii="Arial" w:hAnsi="Arial" w:cs="Arial"/>
          <w:bCs/>
        </w:rPr>
        <w:t xml:space="preserve"> and Bremer, 2006)</w:t>
      </w:r>
      <w:r w:rsidRPr="00735057">
        <w:rPr>
          <w:rFonts w:ascii="Arial" w:hAnsi="Arial" w:cs="Arial"/>
        </w:rPr>
        <w:t xml:space="preserve">. The genus comprises of about 30 species, among which </w:t>
      </w:r>
      <w:r w:rsidRPr="00735057">
        <w:rPr>
          <w:rFonts w:ascii="Arial" w:hAnsi="Arial" w:cs="Arial"/>
          <w:i/>
          <w:iCs/>
        </w:rPr>
        <w:t>H. orixense</w:t>
      </w:r>
      <w:r w:rsidRPr="00735057">
        <w:rPr>
          <w:rFonts w:ascii="Arial" w:hAnsi="Arial" w:cs="Arial"/>
        </w:rPr>
        <w:t xml:space="preserve"> is an ethno-medicinally important and ecologically significant species of tropical areas. It is commonly called as the Bridal Couch Tree as it bears beautiful flowers in panicles at the end of branches. The tree is also suggested as an ornamental in landscaping and as shade tree around large gardens and open areas. Indian subcontinent as well as South Central China, including the Philippines and Indo-China regions, comprises the native range of this species. In India, it is </w:t>
      </w:r>
      <w:r w:rsidRPr="00735057">
        <w:rPr>
          <w:rFonts w:ascii="Arial" w:hAnsi="Arial" w:cs="Arial"/>
        </w:rPr>
        <w:lastRenderedPageBreak/>
        <w:t>found in semi-evergreen forests of Western Ghats and Shivalik region of North-Western Himalayas covering altitude range of 500-800m. In Bangladesh, the tree has been used as an afforestation and reforestation species (</w:t>
      </w:r>
      <w:r w:rsidRPr="00735057">
        <w:rPr>
          <w:rFonts w:ascii="Arial" w:hAnsi="Arial" w:cs="Arial"/>
          <w:bCs/>
        </w:rPr>
        <w:t>Islam et al. 2022</w:t>
      </w:r>
      <w:r w:rsidRPr="00735057">
        <w:rPr>
          <w:rFonts w:ascii="Arial" w:hAnsi="Arial" w:cs="Arial"/>
        </w:rPr>
        <w:t xml:space="preserve">). </w:t>
      </w:r>
    </w:p>
    <w:p w14:paraId="61A124EB" w14:textId="5B00F0E6" w:rsidR="00087DB1" w:rsidRPr="00735057" w:rsidRDefault="00087DB1" w:rsidP="00087DB1">
      <w:pPr>
        <w:pStyle w:val="Body"/>
        <w:spacing w:after="0"/>
        <w:ind w:firstLine="720"/>
        <w:rPr>
          <w:rFonts w:ascii="Arial" w:hAnsi="Arial" w:cs="Arial"/>
          <w:bCs/>
        </w:rPr>
      </w:pPr>
      <w:r w:rsidRPr="00735057">
        <w:rPr>
          <w:rFonts w:ascii="Arial" w:hAnsi="Arial" w:cs="Arial"/>
        </w:rPr>
        <w:t>Various ethno-medicinal uses have been attributed to this species and almost every plant part like stem, bark, leaves, root and wood is used in treatment of various kinds of disease conditions (</w:t>
      </w:r>
      <w:r w:rsidRPr="00735057">
        <w:rPr>
          <w:rFonts w:ascii="Arial" w:hAnsi="Arial" w:cs="Arial"/>
          <w:bCs/>
        </w:rPr>
        <w:t>Roy et al., 2026</w:t>
      </w:r>
      <w:r w:rsidRPr="00735057">
        <w:rPr>
          <w:rFonts w:ascii="Arial" w:hAnsi="Arial" w:cs="Arial"/>
        </w:rPr>
        <w:t xml:space="preserve">). In Maharashtra state of India, </w:t>
      </w:r>
      <w:r w:rsidRPr="00735057">
        <w:rPr>
          <w:rFonts w:ascii="Arial" w:hAnsi="Arial" w:cs="Arial"/>
          <w:i/>
          <w:iCs/>
        </w:rPr>
        <w:t>H. orixense</w:t>
      </w:r>
      <w:r w:rsidRPr="00735057">
        <w:rPr>
          <w:rFonts w:ascii="Arial" w:hAnsi="Arial" w:cs="Arial"/>
        </w:rPr>
        <w:t xml:space="preserve"> have been documented to be used in hair gland infections or folliculitis </w:t>
      </w:r>
      <w:r w:rsidRPr="00735057">
        <w:rPr>
          <w:rFonts w:ascii="Arial" w:hAnsi="Arial" w:cs="Arial"/>
          <w:bCs/>
        </w:rPr>
        <w:t xml:space="preserve">(Jagtap et al., </w:t>
      </w:r>
      <w:r w:rsidRPr="00B50B00">
        <w:rPr>
          <w:rFonts w:ascii="Arial" w:hAnsi="Arial" w:cs="Arial"/>
          <w:bCs/>
          <w:highlight w:val="yellow"/>
        </w:rPr>
        <w:t>200</w:t>
      </w:r>
      <w:r w:rsidR="001D7880" w:rsidRPr="00B50B00">
        <w:rPr>
          <w:rFonts w:ascii="Arial" w:hAnsi="Arial" w:cs="Arial"/>
          <w:bCs/>
          <w:highlight w:val="yellow"/>
        </w:rPr>
        <w:t>6</w:t>
      </w:r>
      <w:r w:rsidRPr="00735057">
        <w:rPr>
          <w:rFonts w:ascii="Arial" w:hAnsi="Arial" w:cs="Arial"/>
          <w:bCs/>
        </w:rPr>
        <w:t>)</w:t>
      </w:r>
      <w:r w:rsidRPr="00735057">
        <w:rPr>
          <w:rFonts w:ascii="Arial" w:hAnsi="Arial" w:cs="Arial"/>
        </w:rPr>
        <w:t xml:space="preserve">. </w:t>
      </w:r>
      <w:r w:rsidRPr="00735057">
        <w:rPr>
          <w:rFonts w:ascii="Arial" w:hAnsi="Arial" w:cs="Arial"/>
          <w:bCs/>
        </w:rPr>
        <w:t>Esha et al., (2012)</w:t>
      </w:r>
      <w:r w:rsidRPr="00735057">
        <w:rPr>
          <w:rFonts w:ascii="Arial" w:hAnsi="Arial" w:cs="Arial"/>
        </w:rPr>
        <w:t xml:space="preserve"> have also documented traditional medicinal role of its stem in hemorrhoids treatment by the Chakma tribes of Bangladesh. Chemical analysis of active methanolic extract of its stem bark revealed the presence of </w:t>
      </w:r>
      <w:proofErr w:type="spellStart"/>
      <w:r w:rsidRPr="00735057">
        <w:rPr>
          <w:rFonts w:ascii="Arial" w:hAnsi="Arial" w:cs="Arial"/>
        </w:rPr>
        <w:t>scopoletin</w:t>
      </w:r>
      <w:proofErr w:type="spellEnd"/>
      <w:r w:rsidRPr="00735057">
        <w:rPr>
          <w:rFonts w:ascii="Arial" w:hAnsi="Arial" w:cs="Arial"/>
        </w:rPr>
        <w:t xml:space="preserve"> as key constituent and which has application as febrifuge, and also used in throat, appetite and tumor cure </w:t>
      </w:r>
      <w:r w:rsidR="001D7880" w:rsidRPr="00B50B00">
        <w:rPr>
          <w:rFonts w:ascii="Arial" w:hAnsi="Arial" w:cs="Arial"/>
          <w:bCs/>
          <w:highlight w:val="yellow"/>
        </w:rPr>
        <w:t>(</w:t>
      </w:r>
      <w:r w:rsidRPr="00B50B00">
        <w:rPr>
          <w:rFonts w:ascii="Arial" w:hAnsi="Arial" w:cs="Arial"/>
          <w:bCs/>
          <w:highlight w:val="yellow"/>
        </w:rPr>
        <w:t>Swe, 2008).</w:t>
      </w:r>
      <w:r w:rsidRPr="00735057">
        <w:rPr>
          <w:rFonts w:ascii="Arial" w:hAnsi="Arial" w:cs="Arial"/>
          <w:bCs/>
        </w:rPr>
        <w:t xml:space="preserve"> </w:t>
      </w:r>
      <w:r w:rsidRPr="00735057">
        <w:rPr>
          <w:rFonts w:ascii="Arial" w:hAnsi="Arial" w:cs="Arial"/>
        </w:rPr>
        <w:t xml:space="preserve">The tree is also source of various bioactive compounds such as anthraquinones, coumarins, and </w:t>
      </w:r>
      <w:proofErr w:type="spellStart"/>
      <w:r w:rsidRPr="00735057">
        <w:rPr>
          <w:rFonts w:ascii="Arial" w:hAnsi="Arial" w:cs="Arial"/>
        </w:rPr>
        <w:t>irridoid</w:t>
      </w:r>
      <w:proofErr w:type="spellEnd"/>
      <w:r w:rsidRPr="00735057">
        <w:rPr>
          <w:rFonts w:ascii="Arial" w:hAnsi="Arial" w:cs="Arial"/>
        </w:rPr>
        <w:t xml:space="preserve"> glycosides</w:t>
      </w:r>
      <w:r w:rsidRPr="00735057">
        <w:rPr>
          <w:rFonts w:ascii="Arial" w:hAnsi="Arial" w:cs="Arial"/>
          <w:bCs/>
        </w:rPr>
        <w:t xml:space="preserve"> (Chakraborty et al. 2017, Pradhan et al 2020). </w:t>
      </w:r>
    </w:p>
    <w:p w14:paraId="7E123C82" w14:textId="6E4D561B" w:rsidR="00087DB1" w:rsidRPr="00735057" w:rsidRDefault="00087DB1" w:rsidP="00087DB1">
      <w:pPr>
        <w:pStyle w:val="Body"/>
        <w:spacing w:after="0"/>
        <w:ind w:firstLine="720"/>
        <w:rPr>
          <w:rFonts w:ascii="Arial" w:hAnsi="Arial" w:cs="Arial"/>
        </w:rPr>
      </w:pPr>
      <w:r w:rsidRPr="00735057">
        <w:rPr>
          <w:rFonts w:ascii="Arial" w:hAnsi="Arial" w:cs="Arial"/>
        </w:rPr>
        <w:t xml:space="preserve">Apart from ethnomedicinal uses, wood of </w:t>
      </w:r>
      <w:r w:rsidRPr="00735057">
        <w:rPr>
          <w:rFonts w:ascii="Arial" w:hAnsi="Arial" w:cs="Arial"/>
          <w:i/>
          <w:iCs/>
        </w:rPr>
        <w:t>H. orixense</w:t>
      </w:r>
      <w:r w:rsidRPr="00735057">
        <w:rPr>
          <w:rFonts w:ascii="Arial" w:hAnsi="Arial" w:cs="Arial"/>
        </w:rPr>
        <w:t xml:space="preserve"> is also considered as high-quality and is utilized in making various articles like toys, packing boxes, tea chests, pencils, brush holders and drumming instruments (</w:t>
      </w:r>
      <w:proofErr w:type="spellStart"/>
      <w:r w:rsidRPr="00735057">
        <w:rPr>
          <w:rFonts w:ascii="Arial" w:hAnsi="Arial" w:cs="Arial"/>
          <w:bCs/>
        </w:rPr>
        <w:t>Razafimandimbison</w:t>
      </w:r>
      <w:proofErr w:type="spellEnd"/>
      <w:r w:rsidRPr="00735057">
        <w:rPr>
          <w:rFonts w:ascii="Arial" w:hAnsi="Arial" w:cs="Arial"/>
          <w:bCs/>
        </w:rPr>
        <w:t xml:space="preserve"> and Bremer 2006</w:t>
      </w:r>
      <w:r w:rsidRPr="00735057">
        <w:rPr>
          <w:rFonts w:ascii="Arial" w:hAnsi="Arial" w:cs="Arial"/>
        </w:rPr>
        <w:t>). Although the species has several documented uses in traditional medicine and is also being researched for its applications in treatment of HIV infections, cancer and Alzheimer’s disease, not much work has been done with respect to screening and selection of germplasm, genetic diversity of the species and methods of efficient propagation. The species is generally propagated through seeds and regeneration from seeds is affected by early loss of viability in seeds. Direct seeding in this species is not recommended as the seed is very small (about 160,000 seeds/kg) and easily washed away (</w:t>
      </w:r>
      <w:r w:rsidRPr="00735057">
        <w:rPr>
          <w:rFonts w:ascii="Arial" w:hAnsi="Arial" w:cs="Arial"/>
          <w:bCs/>
        </w:rPr>
        <w:t>Islam et al., 2022</w:t>
      </w:r>
      <w:r w:rsidRPr="00735057">
        <w:rPr>
          <w:rFonts w:ascii="Arial" w:hAnsi="Arial" w:cs="Arial"/>
        </w:rPr>
        <w:t xml:space="preserve">). In a study in Uttarakhand state of India, the species was found to be scantly distributed in its natural range and suitable conservation efforts were emphasized to be taken up for its sustenance </w:t>
      </w:r>
      <w:r w:rsidRPr="00735057">
        <w:rPr>
          <w:rFonts w:ascii="Arial" w:hAnsi="Arial" w:cs="Arial"/>
          <w:bCs/>
        </w:rPr>
        <w:t>(Chandra et al., 2022).</w:t>
      </w:r>
      <w:r w:rsidRPr="00735057">
        <w:rPr>
          <w:rFonts w:ascii="Arial" w:hAnsi="Arial" w:cs="Arial"/>
        </w:rPr>
        <w:t xml:space="preserve"> This prompts to further explore propagation methods in this important but lesser known tree species so that germplasm conservation can be carried out and selected germplasm can be effectively propagated. Also, studies have reported impact of increasing anthropogenic pressures that is threatening natural populations of this species and indicate the need for conservation and future sustenance of species (</w:t>
      </w:r>
      <w:r w:rsidRPr="00735057">
        <w:rPr>
          <w:rFonts w:ascii="Arial" w:hAnsi="Arial" w:cs="Arial"/>
          <w:bCs/>
        </w:rPr>
        <w:t>Roy et al., 2026</w:t>
      </w:r>
      <w:r w:rsidRPr="00735057">
        <w:rPr>
          <w:rFonts w:ascii="Arial" w:hAnsi="Arial" w:cs="Arial"/>
        </w:rPr>
        <w:t xml:space="preserve">). Plant tissue culture based regeneration remains a viable alternative to establish a mass propagation method for </w:t>
      </w:r>
      <w:r w:rsidRPr="00735057">
        <w:rPr>
          <w:rFonts w:ascii="Arial" w:hAnsi="Arial" w:cs="Arial"/>
          <w:i/>
        </w:rPr>
        <w:t>H. orixense</w:t>
      </w:r>
      <w:r w:rsidRPr="00735057">
        <w:rPr>
          <w:rFonts w:ascii="Arial" w:hAnsi="Arial" w:cs="Arial"/>
        </w:rPr>
        <w:t xml:space="preserve">. </w:t>
      </w:r>
      <w:r w:rsidR="003270C8" w:rsidRPr="003270C8">
        <w:rPr>
          <w:rFonts w:ascii="Arial" w:hAnsi="Arial" w:cs="Arial"/>
          <w:highlight w:val="yellow"/>
        </w:rPr>
        <w:t xml:space="preserve">The technology has already been widely utilized in a number of horticultural, medicinal as </w:t>
      </w:r>
      <w:r w:rsidR="003270C8">
        <w:rPr>
          <w:rFonts w:ascii="Arial" w:hAnsi="Arial" w:cs="Arial"/>
          <w:highlight w:val="yellow"/>
        </w:rPr>
        <w:t>well as woody species and offers several advantages over conventional propagation methods (</w:t>
      </w:r>
      <w:r w:rsidR="003270C8" w:rsidRPr="003270C8">
        <w:rPr>
          <w:rFonts w:ascii="Arial" w:hAnsi="Arial" w:cs="Arial"/>
          <w:highlight w:val="yellow"/>
        </w:rPr>
        <w:t>Bhardwaj et al., 2025</w:t>
      </w:r>
      <w:r w:rsidR="008122F7">
        <w:rPr>
          <w:rFonts w:ascii="Arial" w:hAnsi="Arial" w:cs="Arial"/>
          <w:highlight w:val="yellow"/>
        </w:rPr>
        <w:t xml:space="preserve">, </w:t>
      </w:r>
      <w:r w:rsidR="008122F7" w:rsidRPr="008122F7">
        <w:rPr>
          <w:rFonts w:ascii="Arial" w:hAnsi="Arial" w:cs="Arial"/>
          <w:highlight w:val="yellow"/>
        </w:rPr>
        <w:t>Minj</w:t>
      </w:r>
      <w:r w:rsidR="008122F7">
        <w:rPr>
          <w:rFonts w:ascii="Arial" w:hAnsi="Arial" w:cs="Arial"/>
          <w:highlight w:val="yellow"/>
        </w:rPr>
        <w:t xml:space="preserve"> et al., 2025</w:t>
      </w:r>
      <w:r w:rsidR="003270C8" w:rsidRPr="003270C8">
        <w:rPr>
          <w:rFonts w:ascii="Arial" w:hAnsi="Arial" w:cs="Arial"/>
          <w:highlight w:val="yellow"/>
        </w:rPr>
        <w:t>).</w:t>
      </w:r>
      <w:r w:rsidR="003270C8">
        <w:rPr>
          <w:rFonts w:ascii="Arial" w:hAnsi="Arial" w:cs="Arial"/>
        </w:rPr>
        <w:t xml:space="preserve"> </w:t>
      </w:r>
      <w:r w:rsidRPr="00735057">
        <w:rPr>
          <w:rFonts w:ascii="Arial" w:hAnsi="Arial" w:cs="Arial"/>
        </w:rPr>
        <w:t xml:space="preserve">To the best of our knowledge, no reports of </w:t>
      </w:r>
      <w:r w:rsidRPr="00735057">
        <w:rPr>
          <w:rFonts w:ascii="Arial" w:hAnsi="Arial" w:cs="Arial"/>
          <w:i/>
        </w:rPr>
        <w:t>in vitro</w:t>
      </w:r>
      <w:r w:rsidRPr="00735057">
        <w:rPr>
          <w:rFonts w:ascii="Arial" w:hAnsi="Arial" w:cs="Arial"/>
        </w:rPr>
        <w:t xml:space="preserve"> regeneration are available in this species. The present work was therefore aimed at </w:t>
      </w:r>
      <w:r w:rsidRPr="00735057">
        <w:rPr>
          <w:rFonts w:ascii="Arial" w:hAnsi="Arial" w:cs="Arial"/>
          <w:i/>
        </w:rPr>
        <w:t>in vitro</w:t>
      </w:r>
      <w:r w:rsidRPr="00735057">
        <w:rPr>
          <w:rFonts w:ascii="Arial" w:hAnsi="Arial" w:cs="Arial"/>
        </w:rPr>
        <w:t xml:space="preserve"> aseptic germination of </w:t>
      </w:r>
      <w:r w:rsidRPr="00735057">
        <w:rPr>
          <w:rFonts w:ascii="Arial" w:hAnsi="Arial" w:cs="Arial"/>
          <w:i/>
        </w:rPr>
        <w:t>H. orixense</w:t>
      </w:r>
      <w:r w:rsidRPr="00735057">
        <w:rPr>
          <w:rFonts w:ascii="Arial" w:hAnsi="Arial" w:cs="Arial"/>
        </w:rPr>
        <w:t xml:space="preserve"> seeds and optimization of stepwise shoot multiplication and root development </w:t>
      </w:r>
      <w:r w:rsidRPr="00735057">
        <w:rPr>
          <w:rFonts w:ascii="Arial" w:hAnsi="Arial" w:cs="Arial"/>
          <w:i/>
          <w:iCs/>
        </w:rPr>
        <w:t>in vitro</w:t>
      </w:r>
      <w:r w:rsidRPr="00735057">
        <w:rPr>
          <w:rFonts w:ascii="Arial" w:hAnsi="Arial" w:cs="Arial"/>
        </w:rPr>
        <w:t>.</w:t>
      </w:r>
    </w:p>
    <w:p w14:paraId="1CA85212" w14:textId="77777777" w:rsidR="00790ADA" w:rsidRPr="00735057" w:rsidRDefault="00790ADA" w:rsidP="00441B6F">
      <w:pPr>
        <w:pStyle w:val="Body"/>
        <w:spacing w:after="0"/>
        <w:rPr>
          <w:rFonts w:ascii="Arial" w:hAnsi="Arial" w:cs="Arial"/>
        </w:rPr>
      </w:pPr>
    </w:p>
    <w:p w14:paraId="00614659" w14:textId="77777777" w:rsidR="007F7B32" w:rsidRDefault="00902823" w:rsidP="00441B6F">
      <w:pPr>
        <w:pStyle w:val="AbstHead"/>
        <w:spacing w:after="0"/>
        <w:jc w:val="both"/>
        <w:rPr>
          <w:rFonts w:ascii="Arial" w:hAnsi="Arial" w:cs="Arial"/>
        </w:rPr>
      </w:pPr>
      <w:r>
        <w:rPr>
          <w:rFonts w:ascii="Arial" w:hAnsi="Arial" w:cs="Arial"/>
        </w:rPr>
        <w:t>2. material and method</w:t>
      </w:r>
      <w:r w:rsidR="00735057">
        <w:rPr>
          <w:rFonts w:ascii="Arial" w:hAnsi="Arial" w:cs="Arial"/>
        </w:rPr>
        <w:t>S</w:t>
      </w:r>
    </w:p>
    <w:p w14:paraId="2ED47496" w14:textId="77777777" w:rsidR="00790ADA" w:rsidRPr="00FB3A86" w:rsidRDefault="00790ADA" w:rsidP="00441B6F">
      <w:pPr>
        <w:pStyle w:val="AbstHead"/>
        <w:spacing w:after="0"/>
        <w:jc w:val="both"/>
        <w:rPr>
          <w:rFonts w:ascii="Arial" w:hAnsi="Arial" w:cs="Arial"/>
        </w:rPr>
      </w:pPr>
    </w:p>
    <w:p w14:paraId="2789776F" w14:textId="77777777" w:rsidR="00087DB1" w:rsidRPr="00087DB1" w:rsidRDefault="00087DB1" w:rsidP="00087DB1">
      <w:pPr>
        <w:pStyle w:val="Body"/>
        <w:spacing w:after="0"/>
        <w:rPr>
          <w:rFonts w:ascii="Arial" w:hAnsi="Arial" w:cs="Arial"/>
          <w:b/>
          <w:iCs/>
        </w:rPr>
      </w:pPr>
      <w:r w:rsidRPr="00C30A0F">
        <w:rPr>
          <w:rFonts w:ascii="Arial" w:hAnsi="Arial" w:cs="Arial"/>
          <w:b/>
          <w:caps/>
          <w:sz w:val="22"/>
        </w:rPr>
        <w:t xml:space="preserve">2.1 </w:t>
      </w:r>
      <w:r w:rsidRPr="00087DB1">
        <w:rPr>
          <w:rFonts w:ascii="Arial" w:hAnsi="Arial" w:cs="Arial"/>
          <w:b/>
          <w:iCs/>
          <w:sz w:val="22"/>
        </w:rPr>
        <w:t xml:space="preserve">Plant material </w:t>
      </w:r>
    </w:p>
    <w:p w14:paraId="5FB7B67D" w14:textId="77777777" w:rsidR="00087DB1" w:rsidRPr="00087DB1" w:rsidRDefault="00087DB1" w:rsidP="00087DB1">
      <w:pPr>
        <w:pStyle w:val="Body"/>
        <w:spacing w:after="0"/>
        <w:rPr>
          <w:rFonts w:ascii="Arial" w:hAnsi="Arial" w:cs="Arial"/>
        </w:rPr>
      </w:pPr>
      <w:r w:rsidRPr="00087DB1">
        <w:rPr>
          <w:rFonts w:ascii="Arial" w:hAnsi="Arial" w:cs="Arial"/>
          <w:i/>
          <w:iCs/>
        </w:rPr>
        <w:t>H. orixense</w:t>
      </w:r>
      <w:r w:rsidRPr="00087DB1">
        <w:rPr>
          <w:rFonts w:ascii="Arial" w:hAnsi="Arial" w:cs="Arial"/>
        </w:rPr>
        <w:t xml:space="preserve"> seeds were obtained from Tree Seed Laboratory, FSM Division, Forest Research Institute, India. The seeds wrapped in a muslin cloth were washed under running tap water for 10 minutes. Thereafter these were treated with Cetrimide</w:t>
      </w:r>
      <w:r w:rsidRPr="00087DB1">
        <w:rPr>
          <w:rFonts w:ascii="Arial" w:hAnsi="Arial" w:cs="Arial"/>
          <w:vertAlign w:val="superscript"/>
        </w:rPr>
        <w:t>®</w:t>
      </w:r>
      <w:r w:rsidRPr="00087DB1">
        <w:rPr>
          <w:rFonts w:ascii="Arial" w:hAnsi="Arial" w:cs="Arial"/>
        </w:rPr>
        <w:t xml:space="preserve"> solution (3-4 drops of Cetrimide in 100 ml of water) for 10 minutes. Antifungal treatment was given with 0.2% Nativo</w:t>
      </w:r>
      <w:r w:rsidRPr="00087DB1">
        <w:rPr>
          <w:rFonts w:ascii="Arial" w:hAnsi="Arial" w:cs="Arial"/>
          <w:vertAlign w:val="superscript"/>
        </w:rPr>
        <w:t>®</w:t>
      </w:r>
      <w:r w:rsidRPr="00087DB1">
        <w:rPr>
          <w:rFonts w:ascii="Arial" w:hAnsi="Arial" w:cs="Arial"/>
        </w:rPr>
        <w:t xml:space="preserve"> (Tebuconazole 50% + </w:t>
      </w:r>
      <w:proofErr w:type="spellStart"/>
      <w:r w:rsidRPr="00087DB1">
        <w:rPr>
          <w:rFonts w:ascii="Arial" w:hAnsi="Arial" w:cs="Arial"/>
        </w:rPr>
        <w:t>Trifloxystrobin</w:t>
      </w:r>
      <w:proofErr w:type="spellEnd"/>
      <w:r w:rsidRPr="00087DB1">
        <w:rPr>
          <w:rFonts w:ascii="Arial" w:hAnsi="Arial" w:cs="Arial"/>
        </w:rPr>
        <w:t xml:space="preserve"> 25% WG) fungicide for 30 minutes followed by rinsing thrice in distilled water. Final surface sterilization was given under aseptic conditions with 0.1% HgCl</w:t>
      </w:r>
      <w:r w:rsidRPr="00087DB1">
        <w:rPr>
          <w:rFonts w:ascii="Arial" w:hAnsi="Arial" w:cs="Arial"/>
          <w:vertAlign w:val="subscript"/>
        </w:rPr>
        <w:t xml:space="preserve">2 </w:t>
      </w:r>
      <w:r w:rsidRPr="00087DB1">
        <w:rPr>
          <w:rFonts w:ascii="Arial" w:hAnsi="Arial" w:cs="Arial"/>
        </w:rPr>
        <w:t>(prepared in</w:t>
      </w:r>
      <w:r w:rsidRPr="00087DB1">
        <w:rPr>
          <w:rFonts w:ascii="Arial" w:hAnsi="Arial" w:cs="Arial"/>
          <w:vertAlign w:val="subscript"/>
        </w:rPr>
        <w:t xml:space="preserve"> </w:t>
      </w:r>
      <w:r w:rsidRPr="00087DB1">
        <w:rPr>
          <w:rFonts w:ascii="Arial" w:hAnsi="Arial" w:cs="Arial"/>
        </w:rPr>
        <w:t xml:space="preserve">autoclaved distilled water) exposure for 1 minute. For germination, seeds were placed on </w:t>
      </w:r>
      <w:r w:rsidRPr="00087DB1">
        <w:rPr>
          <w:rFonts w:ascii="Arial" w:hAnsi="Arial" w:cs="Arial"/>
          <w:iCs/>
          <w:lang w:val="en-IN"/>
        </w:rPr>
        <w:t xml:space="preserve">MS basal medium </w:t>
      </w:r>
      <w:r w:rsidRPr="00087DB1">
        <w:rPr>
          <w:rFonts w:ascii="Arial" w:hAnsi="Arial" w:cs="Arial"/>
          <w:iCs/>
        </w:rPr>
        <w:t xml:space="preserve">(Murashige and Skoog 1962) </w:t>
      </w:r>
      <w:r w:rsidRPr="00087DB1">
        <w:rPr>
          <w:rFonts w:ascii="Arial" w:hAnsi="Arial" w:cs="Arial"/>
        </w:rPr>
        <w:t>containing agar (0.6%) and supplemented with 3% sucrose. The seeds were incubated for 30 days and observation was recorded.</w:t>
      </w:r>
    </w:p>
    <w:p w14:paraId="25E0B918" w14:textId="77777777" w:rsidR="00087DB1" w:rsidRPr="00087DB1" w:rsidRDefault="00087DB1" w:rsidP="00087DB1">
      <w:pPr>
        <w:pStyle w:val="Body"/>
        <w:spacing w:after="0"/>
        <w:rPr>
          <w:rFonts w:ascii="Arial" w:hAnsi="Arial" w:cs="Arial"/>
          <w:b/>
          <w:iCs/>
        </w:rPr>
      </w:pPr>
      <w:r w:rsidRPr="00C30A0F">
        <w:rPr>
          <w:rFonts w:ascii="Arial" w:hAnsi="Arial" w:cs="Arial"/>
          <w:b/>
          <w:caps/>
          <w:sz w:val="22"/>
        </w:rPr>
        <w:t>2.</w:t>
      </w:r>
      <w:r>
        <w:rPr>
          <w:rFonts w:ascii="Arial" w:hAnsi="Arial" w:cs="Arial"/>
          <w:b/>
          <w:caps/>
          <w:sz w:val="22"/>
        </w:rPr>
        <w:t xml:space="preserve">2 </w:t>
      </w:r>
      <w:r w:rsidRPr="00087DB1">
        <w:rPr>
          <w:rFonts w:ascii="Arial" w:hAnsi="Arial" w:cs="Arial"/>
          <w:b/>
          <w:sz w:val="22"/>
        </w:rPr>
        <w:t xml:space="preserve">Initiation </w:t>
      </w:r>
      <w:r w:rsidRPr="00087DB1">
        <w:rPr>
          <w:rFonts w:ascii="Arial" w:hAnsi="Arial" w:cs="Arial"/>
          <w:b/>
          <w:iCs/>
          <w:sz w:val="22"/>
        </w:rPr>
        <w:t xml:space="preserve"> </w:t>
      </w:r>
    </w:p>
    <w:p w14:paraId="3929A5D6" w14:textId="4EBBB835" w:rsidR="00087DB1" w:rsidRPr="00087DB1" w:rsidRDefault="00087DB1" w:rsidP="00087DB1">
      <w:pPr>
        <w:pStyle w:val="Body"/>
        <w:spacing w:after="0"/>
        <w:rPr>
          <w:rFonts w:ascii="Arial" w:hAnsi="Arial" w:cs="Arial"/>
        </w:rPr>
      </w:pPr>
      <w:r w:rsidRPr="00087DB1">
        <w:rPr>
          <w:rFonts w:ascii="Arial" w:hAnsi="Arial" w:cs="Arial"/>
        </w:rPr>
        <w:lastRenderedPageBreak/>
        <w:t xml:space="preserve">The approximately 2-3 cm long nodal segments from 4 weeks old seedlings were used as explants for initiation. The explants were placed vertically on MS medium supplemented with plant growth regulator (PGR) </w:t>
      </w:r>
      <w:proofErr w:type="spellStart"/>
      <w:r w:rsidRPr="00087DB1">
        <w:rPr>
          <w:rFonts w:ascii="Arial" w:hAnsi="Arial" w:cs="Arial"/>
        </w:rPr>
        <w:t>benzylaminopurine</w:t>
      </w:r>
      <w:proofErr w:type="spellEnd"/>
      <w:r w:rsidRPr="00087DB1">
        <w:rPr>
          <w:rFonts w:ascii="Arial" w:hAnsi="Arial" w:cs="Arial"/>
        </w:rPr>
        <w:t xml:space="preserve"> (BAP) at concentration 0, 0.25, 0.5 and 1.0 mgL</w:t>
      </w:r>
      <w:r w:rsidRPr="00087DB1">
        <w:rPr>
          <w:rFonts w:ascii="Arial" w:hAnsi="Arial" w:cs="Arial"/>
          <w:vertAlign w:val="superscript"/>
        </w:rPr>
        <w:t>-1</w:t>
      </w:r>
      <w:r w:rsidRPr="00087DB1">
        <w:rPr>
          <w:rFonts w:ascii="Arial" w:hAnsi="Arial" w:cs="Arial"/>
        </w:rPr>
        <w:t>; kinetin (0.25 and 0.5 mgL</w:t>
      </w:r>
      <w:r w:rsidRPr="00087DB1">
        <w:rPr>
          <w:rFonts w:ascii="Arial" w:hAnsi="Arial" w:cs="Arial"/>
          <w:vertAlign w:val="superscript"/>
        </w:rPr>
        <w:t>-1</w:t>
      </w:r>
      <w:r w:rsidRPr="00087DB1">
        <w:rPr>
          <w:rFonts w:ascii="Arial" w:hAnsi="Arial" w:cs="Arial"/>
        </w:rPr>
        <w:t>); and Naphthalene acetic acid (NAA) at 0.5 mgL</w:t>
      </w:r>
      <w:r w:rsidRPr="00087DB1">
        <w:rPr>
          <w:rFonts w:ascii="Arial" w:hAnsi="Arial" w:cs="Arial"/>
          <w:vertAlign w:val="superscript"/>
        </w:rPr>
        <w:t>-1</w:t>
      </w:r>
      <w:r w:rsidRPr="00087DB1">
        <w:rPr>
          <w:rFonts w:ascii="Arial" w:hAnsi="Arial" w:cs="Arial"/>
        </w:rPr>
        <w:t xml:space="preserve"> concentration in different combinations along with 6.5gL</w:t>
      </w:r>
      <w:r w:rsidRPr="00087DB1">
        <w:rPr>
          <w:rFonts w:ascii="Arial" w:hAnsi="Arial" w:cs="Arial"/>
          <w:vertAlign w:val="superscript"/>
        </w:rPr>
        <w:t>-1</w:t>
      </w:r>
      <w:r w:rsidRPr="00087DB1">
        <w:rPr>
          <w:rFonts w:ascii="Arial" w:hAnsi="Arial" w:cs="Arial"/>
        </w:rPr>
        <w:t xml:space="preserve"> agar and 3% sucrose. After three weeks the average number of shoots and shoot length were recorded for each media combination or treatments. Culture conditions were maintained as 25 ±</w:t>
      </w:r>
      <w:r w:rsidRPr="001D7880">
        <w:rPr>
          <w:rFonts w:ascii="Arial" w:hAnsi="Arial" w:cs="Arial"/>
        </w:rPr>
        <w:t>2</w:t>
      </w:r>
      <w:r w:rsidR="001D7880" w:rsidRPr="00B50B00">
        <w:rPr>
          <w:rFonts w:ascii="Arial" w:hAnsi="Arial" w:cs="Arial"/>
          <w:highlight w:val="yellow"/>
        </w:rPr>
        <w:sym w:font="Symbol" w:char="F0B0"/>
      </w:r>
      <w:r w:rsidRPr="00B50B00">
        <w:rPr>
          <w:rFonts w:ascii="Arial" w:hAnsi="Arial" w:cs="Arial"/>
          <w:highlight w:val="yellow"/>
        </w:rPr>
        <w:t>C</w:t>
      </w:r>
      <w:r w:rsidRPr="00087DB1">
        <w:rPr>
          <w:rFonts w:ascii="Arial" w:hAnsi="Arial" w:cs="Arial"/>
        </w:rPr>
        <w:t xml:space="preserve"> temperature and 16 h photoperiod. </w:t>
      </w:r>
    </w:p>
    <w:p w14:paraId="0DCBCD99" w14:textId="77777777" w:rsidR="00087DB1" w:rsidRPr="00087DB1" w:rsidRDefault="00087DB1" w:rsidP="00087DB1">
      <w:pPr>
        <w:pStyle w:val="Body"/>
        <w:spacing w:after="0"/>
        <w:rPr>
          <w:rFonts w:ascii="Arial" w:hAnsi="Arial" w:cs="Arial"/>
          <w:b/>
          <w:iCs/>
        </w:rPr>
      </w:pPr>
      <w:r w:rsidRPr="00C30A0F">
        <w:rPr>
          <w:rFonts w:ascii="Arial" w:hAnsi="Arial" w:cs="Arial"/>
          <w:b/>
          <w:caps/>
          <w:sz w:val="22"/>
        </w:rPr>
        <w:t>2.</w:t>
      </w:r>
      <w:r>
        <w:rPr>
          <w:rFonts w:ascii="Arial" w:hAnsi="Arial" w:cs="Arial"/>
          <w:b/>
          <w:caps/>
          <w:sz w:val="22"/>
        </w:rPr>
        <w:t xml:space="preserve">3 </w:t>
      </w:r>
      <w:r>
        <w:rPr>
          <w:rFonts w:ascii="Arial" w:hAnsi="Arial" w:cs="Arial"/>
          <w:b/>
          <w:sz w:val="22"/>
        </w:rPr>
        <w:t>Multiplication</w:t>
      </w:r>
      <w:r w:rsidRPr="00087DB1">
        <w:rPr>
          <w:rFonts w:ascii="Arial" w:hAnsi="Arial" w:cs="Arial"/>
          <w:b/>
          <w:iCs/>
          <w:sz w:val="22"/>
        </w:rPr>
        <w:t xml:space="preserve"> </w:t>
      </w:r>
    </w:p>
    <w:p w14:paraId="5E9B2BAA" w14:textId="77777777" w:rsidR="00087DB1" w:rsidRPr="00087DB1" w:rsidRDefault="00087DB1" w:rsidP="00087DB1">
      <w:pPr>
        <w:pStyle w:val="Body"/>
        <w:spacing w:after="0"/>
        <w:rPr>
          <w:rFonts w:ascii="Arial" w:hAnsi="Arial" w:cs="Arial"/>
        </w:rPr>
      </w:pPr>
      <w:r w:rsidRPr="00087DB1">
        <w:rPr>
          <w:rFonts w:ascii="Arial" w:hAnsi="Arial" w:cs="Arial"/>
        </w:rPr>
        <w:t xml:space="preserve">The shoot tips and axillary nodes obtained from </w:t>
      </w:r>
      <w:r w:rsidRPr="00087DB1">
        <w:rPr>
          <w:rFonts w:ascii="Arial" w:hAnsi="Arial" w:cs="Arial"/>
          <w:i/>
        </w:rPr>
        <w:t>in vitro</w:t>
      </w:r>
      <w:r w:rsidRPr="00087DB1">
        <w:rPr>
          <w:rFonts w:ascii="Arial" w:hAnsi="Arial" w:cs="Arial"/>
        </w:rPr>
        <w:t xml:space="preserve"> raised shoots were used as explants and transferred to shoot multiplication medium comprising of MS medium with kinetin (0.25 mgL</w:t>
      </w:r>
      <w:r w:rsidRPr="00087DB1">
        <w:rPr>
          <w:rFonts w:ascii="Arial" w:hAnsi="Arial" w:cs="Arial"/>
          <w:vertAlign w:val="superscript"/>
        </w:rPr>
        <w:t>-1</w:t>
      </w:r>
      <w:r w:rsidRPr="00087DB1">
        <w:rPr>
          <w:rFonts w:ascii="Arial" w:hAnsi="Arial" w:cs="Arial"/>
        </w:rPr>
        <w:t>), GA</w:t>
      </w:r>
      <w:r w:rsidRPr="00087DB1">
        <w:rPr>
          <w:rFonts w:ascii="Arial" w:hAnsi="Arial" w:cs="Arial"/>
          <w:vertAlign w:val="subscript"/>
        </w:rPr>
        <w:t>3</w:t>
      </w:r>
      <w:r w:rsidRPr="00087DB1">
        <w:rPr>
          <w:rFonts w:ascii="Arial" w:hAnsi="Arial" w:cs="Arial"/>
        </w:rPr>
        <w:t xml:space="preserve"> (0.025 mgL</w:t>
      </w:r>
      <w:r w:rsidRPr="00087DB1">
        <w:rPr>
          <w:rFonts w:ascii="Arial" w:hAnsi="Arial" w:cs="Arial"/>
          <w:vertAlign w:val="superscript"/>
        </w:rPr>
        <w:t>-1</w:t>
      </w:r>
      <w:r w:rsidRPr="00087DB1">
        <w:rPr>
          <w:rFonts w:ascii="Arial" w:hAnsi="Arial" w:cs="Arial"/>
        </w:rPr>
        <w:t xml:space="preserve"> or 0.050 mgL</w:t>
      </w:r>
      <w:r w:rsidRPr="00087DB1">
        <w:rPr>
          <w:rFonts w:ascii="Arial" w:hAnsi="Arial" w:cs="Arial"/>
          <w:vertAlign w:val="superscript"/>
        </w:rPr>
        <w:t>-1</w:t>
      </w:r>
      <w:r w:rsidRPr="00087DB1">
        <w:rPr>
          <w:rFonts w:ascii="Arial" w:hAnsi="Arial" w:cs="Arial"/>
        </w:rPr>
        <w:t>) and glutamine (25 mgL</w:t>
      </w:r>
      <w:r w:rsidRPr="00087DB1">
        <w:rPr>
          <w:rFonts w:ascii="Arial" w:hAnsi="Arial" w:cs="Arial"/>
          <w:vertAlign w:val="superscript"/>
        </w:rPr>
        <w:t>-1</w:t>
      </w:r>
      <w:r w:rsidRPr="00087DB1">
        <w:rPr>
          <w:rFonts w:ascii="Arial" w:hAnsi="Arial" w:cs="Arial"/>
        </w:rPr>
        <w:t xml:space="preserve"> or 50 mgL</w:t>
      </w:r>
      <w:r w:rsidRPr="00087DB1">
        <w:rPr>
          <w:rFonts w:ascii="Arial" w:hAnsi="Arial" w:cs="Arial"/>
          <w:vertAlign w:val="superscript"/>
        </w:rPr>
        <w:t>-1</w:t>
      </w:r>
      <w:r w:rsidRPr="00087DB1">
        <w:rPr>
          <w:rFonts w:ascii="Arial" w:hAnsi="Arial" w:cs="Arial"/>
        </w:rPr>
        <w:t xml:space="preserve">) in different combinations. After three weeks the average number of adventitious shoots and shoot length were observed for each treatment. Shoots were routinely subculture at 15 days on the same treatment for multiplication. </w:t>
      </w:r>
    </w:p>
    <w:p w14:paraId="01E704BC" w14:textId="77777777" w:rsidR="00087DB1" w:rsidRPr="00087DB1" w:rsidRDefault="00087DB1" w:rsidP="00087DB1">
      <w:pPr>
        <w:pStyle w:val="Body"/>
        <w:spacing w:after="0"/>
        <w:rPr>
          <w:rFonts w:ascii="Arial" w:hAnsi="Arial" w:cs="Arial"/>
          <w:b/>
          <w:iCs/>
        </w:rPr>
      </w:pPr>
      <w:r w:rsidRPr="00C30A0F">
        <w:rPr>
          <w:rFonts w:ascii="Arial" w:hAnsi="Arial" w:cs="Arial"/>
          <w:b/>
          <w:caps/>
          <w:sz w:val="22"/>
        </w:rPr>
        <w:t>2.</w:t>
      </w:r>
      <w:r>
        <w:rPr>
          <w:rFonts w:ascii="Arial" w:hAnsi="Arial" w:cs="Arial"/>
          <w:b/>
          <w:caps/>
          <w:sz w:val="22"/>
        </w:rPr>
        <w:t xml:space="preserve">4 </w:t>
      </w:r>
      <w:r w:rsidRPr="00087DB1">
        <w:rPr>
          <w:rFonts w:ascii="Arial" w:hAnsi="Arial" w:cs="Arial"/>
          <w:b/>
          <w:sz w:val="22"/>
        </w:rPr>
        <w:t>Rooting and plantlet acclimatization</w:t>
      </w:r>
      <w:r w:rsidRPr="00087DB1">
        <w:rPr>
          <w:rFonts w:ascii="Arial" w:hAnsi="Arial" w:cs="Arial"/>
          <w:b/>
          <w:iCs/>
          <w:sz w:val="22"/>
        </w:rPr>
        <w:t xml:space="preserve"> </w:t>
      </w:r>
    </w:p>
    <w:p w14:paraId="16AD49F6" w14:textId="77777777" w:rsidR="00087DB1" w:rsidRPr="00087DB1" w:rsidRDefault="00087DB1" w:rsidP="00316461">
      <w:pPr>
        <w:pStyle w:val="Body"/>
        <w:spacing w:after="0"/>
        <w:rPr>
          <w:rFonts w:ascii="Arial" w:hAnsi="Arial" w:cs="Arial"/>
        </w:rPr>
      </w:pPr>
      <w:r w:rsidRPr="00087DB1">
        <w:rPr>
          <w:rFonts w:ascii="Arial" w:hAnsi="Arial" w:cs="Arial"/>
        </w:rPr>
        <w:t xml:space="preserve">Shoots (about 3-5 cm long) were used to induce rooting in which the individual shoot was separated and transferred to root induction medium. Excised shoots were transferred into half strength MS medium containing </w:t>
      </w:r>
      <w:proofErr w:type="spellStart"/>
      <w:r w:rsidRPr="00087DB1">
        <w:rPr>
          <w:rFonts w:ascii="Arial" w:hAnsi="Arial" w:cs="Arial"/>
        </w:rPr>
        <w:t>gellan</w:t>
      </w:r>
      <w:proofErr w:type="spellEnd"/>
      <w:r w:rsidRPr="00087DB1">
        <w:rPr>
          <w:rFonts w:ascii="Arial" w:hAnsi="Arial" w:cs="Arial"/>
        </w:rPr>
        <w:t xml:space="preserve"> gum (</w:t>
      </w:r>
      <w:proofErr w:type="spellStart"/>
      <w:r w:rsidRPr="00087DB1">
        <w:rPr>
          <w:rFonts w:ascii="Arial" w:hAnsi="Arial" w:cs="Arial"/>
        </w:rPr>
        <w:t>CleriGel</w:t>
      </w:r>
      <w:proofErr w:type="spellEnd"/>
      <w:r w:rsidRPr="00087DB1">
        <w:rPr>
          <w:rFonts w:ascii="Arial" w:hAnsi="Arial" w:cs="Arial"/>
          <w:vertAlign w:val="superscript"/>
        </w:rPr>
        <w:t>®</w:t>
      </w:r>
      <w:r w:rsidRPr="00087DB1">
        <w:rPr>
          <w:rFonts w:ascii="Arial" w:hAnsi="Arial" w:cs="Arial"/>
        </w:rPr>
        <w:t xml:space="preserve"> Super, </w:t>
      </w:r>
      <w:proofErr w:type="spellStart"/>
      <w:r w:rsidRPr="00087DB1">
        <w:rPr>
          <w:rFonts w:ascii="Arial" w:hAnsi="Arial" w:cs="Arial"/>
        </w:rPr>
        <w:t>Himedia</w:t>
      </w:r>
      <w:proofErr w:type="spellEnd"/>
      <w:r w:rsidRPr="00087DB1">
        <w:rPr>
          <w:rFonts w:ascii="Arial" w:hAnsi="Arial" w:cs="Arial"/>
        </w:rPr>
        <w:t xml:space="preserve"> Laboratories) as gelling agent at 3.5 mg/L concentration with PGRs in different combinations as Indole-3-acetic acid (IAA) in concentrations as 0.25, 0.50, 0.75 and 0.10 mgL</w:t>
      </w:r>
      <w:r w:rsidRPr="00087DB1">
        <w:rPr>
          <w:rFonts w:ascii="Arial" w:hAnsi="Arial" w:cs="Arial"/>
          <w:vertAlign w:val="superscript"/>
        </w:rPr>
        <w:t>-1</w:t>
      </w:r>
      <w:r w:rsidRPr="00087DB1">
        <w:rPr>
          <w:rFonts w:ascii="Arial" w:hAnsi="Arial" w:cs="Arial"/>
        </w:rPr>
        <w:t>, NAA in concentrations as 0.25, 0.50, 0.75 and 0.10 mgL</w:t>
      </w:r>
      <w:r w:rsidRPr="00087DB1">
        <w:rPr>
          <w:rFonts w:ascii="Arial" w:hAnsi="Arial" w:cs="Arial"/>
          <w:vertAlign w:val="superscript"/>
        </w:rPr>
        <w:t>-1</w:t>
      </w:r>
      <w:r w:rsidRPr="00087DB1">
        <w:rPr>
          <w:rFonts w:ascii="Arial" w:hAnsi="Arial" w:cs="Arial"/>
        </w:rPr>
        <w:t xml:space="preserve"> and 0.025 mgL</w:t>
      </w:r>
      <w:r w:rsidRPr="00087DB1">
        <w:rPr>
          <w:rFonts w:ascii="Arial" w:hAnsi="Arial" w:cs="Arial"/>
          <w:vertAlign w:val="superscript"/>
        </w:rPr>
        <w:t>-1</w:t>
      </w:r>
      <w:r w:rsidRPr="00087DB1">
        <w:rPr>
          <w:rFonts w:ascii="Arial" w:hAnsi="Arial" w:cs="Arial"/>
        </w:rPr>
        <w:t xml:space="preserve"> kinetin. After 45 days, the percentage of shoots developing roots and the average number of roots per shoot were recorded along with root length.</w:t>
      </w:r>
      <w:r w:rsidR="00316461">
        <w:rPr>
          <w:rFonts w:ascii="Arial" w:hAnsi="Arial" w:cs="Arial"/>
        </w:rPr>
        <w:t xml:space="preserve"> </w:t>
      </w:r>
      <w:r w:rsidR="00316461" w:rsidRPr="00087DB1">
        <w:rPr>
          <w:rFonts w:ascii="Arial" w:hAnsi="Arial" w:cs="Arial"/>
        </w:rPr>
        <w:t>A 15-day cycle in the optimized medium wi</w:t>
      </w:r>
      <w:r w:rsidR="00316461">
        <w:rPr>
          <w:rFonts w:ascii="Arial" w:hAnsi="Arial" w:cs="Arial"/>
        </w:rPr>
        <w:t>thout gelling agent was also included before the plants were transferred for acclimatization and hardening.</w:t>
      </w:r>
    </w:p>
    <w:p w14:paraId="10FB158C" w14:textId="3CF4FEA6" w:rsidR="00087DB1" w:rsidRPr="00087DB1" w:rsidRDefault="00087DB1" w:rsidP="00316461">
      <w:pPr>
        <w:pStyle w:val="Body"/>
        <w:spacing w:after="0"/>
        <w:ind w:firstLine="720"/>
        <w:rPr>
          <w:rFonts w:ascii="Arial" w:hAnsi="Arial" w:cs="Arial"/>
          <w:iCs/>
          <w:lang w:val="en-IN"/>
        </w:rPr>
      </w:pPr>
      <w:r w:rsidRPr="00087DB1">
        <w:rPr>
          <w:rFonts w:ascii="Arial" w:hAnsi="Arial" w:cs="Arial"/>
        </w:rPr>
        <w:t>For acclimatization and hardening, the rooted plantlets were washed in tap water to carefully remove gelled medium from the roots and were given a brief treatment in fungicide solution (</w:t>
      </w:r>
      <w:r w:rsidRPr="00087DB1">
        <w:rPr>
          <w:rFonts w:ascii="Arial" w:hAnsi="Arial" w:cs="Arial"/>
          <w:iCs/>
          <w:lang w:val="en-IN"/>
        </w:rPr>
        <w:t xml:space="preserve">1% Bavistin for 5-10 min) and then these were </w:t>
      </w:r>
      <w:r w:rsidRPr="00087DB1">
        <w:rPr>
          <w:rFonts w:ascii="Arial" w:hAnsi="Arial" w:cs="Arial"/>
        </w:rPr>
        <w:t xml:space="preserve">transferred to soil substrate in pots containing sterilized </w:t>
      </w:r>
      <w:proofErr w:type="spellStart"/>
      <w:r w:rsidRPr="00087DB1">
        <w:rPr>
          <w:rFonts w:ascii="Arial" w:hAnsi="Arial" w:cs="Arial"/>
        </w:rPr>
        <w:t>vermiculite:sand:garden-soil</w:t>
      </w:r>
      <w:proofErr w:type="spellEnd"/>
      <w:r w:rsidRPr="00087DB1">
        <w:rPr>
          <w:rFonts w:ascii="Arial" w:hAnsi="Arial" w:cs="Arial"/>
        </w:rPr>
        <w:t xml:space="preserve"> mix in 1 : 1 : 1 </w:t>
      </w:r>
      <w:r w:rsidRPr="00087DB1">
        <w:rPr>
          <w:rFonts w:ascii="Arial" w:hAnsi="Arial" w:cs="Arial"/>
          <w:iCs/>
          <w:lang w:val="en-IN"/>
        </w:rPr>
        <w:t xml:space="preserve">(w : w : w) </w:t>
      </w:r>
      <w:r w:rsidRPr="00087DB1">
        <w:rPr>
          <w:rFonts w:ascii="Arial" w:hAnsi="Arial" w:cs="Arial"/>
        </w:rPr>
        <w:t xml:space="preserve">ratio. To maintain high humidity, plantlets were covered with transparent plastic sheets while in greenhouse. To provide nutrients for better acclimatization, </w:t>
      </w:r>
      <w:r w:rsidRPr="00087DB1">
        <w:rPr>
          <w:rFonts w:ascii="Arial" w:hAnsi="Arial" w:cs="Arial"/>
          <w:iCs/>
          <w:lang w:val="en-IN"/>
        </w:rPr>
        <w:t xml:space="preserve">the plantlets were supplied with MS basal liquid medium containing one-fourth strength macronutrients with a sprayer. After 15-20 days, transferring of plants to polybags was done with growing substrate constituting of garden </w:t>
      </w:r>
      <w:proofErr w:type="spellStart"/>
      <w:r w:rsidRPr="00087DB1">
        <w:rPr>
          <w:rFonts w:ascii="Arial" w:hAnsi="Arial" w:cs="Arial"/>
          <w:iCs/>
          <w:lang w:val="en-IN"/>
        </w:rPr>
        <w:t>soil:sand:farmyard</w:t>
      </w:r>
      <w:proofErr w:type="spellEnd"/>
      <w:r w:rsidRPr="00087DB1">
        <w:rPr>
          <w:rFonts w:ascii="Arial" w:hAnsi="Arial" w:cs="Arial"/>
          <w:iCs/>
          <w:lang w:val="en-IN"/>
        </w:rPr>
        <w:t xml:space="preserve"> manure at 2 : 1 : 1 (w : w : w) ratio for regular growth. Irrigation was done using regular tap water as per requirement and to fertilize the plants, foliar spray of 2 g </w:t>
      </w:r>
      <w:r w:rsidR="00D02D32" w:rsidRPr="00B50B00">
        <w:rPr>
          <w:rFonts w:ascii="Arial" w:hAnsi="Arial" w:cs="Arial"/>
          <w:iCs/>
          <w:highlight w:val="yellow"/>
          <w:lang w:val="en-IN"/>
        </w:rPr>
        <w:t>L</w:t>
      </w:r>
      <w:r w:rsidRPr="00087DB1">
        <w:rPr>
          <w:rFonts w:ascii="Arial" w:hAnsi="Arial" w:cs="Arial"/>
          <w:iCs/>
          <w:vertAlign w:val="superscript"/>
          <w:lang w:val="en-IN"/>
        </w:rPr>
        <w:t xml:space="preserve">-1 </w:t>
      </w:r>
      <w:r w:rsidRPr="00087DB1">
        <w:rPr>
          <w:rFonts w:ascii="Arial" w:hAnsi="Arial" w:cs="Arial"/>
          <w:iCs/>
          <w:lang w:val="en-IN"/>
        </w:rPr>
        <w:t>soluble NPK (19% N, 19% P, 19% K) was done on weekly basis. The greenhouse temperature was maintained at 25-30°C with a relative humidity of nearly 75-80% during the hardening.</w:t>
      </w:r>
    </w:p>
    <w:p w14:paraId="0B7668AA" w14:textId="77777777" w:rsidR="00087DB1" w:rsidRPr="00087DB1" w:rsidRDefault="00087DB1" w:rsidP="00087DB1">
      <w:pPr>
        <w:pStyle w:val="Body"/>
        <w:spacing w:after="0"/>
        <w:rPr>
          <w:rFonts w:ascii="Arial" w:hAnsi="Arial" w:cs="Arial"/>
        </w:rPr>
      </w:pPr>
      <w:r w:rsidRPr="00C30A0F">
        <w:rPr>
          <w:rFonts w:ascii="Arial" w:hAnsi="Arial" w:cs="Arial"/>
          <w:b/>
          <w:caps/>
          <w:sz w:val="22"/>
        </w:rPr>
        <w:t>2.</w:t>
      </w:r>
      <w:r>
        <w:rPr>
          <w:rFonts w:ascii="Arial" w:hAnsi="Arial" w:cs="Arial"/>
          <w:b/>
          <w:caps/>
          <w:sz w:val="22"/>
        </w:rPr>
        <w:t xml:space="preserve">5 </w:t>
      </w:r>
      <w:r w:rsidRPr="00087DB1">
        <w:rPr>
          <w:rFonts w:ascii="Arial" w:hAnsi="Arial" w:cs="Arial"/>
          <w:b/>
          <w:sz w:val="22"/>
        </w:rPr>
        <w:t xml:space="preserve">Statistical analysis </w:t>
      </w:r>
    </w:p>
    <w:p w14:paraId="5899FC33" w14:textId="77777777" w:rsidR="00087DB1" w:rsidRPr="00087DB1" w:rsidRDefault="00087DB1" w:rsidP="00087DB1">
      <w:pPr>
        <w:pStyle w:val="Body"/>
        <w:spacing w:after="0"/>
        <w:rPr>
          <w:rFonts w:ascii="Arial" w:hAnsi="Arial" w:cs="Arial"/>
          <w:iCs/>
          <w:lang w:val="en-IN"/>
        </w:rPr>
      </w:pPr>
      <w:r w:rsidRPr="00087DB1">
        <w:rPr>
          <w:rFonts w:ascii="Arial" w:hAnsi="Arial" w:cs="Arial"/>
        </w:rPr>
        <w:t>All the experiments were conducted using completely randomized design (CRD) with three replicates of each trial and the experiments were repeated thrice. Data for each experiment was recorded after three weeks of culture and the whole data set were used for analysis of variance (ANOVA) using IBM SPSS version 23 software. Resulting values are expressed as means ± standard error (SE), and data was subjected to analysis of variance, followed by Tukey’s post hoc test to evaluate significant differences at p&lt; 0.05 being the level significance. The data was first put to test of Normality after which ANOVA was used and differences of mean were found out by Tukey’s HSD post hoc test at p≤0.05 significance level.</w:t>
      </w:r>
      <w:r w:rsidRPr="00087DB1" w:rsidDel="00580FFE">
        <w:rPr>
          <w:rFonts w:ascii="Arial" w:hAnsi="Arial" w:cs="Arial"/>
          <w:iCs/>
          <w:lang w:val="en-IN"/>
        </w:rPr>
        <w:t xml:space="preserve"> </w:t>
      </w:r>
    </w:p>
    <w:p w14:paraId="266D2471" w14:textId="77777777" w:rsidR="002E0D56" w:rsidRDefault="002E0D56" w:rsidP="00441B6F">
      <w:pPr>
        <w:pStyle w:val="Body"/>
        <w:spacing w:after="0"/>
        <w:rPr>
          <w:rFonts w:ascii="Arial" w:hAnsi="Arial" w:cs="Arial"/>
        </w:rPr>
      </w:pPr>
    </w:p>
    <w:p w14:paraId="441BDCD1"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7BF308A0" w14:textId="77777777" w:rsidR="00790ADA" w:rsidRPr="00FB3A86" w:rsidRDefault="00790ADA" w:rsidP="00441B6F">
      <w:pPr>
        <w:pStyle w:val="Head1"/>
        <w:spacing w:after="0"/>
        <w:jc w:val="both"/>
        <w:rPr>
          <w:rFonts w:ascii="Arial" w:hAnsi="Arial" w:cs="Arial"/>
        </w:rPr>
      </w:pPr>
    </w:p>
    <w:p w14:paraId="6A7BABA9" w14:textId="25755D3F" w:rsidR="0099128F" w:rsidRPr="00735057" w:rsidRDefault="00087DB1" w:rsidP="0099128F">
      <w:pPr>
        <w:pStyle w:val="Body"/>
        <w:spacing w:after="0"/>
        <w:rPr>
          <w:rFonts w:ascii="Arial" w:hAnsi="Arial" w:cs="Arial"/>
        </w:rPr>
      </w:pPr>
      <w:r w:rsidRPr="00087DB1">
        <w:rPr>
          <w:rFonts w:ascii="Arial" w:hAnsi="Arial" w:cs="Arial"/>
        </w:rPr>
        <w:t xml:space="preserve">An </w:t>
      </w:r>
      <w:r w:rsidRPr="00087DB1">
        <w:rPr>
          <w:rFonts w:ascii="Arial" w:hAnsi="Arial" w:cs="Arial"/>
          <w:i/>
        </w:rPr>
        <w:t>in vitro</w:t>
      </w:r>
      <w:r w:rsidRPr="00087DB1">
        <w:rPr>
          <w:rFonts w:ascii="Arial" w:hAnsi="Arial" w:cs="Arial"/>
        </w:rPr>
        <w:t xml:space="preserve"> plant regeneration protocol has been developed for </w:t>
      </w:r>
      <w:r w:rsidRPr="00087DB1">
        <w:rPr>
          <w:rFonts w:ascii="Arial" w:hAnsi="Arial" w:cs="Arial"/>
          <w:i/>
        </w:rPr>
        <w:t>H</w:t>
      </w:r>
      <w:r w:rsidRPr="00087DB1">
        <w:rPr>
          <w:rFonts w:ascii="Arial" w:hAnsi="Arial" w:cs="Arial"/>
        </w:rPr>
        <w:t xml:space="preserve">. </w:t>
      </w:r>
      <w:r w:rsidRPr="00087DB1">
        <w:rPr>
          <w:rFonts w:ascii="Arial" w:hAnsi="Arial" w:cs="Arial"/>
          <w:i/>
        </w:rPr>
        <w:t>orixense</w:t>
      </w:r>
      <w:r w:rsidRPr="00087DB1">
        <w:rPr>
          <w:rFonts w:ascii="Arial" w:hAnsi="Arial" w:cs="Arial"/>
        </w:rPr>
        <w:t>. Seeds that were planted in MS agar without any addition of PGRs started to germinate within a week of inoculation and reached the whole two leafed stage within 30 days. The overall germination percentage was nearly 60 percent with around 8-10% contamination. Types and concentration of plant growth regulators had a significant effect on shoot and root formation.</w:t>
      </w:r>
      <w:r w:rsidRPr="00087DB1">
        <w:rPr>
          <w:rFonts w:ascii="Arial" w:hAnsi="Arial" w:cs="Arial"/>
          <w:b/>
        </w:rPr>
        <w:t xml:space="preserve"> </w:t>
      </w:r>
      <w:r w:rsidRPr="00087DB1">
        <w:rPr>
          <w:rFonts w:ascii="Arial" w:hAnsi="Arial" w:cs="Arial"/>
        </w:rPr>
        <w:t>During shoot initiation optimize</w:t>
      </w:r>
      <w:r w:rsidR="00B50B00">
        <w:rPr>
          <w:rFonts w:ascii="Arial" w:hAnsi="Arial" w:cs="Arial"/>
        </w:rPr>
        <w:t xml:space="preserve">d in different PGR combinations </w:t>
      </w:r>
      <w:r w:rsidR="00B50B00" w:rsidRPr="00B50B00">
        <w:rPr>
          <w:rFonts w:ascii="Arial" w:hAnsi="Arial" w:cs="Arial"/>
          <w:highlight w:val="yellow"/>
        </w:rPr>
        <w:t>lower concentration of BAP and kinetin proved to be better for shoot initiation differing significantly from the higher concentrations used for both Kinetin and BAP.</w:t>
      </w:r>
      <w:r w:rsidR="00B50B00">
        <w:rPr>
          <w:rFonts w:ascii="Arial" w:hAnsi="Arial" w:cs="Arial"/>
        </w:rPr>
        <w:t xml:space="preserve"> K</w:t>
      </w:r>
      <w:r w:rsidRPr="00087DB1">
        <w:rPr>
          <w:rFonts w:ascii="Arial" w:hAnsi="Arial" w:cs="Arial"/>
        </w:rPr>
        <w:t xml:space="preserve">inetin consistently outperformed BAP </w:t>
      </w:r>
      <w:r w:rsidRPr="00087DB1">
        <w:rPr>
          <w:rFonts w:ascii="Arial" w:hAnsi="Arial" w:cs="Arial"/>
          <w:bCs/>
        </w:rPr>
        <w:t>both in terms of shoot number and shoot length</w:t>
      </w:r>
      <w:r w:rsidRPr="00087DB1">
        <w:rPr>
          <w:rFonts w:ascii="Arial" w:hAnsi="Arial" w:cs="Arial"/>
        </w:rPr>
        <w:t>. MS medium supplemented with 0.25 mgL</w:t>
      </w:r>
      <w:r w:rsidRPr="00087DB1">
        <w:rPr>
          <w:rFonts w:ascii="Arial" w:hAnsi="Arial" w:cs="Arial"/>
          <w:vertAlign w:val="superscript"/>
        </w:rPr>
        <w:t>-1</w:t>
      </w:r>
      <w:r w:rsidRPr="00087DB1">
        <w:rPr>
          <w:rFonts w:ascii="Arial" w:hAnsi="Arial" w:cs="Arial"/>
        </w:rPr>
        <w:t xml:space="preserve"> Kinetin emerged as the </w:t>
      </w:r>
      <w:r w:rsidRPr="00087DB1">
        <w:rPr>
          <w:rFonts w:ascii="Arial" w:hAnsi="Arial" w:cs="Arial"/>
          <w:bCs/>
        </w:rPr>
        <w:t>optimal shoot initiation medium</w:t>
      </w:r>
      <w:r w:rsidRPr="00087DB1">
        <w:rPr>
          <w:rFonts w:ascii="Arial" w:hAnsi="Arial" w:cs="Arial"/>
        </w:rPr>
        <w:t>, producing the highest average shoot number (7.67 ± 0.88) and the longest shoots (4.91 ± 0.15cm), significantly superior to all other treatments. Callus formation at the base of shoots was observed in all the treatments, to different extents during the initial shoot initiation cycles. There were no significant differences between 0.25 mg L</w:t>
      </w:r>
      <w:r w:rsidRPr="00087DB1">
        <w:rPr>
          <w:rFonts w:ascii="Arial" w:hAnsi="Arial" w:cs="Arial"/>
          <w:vertAlign w:val="superscript"/>
        </w:rPr>
        <w:t xml:space="preserve">-1 </w:t>
      </w:r>
      <w:r w:rsidRPr="00087DB1">
        <w:rPr>
          <w:rFonts w:ascii="Arial" w:hAnsi="Arial" w:cs="Arial"/>
        </w:rPr>
        <w:t>BAP and kinetin but in presence of kinetin at 0.25 mgL</w:t>
      </w:r>
      <w:r w:rsidRPr="00087DB1">
        <w:rPr>
          <w:rFonts w:ascii="Arial" w:hAnsi="Arial" w:cs="Arial"/>
          <w:vertAlign w:val="superscript"/>
        </w:rPr>
        <w:t>-1</w:t>
      </w:r>
      <w:r w:rsidRPr="00087DB1">
        <w:rPr>
          <w:rFonts w:ascii="Arial" w:hAnsi="Arial" w:cs="Arial"/>
        </w:rPr>
        <w:t xml:space="preserve">, minimal callus formation was seen and hence it was preferred medium for shoot initiation. </w:t>
      </w:r>
      <w:r w:rsidR="0099128F" w:rsidRPr="0099128F">
        <w:rPr>
          <w:rFonts w:ascii="Arial" w:hAnsi="Arial" w:cs="Arial"/>
          <w:highlight w:val="yellow"/>
        </w:rPr>
        <w:t>Intermediary response was obtained at 0.5 mgL</w:t>
      </w:r>
      <w:r w:rsidR="0099128F" w:rsidRPr="0099128F">
        <w:rPr>
          <w:rFonts w:ascii="Cambria Math" w:hAnsi="Cambria Math" w:cs="Cambria Math"/>
          <w:highlight w:val="yellow"/>
        </w:rPr>
        <w:t>⁻</w:t>
      </w:r>
      <w:r w:rsidR="0099128F" w:rsidRPr="0099128F">
        <w:rPr>
          <w:rFonts w:ascii="Arial" w:hAnsi="Arial" w:cs="Arial"/>
          <w:highlight w:val="yellow"/>
        </w:rPr>
        <w:t>¹ BAP and kinetin concentrations, since they possessed same level of statistical significance. Responses from different TDZ and NAA concentrations indicate a lower shoot induction rate, and most of them were found in low statistical significance, suggesting that they possessed less efficacy. Regeneration in basal MS medium was also significantly poor.</w:t>
      </w:r>
      <w:r w:rsidR="0099128F">
        <w:rPr>
          <w:rFonts w:ascii="Arial" w:hAnsi="Arial" w:cs="Arial"/>
        </w:rPr>
        <w:t xml:space="preserve"> </w:t>
      </w:r>
      <w:r w:rsidRPr="00087DB1">
        <w:rPr>
          <w:rFonts w:ascii="Arial" w:hAnsi="Arial" w:cs="Arial"/>
        </w:rPr>
        <w:t xml:space="preserve">Similar performance of kinetin was reported in </w:t>
      </w:r>
      <w:r w:rsidRPr="00087DB1">
        <w:rPr>
          <w:rFonts w:ascii="Arial" w:hAnsi="Arial" w:cs="Arial"/>
          <w:i/>
          <w:iCs/>
        </w:rPr>
        <w:t xml:space="preserve">Cucumis sativus </w:t>
      </w:r>
      <w:r w:rsidRPr="00087DB1">
        <w:rPr>
          <w:rFonts w:ascii="Arial" w:hAnsi="Arial" w:cs="Arial"/>
        </w:rPr>
        <w:t>where 1 mgL</w:t>
      </w:r>
      <w:r w:rsidRPr="00087DB1">
        <w:rPr>
          <w:rFonts w:ascii="Arial" w:hAnsi="Arial" w:cs="Arial"/>
          <w:vertAlign w:val="superscript"/>
        </w:rPr>
        <w:t xml:space="preserve">-1 </w:t>
      </w:r>
      <w:r w:rsidRPr="00087DB1">
        <w:rPr>
          <w:rFonts w:ascii="Arial" w:hAnsi="Arial" w:cs="Arial"/>
        </w:rPr>
        <w:t xml:space="preserve">concentration yielded best shoot number, shoot length among all cytokinins tested, and was statistically superior to equivalent concentrations of BAP </w:t>
      </w:r>
      <w:r w:rsidRPr="00735057">
        <w:rPr>
          <w:rFonts w:ascii="Arial" w:hAnsi="Arial" w:cs="Arial"/>
        </w:rPr>
        <w:t>(</w:t>
      </w:r>
      <w:r w:rsidRPr="00735057">
        <w:rPr>
          <w:rFonts w:ascii="Arial" w:hAnsi="Arial" w:cs="Arial"/>
          <w:bCs/>
        </w:rPr>
        <w:t>Abu-</w:t>
      </w:r>
      <w:proofErr w:type="spellStart"/>
      <w:r w:rsidRPr="00735057">
        <w:rPr>
          <w:rFonts w:ascii="Arial" w:hAnsi="Arial" w:cs="Arial"/>
          <w:bCs/>
        </w:rPr>
        <w:t>Romman</w:t>
      </w:r>
      <w:proofErr w:type="spellEnd"/>
      <w:r w:rsidRPr="00735057">
        <w:rPr>
          <w:rFonts w:ascii="Arial" w:hAnsi="Arial" w:cs="Arial"/>
          <w:bCs/>
        </w:rPr>
        <w:t xml:space="preserve"> et al., 2015</w:t>
      </w:r>
      <w:r w:rsidRPr="00735057">
        <w:rPr>
          <w:rFonts w:ascii="Arial" w:hAnsi="Arial" w:cs="Arial"/>
        </w:rPr>
        <w:t>). In case of BAP, an inverse relationship was observed with shoot number and concentration. At 0.25 mg/l, BAP yielded 6.76 ± 0.20 shoots, but this declined substantially at 0.5 mg L</w:t>
      </w:r>
      <w:r w:rsidRPr="00735057">
        <w:rPr>
          <w:rFonts w:ascii="Arial" w:hAnsi="Arial" w:cs="Arial"/>
          <w:vertAlign w:val="superscript"/>
        </w:rPr>
        <w:t>-</w:t>
      </w:r>
      <w:r w:rsidRPr="00735057">
        <w:rPr>
          <w:rFonts w:ascii="Arial" w:hAnsi="Arial" w:cs="Arial"/>
        </w:rPr>
        <w:t xml:space="preserve"> (4.68 ± 1.20) and further dropped at 1.0 mg L</w:t>
      </w:r>
      <w:r w:rsidRPr="00735057">
        <w:rPr>
          <w:rFonts w:ascii="Arial" w:hAnsi="Arial" w:cs="Arial"/>
          <w:vertAlign w:val="superscript"/>
        </w:rPr>
        <w:t xml:space="preserve">- </w:t>
      </w:r>
      <w:r w:rsidRPr="00735057">
        <w:rPr>
          <w:rFonts w:ascii="Arial" w:hAnsi="Arial" w:cs="Arial"/>
        </w:rPr>
        <w:t>in combination with TDZ (2.83 ± 0.86). This suggests that supraoptimal concentrations of BAP suppress axillary bud break, possibly through apical dominance interference or cytotoxicity at higher doses</w:t>
      </w:r>
      <w:r w:rsidRPr="0099128F">
        <w:rPr>
          <w:rFonts w:ascii="Arial" w:hAnsi="Arial" w:cs="Arial"/>
        </w:rPr>
        <w:t xml:space="preserve">. </w:t>
      </w:r>
      <w:r w:rsidR="0099128F" w:rsidRPr="0099128F">
        <w:rPr>
          <w:rFonts w:ascii="Arial" w:hAnsi="Arial" w:cs="Arial"/>
          <w:highlight w:val="yellow"/>
        </w:rPr>
        <w:t xml:space="preserve">A comparative study of the effects of BAP and kinetin on </w:t>
      </w:r>
      <w:r w:rsidR="0099128F" w:rsidRPr="0099128F">
        <w:rPr>
          <w:rFonts w:ascii="Arial" w:hAnsi="Arial" w:cs="Arial"/>
          <w:i/>
          <w:highlight w:val="yellow"/>
        </w:rPr>
        <w:t>in vitro</w:t>
      </w:r>
      <w:r w:rsidR="0099128F" w:rsidRPr="0099128F">
        <w:rPr>
          <w:rFonts w:ascii="Arial" w:hAnsi="Arial" w:cs="Arial"/>
          <w:highlight w:val="yellow"/>
        </w:rPr>
        <w:t xml:space="preserve"> shoot development in </w:t>
      </w:r>
      <w:r w:rsidR="0099128F" w:rsidRPr="0099128F">
        <w:rPr>
          <w:rFonts w:ascii="Arial" w:hAnsi="Arial" w:cs="Arial"/>
          <w:i/>
          <w:highlight w:val="yellow"/>
        </w:rPr>
        <w:t xml:space="preserve">Quercus </w:t>
      </w:r>
      <w:proofErr w:type="spellStart"/>
      <w:r w:rsidR="0099128F" w:rsidRPr="0099128F">
        <w:rPr>
          <w:rFonts w:ascii="Arial" w:hAnsi="Arial" w:cs="Arial"/>
          <w:i/>
          <w:highlight w:val="yellow"/>
        </w:rPr>
        <w:t>robur</w:t>
      </w:r>
      <w:proofErr w:type="spellEnd"/>
      <w:r w:rsidR="0099128F" w:rsidRPr="0099128F">
        <w:rPr>
          <w:rFonts w:ascii="Arial" w:hAnsi="Arial" w:cs="Arial"/>
          <w:highlight w:val="yellow"/>
        </w:rPr>
        <w:t xml:space="preserve"> (</w:t>
      </w:r>
      <w:proofErr w:type="spellStart"/>
      <w:r w:rsidR="0099128F" w:rsidRPr="0099128F">
        <w:rPr>
          <w:rFonts w:ascii="Arial" w:hAnsi="Arial" w:cs="Arial"/>
          <w:highlight w:val="yellow"/>
        </w:rPr>
        <w:t>fagaceae</w:t>
      </w:r>
      <w:proofErr w:type="spellEnd"/>
      <w:r w:rsidR="0099128F" w:rsidRPr="0099128F">
        <w:rPr>
          <w:rFonts w:ascii="Arial" w:hAnsi="Arial" w:cs="Arial"/>
          <w:highlight w:val="yellow"/>
        </w:rPr>
        <w:t>), indicated poor leaf anatomy and shoot necrosis in presence of BAP alone whereas use of kinetin alone induced better anatomical characteristics like larger secondary xylem and cell walls well lignified which indicates role of kinetin towards better cellular differentiation (Martins et al., 2022).</w:t>
      </w:r>
      <w:r w:rsidR="0099128F" w:rsidRPr="0099128F">
        <w:rPr>
          <w:rFonts w:ascii="Arial" w:hAnsi="Arial" w:cs="Arial"/>
        </w:rPr>
        <w:t xml:space="preserve"> </w:t>
      </w:r>
      <w:r w:rsidR="0099128F" w:rsidRPr="0099128F">
        <w:rPr>
          <w:rFonts w:ascii="Arial" w:hAnsi="Arial" w:cs="Arial"/>
          <w:highlight w:val="yellow"/>
        </w:rPr>
        <w:t xml:space="preserve">In </w:t>
      </w:r>
      <w:proofErr w:type="spellStart"/>
      <w:r w:rsidR="0099128F" w:rsidRPr="0099128F">
        <w:rPr>
          <w:rFonts w:ascii="Arial" w:hAnsi="Arial" w:cs="Arial"/>
          <w:i/>
          <w:highlight w:val="yellow"/>
        </w:rPr>
        <w:t>Mitragyna</w:t>
      </w:r>
      <w:proofErr w:type="spellEnd"/>
      <w:r w:rsidR="0099128F" w:rsidRPr="0099128F">
        <w:rPr>
          <w:rFonts w:ascii="Arial" w:hAnsi="Arial" w:cs="Arial"/>
          <w:i/>
          <w:highlight w:val="yellow"/>
        </w:rPr>
        <w:t xml:space="preserve"> </w:t>
      </w:r>
      <w:proofErr w:type="spellStart"/>
      <w:r w:rsidR="0099128F" w:rsidRPr="0099128F">
        <w:rPr>
          <w:rFonts w:ascii="Arial" w:hAnsi="Arial" w:cs="Arial"/>
          <w:i/>
          <w:highlight w:val="yellow"/>
        </w:rPr>
        <w:t>parvifolia</w:t>
      </w:r>
      <w:proofErr w:type="spellEnd"/>
      <w:r w:rsidR="0099128F" w:rsidRPr="0099128F">
        <w:rPr>
          <w:rFonts w:ascii="Arial" w:hAnsi="Arial" w:cs="Arial"/>
          <w:highlight w:val="yellow"/>
        </w:rPr>
        <w:t xml:space="preserve">, a member of </w:t>
      </w:r>
      <w:proofErr w:type="spellStart"/>
      <w:r w:rsidR="0099128F" w:rsidRPr="0099128F">
        <w:rPr>
          <w:rFonts w:ascii="Arial" w:hAnsi="Arial" w:cs="Arial"/>
          <w:highlight w:val="yellow"/>
        </w:rPr>
        <w:t>rubiaceae</w:t>
      </w:r>
      <w:proofErr w:type="spellEnd"/>
      <w:r w:rsidR="0099128F" w:rsidRPr="0099128F">
        <w:rPr>
          <w:rFonts w:ascii="Arial" w:hAnsi="Arial" w:cs="Arial"/>
          <w:highlight w:val="yellow"/>
        </w:rPr>
        <w:t xml:space="preserve"> family,</w:t>
      </w:r>
      <w:r w:rsidR="0099128F" w:rsidRPr="0099128F">
        <w:rPr>
          <w:rFonts w:ascii="Arial" w:hAnsi="Arial" w:cs="Arial"/>
        </w:rPr>
        <w:t xml:space="preserve"> </w:t>
      </w:r>
      <w:r w:rsidRPr="0099128F">
        <w:rPr>
          <w:rFonts w:ascii="Arial" w:hAnsi="Arial" w:cs="Arial"/>
        </w:rPr>
        <w:t>BAP</w:t>
      </w:r>
      <w:r w:rsidRPr="00735057">
        <w:rPr>
          <w:rFonts w:ascii="Arial" w:hAnsi="Arial" w:cs="Arial"/>
        </w:rPr>
        <w:t xml:space="preserve"> alone as a source of cytokinin was used for shoot initiation (5.3 shoots/node on 3mgL</w:t>
      </w:r>
      <w:r w:rsidRPr="00735057">
        <w:rPr>
          <w:rFonts w:ascii="Arial" w:hAnsi="Arial" w:cs="Arial"/>
          <w:vertAlign w:val="superscript"/>
        </w:rPr>
        <w:t xml:space="preserve">-1 </w:t>
      </w:r>
      <w:r w:rsidRPr="00735057">
        <w:rPr>
          <w:rFonts w:ascii="Arial" w:hAnsi="Arial" w:cs="Arial"/>
        </w:rPr>
        <w:t>BAP), while the BAP and kinetin combination was found optimal for maximum multiplication (</w:t>
      </w:r>
      <w:r w:rsidRPr="00735057">
        <w:rPr>
          <w:rFonts w:ascii="Arial" w:hAnsi="Arial" w:cs="Arial"/>
          <w:bCs/>
        </w:rPr>
        <w:t>Patel et al., 2020</w:t>
      </w:r>
      <w:r w:rsidRPr="00735057">
        <w:rPr>
          <w:rFonts w:ascii="Arial" w:hAnsi="Arial" w:cs="Arial"/>
        </w:rPr>
        <w:t>).</w:t>
      </w:r>
      <w:r w:rsidR="0099128F">
        <w:rPr>
          <w:rFonts w:ascii="Arial" w:hAnsi="Arial" w:cs="Arial"/>
        </w:rPr>
        <w:t xml:space="preserve"> </w:t>
      </w:r>
      <w:r w:rsidR="0099128F" w:rsidRPr="0099128F">
        <w:rPr>
          <w:rFonts w:ascii="Arial" w:hAnsi="Arial" w:cs="Arial"/>
          <w:highlight w:val="yellow"/>
        </w:rPr>
        <w:t>Hence response towards any particular plant growth regulator varies with species to species and mostly governed by endogenous levels of hormones.</w:t>
      </w:r>
      <w:r w:rsidR="0099128F" w:rsidRPr="0099128F">
        <w:rPr>
          <w:rFonts w:ascii="Arial" w:hAnsi="Arial" w:cs="Arial"/>
          <w:color w:val="FF0000"/>
          <w:highlight w:val="yellow"/>
        </w:rPr>
        <w:t xml:space="preserve"> </w:t>
      </w:r>
      <w:r w:rsidR="0099128F" w:rsidRPr="0099128F">
        <w:rPr>
          <w:rFonts w:ascii="Arial" w:hAnsi="Arial" w:cs="Arial"/>
          <w:highlight w:val="yellow"/>
        </w:rPr>
        <w:t xml:space="preserve">BAP being a synthetic cytokinin can sometime produce toxic metabolites that hinders plant growth </w:t>
      </w:r>
      <w:r w:rsidR="0099128F" w:rsidRPr="0099128F">
        <w:rPr>
          <w:rFonts w:ascii="Arial" w:hAnsi="Arial" w:cs="Arial"/>
          <w:i/>
          <w:highlight w:val="yellow"/>
        </w:rPr>
        <w:t>in vitro</w:t>
      </w:r>
      <w:r w:rsidR="0099128F" w:rsidRPr="0099128F">
        <w:rPr>
          <w:rFonts w:ascii="Arial" w:hAnsi="Arial" w:cs="Arial"/>
          <w:highlight w:val="yellow"/>
        </w:rPr>
        <w:t>, as discussed by Aremu et al., (2012)</w:t>
      </w:r>
      <w:r w:rsidR="0099128F" w:rsidRPr="0099128F">
        <w:rPr>
          <w:rFonts w:ascii="Arial" w:hAnsi="Arial" w:cs="Arial"/>
        </w:rPr>
        <w:t>.</w:t>
      </w:r>
      <w:r w:rsidR="0099128F">
        <w:rPr>
          <w:rFonts w:ascii="Arial" w:hAnsi="Arial" w:cs="Arial"/>
          <w:color w:val="FF0000"/>
        </w:rPr>
        <w:t xml:space="preserve"> </w:t>
      </w:r>
    </w:p>
    <w:p w14:paraId="359EE600" w14:textId="4D718707" w:rsidR="00087DB1" w:rsidRPr="00735057" w:rsidRDefault="00087DB1" w:rsidP="00087DB1">
      <w:pPr>
        <w:pStyle w:val="Body"/>
        <w:spacing w:after="0"/>
        <w:rPr>
          <w:rFonts w:ascii="Arial" w:hAnsi="Arial" w:cs="Arial"/>
        </w:rPr>
      </w:pPr>
    </w:p>
    <w:p w14:paraId="2BEA5BDA" w14:textId="6E64EC50" w:rsidR="00087DB1" w:rsidRDefault="00087DB1" w:rsidP="00087DB1">
      <w:pPr>
        <w:pStyle w:val="Body"/>
        <w:spacing w:after="0"/>
        <w:rPr>
          <w:rFonts w:ascii="Arial" w:hAnsi="Arial" w:cs="Arial"/>
        </w:rPr>
      </w:pPr>
      <w:r w:rsidRPr="00735057">
        <w:rPr>
          <w:rFonts w:ascii="Arial" w:hAnsi="Arial" w:cs="Arial"/>
        </w:rPr>
        <w:t>Use of Thidiazuron in combination with BAP did not yield increased shoots in the present study. The combination of BAP (1.0 mg L</w:t>
      </w:r>
      <w:r w:rsidRPr="00735057">
        <w:rPr>
          <w:rFonts w:ascii="Arial" w:hAnsi="Arial" w:cs="Arial"/>
          <w:vertAlign w:val="superscript"/>
        </w:rPr>
        <w:t>-</w:t>
      </w:r>
      <w:r w:rsidRPr="00735057">
        <w:rPr>
          <w:rFonts w:ascii="Arial" w:hAnsi="Arial" w:cs="Arial"/>
        </w:rPr>
        <w:t>) + TDZ (0.5 mg L</w:t>
      </w:r>
      <w:r w:rsidRPr="00735057">
        <w:rPr>
          <w:rFonts w:ascii="Arial" w:hAnsi="Arial" w:cs="Arial"/>
          <w:vertAlign w:val="superscript"/>
        </w:rPr>
        <w:t>-</w:t>
      </w:r>
      <w:r w:rsidRPr="00735057">
        <w:rPr>
          <w:rFonts w:ascii="Arial" w:hAnsi="Arial" w:cs="Arial"/>
        </w:rPr>
        <w:t xml:space="preserve">) was among the poorer performers for shoot number and produced greenish-brownish callus, indicating stress and possible phenolic oxidation at the explant base. In some species TDZ does not yields good quality shoots, for example in tea clone Iran 100, it was found to be unsuitable for multiplication as growth in TDZ containing medium caused </w:t>
      </w:r>
      <w:proofErr w:type="spellStart"/>
      <w:r w:rsidRPr="00735057">
        <w:rPr>
          <w:rFonts w:ascii="Arial" w:hAnsi="Arial" w:cs="Arial"/>
        </w:rPr>
        <w:t>hyperhydricity</w:t>
      </w:r>
      <w:proofErr w:type="spellEnd"/>
      <w:r w:rsidRPr="00735057">
        <w:rPr>
          <w:rFonts w:ascii="Arial" w:hAnsi="Arial" w:cs="Arial"/>
        </w:rPr>
        <w:t xml:space="preserve"> especially at concentrations more than 0.05 mg L</w:t>
      </w:r>
      <w:r w:rsidRPr="00735057">
        <w:rPr>
          <w:rFonts w:ascii="Arial" w:hAnsi="Arial" w:cs="Arial"/>
          <w:vertAlign w:val="superscript"/>
        </w:rPr>
        <w:t>-</w:t>
      </w:r>
      <w:r w:rsidRPr="00735057">
        <w:rPr>
          <w:rFonts w:ascii="Arial" w:hAnsi="Arial" w:cs="Arial"/>
        </w:rPr>
        <w:t xml:space="preserve"> (</w:t>
      </w:r>
      <w:proofErr w:type="spellStart"/>
      <w:r w:rsidRPr="00735057">
        <w:rPr>
          <w:rFonts w:ascii="Arial" w:hAnsi="Arial" w:cs="Arial"/>
          <w:bCs/>
        </w:rPr>
        <w:t>Gonbad</w:t>
      </w:r>
      <w:proofErr w:type="spellEnd"/>
      <w:r w:rsidRPr="00735057">
        <w:rPr>
          <w:rFonts w:ascii="Arial" w:hAnsi="Arial" w:cs="Arial"/>
          <w:bCs/>
        </w:rPr>
        <w:t xml:space="preserve"> et al., 2014).</w:t>
      </w:r>
      <w:r w:rsidRPr="00735057">
        <w:rPr>
          <w:rFonts w:ascii="Arial" w:hAnsi="Arial" w:cs="Arial"/>
        </w:rPr>
        <w:t xml:space="preserve"> </w:t>
      </w:r>
      <w:r w:rsidR="0099128F" w:rsidRPr="0099128F">
        <w:rPr>
          <w:rFonts w:ascii="Arial" w:hAnsi="Arial" w:cs="Arial"/>
          <w:highlight w:val="yellow"/>
        </w:rPr>
        <w:t xml:space="preserve">Presence of TDZ, a </w:t>
      </w:r>
      <w:proofErr w:type="spellStart"/>
      <w:r w:rsidR="0099128F" w:rsidRPr="0099128F">
        <w:rPr>
          <w:rFonts w:ascii="Arial" w:hAnsi="Arial" w:cs="Arial"/>
          <w:highlight w:val="yellow"/>
        </w:rPr>
        <w:t>phenylurea</w:t>
      </w:r>
      <w:proofErr w:type="spellEnd"/>
      <w:r w:rsidR="0099128F" w:rsidRPr="0099128F">
        <w:rPr>
          <w:rFonts w:ascii="Arial" w:hAnsi="Arial" w:cs="Arial"/>
          <w:highlight w:val="yellow"/>
        </w:rPr>
        <w:t xml:space="preserve"> derivative, in culture medium induces both auxin and cytokinins like responses and also modulates endogenous plant growth hormones levels which creates an environment of stress. This can sometime result in callus formation, as was reported in </w:t>
      </w:r>
      <w:proofErr w:type="spellStart"/>
      <w:r w:rsidR="0099128F" w:rsidRPr="0099128F">
        <w:rPr>
          <w:rFonts w:ascii="Arial" w:hAnsi="Arial" w:cs="Arial"/>
          <w:i/>
          <w:highlight w:val="yellow"/>
        </w:rPr>
        <w:t>Neolamarkia</w:t>
      </w:r>
      <w:proofErr w:type="spellEnd"/>
      <w:r w:rsidR="0099128F" w:rsidRPr="0099128F">
        <w:rPr>
          <w:rFonts w:ascii="Arial" w:hAnsi="Arial" w:cs="Arial"/>
          <w:i/>
          <w:highlight w:val="yellow"/>
        </w:rPr>
        <w:t xml:space="preserve"> </w:t>
      </w:r>
      <w:proofErr w:type="spellStart"/>
      <w:r w:rsidR="0099128F" w:rsidRPr="0099128F">
        <w:rPr>
          <w:rFonts w:ascii="Arial" w:hAnsi="Arial" w:cs="Arial"/>
          <w:i/>
          <w:highlight w:val="yellow"/>
        </w:rPr>
        <w:t>cadamba</w:t>
      </w:r>
      <w:proofErr w:type="spellEnd"/>
      <w:r w:rsidR="0099128F" w:rsidRPr="0099128F">
        <w:rPr>
          <w:rFonts w:ascii="Arial" w:hAnsi="Arial" w:cs="Arial"/>
          <w:highlight w:val="yellow"/>
        </w:rPr>
        <w:t xml:space="preserve"> cotyledonary and hypocotyl cultures (Huang et al., 2020), and low shoot formation (Murthy et al., 1998).</w:t>
      </w:r>
      <w:r w:rsidR="0099128F" w:rsidRPr="00FC153B">
        <w:rPr>
          <w:rFonts w:ascii="Arial" w:hAnsi="Arial" w:cs="Arial"/>
          <w:color w:val="FF0000"/>
          <w:highlight w:val="yellow"/>
        </w:rPr>
        <w:t xml:space="preserve"> </w:t>
      </w:r>
      <w:r w:rsidRPr="00735057">
        <w:rPr>
          <w:rFonts w:ascii="Arial" w:hAnsi="Arial" w:cs="Arial"/>
        </w:rPr>
        <w:t xml:space="preserve">Similarly, the addition of auxin, NAA, in combination with BAP strongly </w:t>
      </w:r>
      <w:r w:rsidRPr="00735057">
        <w:rPr>
          <w:rFonts w:ascii="Arial" w:hAnsi="Arial" w:cs="Arial"/>
        </w:rPr>
        <w:lastRenderedPageBreak/>
        <w:t xml:space="preserve">suppressed shoot proliferation in </w:t>
      </w:r>
      <w:r w:rsidRPr="00735057">
        <w:rPr>
          <w:rFonts w:ascii="Arial" w:hAnsi="Arial" w:cs="Arial"/>
          <w:i/>
        </w:rPr>
        <w:t>H. orixense</w:t>
      </w:r>
      <w:r w:rsidRPr="00735057">
        <w:rPr>
          <w:rFonts w:ascii="Arial" w:hAnsi="Arial" w:cs="Arial"/>
        </w:rPr>
        <w:t xml:space="preserve"> (1.67 ± 0.33 shoots). The high callusing intensity observed in BAP + NAA combinations also confirms this </w:t>
      </w:r>
      <w:proofErr w:type="spellStart"/>
      <w:r w:rsidRPr="00735057">
        <w:rPr>
          <w:rFonts w:ascii="Arial" w:hAnsi="Arial" w:cs="Arial"/>
        </w:rPr>
        <w:t>callogenic</w:t>
      </w:r>
      <w:proofErr w:type="spellEnd"/>
      <w:r w:rsidRPr="00735057">
        <w:rPr>
          <w:rFonts w:ascii="Arial" w:hAnsi="Arial" w:cs="Arial"/>
        </w:rPr>
        <w:t xml:space="preserve"> shift induced by auxins in plant tissue culture medium. The findings are similar to studies in </w:t>
      </w:r>
      <w:r w:rsidRPr="00735057">
        <w:rPr>
          <w:rFonts w:ascii="Arial" w:hAnsi="Arial" w:cs="Arial"/>
          <w:i/>
        </w:rPr>
        <w:t xml:space="preserve">Gardenia </w:t>
      </w:r>
      <w:proofErr w:type="spellStart"/>
      <w:r w:rsidRPr="00735057">
        <w:rPr>
          <w:rFonts w:ascii="Arial" w:hAnsi="Arial" w:cs="Arial"/>
          <w:i/>
        </w:rPr>
        <w:t>jasminoides</w:t>
      </w:r>
      <w:proofErr w:type="spellEnd"/>
      <w:r w:rsidRPr="00735057">
        <w:rPr>
          <w:rFonts w:ascii="Arial" w:hAnsi="Arial" w:cs="Arial"/>
        </w:rPr>
        <w:t xml:space="preserve">, another important </w:t>
      </w:r>
      <w:proofErr w:type="spellStart"/>
      <w:r w:rsidRPr="00735057">
        <w:rPr>
          <w:rFonts w:ascii="Arial" w:hAnsi="Arial" w:cs="Arial"/>
        </w:rPr>
        <w:t>rubiaceae</w:t>
      </w:r>
      <w:proofErr w:type="spellEnd"/>
      <w:r w:rsidRPr="00735057">
        <w:rPr>
          <w:rFonts w:ascii="Arial" w:hAnsi="Arial" w:cs="Arial"/>
        </w:rPr>
        <w:t xml:space="preserve"> family member, where NAA addition to cytokinin caused callus formation in cultures (</w:t>
      </w:r>
      <w:proofErr w:type="spellStart"/>
      <w:r w:rsidRPr="00735057">
        <w:rPr>
          <w:rFonts w:ascii="Arial" w:hAnsi="Arial" w:cs="Arial"/>
          <w:bCs/>
        </w:rPr>
        <w:t>Manokari</w:t>
      </w:r>
      <w:proofErr w:type="spellEnd"/>
      <w:r w:rsidRPr="00735057">
        <w:rPr>
          <w:rFonts w:ascii="Arial" w:hAnsi="Arial" w:cs="Arial"/>
          <w:bCs/>
        </w:rPr>
        <w:t xml:space="preserve"> et al., 2024</w:t>
      </w:r>
      <w:r w:rsidRPr="00735057">
        <w:rPr>
          <w:rFonts w:ascii="Arial" w:hAnsi="Arial" w:cs="Arial"/>
        </w:rPr>
        <w:t>). Table 1 shows that the use of BAP alone or in combination with other PGRs resulted in the formation of shorter shoots than those when used with kinetin (alone or in combination). MS medium with 0.25 mg L</w:t>
      </w:r>
      <w:r w:rsidRPr="00735057">
        <w:rPr>
          <w:rFonts w:ascii="Arial" w:hAnsi="Arial" w:cs="Arial"/>
          <w:vertAlign w:val="superscript"/>
        </w:rPr>
        <w:t>-</w:t>
      </w:r>
      <w:r w:rsidRPr="00735057">
        <w:rPr>
          <w:rFonts w:ascii="Arial" w:hAnsi="Arial" w:cs="Arial"/>
        </w:rPr>
        <w:t xml:space="preserve"> kinetin resulted in longest shoot (~4.92 cm) however this was at par with other concentrations of cytokinins. Also, there were no significant differences between shoot length observed in combinations of BAP with shortest shoots being</w:t>
      </w:r>
      <w:r w:rsidRPr="00087DB1">
        <w:rPr>
          <w:rFonts w:ascii="Arial" w:hAnsi="Arial" w:cs="Arial"/>
        </w:rPr>
        <w:t xml:space="preserve"> formed with the coupled use of TDZ and NAA with BAP.</w:t>
      </w:r>
    </w:p>
    <w:p w14:paraId="58D28978" w14:textId="77777777" w:rsidR="00012FD0" w:rsidRDefault="00012FD0" w:rsidP="00012FD0">
      <w:pPr>
        <w:pStyle w:val="Body"/>
        <w:spacing w:after="0"/>
        <w:rPr>
          <w:rFonts w:ascii="Arial" w:hAnsi="Arial" w:cs="Arial"/>
          <w:b/>
          <w:bCs/>
        </w:rPr>
      </w:pPr>
    </w:p>
    <w:p w14:paraId="1FF0A12E" w14:textId="77777777" w:rsidR="00012FD0" w:rsidRPr="00012FD0" w:rsidRDefault="00012FD0" w:rsidP="00012FD0">
      <w:pPr>
        <w:pStyle w:val="Body"/>
        <w:pBdr>
          <w:bottom w:val="single" w:sz="4" w:space="1" w:color="auto"/>
        </w:pBdr>
        <w:spacing w:after="0"/>
        <w:rPr>
          <w:rFonts w:ascii="Arial" w:hAnsi="Arial" w:cs="Arial"/>
          <w:b/>
          <w:bCs/>
        </w:rPr>
      </w:pPr>
      <w:r w:rsidRPr="00012FD0">
        <w:rPr>
          <w:rFonts w:ascii="Arial" w:hAnsi="Arial" w:cs="Arial"/>
          <w:b/>
          <w:bCs/>
        </w:rPr>
        <w:t xml:space="preserve">Table </w:t>
      </w:r>
      <w:r w:rsidRPr="00012FD0">
        <w:rPr>
          <w:rFonts w:ascii="Arial" w:hAnsi="Arial" w:cs="Arial"/>
          <w:b/>
          <w:bCs/>
          <w:i/>
        </w:rPr>
        <w:fldChar w:fldCharType="begin"/>
      </w:r>
      <w:r w:rsidRPr="00012FD0">
        <w:rPr>
          <w:rFonts w:ascii="Arial" w:hAnsi="Arial" w:cs="Arial"/>
          <w:b/>
          <w:bCs/>
        </w:rPr>
        <w:instrText xml:space="preserve"> SEQ Table \* ARABIC </w:instrText>
      </w:r>
      <w:r w:rsidRPr="00012FD0">
        <w:rPr>
          <w:rFonts w:ascii="Arial" w:hAnsi="Arial" w:cs="Arial"/>
          <w:b/>
          <w:bCs/>
          <w:i/>
        </w:rPr>
        <w:fldChar w:fldCharType="separate"/>
      </w:r>
      <w:r w:rsidRPr="00012FD0">
        <w:rPr>
          <w:rFonts w:ascii="Arial" w:hAnsi="Arial" w:cs="Arial"/>
          <w:b/>
          <w:bCs/>
        </w:rPr>
        <w:t>1</w:t>
      </w:r>
      <w:r w:rsidRPr="00012FD0">
        <w:rPr>
          <w:rFonts w:ascii="Arial" w:hAnsi="Arial" w:cs="Arial"/>
        </w:rPr>
        <w:fldChar w:fldCharType="end"/>
      </w:r>
      <w:r>
        <w:rPr>
          <w:rFonts w:ascii="Arial" w:hAnsi="Arial" w:cs="Arial"/>
        </w:rPr>
        <w:t>.</w:t>
      </w:r>
      <w:r w:rsidRPr="00012FD0">
        <w:rPr>
          <w:rFonts w:ascii="Arial" w:hAnsi="Arial" w:cs="Arial"/>
          <w:b/>
          <w:bCs/>
        </w:rPr>
        <w:t xml:space="preserve"> Axillary shoot initiation in </w:t>
      </w:r>
      <w:proofErr w:type="spellStart"/>
      <w:r w:rsidRPr="00012FD0">
        <w:rPr>
          <w:rFonts w:ascii="Arial" w:hAnsi="Arial" w:cs="Arial"/>
          <w:b/>
          <w:bCs/>
          <w:i/>
          <w:iCs/>
        </w:rPr>
        <w:t>Hymenodictyon</w:t>
      </w:r>
      <w:proofErr w:type="spellEnd"/>
      <w:r w:rsidRPr="00012FD0">
        <w:rPr>
          <w:rFonts w:ascii="Arial" w:hAnsi="Arial" w:cs="Arial"/>
          <w:b/>
          <w:bCs/>
          <w:i/>
          <w:iCs/>
        </w:rPr>
        <w:t xml:space="preserve"> </w:t>
      </w:r>
      <w:proofErr w:type="spellStart"/>
      <w:r w:rsidRPr="00012FD0">
        <w:rPr>
          <w:rFonts w:ascii="Arial" w:hAnsi="Arial" w:cs="Arial"/>
          <w:b/>
          <w:bCs/>
          <w:i/>
          <w:iCs/>
        </w:rPr>
        <w:t>orixense</w:t>
      </w:r>
      <w:proofErr w:type="spellEnd"/>
      <w:r w:rsidRPr="00012FD0">
        <w:rPr>
          <w:rFonts w:ascii="Arial" w:hAnsi="Arial" w:cs="Arial"/>
          <w:b/>
          <w:bCs/>
        </w:rPr>
        <w:t xml:space="preserve"> in presence of different concentration and types of PGRs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8"/>
        <w:gridCol w:w="1408"/>
        <w:gridCol w:w="1607"/>
        <w:gridCol w:w="1719"/>
        <w:gridCol w:w="1442"/>
      </w:tblGrid>
      <w:tr w:rsidR="00012FD0" w:rsidRPr="00012FD0" w14:paraId="400F2B31" w14:textId="77777777" w:rsidTr="00012FD0">
        <w:trPr>
          <w:trHeight w:val="290"/>
          <w:jc w:val="center"/>
        </w:trPr>
        <w:tc>
          <w:tcPr>
            <w:tcW w:w="1265" w:type="pct"/>
            <w:tcBorders>
              <w:bottom w:val="single" w:sz="4" w:space="0" w:color="auto"/>
            </w:tcBorders>
            <w:noWrap/>
            <w:vAlign w:val="center"/>
            <w:hideMark/>
          </w:tcPr>
          <w:p w14:paraId="6D641A5B" w14:textId="77777777" w:rsidR="00012FD0" w:rsidRPr="00012FD0" w:rsidRDefault="00012FD0" w:rsidP="00012FD0">
            <w:pPr>
              <w:pStyle w:val="Body"/>
              <w:spacing w:after="0"/>
              <w:rPr>
                <w:rFonts w:ascii="Arial" w:hAnsi="Arial" w:cs="Arial"/>
                <w:b/>
                <w:sz w:val="20"/>
                <w:szCs w:val="20"/>
                <w:lang w:val="en-IN"/>
              </w:rPr>
            </w:pPr>
            <w:r w:rsidRPr="00012FD0">
              <w:rPr>
                <w:rFonts w:ascii="Arial" w:hAnsi="Arial" w:cs="Arial"/>
                <w:b/>
                <w:sz w:val="20"/>
                <w:szCs w:val="20"/>
                <w:lang w:val="en-IN"/>
              </w:rPr>
              <w:t>PGR combination</w:t>
            </w:r>
          </w:p>
        </w:tc>
        <w:tc>
          <w:tcPr>
            <w:tcW w:w="840" w:type="pct"/>
            <w:tcBorders>
              <w:bottom w:val="single" w:sz="4" w:space="0" w:color="auto"/>
            </w:tcBorders>
            <w:noWrap/>
            <w:vAlign w:val="center"/>
            <w:hideMark/>
          </w:tcPr>
          <w:p w14:paraId="3453FB30" w14:textId="77777777" w:rsidR="00012FD0" w:rsidRPr="00012FD0" w:rsidRDefault="00012FD0" w:rsidP="00012FD0">
            <w:pPr>
              <w:pStyle w:val="Body"/>
              <w:spacing w:after="0"/>
              <w:rPr>
                <w:rFonts w:ascii="Arial" w:hAnsi="Arial" w:cs="Arial"/>
                <w:b/>
                <w:sz w:val="20"/>
                <w:szCs w:val="20"/>
                <w:lang w:val="en-IN"/>
              </w:rPr>
            </w:pPr>
            <w:r w:rsidRPr="00012FD0">
              <w:rPr>
                <w:rFonts w:ascii="Arial" w:hAnsi="Arial" w:cs="Arial"/>
                <w:b/>
                <w:sz w:val="20"/>
                <w:szCs w:val="20"/>
                <w:lang w:val="en-IN"/>
              </w:rPr>
              <w:t>Mean  Shoot Number</w:t>
            </w:r>
          </w:p>
        </w:tc>
        <w:tc>
          <w:tcPr>
            <w:tcW w:w="885" w:type="pct"/>
            <w:tcBorders>
              <w:bottom w:val="single" w:sz="4" w:space="0" w:color="auto"/>
            </w:tcBorders>
            <w:noWrap/>
            <w:vAlign w:val="center"/>
            <w:hideMark/>
          </w:tcPr>
          <w:p w14:paraId="14D82A18" w14:textId="77777777" w:rsidR="00012FD0" w:rsidRPr="00012FD0" w:rsidRDefault="00012FD0" w:rsidP="00012FD0">
            <w:pPr>
              <w:pStyle w:val="Body"/>
              <w:spacing w:after="0"/>
              <w:rPr>
                <w:rFonts w:ascii="Arial" w:hAnsi="Arial" w:cs="Arial"/>
                <w:b/>
                <w:sz w:val="20"/>
                <w:szCs w:val="20"/>
                <w:lang w:val="en-IN"/>
              </w:rPr>
            </w:pPr>
            <w:r w:rsidRPr="00012FD0">
              <w:rPr>
                <w:rFonts w:ascii="Arial" w:hAnsi="Arial" w:cs="Arial"/>
                <w:b/>
                <w:sz w:val="20"/>
                <w:szCs w:val="20"/>
                <w:lang w:val="en-IN"/>
              </w:rPr>
              <w:t>Mean Shoot Length (cm)</w:t>
            </w:r>
          </w:p>
        </w:tc>
        <w:tc>
          <w:tcPr>
            <w:tcW w:w="1041" w:type="pct"/>
            <w:tcBorders>
              <w:bottom w:val="single" w:sz="4" w:space="0" w:color="auto"/>
            </w:tcBorders>
            <w:noWrap/>
            <w:vAlign w:val="center"/>
            <w:hideMark/>
          </w:tcPr>
          <w:p w14:paraId="43D3A366" w14:textId="77777777" w:rsidR="00012FD0" w:rsidRPr="00012FD0" w:rsidRDefault="00012FD0" w:rsidP="00012FD0">
            <w:pPr>
              <w:pStyle w:val="Body"/>
              <w:spacing w:after="0"/>
              <w:rPr>
                <w:rFonts w:ascii="Arial" w:hAnsi="Arial" w:cs="Arial"/>
                <w:b/>
                <w:sz w:val="20"/>
                <w:szCs w:val="20"/>
                <w:lang w:val="en-IN"/>
              </w:rPr>
            </w:pPr>
            <w:r w:rsidRPr="00012FD0">
              <w:rPr>
                <w:rFonts w:ascii="Arial" w:hAnsi="Arial" w:cs="Arial"/>
                <w:b/>
                <w:sz w:val="20"/>
                <w:szCs w:val="20"/>
                <w:lang w:val="en-IN"/>
              </w:rPr>
              <w:t>Callusing intensity at base</w:t>
            </w:r>
          </w:p>
        </w:tc>
        <w:tc>
          <w:tcPr>
            <w:tcW w:w="969" w:type="pct"/>
            <w:tcBorders>
              <w:bottom w:val="single" w:sz="4" w:space="0" w:color="auto"/>
            </w:tcBorders>
            <w:noWrap/>
            <w:vAlign w:val="center"/>
            <w:hideMark/>
          </w:tcPr>
          <w:p w14:paraId="2930613D" w14:textId="77777777" w:rsidR="00012FD0" w:rsidRPr="00012FD0" w:rsidRDefault="00012FD0" w:rsidP="00012FD0">
            <w:pPr>
              <w:pStyle w:val="Body"/>
              <w:spacing w:after="0"/>
              <w:rPr>
                <w:rFonts w:ascii="Arial" w:hAnsi="Arial" w:cs="Arial"/>
                <w:b/>
                <w:sz w:val="20"/>
                <w:szCs w:val="20"/>
                <w:lang w:val="en-IN"/>
              </w:rPr>
            </w:pPr>
            <w:r w:rsidRPr="00012FD0">
              <w:rPr>
                <w:rFonts w:ascii="Arial" w:hAnsi="Arial" w:cs="Arial"/>
                <w:b/>
                <w:sz w:val="20"/>
                <w:szCs w:val="20"/>
                <w:lang w:val="en-IN"/>
              </w:rPr>
              <w:t>Nature of callus</w:t>
            </w:r>
          </w:p>
        </w:tc>
      </w:tr>
      <w:tr w:rsidR="00012FD0" w:rsidRPr="00012FD0" w14:paraId="03DD36DF" w14:textId="77777777" w:rsidTr="00012FD0">
        <w:trPr>
          <w:trHeight w:val="290"/>
          <w:jc w:val="center"/>
        </w:trPr>
        <w:tc>
          <w:tcPr>
            <w:tcW w:w="1265" w:type="pct"/>
            <w:tcBorders>
              <w:top w:val="single" w:sz="4" w:space="0" w:color="auto"/>
            </w:tcBorders>
            <w:noWrap/>
            <w:vAlign w:val="center"/>
            <w:hideMark/>
          </w:tcPr>
          <w:p w14:paraId="20F8BBF6"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MS (basal)</w:t>
            </w:r>
          </w:p>
        </w:tc>
        <w:tc>
          <w:tcPr>
            <w:tcW w:w="840" w:type="pct"/>
            <w:tcBorders>
              <w:top w:val="single" w:sz="4" w:space="0" w:color="auto"/>
            </w:tcBorders>
            <w:noWrap/>
            <w:vAlign w:val="center"/>
          </w:tcPr>
          <w:p w14:paraId="014F98F3"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1.40±0.14</w:t>
            </w:r>
            <w:r w:rsidRPr="00012FD0">
              <w:rPr>
                <w:rFonts w:ascii="Arial" w:hAnsi="Arial" w:cs="Arial"/>
                <w:sz w:val="20"/>
                <w:szCs w:val="20"/>
                <w:vertAlign w:val="superscript"/>
                <w:lang w:val="en-IN"/>
              </w:rPr>
              <w:t>c</w:t>
            </w:r>
          </w:p>
        </w:tc>
        <w:tc>
          <w:tcPr>
            <w:tcW w:w="885" w:type="pct"/>
            <w:tcBorders>
              <w:top w:val="single" w:sz="4" w:space="0" w:color="auto"/>
            </w:tcBorders>
            <w:noWrap/>
            <w:vAlign w:val="center"/>
          </w:tcPr>
          <w:p w14:paraId="65AB47D0"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2.04±0.29</w:t>
            </w:r>
            <w:r w:rsidRPr="00012FD0">
              <w:rPr>
                <w:rFonts w:ascii="Arial" w:hAnsi="Arial" w:cs="Arial"/>
                <w:sz w:val="20"/>
                <w:szCs w:val="20"/>
                <w:vertAlign w:val="superscript"/>
                <w:lang w:val="en-IN"/>
              </w:rPr>
              <w:t>c</w:t>
            </w:r>
          </w:p>
        </w:tc>
        <w:tc>
          <w:tcPr>
            <w:tcW w:w="1041" w:type="pct"/>
            <w:tcBorders>
              <w:top w:val="single" w:sz="4" w:space="0" w:color="auto"/>
            </w:tcBorders>
            <w:noWrap/>
            <w:vAlign w:val="center"/>
            <w:hideMark/>
          </w:tcPr>
          <w:p w14:paraId="76EEF6D6"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w:t>
            </w:r>
          </w:p>
        </w:tc>
        <w:tc>
          <w:tcPr>
            <w:tcW w:w="969" w:type="pct"/>
            <w:tcBorders>
              <w:top w:val="single" w:sz="4" w:space="0" w:color="auto"/>
            </w:tcBorders>
            <w:noWrap/>
            <w:vAlign w:val="center"/>
            <w:hideMark/>
          </w:tcPr>
          <w:p w14:paraId="48807A36"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No significant callusing</w:t>
            </w:r>
          </w:p>
        </w:tc>
      </w:tr>
      <w:tr w:rsidR="00012FD0" w:rsidRPr="00012FD0" w14:paraId="556894B9" w14:textId="77777777" w:rsidTr="00012FD0">
        <w:trPr>
          <w:trHeight w:val="290"/>
          <w:jc w:val="center"/>
        </w:trPr>
        <w:tc>
          <w:tcPr>
            <w:tcW w:w="1265" w:type="pct"/>
            <w:noWrap/>
            <w:vAlign w:val="center"/>
            <w:hideMark/>
          </w:tcPr>
          <w:p w14:paraId="588EC6E7"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MS+ 0.25 mgL</w:t>
            </w:r>
            <w:r w:rsidRPr="00012FD0">
              <w:rPr>
                <w:rFonts w:ascii="Arial" w:hAnsi="Arial" w:cs="Arial"/>
                <w:sz w:val="20"/>
                <w:szCs w:val="20"/>
                <w:vertAlign w:val="superscript"/>
                <w:lang w:val="en-IN"/>
              </w:rPr>
              <w:t>-1</w:t>
            </w:r>
            <w:r w:rsidRPr="00012FD0">
              <w:rPr>
                <w:rFonts w:ascii="Arial" w:hAnsi="Arial" w:cs="Arial"/>
                <w:sz w:val="20"/>
                <w:szCs w:val="20"/>
                <w:lang w:val="en-IN"/>
              </w:rPr>
              <w:t xml:space="preserve">  BAP</w:t>
            </w:r>
          </w:p>
        </w:tc>
        <w:tc>
          <w:tcPr>
            <w:tcW w:w="840" w:type="pct"/>
            <w:noWrap/>
            <w:vAlign w:val="center"/>
          </w:tcPr>
          <w:p w14:paraId="7871671A"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6.76±0.20</w:t>
            </w:r>
            <w:r w:rsidRPr="00012FD0">
              <w:rPr>
                <w:rFonts w:ascii="Arial" w:hAnsi="Arial" w:cs="Arial"/>
                <w:sz w:val="20"/>
                <w:szCs w:val="20"/>
                <w:vertAlign w:val="superscript"/>
                <w:lang w:val="en-IN"/>
              </w:rPr>
              <w:t>a</w:t>
            </w:r>
          </w:p>
        </w:tc>
        <w:tc>
          <w:tcPr>
            <w:tcW w:w="885" w:type="pct"/>
            <w:noWrap/>
            <w:vAlign w:val="center"/>
          </w:tcPr>
          <w:p w14:paraId="318D52D2"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2.91±0.44</w:t>
            </w:r>
            <w:r w:rsidRPr="00012FD0">
              <w:rPr>
                <w:rFonts w:ascii="Arial" w:hAnsi="Arial" w:cs="Arial"/>
                <w:sz w:val="20"/>
                <w:szCs w:val="20"/>
                <w:vertAlign w:val="superscript"/>
                <w:lang w:val="en-IN"/>
              </w:rPr>
              <w:t>bc</w:t>
            </w:r>
          </w:p>
        </w:tc>
        <w:tc>
          <w:tcPr>
            <w:tcW w:w="1041" w:type="pct"/>
            <w:noWrap/>
            <w:vAlign w:val="center"/>
            <w:hideMark/>
          </w:tcPr>
          <w:p w14:paraId="15AF1E3B"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w:t>
            </w:r>
          </w:p>
        </w:tc>
        <w:tc>
          <w:tcPr>
            <w:tcW w:w="969" w:type="pct"/>
            <w:noWrap/>
            <w:vAlign w:val="center"/>
            <w:hideMark/>
          </w:tcPr>
          <w:p w14:paraId="7A276C09"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Friable and whitish</w:t>
            </w:r>
          </w:p>
        </w:tc>
      </w:tr>
      <w:tr w:rsidR="00012FD0" w:rsidRPr="00012FD0" w14:paraId="09EFB281" w14:textId="77777777" w:rsidTr="00012FD0">
        <w:trPr>
          <w:trHeight w:val="290"/>
          <w:jc w:val="center"/>
        </w:trPr>
        <w:tc>
          <w:tcPr>
            <w:tcW w:w="1265" w:type="pct"/>
            <w:noWrap/>
            <w:vAlign w:val="center"/>
            <w:hideMark/>
          </w:tcPr>
          <w:p w14:paraId="281E5600"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MS+ 0.5 mgL</w:t>
            </w:r>
            <w:r w:rsidRPr="00012FD0">
              <w:rPr>
                <w:rFonts w:ascii="Arial" w:hAnsi="Arial" w:cs="Arial"/>
                <w:sz w:val="20"/>
                <w:szCs w:val="20"/>
                <w:vertAlign w:val="superscript"/>
                <w:lang w:val="en-IN"/>
              </w:rPr>
              <w:t>-1</w:t>
            </w:r>
            <w:r w:rsidRPr="00012FD0">
              <w:rPr>
                <w:rFonts w:ascii="Arial" w:hAnsi="Arial" w:cs="Arial"/>
                <w:sz w:val="20"/>
                <w:szCs w:val="20"/>
                <w:lang w:val="en-IN"/>
              </w:rPr>
              <w:t xml:space="preserve"> BAP</w:t>
            </w:r>
          </w:p>
        </w:tc>
        <w:tc>
          <w:tcPr>
            <w:tcW w:w="840" w:type="pct"/>
            <w:noWrap/>
            <w:vAlign w:val="center"/>
          </w:tcPr>
          <w:p w14:paraId="2ED5FAD8"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4.68±1.20</w:t>
            </w:r>
            <w:r w:rsidRPr="00012FD0">
              <w:rPr>
                <w:rFonts w:ascii="Arial" w:hAnsi="Arial" w:cs="Arial"/>
                <w:sz w:val="20"/>
                <w:szCs w:val="20"/>
                <w:vertAlign w:val="superscript"/>
                <w:lang w:val="en-IN"/>
              </w:rPr>
              <w:t>bc</w:t>
            </w:r>
          </w:p>
        </w:tc>
        <w:tc>
          <w:tcPr>
            <w:tcW w:w="885" w:type="pct"/>
            <w:noWrap/>
            <w:vAlign w:val="center"/>
          </w:tcPr>
          <w:p w14:paraId="6204F6D3"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3.33±2.58</w:t>
            </w:r>
            <w:r w:rsidRPr="00012FD0">
              <w:rPr>
                <w:rFonts w:ascii="Arial" w:hAnsi="Arial" w:cs="Arial"/>
                <w:sz w:val="20"/>
                <w:szCs w:val="20"/>
                <w:vertAlign w:val="superscript"/>
                <w:lang w:val="en-IN"/>
              </w:rPr>
              <w:t>ab</w:t>
            </w:r>
          </w:p>
        </w:tc>
        <w:tc>
          <w:tcPr>
            <w:tcW w:w="1041" w:type="pct"/>
            <w:noWrap/>
            <w:vAlign w:val="center"/>
            <w:hideMark/>
          </w:tcPr>
          <w:p w14:paraId="737DEBFE"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w:t>
            </w:r>
          </w:p>
        </w:tc>
        <w:tc>
          <w:tcPr>
            <w:tcW w:w="969" w:type="pct"/>
            <w:noWrap/>
            <w:vAlign w:val="center"/>
            <w:hideMark/>
          </w:tcPr>
          <w:p w14:paraId="40D36C54"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Friable and whitish</w:t>
            </w:r>
          </w:p>
        </w:tc>
      </w:tr>
      <w:tr w:rsidR="00012FD0" w:rsidRPr="00012FD0" w14:paraId="5C3159CC" w14:textId="77777777" w:rsidTr="00012FD0">
        <w:trPr>
          <w:trHeight w:val="290"/>
          <w:jc w:val="center"/>
        </w:trPr>
        <w:tc>
          <w:tcPr>
            <w:tcW w:w="1265" w:type="pct"/>
            <w:noWrap/>
            <w:vAlign w:val="center"/>
            <w:hideMark/>
          </w:tcPr>
          <w:p w14:paraId="4B9FA620"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MS+ 1.0 mgL</w:t>
            </w:r>
            <w:r w:rsidRPr="00012FD0">
              <w:rPr>
                <w:rFonts w:ascii="Arial" w:hAnsi="Arial" w:cs="Arial"/>
                <w:sz w:val="20"/>
                <w:szCs w:val="20"/>
                <w:vertAlign w:val="superscript"/>
                <w:lang w:val="en-IN"/>
              </w:rPr>
              <w:t>-1</w:t>
            </w:r>
            <w:r w:rsidRPr="00012FD0">
              <w:rPr>
                <w:rFonts w:ascii="Arial" w:hAnsi="Arial" w:cs="Arial"/>
                <w:sz w:val="20"/>
                <w:szCs w:val="20"/>
                <w:lang w:val="en-IN"/>
              </w:rPr>
              <w:t xml:space="preserve"> BAP+ 0.5 </w:t>
            </w:r>
            <w:r w:rsidRPr="00012FD0">
              <w:rPr>
                <w:rFonts w:ascii="Arial" w:hAnsi="Arial" w:cs="Arial"/>
                <w:sz w:val="20"/>
                <w:szCs w:val="20"/>
              </w:rPr>
              <w:t>mgL</w:t>
            </w:r>
            <w:r w:rsidRPr="00012FD0">
              <w:rPr>
                <w:rFonts w:ascii="Arial" w:hAnsi="Arial" w:cs="Arial"/>
                <w:sz w:val="20"/>
                <w:szCs w:val="20"/>
                <w:vertAlign w:val="superscript"/>
              </w:rPr>
              <w:t>-1</w:t>
            </w:r>
            <w:r w:rsidRPr="00012FD0">
              <w:rPr>
                <w:rFonts w:ascii="Arial" w:hAnsi="Arial" w:cs="Arial"/>
                <w:sz w:val="20"/>
                <w:szCs w:val="20"/>
              </w:rPr>
              <w:t xml:space="preserve"> </w:t>
            </w:r>
            <w:r w:rsidRPr="00012FD0">
              <w:rPr>
                <w:rFonts w:ascii="Arial" w:hAnsi="Arial" w:cs="Arial"/>
                <w:sz w:val="20"/>
                <w:szCs w:val="20"/>
                <w:lang w:val="en-IN"/>
              </w:rPr>
              <w:t>TDZ</w:t>
            </w:r>
          </w:p>
        </w:tc>
        <w:tc>
          <w:tcPr>
            <w:tcW w:w="840" w:type="pct"/>
            <w:noWrap/>
            <w:vAlign w:val="center"/>
          </w:tcPr>
          <w:p w14:paraId="46B4FA5B"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2.83±0.86</w:t>
            </w:r>
            <w:r w:rsidRPr="00012FD0">
              <w:rPr>
                <w:rFonts w:ascii="Arial" w:hAnsi="Arial" w:cs="Arial"/>
                <w:sz w:val="20"/>
                <w:szCs w:val="20"/>
                <w:vertAlign w:val="superscript"/>
                <w:lang w:val="en-IN"/>
              </w:rPr>
              <w:t>c</w:t>
            </w:r>
          </w:p>
        </w:tc>
        <w:tc>
          <w:tcPr>
            <w:tcW w:w="885" w:type="pct"/>
            <w:noWrap/>
            <w:vAlign w:val="center"/>
          </w:tcPr>
          <w:p w14:paraId="27F56202"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1.53±0.39</w:t>
            </w:r>
            <w:r w:rsidRPr="00012FD0">
              <w:rPr>
                <w:rFonts w:ascii="Arial" w:hAnsi="Arial" w:cs="Arial"/>
                <w:sz w:val="20"/>
                <w:szCs w:val="20"/>
                <w:vertAlign w:val="superscript"/>
                <w:lang w:val="en-IN"/>
              </w:rPr>
              <w:t>abc</w:t>
            </w:r>
          </w:p>
        </w:tc>
        <w:tc>
          <w:tcPr>
            <w:tcW w:w="1041" w:type="pct"/>
            <w:noWrap/>
            <w:vAlign w:val="center"/>
            <w:hideMark/>
          </w:tcPr>
          <w:p w14:paraId="0BBD9E40"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w:t>
            </w:r>
          </w:p>
        </w:tc>
        <w:tc>
          <w:tcPr>
            <w:tcW w:w="969" w:type="pct"/>
            <w:noWrap/>
            <w:vAlign w:val="center"/>
            <w:hideMark/>
          </w:tcPr>
          <w:p w14:paraId="046CC795"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Greenish and brownish</w:t>
            </w:r>
          </w:p>
        </w:tc>
      </w:tr>
      <w:tr w:rsidR="00012FD0" w:rsidRPr="00012FD0" w14:paraId="595D6869" w14:textId="77777777" w:rsidTr="00012FD0">
        <w:trPr>
          <w:trHeight w:val="290"/>
          <w:jc w:val="center"/>
        </w:trPr>
        <w:tc>
          <w:tcPr>
            <w:tcW w:w="1265" w:type="pct"/>
            <w:noWrap/>
            <w:vAlign w:val="center"/>
            <w:hideMark/>
          </w:tcPr>
          <w:p w14:paraId="6C4EC990"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MS+ 0.25 mgL</w:t>
            </w:r>
            <w:r w:rsidRPr="00012FD0">
              <w:rPr>
                <w:rFonts w:ascii="Arial" w:hAnsi="Arial" w:cs="Arial"/>
                <w:sz w:val="20"/>
                <w:szCs w:val="20"/>
                <w:vertAlign w:val="superscript"/>
                <w:lang w:val="en-IN"/>
              </w:rPr>
              <w:t xml:space="preserve">-1 </w:t>
            </w:r>
            <w:r w:rsidRPr="00012FD0">
              <w:rPr>
                <w:rFonts w:ascii="Arial" w:hAnsi="Arial" w:cs="Arial"/>
                <w:sz w:val="20"/>
                <w:szCs w:val="20"/>
                <w:lang w:val="en-IN"/>
              </w:rPr>
              <w:t>Kinetin</w:t>
            </w:r>
          </w:p>
        </w:tc>
        <w:tc>
          <w:tcPr>
            <w:tcW w:w="840" w:type="pct"/>
            <w:noWrap/>
            <w:vAlign w:val="center"/>
          </w:tcPr>
          <w:p w14:paraId="25978D14"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7.67±0.88</w:t>
            </w:r>
            <w:r w:rsidRPr="00012FD0">
              <w:rPr>
                <w:rFonts w:ascii="Arial" w:hAnsi="Arial" w:cs="Arial"/>
                <w:sz w:val="20"/>
                <w:szCs w:val="20"/>
                <w:vertAlign w:val="superscript"/>
                <w:lang w:val="en-IN"/>
              </w:rPr>
              <w:t>a</w:t>
            </w:r>
          </w:p>
        </w:tc>
        <w:tc>
          <w:tcPr>
            <w:tcW w:w="885" w:type="pct"/>
            <w:noWrap/>
            <w:vAlign w:val="center"/>
          </w:tcPr>
          <w:p w14:paraId="420C042B"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4.91±0.15</w:t>
            </w:r>
            <w:r w:rsidRPr="00012FD0">
              <w:rPr>
                <w:rFonts w:ascii="Arial" w:hAnsi="Arial" w:cs="Arial"/>
                <w:sz w:val="20"/>
                <w:szCs w:val="20"/>
                <w:vertAlign w:val="superscript"/>
                <w:lang w:val="en-IN"/>
              </w:rPr>
              <w:t>a</w:t>
            </w:r>
          </w:p>
        </w:tc>
        <w:tc>
          <w:tcPr>
            <w:tcW w:w="1041" w:type="pct"/>
            <w:noWrap/>
            <w:vAlign w:val="center"/>
            <w:hideMark/>
          </w:tcPr>
          <w:p w14:paraId="6208BF89"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w:t>
            </w:r>
          </w:p>
        </w:tc>
        <w:tc>
          <w:tcPr>
            <w:tcW w:w="969" w:type="pct"/>
            <w:noWrap/>
            <w:vAlign w:val="center"/>
            <w:hideMark/>
          </w:tcPr>
          <w:p w14:paraId="04A8C36A"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Scanty growth</w:t>
            </w:r>
          </w:p>
        </w:tc>
      </w:tr>
      <w:tr w:rsidR="00012FD0" w:rsidRPr="00012FD0" w14:paraId="57C2ED31" w14:textId="77777777" w:rsidTr="00012FD0">
        <w:trPr>
          <w:trHeight w:val="290"/>
          <w:jc w:val="center"/>
        </w:trPr>
        <w:tc>
          <w:tcPr>
            <w:tcW w:w="1265" w:type="pct"/>
            <w:noWrap/>
            <w:vAlign w:val="center"/>
            <w:hideMark/>
          </w:tcPr>
          <w:p w14:paraId="6F7B791B"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MS+ 0.5 mgL</w:t>
            </w:r>
            <w:r w:rsidRPr="00012FD0">
              <w:rPr>
                <w:rFonts w:ascii="Arial" w:hAnsi="Arial" w:cs="Arial"/>
                <w:sz w:val="20"/>
                <w:szCs w:val="20"/>
                <w:vertAlign w:val="superscript"/>
                <w:lang w:val="en-IN"/>
              </w:rPr>
              <w:t>-1</w:t>
            </w:r>
            <w:r w:rsidRPr="00012FD0">
              <w:rPr>
                <w:rFonts w:ascii="Arial" w:hAnsi="Arial" w:cs="Arial"/>
                <w:sz w:val="20"/>
                <w:szCs w:val="20"/>
                <w:lang w:val="en-IN"/>
              </w:rPr>
              <w:t xml:space="preserve"> kinetin</w:t>
            </w:r>
          </w:p>
        </w:tc>
        <w:tc>
          <w:tcPr>
            <w:tcW w:w="840" w:type="pct"/>
            <w:noWrap/>
            <w:vAlign w:val="center"/>
          </w:tcPr>
          <w:p w14:paraId="6EE1EF66"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5.93±0.88</w:t>
            </w:r>
            <w:r w:rsidRPr="00012FD0">
              <w:rPr>
                <w:rFonts w:ascii="Arial" w:hAnsi="Arial" w:cs="Arial"/>
                <w:sz w:val="20"/>
                <w:szCs w:val="20"/>
                <w:vertAlign w:val="superscript"/>
                <w:lang w:val="en-IN"/>
              </w:rPr>
              <w:t>bc</w:t>
            </w:r>
          </w:p>
        </w:tc>
        <w:tc>
          <w:tcPr>
            <w:tcW w:w="885" w:type="pct"/>
            <w:noWrap/>
            <w:vAlign w:val="center"/>
          </w:tcPr>
          <w:p w14:paraId="6CAA2027"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4.01±0.22</w:t>
            </w:r>
            <w:r w:rsidRPr="00012FD0">
              <w:rPr>
                <w:rFonts w:ascii="Arial" w:hAnsi="Arial" w:cs="Arial"/>
                <w:sz w:val="20"/>
                <w:szCs w:val="20"/>
                <w:vertAlign w:val="superscript"/>
                <w:lang w:val="en-IN"/>
              </w:rPr>
              <w:t>ab</w:t>
            </w:r>
          </w:p>
        </w:tc>
        <w:tc>
          <w:tcPr>
            <w:tcW w:w="1041" w:type="pct"/>
            <w:noWrap/>
            <w:vAlign w:val="center"/>
            <w:hideMark/>
          </w:tcPr>
          <w:p w14:paraId="55A05AFF"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w:t>
            </w:r>
          </w:p>
        </w:tc>
        <w:tc>
          <w:tcPr>
            <w:tcW w:w="969" w:type="pct"/>
            <w:noWrap/>
            <w:vAlign w:val="center"/>
            <w:hideMark/>
          </w:tcPr>
          <w:p w14:paraId="03CFD8F5"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Amorphous</w:t>
            </w:r>
          </w:p>
        </w:tc>
      </w:tr>
      <w:tr w:rsidR="00012FD0" w:rsidRPr="00012FD0" w14:paraId="045D6C6C" w14:textId="77777777" w:rsidTr="00012FD0">
        <w:trPr>
          <w:trHeight w:val="290"/>
          <w:jc w:val="center"/>
        </w:trPr>
        <w:tc>
          <w:tcPr>
            <w:tcW w:w="1265" w:type="pct"/>
            <w:noWrap/>
            <w:vAlign w:val="center"/>
            <w:hideMark/>
          </w:tcPr>
          <w:p w14:paraId="6C1267DC"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MS+ 0.5 mgL</w:t>
            </w:r>
            <w:r w:rsidRPr="00012FD0">
              <w:rPr>
                <w:rFonts w:ascii="Arial" w:hAnsi="Arial" w:cs="Arial"/>
                <w:sz w:val="20"/>
                <w:szCs w:val="20"/>
                <w:vertAlign w:val="superscript"/>
                <w:lang w:val="en-IN"/>
              </w:rPr>
              <w:t>-1</w:t>
            </w:r>
            <w:r w:rsidRPr="00012FD0">
              <w:rPr>
                <w:rFonts w:ascii="Arial" w:hAnsi="Arial" w:cs="Arial"/>
                <w:sz w:val="20"/>
                <w:szCs w:val="20"/>
                <w:lang w:val="en-IN"/>
              </w:rPr>
              <w:t xml:space="preserve"> BAP+ 0.5 mgL</w:t>
            </w:r>
            <w:r w:rsidRPr="00012FD0">
              <w:rPr>
                <w:rFonts w:ascii="Arial" w:hAnsi="Arial" w:cs="Arial"/>
                <w:sz w:val="20"/>
                <w:szCs w:val="20"/>
                <w:vertAlign w:val="superscript"/>
                <w:lang w:val="en-IN"/>
              </w:rPr>
              <w:t>-1</w:t>
            </w:r>
            <w:r w:rsidRPr="00012FD0">
              <w:rPr>
                <w:rFonts w:ascii="Arial" w:hAnsi="Arial" w:cs="Arial"/>
                <w:sz w:val="20"/>
                <w:szCs w:val="20"/>
                <w:lang w:val="en-IN"/>
              </w:rPr>
              <w:t xml:space="preserve"> kinetin</w:t>
            </w:r>
          </w:p>
        </w:tc>
        <w:tc>
          <w:tcPr>
            <w:tcW w:w="840" w:type="pct"/>
            <w:noWrap/>
            <w:vAlign w:val="center"/>
          </w:tcPr>
          <w:p w14:paraId="192754D1"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4.33±0.45</w:t>
            </w:r>
            <w:r w:rsidRPr="00012FD0">
              <w:rPr>
                <w:rFonts w:ascii="Arial" w:hAnsi="Arial" w:cs="Arial"/>
                <w:sz w:val="20"/>
                <w:szCs w:val="20"/>
                <w:vertAlign w:val="superscript"/>
                <w:lang w:val="en-IN"/>
              </w:rPr>
              <w:t>bc</w:t>
            </w:r>
          </w:p>
        </w:tc>
        <w:tc>
          <w:tcPr>
            <w:tcW w:w="885" w:type="pct"/>
            <w:noWrap/>
            <w:vAlign w:val="center"/>
          </w:tcPr>
          <w:p w14:paraId="14ED8D00"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4.23±0.47</w:t>
            </w:r>
            <w:r w:rsidRPr="00012FD0">
              <w:rPr>
                <w:rFonts w:ascii="Arial" w:hAnsi="Arial" w:cs="Arial"/>
                <w:sz w:val="20"/>
                <w:szCs w:val="20"/>
                <w:vertAlign w:val="superscript"/>
                <w:lang w:val="en-IN"/>
              </w:rPr>
              <w:t>ab</w:t>
            </w:r>
          </w:p>
        </w:tc>
        <w:tc>
          <w:tcPr>
            <w:tcW w:w="1041" w:type="pct"/>
            <w:noWrap/>
            <w:vAlign w:val="center"/>
            <w:hideMark/>
          </w:tcPr>
          <w:p w14:paraId="7846FFE1"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w:t>
            </w:r>
          </w:p>
        </w:tc>
        <w:tc>
          <w:tcPr>
            <w:tcW w:w="969" w:type="pct"/>
            <w:noWrap/>
            <w:vAlign w:val="center"/>
            <w:hideMark/>
          </w:tcPr>
          <w:p w14:paraId="56D3547F"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Friable</w:t>
            </w:r>
          </w:p>
        </w:tc>
      </w:tr>
      <w:tr w:rsidR="00012FD0" w:rsidRPr="00012FD0" w14:paraId="07A7AAF2" w14:textId="77777777" w:rsidTr="00012FD0">
        <w:trPr>
          <w:trHeight w:val="290"/>
          <w:jc w:val="center"/>
        </w:trPr>
        <w:tc>
          <w:tcPr>
            <w:tcW w:w="1265" w:type="pct"/>
            <w:noWrap/>
            <w:vAlign w:val="center"/>
            <w:hideMark/>
          </w:tcPr>
          <w:p w14:paraId="0F152E60"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MS+ 1.0 mgL</w:t>
            </w:r>
            <w:r w:rsidRPr="00012FD0">
              <w:rPr>
                <w:rFonts w:ascii="Arial" w:hAnsi="Arial" w:cs="Arial"/>
                <w:sz w:val="20"/>
                <w:szCs w:val="20"/>
                <w:vertAlign w:val="superscript"/>
                <w:lang w:val="en-IN"/>
              </w:rPr>
              <w:t>-1</w:t>
            </w:r>
            <w:r w:rsidRPr="00012FD0">
              <w:rPr>
                <w:rFonts w:ascii="Arial" w:hAnsi="Arial" w:cs="Arial"/>
                <w:sz w:val="20"/>
                <w:szCs w:val="20"/>
                <w:lang w:val="en-IN"/>
              </w:rPr>
              <w:t xml:space="preserve"> BAP+ 0.5 mgL</w:t>
            </w:r>
            <w:r w:rsidRPr="00012FD0">
              <w:rPr>
                <w:rFonts w:ascii="Arial" w:hAnsi="Arial" w:cs="Arial"/>
                <w:sz w:val="20"/>
                <w:szCs w:val="20"/>
                <w:vertAlign w:val="superscript"/>
                <w:lang w:val="en-IN"/>
              </w:rPr>
              <w:t>-1</w:t>
            </w:r>
            <w:r w:rsidRPr="00012FD0">
              <w:rPr>
                <w:rFonts w:ascii="Arial" w:hAnsi="Arial" w:cs="Arial"/>
                <w:sz w:val="20"/>
                <w:szCs w:val="20"/>
                <w:lang w:val="en-IN"/>
              </w:rPr>
              <w:t xml:space="preserve">  NAA</w:t>
            </w:r>
          </w:p>
        </w:tc>
        <w:tc>
          <w:tcPr>
            <w:tcW w:w="840" w:type="pct"/>
            <w:noWrap/>
            <w:vAlign w:val="center"/>
          </w:tcPr>
          <w:p w14:paraId="3AA0C2C3"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1.67±0.33</w:t>
            </w:r>
            <w:r w:rsidRPr="00012FD0">
              <w:rPr>
                <w:rFonts w:ascii="Arial" w:hAnsi="Arial" w:cs="Arial"/>
                <w:sz w:val="20"/>
                <w:szCs w:val="20"/>
                <w:vertAlign w:val="superscript"/>
                <w:lang w:val="en-IN"/>
              </w:rPr>
              <w:t>c</w:t>
            </w:r>
          </w:p>
        </w:tc>
        <w:tc>
          <w:tcPr>
            <w:tcW w:w="885" w:type="pct"/>
            <w:noWrap/>
            <w:vAlign w:val="center"/>
          </w:tcPr>
          <w:p w14:paraId="445C7AEC"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2.95±0.34</w:t>
            </w:r>
            <w:r w:rsidRPr="00012FD0">
              <w:rPr>
                <w:rFonts w:ascii="Arial" w:hAnsi="Arial" w:cs="Arial"/>
                <w:sz w:val="20"/>
                <w:szCs w:val="20"/>
                <w:vertAlign w:val="superscript"/>
                <w:lang w:val="en-IN"/>
              </w:rPr>
              <w:t>bc</w:t>
            </w:r>
          </w:p>
        </w:tc>
        <w:tc>
          <w:tcPr>
            <w:tcW w:w="1041" w:type="pct"/>
            <w:noWrap/>
            <w:vAlign w:val="center"/>
            <w:hideMark/>
          </w:tcPr>
          <w:p w14:paraId="2AE47F89"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w:t>
            </w:r>
          </w:p>
        </w:tc>
        <w:tc>
          <w:tcPr>
            <w:tcW w:w="969" w:type="pct"/>
            <w:noWrap/>
            <w:vAlign w:val="center"/>
            <w:hideMark/>
          </w:tcPr>
          <w:p w14:paraId="1AFD6F68"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Friable</w:t>
            </w:r>
          </w:p>
        </w:tc>
      </w:tr>
      <w:tr w:rsidR="00012FD0" w:rsidRPr="00012FD0" w14:paraId="1C5408F8" w14:textId="77777777" w:rsidTr="00012FD0">
        <w:trPr>
          <w:trHeight w:val="290"/>
          <w:jc w:val="center"/>
        </w:trPr>
        <w:tc>
          <w:tcPr>
            <w:tcW w:w="1265" w:type="pct"/>
            <w:noWrap/>
            <w:vAlign w:val="center"/>
            <w:hideMark/>
          </w:tcPr>
          <w:p w14:paraId="4655C84D"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MS+ 1.5 mgL</w:t>
            </w:r>
            <w:r w:rsidRPr="00012FD0">
              <w:rPr>
                <w:rFonts w:ascii="Arial" w:hAnsi="Arial" w:cs="Arial"/>
                <w:sz w:val="20"/>
                <w:szCs w:val="20"/>
                <w:vertAlign w:val="superscript"/>
                <w:lang w:val="en-IN"/>
              </w:rPr>
              <w:t>-1</w:t>
            </w:r>
            <w:r w:rsidRPr="00012FD0">
              <w:rPr>
                <w:rFonts w:ascii="Arial" w:hAnsi="Arial" w:cs="Arial"/>
                <w:sz w:val="20"/>
                <w:szCs w:val="20"/>
                <w:lang w:val="en-IN"/>
              </w:rPr>
              <w:t xml:space="preserve"> BAP+ 0.5 mgL</w:t>
            </w:r>
            <w:r w:rsidRPr="00012FD0">
              <w:rPr>
                <w:rFonts w:ascii="Arial" w:hAnsi="Arial" w:cs="Arial"/>
                <w:sz w:val="20"/>
                <w:szCs w:val="20"/>
                <w:vertAlign w:val="superscript"/>
                <w:lang w:val="en-IN"/>
              </w:rPr>
              <w:t>-1</w:t>
            </w:r>
            <w:r w:rsidRPr="00012FD0">
              <w:rPr>
                <w:rFonts w:ascii="Arial" w:hAnsi="Arial" w:cs="Arial"/>
                <w:sz w:val="20"/>
                <w:szCs w:val="20"/>
                <w:lang w:val="en-IN"/>
              </w:rPr>
              <w:t xml:space="preserve"> NAA</w:t>
            </w:r>
          </w:p>
        </w:tc>
        <w:tc>
          <w:tcPr>
            <w:tcW w:w="840" w:type="pct"/>
            <w:noWrap/>
            <w:vAlign w:val="center"/>
          </w:tcPr>
          <w:p w14:paraId="63F20943"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2.87±0.78</w:t>
            </w:r>
            <w:r w:rsidRPr="00012FD0">
              <w:rPr>
                <w:rFonts w:ascii="Arial" w:hAnsi="Arial" w:cs="Arial"/>
                <w:sz w:val="20"/>
                <w:szCs w:val="20"/>
                <w:vertAlign w:val="superscript"/>
                <w:lang w:val="en-IN"/>
              </w:rPr>
              <w:t>c</w:t>
            </w:r>
          </w:p>
        </w:tc>
        <w:tc>
          <w:tcPr>
            <w:tcW w:w="885" w:type="pct"/>
            <w:noWrap/>
            <w:vAlign w:val="center"/>
          </w:tcPr>
          <w:p w14:paraId="575A40A1"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2.13±0.22</w:t>
            </w:r>
            <w:r w:rsidRPr="00012FD0">
              <w:rPr>
                <w:rFonts w:ascii="Arial" w:hAnsi="Arial" w:cs="Arial"/>
                <w:sz w:val="20"/>
                <w:szCs w:val="20"/>
                <w:vertAlign w:val="superscript"/>
                <w:lang w:val="en-IN"/>
              </w:rPr>
              <w:t>c</w:t>
            </w:r>
          </w:p>
        </w:tc>
        <w:tc>
          <w:tcPr>
            <w:tcW w:w="1041" w:type="pct"/>
            <w:noWrap/>
            <w:vAlign w:val="center"/>
            <w:hideMark/>
          </w:tcPr>
          <w:p w14:paraId="3C6E52E8"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w:t>
            </w:r>
          </w:p>
        </w:tc>
        <w:tc>
          <w:tcPr>
            <w:tcW w:w="969" w:type="pct"/>
            <w:noWrap/>
            <w:vAlign w:val="center"/>
            <w:hideMark/>
          </w:tcPr>
          <w:p w14:paraId="6F6F4FC4"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Friable</w:t>
            </w:r>
          </w:p>
        </w:tc>
      </w:tr>
    </w:tbl>
    <w:p w14:paraId="5EE8C1D2" w14:textId="1DD9FF19" w:rsidR="00012FD0" w:rsidRPr="00012FD0" w:rsidRDefault="00012FD0" w:rsidP="00012FD0">
      <w:pPr>
        <w:pStyle w:val="Body"/>
        <w:pBdr>
          <w:top w:val="single" w:sz="4" w:space="1" w:color="auto"/>
        </w:pBdr>
        <w:spacing w:after="0"/>
        <w:rPr>
          <w:rFonts w:ascii="Arial" w:hAnsi="Arial" w:cs="Arial"/>
        </w:rPr>
      </w:pPr>
      <w:r w:rsidRPr="00012FD0">
        <w:rPr>
          <w:rFonts w:ascii="Arial" w:hAnsi="Arial" w:cs="Arial"/>
        </w:rPr>
        <w:t>Means followed by the same letter within a column are not</w:t>
      </w:r>
      <w:r>
        <w:rPr>
          <w:rFonts w:ascii="Arial" w:hAnsi="Arial" w:cs="Arial"/>
        </w:rPr>
        <w:t xml:space="preserve"> significantly different at (P ≤ </w:t>
      </w:r>
      <w:r w:rsidR="00D02D32" w:rsidRPr="0099128F">
        <w:rPr>
          <w:rFonts w:ascii="Arial" w:hAnsi="Arial" w:cs="Arial"/>
          <w:highlight w:val="yellow"/>
        </w:rPr>
        <w:t>0</w:t>
      </w:r>
      <w:r w:rsidRPr="0099128F">
        <w:rPr>
          <w:rFonts w:ascii="Arial" w:hAnsi="Arial" w:cs="Arial"/>
          <w:highlight w:val="yellow"/>
        </w:rPr>
        <w:t>.05</w:t>
      </w:r>
      <w:r w:rsidRPr="00012FD0">
        <w:rPr>
          <w:rFonts w:ascii="Arial" w:hAnsi="Arial" w:cs="Arial"/>
        </w:rPr>
        <w:t>)</w:t>
      </w:r>
    </w:p>
    <w:p w14:paraId="22608A2E" w14:textId="77777777" w:rsidR="00012FD0" w:rsidRDefault="00012FD0" w:rsidP="00087DB1">
      <w:pPr>
        <w:pStyle w:val="Body"/>
        <w:spacing w:after="0"/>
        <w:rPr>
          <w:rFonts w:ascii="Arial" w:hAnsi="Arial" w:cs="Arial"/>
        </w:rPr>
      </w:pPr>
    </w:p>
    <w:p w14:paraId="6CA1C7F9" w14:textId="77777777" w:rsidR="00214050" w:rsidRDefault="00214050" w:rsidP="00087DB1">
      <w:pPr>
        <w:pStyle w:val="Body"/>
        <w:spacing w:after="0"/>
        <w:rPr>
          <w:rFonts w:ascii="Arial" w:hAnsi="Arial" w:cs="Arial"/>
        </w:rPr>
      </w:pPr>
    </w:p>
    <w:p w14:paraId="15817D51" w14:textId="77777777" w:rsidR="00087DB1" w:rsidRPr="00087DB1" w:rsidRDefault="00087DB1" w:rsidP="00087DB1">
      <w:pPr>
        <w:pStyle w:val="Body"/>
        <w:spacing w:after="0"/>
        <w:rPr>
          <w:rFonts w:ascii="Arial" w:hAnsi="Arial" w:cs="Arial"/>
        </w:rPr>
      </w:pPr>
      <w:r w:rsidRPr="00087DB1">
        <w:rPr>
          <w:rFonts w:ascii="Arial" w:hAnsi="Arial" w:cs="Arial"/>
          <w:b/>
        </w:rPr>
        <w:t>Shoot Multiplication:</w:t>
      </w:r>
      <w:r w:rsidRPr="00087DB1">
        <w:rPr>
          <w:rFonts w:ascii="Arial" w:hAnsi="Arial" w:cs="Arial"/>
        </w:rPr>
        <w:t xml:space="preserve"> Further for shoot multiplication, it was evaluated how supplementing the optimal medium, MS + 0.25 mgL</w:t>
      </w:r>
      <w:r w:rsidRPr="00087DB1">
        <w:rPr>
          <w:rFonts w:ascii="Arial" w:hAnsi="Arial" w:cs="Arial"/>
          <w:vertAlign w:val="superscript"/>
        </w:rPr>
        <w:t>-1</w:t>
      </w:r>
      <w:r w:rsidRPr="00087DB1">
        <w:rPr>
          <w:rFonts w:ascii="Arial" w:hAnsi="Arial" w:cs="Arial"/>
        </w:rPr>
        <w:t xml:space="preserve"> kinetin, with gibberellin (GA</w:t>
      </w:r>
      <w:r w:rsidRPr="00087DB1">
        <w:rPr>
          <w:rFonts w:ascii="Cambria Math" w:hAnsi="Cambria Math" w:cs="Cambria Math"/>
        </w:rPr>
        <w:t>₃</w:t>
      </w:r>
      <w:r w:rsidRPr="00087DB1">
        <w:rPr>
          <w:rFonts w:ascii="Arial" w:hAnsi="Arial" w:cs="Arial"/>
        </w:rPr>
        <w:t xml:space="preserve">) or an organic nitrogen source (glutamine) enhances shoot proliferation in </w:t>
      </w:r>
      <w:r w:rsidRPr="00087DB1">
        <w:rPr>
          <w:rFonts w:ascii="Arial" w:hAnsi="Arial" w:cs="Arial"/>
          <w:i/>
        </w:rPr>
        <w:t xml:space="preserve">H. orixense </w:t>
      </w:r>
      <w:r w:rsidRPr="00087DB1">
        <w:rPr>
          <w:rFonts w:ascii="Arial" w:hAnsi="Arial" w:cs="Arial"/>
        </w:rPr>
        <w:t>(Table 2).</w:t>
      </w:r>
    </w:p>
    <w:p w14:paraId="23B14898" w14:textId="0B83670C" w:rsidR="00087DB1" w:rsidRPr="00087DB1" w:rsidRDefault="00087DB1" w:rsidP="00087DB1">
      <w:pPr>
        <w:pStyle w:val="Body"/>
        <w:spacing w:after="0"/>
        <w:rPr>
          <w:rFonts w:ascii="Arial" w:hAnsi="Arial" w:cs="Arial"/>
        </w:rPr>
      </w:pPr>
      <w:r w:rsidRPr="00087DB1">
        <w:rPr>
          <w:rFonts w:ascii="Arial" w:hAnsi="Arial" w:cs="Arial"/>
        </w:rPr>
        <w:t>A general trend found with the use of additives was that GA</w:t>
      </w:r>
      <w:r w:rsidRPr="00087DB1">
        <w:rPr>
          <w:rFonts w:ascii="Arial" w:hAnsi="Arial" w:cs="Arial"/>
          <w:vertAlign w:val="subscript"/>
        </w:rPr>
        <w:t xml:space="preserve">3 </w:t>
      </w:r>
      <w:r w:rsidRPr="00087DB1">
        <w:rPr>
          <w:rFonts w:ascii="Arial" w:hAnsi="Arial" w:cs="Arial"/>
        </w:rPr>
        <w:t>produced slightly</w:t>
      </w:r>
      <w:r w:rsidRPr="00087DB1">
        <w:rPr>
          <w:rFonts w:ascii="Arial" w:hAnsi="Arial" w:cs="Arial"/>
          <w:vertAlign w:val="subscript"/>
        </w:rPr>
        <w:t xml:space="preserve"> </w:t>
      </w:r>
      <w:r w:rsidRPr="00087DB1">
        <w:rPr>
          <w:rFonts w:ascii="Arial" w:hAnsi="Arial" w:cs="Arial"/>
        </w:rPr>
        <w:t xml:space="preserve">higher number of shoots than that of glutamine, however statistically there were no significant differences. </w:t>
      </w:r>
      <w:r w:rsidR="0099128F" w:rsidRPr="0099128F">
        <w:rPr>
          <w:rFonts w:ascii="Arial" w:hAnsi="Arial" w:cs="Arial"/>
          <w:highlight w:val="yellow"/>
        </w:rPr>
        <w:t>GA</w:t>
      </w:r>
      <w:r w:rsidR="0099128F" w:rsidRPr="0099128F">
        <w:rPr>
          <w:rFonts w:ascii="Cambria Math" w:hAnsi="Cambria Math" w:cs="Cambria Math"/>
          <w:highlight w:val="yellow"/>
        </w:rPr>
        <w:t>₃</w:t>
      </w:r>
      <w:r w:rsidR="0099128F" w:rsidRPr="0099128F">
        <w:rPr>
          <w:rFonts w:ascii="Arial" w:hAnsi="Arial" w:cs="Arial"/>
          <w:highlight w:val="yellow"/>
        </w:rPr>
        <w:t xml:space="preserve"> concentrations worked well in promoting shoots multiplication and elongation. The shoots treated with glutamine, on the other hand, exhibited a relatively lower number of shoots and elongation. Glutamine at a concentration of 50 mgL</w:t>
      </w:r>
      <w:r w:rsidR="0099128F" w:rsidRPr="0099128F">
        <w:rPr>
          <w:rFonts w:ascii="Cambria Math" w:hAnsi="Cambria Math" w:cs="Cambria Math"/>
          <w:highlight w:val="yellow"/>
        </w:rPr>
        <w:t>⁻</w:t>
      </w:r>
      <w:r w:rsidR="0099128F" w:rsidRPr="0099128F">
        <w:rPr>
          <w:rFonts w:ascii="Arial" w:hAnsi="Arial" w:cs="Arial"/>
          <w:highlight w:val="yellow"/>
        </w:rPr>
        <w:t>¹ resulted in the shortest shoots (4.34±0.25) compared to GA</w:t>
      </w:r>
      <w:r w:rsidR="0099128F" w:rsidRPr="0099128F">
        <w:rPr>
          <w:rFonts w:ascii="Cambria Math" w:hAnsi="Cambria Math" w:cs="Cambria Math"/>
          <w:highlight w:val="yellow"/>
        </w:rPr>
        <w:t>₃</w:t>
      </w:r>
      <w:r w:rsidR="0099128F" w:rsidRPr="0099128F">
        <w:rPr>
          <w:rFonts w:ascii="Arial" w:hAnsi="Arial" w:cs="Arial"/>
          <w:highlight w:val="yellow"/>
        </w:rPr>
        <w:t xml:space="preserve"> concentrations. Generally, low GA</w:t>
      </w:r>
      <w:r w:rsidR="0099128F" w:rsidRPr="0099128F">
        <w:rPr>
          <w:rFonts w:ascii="Cambria Math" w:hAnsi="Cambria Math" w:cs="Cambria Math"/>
          <w:highlight w:val="yellow"/>
        </w:rPr>
        <w:t>₃</w:t>
      </w:r>
      <w:r w:rsidR="0099128F" w:rsidRPr="0099128F">
        <w:rPr>
          <w:rFonts w:ascii="Arial" w:hAnsi="Arial" w:cs="Arial"/>
          <w:highlight w:val="yellow"/>
        </w:rPr>
        <w:t xml:space="preserve"> concentrations together with kinetin were more effective for shoot multiplication and extension.</w:t>
      </w:r>
      <w:r w:rsidR="0099128F" w:rsidRPr="0099128F">
        <w:rPr>
          <w:rFonts w:ascii="Arial" w:hAnsi="Arial" w:cs="Arial"/>
        </w:rPr>
        <w:t xml:space="preserve"> </w:t>
      </w:r>
      <w:r w:rsidRPr="00087DB1">
        <w:rPr>
          <w:rFonts w:ascii="Arial" w:hAnsi="Arial" w:cs="Arial"/>
        </w:rPr>
        <w:t xml:space="preserve">The best and strikingly significant treatment combination for multiplication of </w:t>
      </w:r>
      <w:proofErr w:type="spellStart"/>
      <w:r w:rsidRPr="00087DB1">
        <w:rPr>
          <w:rFonts w:ascii="Arial" w:hAnsi="Arial" w:cs="Arial"/>
          <w:i/>
        </w:rPr>
        <w:t>Hymenodictyon</w:t>
      </w:r>
      <w:proofErr w:type="spellEnd"/>
      <w:r w:rsidRPr="00087DB1">
        <w:rPr>
          <w:rFonts w:ascii="Arial" w:hAnsi="Arial" w:cs="Arial"/>
        </w:rPr>
        <w:t xml:space="preserve"> </w:t>
      </w:r>
      <w:proofErr w:type="spellStart"/>
      <w:r w:rsidRPr="00087DB1">
        <w:rPr>
          <w:rFonts w:ascii="Arial" w:hAnsi="Arial" w:cs="Arial"/>
          <w:i/>
        </w:rPr>
        <w:t>orixense</w:t>
      </w:r>
      <w:proofErr w:type="spellEnd"/>
      <w:r w:rsidRPr="00087DB1">
        <w:rPr>
          <w:rFonts w:ascii="Arial" w:hAnsi="Arial" w:cs="Arial"/>
        </w:rPr>
        <w:t xml:space="preserve"> was found out to be MS+0.25 mgL</w:t>
      </w:r>
      <w:r w:rsidRPr="00087DB1">
        <w:rPr>
          <w:rFonts w:ascii="Arial" w:hAnsi="Arial" w:cs="Arial"/>
          <w:vertAlign w:val="superscript"/>
        </w:rPr>
        <w:t>-1</w:t>
      </w:r>
      <w:r w:rsidRPr="00087DB1">
        <w:rPr>
          <w:rFonts w:ascii="Arial" w:hAnsi="Arial" w:cs="Arial"/>
        </w:rPr>
        <w:t xml:space="preserve"> kinetin+ 0.025 mgL</w:t>
      </w:r>
      <w:r w:rsidRPr="00087DB1">
        <w:rPr>
          <w:rFonts w:ascii="Arial" w:hAnsi="Arial" w:cs="Arial"/>
          <w:vertAlign w:val="superscript"/>
        </w:rPr>
        <w:t>-1</w:t>
      </w:r>
      <w:r w:rsidRPr="00087DB1">
        <w:rPr>
          <w:rFonts w:ascii="Arial" w:hAnsi="Arial" w:cs="Arial"/>
        </w:rPr>
        <w:t xml:space="preserve"> GA</w:t>
      </w:r>
      <w:r w:rsidRPr="00087DB1">
        <w:rPr>
          <w:rFonts w:ascii="Arial" w:hAnsi="Arial" w:cs="Arial"/>
          <w:vertAlign w:val="subscript"/>
        </w:rPr>
        <w:t xml:space="preserve">3 </w:t>
      </w:r>
      <w:r w:rsidRPr="00087DB1">
        <w:rPr>
          <w:rFonts w:ascii="Arial" w:hAnsi="Arial" w:cs="Arial"/>
        </w:rPr>
        <w:t xml:space="preserve">(~7.7 number of shoots per culture) and the results were at par with the ones obtained during initial cycles </w:t>
      </w:r>
      <w:r w:rsidRPr="00087DB1">
        <w:rPr>
          <w:rFonts w:ascii="Arial" w:hAnsi="Arial" w:cs="Arial"/>
          <w:i/>
        </w:rPr>
        <w:t>i.e.</w:t>
      </w:r>
      <w:r w:rsidRPr="00087DB1">
        <w:rPr>
          <w:rFonts w:ascii="Arial" w:hAnsi="Arial" w:cs="Arial"/>
        </w:rPr>
        <w:t xml:space="preserve"> without the use of any additives (MS+0.25 mgL</w:t>
      </w:r>
      <w:r w:rsidRPr="00087DB1">
        <w:rPr>
          <w:rFonts w:ascii="Arial" w:hAnsi="Arial" w:cs="Arial"/>
          <w:vertAlign w:val="superscript"/>
        </w:rPr>
        <w:t>-1</w:t>
      </w:r>
      <w:r w:rsidRPr="00087DB1">
        <w:rPr>
          <w:rFonts w:ascii="Arial" w:hAnsi="Arial" w:cs="Arial"/>
        </w:rPr>
        <w:t xml:space="preserve"> kinetin) suggesting that the PGR combination used for culture initiation is suitable enough to propagate for further cycles. However, shoot length had significant differences between GA</w:t>
      </w:r>
      <w:r w:rsidRPr="00087DB1">
        <w:rPr>
          <w:rFonts w:ascii="Arial" w:hAnsi="Arial" w:cs="Arial"/>
          <w:vertAlign w:val="subscript"/>
        </w:rPr>
        <w:t xml:space="preserve">3 </w:t>
      </w:r>
      <w:r w:rsidRPr="00087DB1">
        <w:rPr>
          <w:rFonts w:ascii="Arial" w:hAnsi="Arial" w:cs="Arial"/>
        </w:rPr>
        <w:t xml:space="preserve">and glutamine (coupled with kinetin for all </w:t>
      </w:r>
      <w:r w:rsidRPr="00087DB1">
        <w:rPr>
          <w:rFonts w:ascii="Arial" w:hAnsi="Arial" w:cs="Arial"/>
        </w:rPr>
        <w:lastRenderedPageBreak/>
        <w:t>concentrations) with GA</w:t>
      </w:r>
      <w:r w:rsidRPr="00087DB1">
        <w:rPr>
          <w:rFonts w:ascii="Arial" w:hAnsi="Arial" w:cs="Arial"/>
          <w:vertAlign w:val="subscript"/>
        </w:rPr>
        <w:t xml:space="preserve">3 </w:t>
      </w:r>
      <w:r w:rsidRPr="00087DB1">
        <w:rPr>
          <w:rFonts w:ascii="Arial" w:hAnsi="Arial" w:cs="Arial"/>
        </w:rPr>
        <w:t>containing cultures</w:t>
      </w:r>
      <w:r w:rsidRPr="00087DB1">
        <w:rPr>
          <w:rFonts w:ascii="Arial" w:hAnsi="Arial" w:cs="Arial"/>
          <w:vertAlign w:val="subscript"/>
        </w:rPr>
        <w:t xml:space="preserve"> </w:t>
      </w:r>
      <w:r w:rsidRPr="00087DB1">
        <w:rPr>
          <w:rFonts w:ascii="Arial" w:hAnsi="Arial" w:cs="Arial"/>
        </w:rPr>
        <w:t>in</w:t>
      </w:r>
      <w:r w:rsidRPr="00087DB1">
        <w:rPr>
          <w:rFonts w:ascii="Arial" w:hAnsi="Arial" w:cs="Arial"/>
          <w:vertAlign w:val="subscript"/>
        </w:rPr>
        <w:t xml:space="preserve"> </w:t>
      </w:r>
      <w:r w:rsidRPr="00087DB1">
        <w:rPr>
          <w:rFonts w:ascii="Arial" w:hAnsi="Arial" w:cs="Arial"/>
        </w:rPr>
        <w:t>general producing longer shoots than glutamine. Overall, GA</w:t>
      </w:r>
      <w:r w:rsidRPr="00087DB1">
        <w:rPr>
          <w:rFonts w:ascii="Cambria Math" w:hAnsi="Cambria Math" w:cs="Cambria Math"/>
        </w:rPr>
        <w:t>₃</w:t>
      </w:r>
      <w:r w:rsidRPr="00087DB1">
        <w:rPr>
          <w:rFonts w:ascii="Arial" w:hAnsi="Arial" w:cs="Arial"/>
        </w:rPr>
        <w:t xml:space="preserve"> at the lower dose of 0.025 mgL</w:t>
      </w:r>
      <w:r w:rsidRPr="00087DB1">
        <w:rPr>
          <w:rFonts w:ascii="Arial" w:hAnsi="Arial" w:cs="Arial"/>
          <w:vertAlign w:val="superscript"/>
        </w:rPr>
        <w:t>-1</w:t>
      </w:r>
      <w:r w:rsidRPr="00087DB1">
        <w:rPr>
          <w:rFonts w:ascii="Arial" w:hAnsi="Arial" w:cs="Arial"/>
        </w:rPr>
        <w:t xml:space="preserve"> produced the best response across all multiplication treatments, 7.72 ± 0.88 shoots and, most notably, an average shoot length of </w:t>
      </w:r>
      <w:r w:rsidRPr="00087DB1">
        <w:rPr>
          <w:rFonts w:ascii="Arial" w:hAnsi="Arial" w:cs="Arial"/>
          <w:bCs/>
        </w:rPr>
        <w:t>8.49 ± 0.33 cm</w:t>
      </w:r>
      <w:r w:rsidRPr="00087DB1">
        <w:rPr>
          <w:rFonts w:ascii="Arial" w:hAnsi="Arial" w:cs="Arial"/>
        </w:rPr>
        <w:t>, nearly double the shoot length achieved in with kinetin alone. This demonstrates well-established role of GA</w:t>
      </w:r>
      <w:r w:rsidRPr="00087DB1">
        <w:rPr>
          <w:rFonts w:ascii="Cambria Math" w:hAnsi="Cambria Math" w:cs="Cambria Math"/>
        </w:rPr>
        <w:t>₃</w:t>
      </w:r>
      <w:r w:rsidRPr="00087DB1">
        <w:rPr>
          <w:rFonts w:ascii="Arial" w:hAnsi="Arial" w:cs="Arial"/>
        </w:rPr>
        <w:t xml:space="preserve"> in internode elongation and stem extension through cell elongation in the sub-apical meristem. Doubling the GA</w:t>
      </w:r>
      <w:r w:rsidRPr="00087DB1">
        <w:rPr>
          <w:rFonts w:ascii="Cambria Math" w:hAnsi="Cambria Math" w:cs="Cambria Math"/>
        </w:rPr>
        <w:t>₃</w:t>
      </w:r>
      <w:r w:rsidRPr="00087DB1">
        <w:rPr>
          <w:rFonts w:ascii="Arial" w:hAnsi="Arial" w:cs="Arial"/>
        </w:rPr>
        <w:t xml:space="preserve"> concentration to 0.05 mgL</w:t>
      </w:r>
      <w:r w:rsidRPr="00087DB1">
        <w:rPr>
          <w:rFonts w:ascii="Arial" w:hAnsi="Arial" w:cs="Arial"/>
          <w:vertAlign w:val="superscript"/>
        </w:rPr>
        <w:t>-1</w:t>
      </w:r>
      <w:r w:rsidRPr="00087DB1">
        <w:rPr>
          <w:rFonts w:ascii="Arial" w:hAnsi="Arial" w:cs="Arial"/>
        </w:rPr>
        <w:t xml:space="preserve"> led to a slight reduction in both shoot number (6.67) and shoot length (8.29 cm), though the difference in length was not statistically significant. This suggests that higher concentrations may begin to exert inhibitory effects in this species during </w:t>
      </w:r>
      <w:r w:rsidRPr="00087DB1">
        <w:rPr>
          <w:rFonts w:ascii="Arial" w:hAnsi="Arial" w:cs="Arial"/>
          <w:i/>
        </w:rPr>
        <w:t>in vitro</w:t>
      </w:r>
      <w:r w:rsidRPr="00087DB1">
        <w:rPr>
          <w:rFonts w:ascii="Arial" w:hAnsi="Arial" w:cs="Arial"/>
        </w:rPr>
        <w:t xml:space="preserve"> regeneration. Isogai et al. (2008) demonstrated that GA</w:t>
      </w:r>
      <w:r w:rsidRPr="00087DB1">
        <w:rPr>
          <w:rFonts w:ascii="Cambria Math" w:hAnsi="Cambria Math" w:cs="Cambria Math"/>
        </w:rPr>
        <w:t>₃</w:t>
      </w:r>
      <w:r w:rsidRPr="00087DB1">
        <w:rPr>
          <w:rFonts w:ascii="Arial" w:hAnsi="Arial" w:cs="Arial"/>
        </w:rPr>
        <w:t xml:space="preserve"> supplementation doubled internode length in </w:t>
      </w:r>
      <w:proofErr w:type="spellStart"/>
      <w:r w:rsidRPr="00087DB1">
        <w:rPr>
          <w:rFonts w:ascii="Arial" w:hAnsi="Arial" w:cs="Arial"/>
          <w:i/>
        </w:rPr>
        <w:t>Cephaelis</w:t>
      </w:r>
      <w:proofErr w:type="spellEnd"/>
      <w:r w:rsidRPr="00087DB1">
        <w:rPr>
          <w:rFonts w:ascii="Arial" w:hAnsi="Arial" w:cs="Arial"/>
          <w:i/>
        </w:rPr>
        <w:t xml:space="preserve"> ipecacuanha</w:t>
      </w:r>
      <w:r w:rsidRPr="00087DB1">
        <w:rPr>
          <w:rFonts w:ascii="Arial" w:hAnsi="Arial" w:cs="Arial"/>
        </w:rPr>
        <w:t xml:space="preserve"> cultures on Gamborg B5 medium, with the propagation rate exceeding 100-fold compared to GA</w:t>
      </w:r>
      <w:r w:rsidRPr="00087DB1">
        <w:rPr>
          <w:rFonts w:ascii="Cambria Math" w:hAnsi="Cambria Math" w:cs="Cambria Math"/>
        </w:rPr>
        <w:t>₃</w:t>
      </w:r>
      <w:r w:rsidRPr="00087DB1">
        <w:rPr>
          <w:rFonts w:ascii="Arial" w:hAnsi="Arial" w:cs="Arial"/>
        </w:rPr>
        <w:t xml:space="preserve">-free medium. In </w:t>
      </w:r>
      <w:r w:rsidRPr="00087DB1">
        <w:rPr>
          <w:rFonts w:ascii="Arial" w:hAnsi="Arial" w:cs="Arial"/>
          <w:i/>
          <w:iCs/>
        </w:rPr>
        <w:t>Camellia sinensis</w:t>
      </w:r>
      <w:r w:rsidRPr="00087DB1">
        <w:rPr>
          <w:rFonts w:ascii="Arial" w:hAnsi="Arial" w:cs="Arial"/>
        </w:rPr>
        <w:t xml:space="preserve"> (L.) O. Kuntze, GA</w:t>
      </w:r>
      <w:r w:rsidRPr="00087DB1">
        <w:rPr>
          <w:rFonts w:ascii="Cambria Math" w:hAnsi="Cambria Math" w:cs="Cambria Math"/>
        </w:rPr>
        <w:t>₃</w:t>
      </w:r>
      <w:r w:rsidRPr="00087DB1">
        <w:rPr>
          <w:rFonts w:ascii="Arial" w:hAnsi="Arial" w:cs="Arial"/>
        </w:rPr>
        <w:t xml:space="preserve"> at a concentration of 0.5 mgL</w:t>
      </w:r>
      <w:r w:rsidRPr="00087DB1">
        <w:rPr>
          <w:rFonts w:ascii="Arial" w:hAnsi="Arial" w:cs="Arial"/>
          <w:vertAlign w:val="superscript"/>
        </w:rPr>
        <w:t>-1</w:t>
      </w:r>
      <w:r w:rsidRPr="00087DB1">
        <w:rPr>
          <w:rFonts w:ascii="Arial" w:hAnsi="Arial" w:cs="Arial"/>
        </w:rPr>
        <w:t xml:space="preserve"> was found to be beneficial for axillary shoot multiplication of clone Iran 100, when used with 3 mgL</w:t>
      </w:r>
      <w:r w:rsidRPr="00087DB1">
        <w:rPr>
          <w:rFonts w:ascii="Arial" w:hAnsi="Arial" w:cs="Arial"/>
          <w:vertAlign w:val="superscript"/>
        </w:rPr>
        <w:t>-1</w:t>
      </w:r>
      <w:r w:rsidRPr="00087DB1">
        <w:rPr>
          <w:rFonts w:ascii="Arial" w:hAnsi="Arial" w:cs="Arial"/>
        </w:rPr>
        <w:t xml:space="preserve"> BAP and resulted in increased number of shoots and shoot </w:t>
      </w:r>
      <w:r w:rsidRPr="00316461">
        <w:rPr>
          <w:rFonts w:ascii="Arial" w:hAnsi="Arial" w:cs="Arial"/>
        </w:rPr>
        <w:t>elongation (</w:t>
      </w:r>
      <w:proofErr w:type="spellStart"/>
      <w:r w:rsidRPr="00316461">
        <w:rPr>
          <w:rFonts w:ascii="Arial" w:hAnsi="Arial" w:cs="Arial"/>
          <w:bCs/>
        </w:rPr>
        <w:t>Gonbad</w:t>
      </w:r>
      <w:proofErr w:type="spellEnd"/>
      <w:r w:rsidRPr="00316461">
        <w:rPr>
          <w:rFonts w:ascii="Arial" w:hAnsi="Arial" w:cs="Arial"/>
          <w:bCs/>
        </w:rPr>
        <w:t xml:space="preserve"> et al., 2014).</w:t>
      </w:r>
      <w:r w:rsidRPr="00087DB1">
        <w:rPr>
          <w:rFonts w:ascii="Arial" w:hAnsi="Arial" w:cs="Arial"/>
        </w:rPr>
        <w:t xml:space="preserve"> In present study, glutamine, an organic </w:t>
      </w:r>
    </w:p>
    <w:p w14:paraId="685AF4E0" w14:textId="04583501" w:rsidR="0099128F" w:rsidRPr="0099128F" w:rsidRDefault="00087DB1" w:rsidP="0099128F">
      <w:pPr>
        <w:pStyle w:val="Body"/>
        <w:spacing w:after="0"/>
        <w:rPr>
          <w:rFonts w:ascii="Arial" w:hAnsi="Arial" w:cs="Arial"/>
        </w:rPr>
      </w:pPr>
      <w:r w:rsidRPr="00087DB1">
        <w:rPr>
          <w:rFonts w:ascii="Arial" w:hAnsi="Arial" w:cs="Arial"/>
        </w:rPr>
        <w:t>nitrogen source that can directly enter amino acid metabolism and support protein biosynthesis, was also used to assess effect on shoot multiplication. However, it showed moderate enhancement over the basal kinetin medium. At 25 mgL</w:t>
      </w:r>
      <w:r w:rsidRPr="00087DB1">
        <w:rPr>
          <w:rFonts w:ascii="Arial" w:hAnsi="Arial" w:cs="Arial"/>
          <w:vertAlign w:val="superscript"/>
        </w:rPr>
        <w:t>-1</w:t>
      </w:r>
      <w:r w:rsidRPr="00087DB1">
        <w:rPr>
          <w:rFonts w:ascii="Arial" w:hAnsi="Arial" w:cs="Arial"/>
        </w:rPr>
        <w:t>, it produced 5.33 ± 1.20 shoots and 5.85 ± 0.46 cm shoot length, while 50 mgL</w:t>
      </w:r>
      <w:r w:rsidRPr="00087DB1">
        <w:rPr>
          <w:rFonts w:ascii="Arial" w:hAnsi="Arial" w:cs="Arial"/>
          <w:vertAlign w:val="superscript"/>
        </w:rPr>
        <w:t>-1</w:t>
      </w:r>
      <w:r w:rsidRPr="00087DB1">
        <w:rPr>
          <w:rFonts w:ascii="Arial" w:hAnsi="Arial" w:cs="Arial"/>
        </w:rPr>
        <w:t xml:space="preserve"> gave 5.00 ± 0.57 shoots and only 4.34 ± 0.25 cm average length of shoots significantly lower than GA</w:t>
      </w:r>
      <w:r w:rsidRPr="00087DB1">
        <w:rPr>
          <w:rFonts w:ascii="Cambria Math" w:hAnsi="Cambria Math" w:cs="Cambria Math"/>
        </w:rPr>
        <w:t>₃</w:t>
      </w:r>
      <w:r w:rsidRPr="00087DB1">
        <w:rPr>
          <w:rFonts w:ascii="Arial" w:hAnsi="Arial" w:cs="Arial"/>
        </w:rPr>
        <w:t xml:space="preserve"> treatments. Thus glutamine inclusion at moderate levels generally supports culture growth, but supraoptimal organic nitrogen can create osmotic stress or inhibit cytokinin signaling.</w:t>
      </w:r>
      <w:r w:rsidR="0099128F">
        <w:rPr>
          <w:rFonts w:ascii="Arial" w:hAnsi="Arial" w:cs="Arial"/>
        </w:rPr>
        <w:t xml:space="preserve"> </w:t>
      </w:r>
      <w:r w:rsidR="0099128F" w:rsidRPr="0099128F">
        <w:rPr>
          <w:rFonts w:ascii="Arial" w:hAnsi="Arial" w:cs="Arial"/>
          <w:highlight w:val="yellow"/>
        </w:rPr>
        <w:t>The results indicate that GA</w:t>
      </w:r>
      <w:r w:rsidR="0099128F" w:rsidRPr="0099128F">
        <w:rPr>
          <w:rFonts w:ascii="Cambria Math" w:hAnsi="Cambria Math" w:cs="Cambria Math"/>
          <w:highlight w:val="yellow"/>
        </w:rPr>
        <w:t>₃</w:t>
      </w:r>
      <w:r w:rsidR="0099128F" w:rsidRPr="0099128F">
        <w:rPr>
          <w:rFonts w:ascii="Arial" w:hAnsi="Arial" w:cs="Arial"/>
          <w:highlight w:val="yellow"/>
        </w:rPr>
        <w:t xml:space="preserve"> showed better proliferation in shoots in comparison with glutamine in </w:t>
      </w:r>
      <w:proofErr w:type="spellStart"/>
      <w:r w:rsidR="0099128F" w:rsidRPr="0099128F">
        <w:rPr>
          <w:rFonts w:ascii="Arial" w:hAnsi="Arial" w:cs="Arial"/>
          <w:i/>
          <w:highlight w:val="yellow"/>
        </w:rPr>
        <w:t>Hymenodictyon</w:t>
      </w:r>
      <w:proofErr w:type="spellEnd"/>
      <w:r w:rsidR="0099128F" w:rsidRPr="0099128F">
        <w:rPr>
          <w:rFonts w:ascii="Arial" w:hAnsi="Arial" w:cs="Arial"/>
          <w:i/>
          <w:highlight w:val="yellow"/>
        </w:rPr>
        <w:t xml:space="preserve"> </w:t>
      </w:r>
      <w:proofErr w:type="spellStart"/>
      <w:r w:rsidR="0099128F" w:rsidRPr="0099128F">
        <w:rPr>
          <w:rFonts w:ascii="Arial" w:hAnsi="Arial" w:cs="Arial"/>
          <w:i/>
          <w:highlight w:val="yellow"/>
        </w:rPr>
        <w:t>orixense</w:t>
      </w:r>
      <w:proofErr w:type="spellEnd"/>
      <w:r w:rsidR="0099128F" w:rsidRPr="0099128F">
        <w:rPr>
          <w:rFonts w:ascii="Arial" w:hAnsi="Arial" w:cs="Arial"/>
          <w:highlight w:val="yellow"/>
        </w:rPr>
        <w:t>, since it works as a direct regulator of plant growth, whereas glutamine acts as a nitrogen source. GA</w:t>
      </w:r>
      <w:r w:rsidR="0099128F" w:rsidRPr="0099128F">
        <w:rPr>
          <w:rFonts w:ascii="Cambria Math" w:hAnsi="Cambria Math" w:cs="Cambria Math"/>
          <w:highlight w:val="yellow"/>
        </w:rPr>
        <w:t>₃</w:t>
      </w:r>
      <w:r w:rsidR="0099128F" w:rsidRPr="0099128F">
        <w:rPr>
          <w:rFonts w:ascii="Arial" w:hAnsi="Arial" w:cs="Arial"/>
          <w:highlight w:val="yellow"/>
        </w:rPr>
        <w:t xml:space="preserve"> facilitates shoot development by stimulating gibberellin signaling responsible for cell division, cell enlargement, internode elongation, and axillary bud activation (Tung et al., 2022). Moreover, when used alongside kinetin, GA</w:t>
      </w:r>
      <w:r w:rsidR="0099128F" w:rsidRPr="0099128F">
        <w:rPr>
          <w:rFonts w:ascii="Cambria Math" w:hAnsi="Cambria Math" w:cs="Cambria Math"/>
          <w:highlight w:val="yellow"/>
        </w:rPr>
        <w:t>₃</w:t>
      </w:r>
      <w:r w:rsidR="0099128F" w:rsidRPr="0099128F">
        <w:rPr>
          <w:rFonts w:ascii="Arial" w:hAnsi="Arial" w:cs="Arial"/>
          <w:highlight w:val="yellow"/>
        </w:rPr>
        <w:t xml:space="preserve"> aids in breaking bud dormancy and multiplying shoots; this explains its better performance of 7.72 mean shoot number and 8.49 cm mean shoot length.</w:t>
      </w:r>
      <w:r w:rsidR="0099128F" w:rsidRPr="0099128F">
        <w:rPr>
          <w:rFonts w:ascii="Arial" w:hAnsi="Arial" w:cs="Arial"/>
        </w:rPr>
        <w:t xml:space="preserve"> </w:t>
      </w:r>
    </w:p>
    <w:p w14:paraId="633AC396" w14:textId="0CB073E6" w:rsidR="00087DB1" w:rsidRDefault="00087DB1" w:rsidP="00087DB1">
      <w:pPr>
        <w:pStyle w:val="Body"/>
        <w:spacing w:after="0"/>
        <w:rPr>
          <w:rFonts w:ascii="Arial" w:hAnsi="Arial" w:cs="Arial"/>
        </w:rPr>
      </w:pPr>
    </w:p>
    <w:p w14:paraId="606E3F8F" w14:textId="77777777" w:rsidR="00012FD0" w:rsidRDefault="00012FD0" w:rsidP="00012FD0">
      <w:pPr>
        <w:pStyle w:val="Body"/>
        <w:spacing w:after="0"/>
        <w:rPr>
          <w:rFonts w:ascii="Arial" w:hAnsi="Arial" w:cs="Arial"/>
          <w:b/>
          <w:bCs/>
          <w:iCs/>
          <w:lang w:val="en-IN"/>
        </w:rPr>
      </w:pPr>
    </w:p>
    <w:p w14:paraId="00894AA3" w14:textId="77777777" w:rsidR="00012FD0" w:rsidRPr="00012FD0" w:rsidRDefault="00012FD0" w:rsidP="00012FD0">
      <w:pPr>
        <w:pStyle w:val="Body"/>
        <w:spacing w:after="0"/>
        <w:rPr>
          <w:rFonts w:ascii="Arial" w:hAnsi="Arial" w:cs="Arial"/>
          <w:b/>
          <w:bCs/>
          <w:iCs/>
          <w:lang w:val="en-IN"/>
        </w:rPr>
      </w:pPr>
      <w:r w:rsidRPr="00012FD0">
        <w:rPr>
          <w:rFonts w:ascii="Arial" w:hAnsi="Arial" w:cs="Arial"/>
          <w:b/>
          <w:bCs/>
          <w:iCs/>
          <w:lang w:val="en-IN"/>
        </w:rPr>
        <w:t xml:space="preserve">Table </w:t>
      </w:r>
      <w:r w:rsidRPr="00012FD0">
        <w:rPr>
          <w:rFonts w:ascii="Arial" w:hAnsi="Arial" w:cs="Arial"/>
          <w:b/>
          <w:bCs/>
          <w:iCs/>
          <w:lang w:val="en-IN"/>
        </w:rPr>
        <w:fldChar w:fldCharType="begin"/>
      </w:r>
      <w:r w:rsidRPr="00012FD0">
        <w:rPr>
          <w:rFonts w:ascii="Arial" w:hAnsi="Arial" w:cs="Arial"/>
          <w:b/>
          <w:bCs/>
          <w:iCs/>
          <w:lang w:val="en-IN"/>
        </w:rPr>
        <w:instrText xml:space="preserve"> SEQ Table \* ARABIC </w:instrText>
      </w:r>
      <w:r w:rsidRPr="00012FD0">
        <w:rPr>
          <w:rFonts w:ascii="Arial" w:hAnsi="Arial" w:cs="Arial"/>
          <w:b/>
          <w:bCs/>
          <w:iCs/>
          <w:lang w:val="en-IN"/>
        </w:rPr>
        <w:fldChar w:fldCharType="separate"/>
      </w:r>
      <w:r w:rsidRPr="00012FD0">
        <w:rPr>
          <w:rFonts w:ascii="Arial" w:hAnsi="Arial" w:cs="Arial"/>
          <w:b/>
          <w:bCs/>
          <w:iCs/>
          <w:lang w:val="en-IN"/>
        </w:rPr>
        <w:t>2</w:t>
      </w:r>
      <w:r w:rsidRPr="00012FD0">
        <w:rPr>
          <w:rFonts w:ascii="Arial" w:hAnsi="Arial" w:cs="Arial"/>
        </w:rPr>
        <w:fldChar w:fldCharType="end"/>
      </w:r>
      <w:r>
        <w:rPr>
          <w:rFonts w:ascii="Arial" w:hAnsi="Arial" w:cs="Arial"/>
        </w:rPr>
        <w:t>.</w:t>
      </w:r>
      <w:r w:rsidRPr="00012FD0">
        <w:rPr>
          <w:rFonts w:ascii="Arial" w:hAnsi="Arial" w:cs="Arial"/>
          <w:b/>
          <w:bCs/>
          <w:iCs/>
          <w:lang w:val="en-IN"/>
        </w:rPr>
        <w:t xml:space="preserve"> Effect of GA</w:t>
      </w:r>
      <w:r w:rsidRPr="00012FD0">
        <w:rPr>
          <w:rFonts w:ascii="Arial" w:hAnsi="Arial" w:cs="Arial"/>
          <w:b/>
          <w:bCs/>
          <w:iCs/>
          <w:vertAlign w:val="subscript"/>
          <w:lang w:val="en-IN"/>
        </w:rPr>
        <w:t>3</w:t>
      </w:r>
      <w:r w:rsidRPr="00012FD0">
        <w:rPr>
          <w:rFonts w:ascii="Arial" w:hAnsi="Arial" w:cs="Arial"/>
          <w:b/>
          <w:bCs/>
          <w:iCs/>
          <w:lang w:val="en-IN"/>
        </w:rPr>
        <w:t xml:space="preserve"> and glutamine during proliferation of shoots in </w:t>
      </w:r>
      <w:proofErr w:type="spellStart"/>
      <w:r w:rsidRPr="00012FD0">
        <w:rPr>
          <w:rFonts w:ascii="Arial" w:hAnsi="Arial" w:cs="Arial"/>
          <w:b/>
          <w:bCs/>
          <w:i/>
          <w:lang w:val="en-IN"/>
        </w:rPr>
        <w:t>Hymenodictyon</w:t>
      </w:r>
      <w:proofErr w:type="spellEnd"/>
      <w:r w:rsidRPr="00012FD0">
        <w:rPr>
          <w:rFonts w:ascii="Arial" w:hAnsi="Arial" w:cs="Arial"/>
          <w:b/>
          <w:bCs/>
          <w:i/>
          <w:lang w:val="en-IN"/>
        </w:rPr>
        <w:t xml:space="preserve"> </w:t>
      </w:r>
      <w:proofErr w:type="spellStart"/>
      <w:r w:rsidRPr="00012FD0">
        <w:rPr>
          <w:rFonts w:ascii="Arial" w:hAnsi="Arial" w:cs="Arial"/>
          <w:b/>
          <w:bCs/>
          <w:i/>
          <w:lang w:val="en-IN"/>
        </w:rPr>
        <w:t>orixense</w:t>
      </w:r>
      <w:proofErr w:type="spellEnd"/>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2111"/>
        <w:gridCol w:w="2160"/>
      </w:tblGrid>
      <w:tr w:rsidR="00012FD0" w:rsidRPr="00012FD0" w14:paraId="71864BB1" w14:textId="77777777" w:rsidTr="00012FD0">
        <w:trPr>
          <w:trHeight w:val="278"/>
          <w:jc w:val="center"/>
        </w:trPr>
        <w:tc>
          <w:tcPr>
            <w:tcW w:w="2465" w:type="pct"/>
            <w:tcBorders>
              <w:top w:val="single" w:sz="4" w:space="0" w:color="auto"/>
              <w:bottom w:val="single" w:sz="4" w:space="0" w:color="auto"/>
            </w:tcBorders>
            <w:noWrap/>
            <w:vAlign w:val="center"/>
            <w:hideMark/>
          </w:tcPr>
          <w:p w14:paraId="2E010218" w14:textId="77777777" w:rsidR="00012FD0" w:rsidRPr="00012FD0" w:rsidRDefault="00012FD0" w:rsidP="00012FD0">
            <w:pPr>
              <w:pStyle w:val="Body"/>
              <w:rPr>
                <w:rFonts w:ascii="Arial" w:hAnsi="Arial" w:cs="Arial"/>
                <w:b/>
                <w:sz w:val="20"/>
                <w:lang w:val="en-IN"/>
              </w:rPr>
            </w:pPr>
            <w:r w:rsidRPr="00012FD0">
              <w:rPr>
                <w:rFonts w:ascii="Arial" w:hAnsi="Arial" w:cs="Arial"/>
                <w:b/>
                <w:sz w:val="20"/>
                <w:lang w:val="en-IN"/>
              </w:rPr>
              <w:t>PGR combination</w:t>
            </w:r>
          </w:p>
        </w:tc>
        <w:tc>
          <w:tcPr>
            <w:tcW w:w="1253" w:type="pct"/>
            <w:tcBorders>
              <w:top w:val="single" w:sz="4" w:space="0" w:color="auto"/>
              <w:bottom w:val="single" w:sz="4" w:space="0" w:color="auto"/>
            </w:tcBorders>
          </w:tcPr>
          <w:p w14:paraId="77BA1301" w14:textId="77777777" w:rsidR="00012FD0" w:rsidRPr="00012FD0" w:rsidRDefault="00012FD0" w:rsidP="00012FD0">
            <w:pPr>
              <w:pStyle w:val="Body"/>
              <w:rPr>
                <w:rFonts w:ascii="Arial" w:hAnsi="Arial" w:cs="Arial"/>
                <w:b/>
                <w:sz w:val="20"/>
                <w:lang w:val="en-IN"/>
              </w:rPr>
            </w:pPr>
            <w:r w:rsidRPr="00012FD0">
              <w:rPr>
                <w:rFonts w:ascii="Arial" w:hAnsi="Arial" w:cs="Arial"/>
                <w:b/>
                <w:sz w:val="20"/>
                <w:lang w:val="en-IN"/>
              </w:rPr>
              <w:t>Mean shoot number</w:t>
            </w:r>
          </w:p>
        </w:tc>
        <w:tc>
          <w:tcPr>
            <w:tcW w:w="1282" w:type="pct"/>
            <w:tcBorders>
              <w:top w:val="single" w:sz="4" w:space="0" w:color="auto"/>
              <w:bottom w:val="single" w:sz="4" w:space="0" w:color="auto"/>
            </w:tcBorders>
            <w:noWrap/>
            <w:vAlign w:val="center"/>
            <w:hideMark/>
          </w:tcPr>
          <w:p w14:paraId="38781339" w14:textId="77777777" w:rsidR="00012FD0" w:rsidRPr="00012FD0" w:rsidRDefault="00012FD0" w:rsidP="00012FD0">
            <w:pPr>
              <w:pStyle w:val="Body"/>
              <w:rPr>
                <w:rFonts w:ascii="Arial" w:hAnsi="Arial" w:cs="Arial"/>
                <w:b/>
                <w:sz w:val="20"/>
                <w:lang w:val="en-IN"/>
              </w:rPr>
            </w:pPr>
            <w:r w:rsidRPr="00012FD0">
              <w:rPr>
                <w:rFonts w:ascii="Arial" w:hAnsi="Arial" w:cs="Arial"/>
                <w:b/>
                <w:sz w:val="20"/>
                <w:lang w:val="en-IN"/>
              </w:rPr>
              <w:t>Mean Shoot Length</w:t>
            </w:r>
          </w:p>
        </w:tc>
      </w:tr>
      <w:tr w:rsidR="00012FD0" w:rsidRPr="00012FD0" w14:paraId="3C1EFEBC" w14:textId="77777777" w:rsidTr="00012FD0">
        <w:trPr>
          <w:trHeight w:val="335"/>
          <w:jc w:val="center"/>
        </w:trPr>
        <w:tc>
          <w:tcPr>
            <w:tcW w:w="2465" w:type="pct"/>
            <w:tcBorders>
              <w:top w:val="single" w:sz="4" w:space="0" w:color="auto"/>
            </w:tcBorders>
            <w:noWrap/>
            <w:vAlign w:val="center"/>
            <w:hideMark/>
          </w:tcPr>
          <w:p w14:paraId="4812CB46"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MS+0.25 mgL</w:t>
            </w:r>
            <w:r w:rsidRPr="00012FD0">
              <w:rPr>
                <w:rFonts w:ascii="Arial" w:hAnsi="Arial" w:cs="Arial"/>
                <w:sz w:val="20"/>
                <w:vertAlign w:val="superscript"/>
                <w:lang w:val="en-IN"/>
              </w:rPr>
              <w:t>-1</w:t>
            </w:r>
            <w:r w:rsidRPr="00012FD0">
              <w:rPr>
                <w:rFonts w:ascii="Arial" w:hAnsi="Arial" w:cs="Arial"/>
                <w:sz w:val="20"/>
                <w:lang w:val="en-IN"/>
              </w:rPr>
              <w:t xml:space="preserve"> kinetin+ 0.025 mgL</w:t>
            </w:r>
            <w:r w:rsidRPr="00012FD0">
              <w:rPr>
                <w:rFonts w:ascii="Arial" w:hAnsi="Arial" w:cs="Arial"/>
                <w:sz w:val="20"/>
                <w:vertAlign w:val="superscript"/>
                <w:lang w:val="en-IN"/>
              </w:rPr>
              <w:t>-1</w:t>
            </w:r>
            <w:r w:rsidRPr="00012FD0">
              <w:rPr>
                <w:rFonts w:ascii="Arial" w:hAnsi="Arial" w:cs="Arial"/>
                <w:sz w:val="20"/>
                <w:lang w:val="en-IN"/>
              </w:rPr>
              <w:t xml:space="preserve"> GA</w:t>
            </w:r>
            <w:r w:rsidRPr="00012FD0">
              <w:rPr>
                <w:rFonts w:ascii="Arial" w:hAnsi="Arial" w:cs="Arial"/>
                <w:sz w:val="20"/>
                <w:vertAlign w:val="subscript"/>
                <w:lang w:val="en-IN"/>
              </w:rPr>
              <w:t>3</w:t>
            </w:r>
          </w:p>
        </w:tc>
        <w:tc>
          <w:tcPr>
            <w:tcW w:w="1253" w:type="pct"/>
            <w:tcBorders>
              <w:top w:val="single" w:sz="4" w:space="0" w:color="auto"/>
            </w:tcBorders>
          </w:tcPr>
          <w:p w14:paraId="140D0D94"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7.72±0.88</w:t>
            </w:r>
            <w:r w:rsidRPr="00012FD0">
              <w:rPr>
                <w:rFonts w:ascii="Arial" w:hAnsi="Arial" w:cs="Arial"/>
                <w:sz w:val="20"/>
                <w:vertAlign w:val="superscript"/>
                <w:lang w:val="en-IN"/>
              </w:rPr>
              <w:t>a</w:t>
            </w:r>
          </w:p>
        </w:tc>
        <w:tc>
          <w:tcPr>
            <w:tcW w:w="1282" w:type="pct"/>
            <w:tcBorders>
              <w:top w:val="single" w:sz="4" w:space="0" w:color="auto"/>
            </w:tcBorders>
            <w:noWrap/>
            <w:vAlign w:val="center"/>
          </w:tcPr>
          <w:p w14:paraId="53CEB5BD"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8.49±0.33</w:t>
            </w:r>
            <w:r w:rsidRPr="00012FD0">
              <w:rPr>
                <w:rFonts w:ascii="Arial" w:hAnsi="Arial" w:cs="Arial"/>
                <w:sz w:val="20"/>
                <w:vertAlign w:val="superscript"/>
                <w:lang w:val="en-IN"/>
              </w:rPr>
              <w:t>a</w:t>
            </w:r>
          </w:p>
        </w:tc>
      </w:tr>
      <w:tr w:rsidR="00012FD0" w:rsidRPr="00012FD0" w14:paraId="0BA43312" w14:textId="77777777" w:rsidTr="00012FD0">
        <w:trPr>
          <w:trHeight w:val="335"/>
          <w:jc w:val="center"/>
        </w:trPr>
        <w:tc>
          <w:tcPr>
            <w:tcW w:w="2465" w:type="pct"/>
            <w:noWrap/>
            <w:vAlign w:val="center"/>
            <w:hideMark/>
          </w:tcPr>
          <w:p w14:paraId="0C1F3B6E"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MS+0.25 mgL</w:t>
            </w:r>
            <w:r w:rsidRPr="00012FD0">
              <w:rPr>
                <w:rFonts w:ascii="Arial" w:hAnsi="Arial" w:cs="Arial"/>
                <w:sz w:val="20"/>
                <w:vertAlign w:val="superscript"/>
                <w:lang w:val="en-IN"/>
              </w:rPr>
              <w:t>-1</w:t>
            </w:r>
            <w:r w:rsidRPr="00012FD0">
              <w:rPr>
                <w:rFonts w:ascii="Arial" w:hAnsi="Arial" w:cs="Arial"/>
                <w:sz w:val="20"/>
                <w:lang w:val="en-IN"/>
              </w:rPr>
              <w:t xml:space="preserve"> kinetin+ 0.05 mgL</w:t>
            </w:r>
            <w:r w:rsidRPr="00012FD0">
              <w:rPr>
                <w:rFonts w:ascii="Arial" w:hAnsi="Arial" w:cs="Arial"/>
                <w:sz w:val="20"/>
                <w:vertAlign w:val="superscript"/>
                <w:lang w:val="en-IN"/>
              </w:rPr>
              <w:t>-1</w:t>
            </w:r>
            <w:r w:rsidRPr="00012FD0">
              <w:rPr>
                <w:rFonts w:ascii="Arial" w:hAnsi="Arial" w:cs="Arial"/>
                <w:sz w:val="20"/>
                <w:lang w:val="en-IN"/>
              </w:rPr>
              <w:t xml:space="preserve">  GA</w:t>
            </w:r>
            <w:r w:rsidRPr="00012FD0">
              <w:rPr>
                <w:rFonts w:ascii="Arial" w:hAnsi="Arial" w:cs="Arial"/>
                <w:sz w:val="20"/>
                <w:vertAlign w:val="subscript"/>
                <w:lang w:val="en-IN"/>
              </w:rPr>
              <w:t>3</w:t>
            </w:r>
          </w:p>
        </w:tc>
        <w:tc>
          <w:tcPr>
            <w:tcW w:w="1253" w:type="pct"/>
          </w:tcPr>
          <w:p w14:paraId="2537A93A"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6.67±0.28</w:t>
            </w:r>
            <w:r w:rsidRPr="00012FD0">
              <w:rPr>
                <w:rFonts w:ascii="Arial" w:hAnsi="Arial" w:cs="Arial"/>
                <w:sz w:val="20"/>
                <w:vertAlign w:val="superscript"/>
                <w:lang w:val="en-IN"/>
              </w:rPr>
              <w:t>ab</w:t>
            </w:r>
          </w:p>
        </w:tc>
        <w:tc>
          <w:tcPr>
            <w:tcW w:w="1282" w:type="pct"/>
            <w:noWrap/>
            <w:vAlign w:val="center"/>
          </w:tcPr>
          <w:p w14:paraId="6363EDBC"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8.29±0.94</w:t>
            </w:r>
            <w:r w:rsidRPr="00012FD0">
              <w:rPr>
                <w:rFonts w:ascii="Arial" w:hAnsi="Arial" w:cs="Arial"/>
                <w:sz w:val="20"/>
                <w:vertAlign w:val="superscript"/>
                <w:lang w:val="en-IN"/>
              </w:rPr>
              <w:t>a</w:t>
            </w:r>
          </w:p>
        </w:tc>
      </w:tr>
      <w:tr w:rsidR="00012FD0" w:rsidRPr="00012FD0" w14:paraId="4AD8976D" w14:textId="77777777" w:rsidTr="00012FD0">
        <w:trPr>
          <w:trHeight w:val="297"/>
          <w:jc w:val="center"/>
        </w:trPr>
        <w:tc>
          <w:tcPr>
            <w:tcW w:w="2465" w:type="pct"/>
            <w:noWrap/>
            <w:vAlign w:val="center"/>
            <w:hideMark/>
          </w:tcPr>
          <w:p w14:paraId="3547F0FD"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MS+0.25 mgL</w:t>
            </w:r>
            <w:r w:rsidRPr="00012FD0">
              <w:rPr>
                <w:rFonts w:ascii="Arial" w:hAnsi="Arial" w:cs="Arial"/>
                <w:sz w:val="20"/>
                <w:vertAlign w:val="superscript"/>
                <w:lang w:val="en-IN"/>
              </w:rPr>
              <w:t>-1</w:t>
            </w:r>
            <w:r w:rsidRPr="00012FD0">
              <w:rPr>
                <w:rFonts w:ascii="Arial" w:hAnsi="Arial" w:cs="Arial"/>
                <w:sz w:val="20"/>
                <w:lang w:val="en-IN"/>
              </w:rPr>
              <w:t xml:space="preserve"> kinetin+25 mgL</w:t>
            </w:r>
            <w:r w:rsidRPr="00012FD0">
              <w:rPr>
                <w:rFonts w:ascii="Arial" w:hAnsi="Arial" w:cs="Arial"/>
                <w:sz w:val="20"/>
                <w:vertAlign w:val="superscript"/>
                <w:lang w:val="en-IN"/>
              </w:rPr>
              <w:t>-1</w:t>
            </w:r>
            <w:r w:rsidRPr="00012FD0">
              <w:rPr>
                <w:rFonts w:ascii="Arial" w:hAnsi="Arial" w:cs="Arial"/>
                <w:sz w:val="20"/>
                <w:lang w:val="en-IN"/>
              </w:rPr>
              <w:t xml:space="preserve"> glutamine</w:t>
            </w:r>
          </w:p>
        </w:tc>
        <w:tc>
          <w:tcPr>
            <w:tcW w:w="1253" w:type="pct"/>
          </w:tcPr>
          <w:p w14:paraId="23F4DD46"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5.33±1.20</w:t>
            </w:r>
            <w:r w:rsidRPr="00012FD0">
              <w:rPr>
                <w:rFonts w:ascii="Arial" w:hAnsi="Arial" w:cs="Arial"/>
                <w:sz w:val="20"/>
                <w:vertAlign w:val="superscript"/>
                <w:lang w:val="en-IN"/>
              </w:rPr>
              <w:t>ab</w:t>
            </w:r>
          </w:p>
        </w:tc>
        <w:tc>
          <w:tcPr>
            <w:tcW w:w="1282" w:type="pct"/>
            <w:noWrap/>
            <w:vAlign w:val="center"/>
          </w:tcPr>
          <w:p w14:paraId="03D98539"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5.85±0.46</w:t>
            </w:r>
            <w:r w:rsidRPr="00012FD0">
              <w:rPr>
                <w:rFonts w:ascii="Arial" w:hAnsi="Arial" w:cs="Arial"/>
                <w:sz w:val="20"/>
                <w:vertAlign w:val="superscript"/>
                <w:lang w:val="en-IN"/>
              </w:rPr>
              <w:t>ab</w:t>
            </w:r>
          </w:p>
        </w:tc>
      </w:tr>
      <w:tr w:rsidR="00012FD0" w:rsidRPr="00012FD0" w14:paraId="1B3C8788" w14:textId="77777777" w:rsidTr="00012FD0">
        <w:trPr>
          <w:trHeight w:val="297"/>
          <w:jc w:val="center"/>
        </w:trPr>
        <w:tc>
          <w:tcPr>
            <w:tcW w:w="2465" w:type="pct"/>
            <w:noWrap/>
            <w:vAlign w:val="center"/>
            <w:hideMark/>
          </w:tcPr>
          <w:p w14:paraId="72360184"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MS+0.25 mgL</w:t>
            </w:r>
            <w:r w:rsidRPr="00012FD0">
              <w:rPr>
                <w:rFonts w:ascii="Arial" w:hAnsi="Arial" w:cs="Arial"/>
                <w:sz w:val="20"/>
                <w:vertAlign w:val="superscript"/>
                <w:lang w:val="en-IN"/>
              </w:rPr>
              <w:t>-1</w:t>
            </w:r>
            <w:r w:rsidRPr="00012FD0">
              <w:rPr>
                <w:rFonts w:ascii="Arial" w:hAnsi="Arial" w:cs="Arial"/>
                <w:sz w:val="20"/>
                <w:lang w:val="en-IN"/>
              </w:rPr>
              <w:t xml:space="preserve"> kinetin+50 mgL</w:t>
            </w:r>
            <w:r w:rsidRPr="00012FD0">
              <w:rPr>
                <w:rFonts w:ascii="Arial" w:hAnsi="Arial" w:cs="Arial"/>
                <w:sz w:val="20"/>
                <w:vertAlign w:val="superscript"/>
                <w:lang w:val="en-IN"/>
              </w:rPr>
              <w:t>-1</w:t>
            </w:r>
            <w:r w:rsidRPr="00012FD0">
              <w:rPr>
                <w:rFonts w:ascii="Arial" w:hAnsi="Arial" w:cs="Arial"/>
                <w:sz w:val="20"/>
                <w:lang w:val="en-IN"/>
              </w:rPr>
              <w:t xml:space="preserve"> glutamine</w:t>
            </w:r>
          </w:p>
        </w:tc>
        <w:tc>
          <w:tcPr>
            <w:tcW w:w="1253" w:type="pct"/>
          </w:tcPr>
          <w:p w14:paraId="1CE52BC0"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5.00±0.57</w:t>
            </w:r>
            <w:r w:rsidRPr="00012FD0">
              <w:rPr>
                <w:rFonts w:ascii="Arial" w:hAnsi="Arial" w:cs="Arial"/>
                <w:sz w:val="20"/>
                <w:vertAlign w:val="superscript"/>
                <w:lang w:val="en-IN"/>
              </w:rPr>
              <w:t>ab</w:t>
            </w:r>
          </w:p>
        </w:tc>
        <w:tc>
          <w:tcPr>
            <w:tcW w:w="1282" w:type="pct"/>
            <w:noWrap/>
            <w:vAlign w:val="center"/>
          </w:tcPr>
          <w:p w14:paraId="1ECC35E6"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4.34±0.25</w:t>
            </w:r>
            <w:r w:rsidRPr="00012FD0">
              <w:rPr>
                <w:rFonts w:ascii="Arial" w:hAnsi="Arial" w:cs="Arial"/>
                <w:sz w:val="20"/>
                <w:vertAlign w:val="superscript"/>
                <w:lang w:val="en-IN"/>
              </w:rPr>
              <w:t>b</w:t>
            </w:r>
          </w:p>
        </w:tc>
      </w:tr>
    </w:tbl>
    <w:p w14:paraId="7C28311D" w14:textId="4F1C1EEC" w:rsidR="00012FD0" w:rsidRPr="00012FD0" w:rsidRDefault="00012FD0" w:rsidP="00012FD0">
      <w:pPr>
        <w:pStyle w:val="Body"/>
        <w:pBdr>
          <w:bottom w:val="single" w:sz="4" w:space="1" w:color="auto"/>
        </w:pBdr>
        <w:spacing w:after="0"/>
        <w:rPr>
          <w:rFonts w:ascii="Arial" w:hAnsi="Arial" w:cs="Arial"/>
        </w:rPr>
      </w:pPr>
      <w:r w:rsidRPr="00012FD0">
        <w:rPr>
          <w:rFonts w:ascii="Arial" w:hAnsi="Arial" w:cs="Arial"/>
        </w:rPr>
        <w:t>Means followed by the same letter within a column are not</w:t>
      </w:r>
      <w:r>
        <w:rPr>
          <w:rFonts w:ascii="Arial" w:hAnsi="Arial" w:cs="Arial"/>
        </w:rPr>
        <w:t xml:space="preserve"> significantly different at (P≤</w:t>
      </w:r>
      <w:r w:rsidR="00D02D32" w:rsidRPr="0099128F">
        <w:rPr>
          <w:rFonts w:ascii="Arial" w:hAnsi="Arial" w:cs="Arial"/>
          <w:highlight w:val="yellow"/>
        </w:rPr>
        <w:t>0</w:t>
      </w:r>
      <w:r w:rsidRPr="0099128F">
        <w:rPr>
          <w:rFonts w:ascii="Arial" w:hAnsi="Arial" w:cs="Arial"/>
          <w:highlight w:val="yellow"/>
        </w:rPr>
        <w:t>.</w:t>
      </w:r>
      <w:r w:rsidRPr="00012FD0">
        <w:rPr>
          <w:rFonts w:ascii="Arial" w:hAnsi="Arial" w:cs="Arial"/>
        </w:rPr>
        <w:t>05)</w:t>
      </w:r>
    </w:p>
    <w:p w14:paraId="2CF11508" w14:textId="77777777" w:rsidR="00012FD0" w:rsidRPr="00087DB1" w:rsidRDefault="00012FD0" w:rsidP="00087DB1">
      <w:pPr>
        <w:pStyle w:val="Body"/>
        <w:spacing w:after="0"/>
        <w:rPr>
          <w:rFonts w:ascii="Arial" w:hAnsi="Arial" w:cs="Arial"/>
        </w:rPr>
      </w:pPr>
    </w:p>
    <w:p w14:paraId="37C0922C" w14:textId="77777777" w:rsidR="00087DB1" w:rsidRPr="00087DB1" w:rsidRDefault="00087DB1" w:rsidP="00087DB1">
      <w:pPr>
        <w:pStyle w:val="Body"/>
        <w:spacing w:after="0"/>
        <w:rPr>
          <w:rFonts w:ascii="Arial" w:hAnsi="Arial" w:cs="Arial"/>
        </w:rPr>
      </w:pPr>
      <w:r w:rsidRPr="00087DB1">
        <w:rPr>
          <w:rFonts w:ascii="Arial" w:hAnsi="Arial" w:cs="Arial"/>
          <w:b/>
          <w:i/>
        </w:rPr>
        <w:t>In vitro</w:t>
      </w:r>
      <w:r w:rsidRPr="00087DB1">
        <w:rPr>
          <w:rFonts w:ascii="Arial" w:hAnsi="Arial" w:cs="Arial"/>
          <w:b/>
        </w:rPr>
        <w:t xml:space="preserve"> rooting and plantlet acclimatization</w:t>
      </w:r>
      <w:r w:rsidRPr="00087DB1">
        <w:rPr>
          <w:rFonts w:ascii="Arial" w:hAnsi="Arial" w:cs="Arial"/>
        </w:rPr>
        <w:t xml:space="preserve"> </w:t>
      </w:r>
    </w:p>
    <w:p w14:paraId="71B479A6" w14:textId="77777777" w:rsidR="00087DB1" w:rsidRPr="00316461" w:rsidRDefault="00087DB1" w:rsidP="00087DB1">
      <w:pPr>
        <w:pStyle w:val="Body"/>
        <w:spacing w:after="0"/>
        <w:rPr>
          <w:rFonts w:ascii="Arial" w:hAnsi="Arial" w:cs="Arial"/>
        </w:rPr>
      </w:pPr>
      <w:r w:rsidRPr="00087DB1">
        <w:rPr>
          <w:rFonts w:ascii="Arial" w:hAnsi="Arial" w:cs="Arial"/>
        </w:rPr>
        <w:t xml:space="preserve">Rooting was almost 100% in all the PGR combinations used during the study, showing that </w:t>
      </w:r>
      <w:r w:rsidRPr="00087DB1">
        <w:rPr>
          <w:rFonts w:ascii="Arial" w:hAnsi="Arial" w:cs="Arial"/>
          <w:i/>
        </w:rPr>
        <w:t>in</w:t>
      </w:r>
      <w:r w:rsidRPr="00087DB1">
        <w:rPr>
          <w:rFonts w:ascii="Arial" w:hAnsi="Arial" w:cs="Arial"/>
        </w:rPr>
        <w:t xml:space="preserve"> </w:t>
      </w:r>
      <w:r w:rsidRPr="00087DB1">
        <w:rPr>
          <w:rFonts w:ascii="Arial" w:hAnsi="Arial" w:cs="Arial"/>
          <w:i/>
        </w:rPr>
        <w:t xml:space="preserve">vitro </w:t>
      </w:r>
      <w:r w:rsidRPr="00087DB1">
        <w:rPr>
          <w:rFonts w:ascii="Arial" w:hAnsi="Arial" w:cs="Arial"/>
        </w:rPr>
        <w:t xml:space="preserve">developed shoots had good rhizogenic property. While shorter </w:t>
      </w:r>
      <w:proofErr w:type="spellStart"/>
      <w:r w:rsidRPr="00087DB1">
        <w:rPr>
          <w:rFonts w:ascii="Arial" w:hAnsi="Arial" w:cs="Arial"/>
        </w:rPr>
        <w:t>roots</w:t>
      </w:r>
      <w:proofErr w:type="spellEnd"/>
      <w:r w:rsidRPr="00087DB1">
        <w:rPr>
          <w:rFonts w:ascii="Arial" w:hAnsi="Arial" w:cs="Arial"/>
        </w:rPr>
        <w:t xml:space="preserve"> were obtained with IAA, NAA containing medium showed rooting hindrances because of the callus formed with it, which also caused problems during plant separation for further acclimatization cycles. Therefore, the preferred PGR for rooting was observed to be IAA rather than NAA. </w:t>
      </w:r>
      <w:proofErr w:type="spellStart"/>
      <w:r w:rsidRPr="00316461">
        <w:rPr>
          <w:rFonts w:ascii="Arial" w:hAnsi="Arial" w:cs="Arial"/>
          <w:bCs/>
        </w:rPr>
        <w:t>Bhusare</w:t>
      </w:r>
      <w:proofErr w:type="spellEnd"/>
      <w:r w:rsidRPr="00316461">
        <w:rPr>
          <w:rFonts w:ascii="Arial" w:hAnsi="Arial" w:cs="Arial"/>
          <w:bCs/>
        </w:rPr>
        <w:t xml:space="preserve"> et al. (2018)</w:t>
      </w:r>
      <w:r w:rsidRPr="00316461">
        <w:rPr>
          <w:rFonts w:ascii="Arial" w:hAnsi="Arial" w:cs="Arial"/>
        </w:rPr>
        <w:t xml:space="preserve">, reported that in </w:t>
      </w:r>
      <w:r w:rsidRPr="00316461">
        <w:rPr>
          <w:rFonts w:ascii="Arial" w:hAnsi="Arial" w:cs="Arial"/>
          <w:i/>
        </w:rPr>
        <w:t xml:space="preserve">Digitalis </w:t>
      </w:r>
      <w:proofErr w:type="spellStart"/>
      <w:r w:rsidRPr="00316461">
        <w:rPr>
          <w:rFonts w:ascii="Arial" w:hAnsi="Arial" w:cs="Arial"/>
          <w:i/>
        </w:rPr>
        <w:t>lanata</w:t>
      </w:r>
      <w:proofErr w:type="spellEnd"/>
      <w:r w:rsidRPr="00316461">
        <w:rPr>
          <w:rFonts w:ascii="Arial" w:hAnsi="Arial" w:cs="Arial"/>
        </w:rPr>
        <w:t>, among IAA, IBA, and NAA tested at various concentrations, the best response occurred at 17.13 µmol</w:t>
      </w:r>
      <w:r w:rsidR="00316461">
        <w:rPr>
          <w:rFonts w:ascii="Arial" w:hAnsi="Arial" w:cs="Arial"/>
        </w:rPr>
        <w:t xml:space="preserve"> L</w:t>
      </w:r>
      <w:r w:rsidR="00316461" w:rsidRPr="00316461">
        <w:rPr>
          <w:rFonts w:ascii="Arial" w:hAnsi="Arial" w:cs="Arial"/>
          <w:vertAlign w:val="superscript"/>
        </w:rPr>
        <w:t>-1</w:t>
      </w:r>
      <w:r w:rsidRPr="00316461">
        <w:rPr>
          <w:rFonts w:ascii="Arial" w:hAnsi="Arial" w:cs="Arial"/>
        </w:rPr>
        <w:t xml:space="preserve"> IAA. The inclusion of low amounts of cytokinin, in this case kinetin at 0.025 mgL</w:t>
      </w:r>
      <w:r w:rsidRPr="00316461">
        <w:rPr>
          <w:rFonts w:ascii="Arial" w:hAnsi="Arial" w:cs="Arial"/>
          <w:vertAlign w:val="superscript"/>
        </w:rPr>
        <w:t>-1</w:t>
      </w:r>
      <w:r w:rsidRPr="00316461">
        <w:rPr>
          <w:rFonts w:ascii="Arial" w:hAnsi="Arial" w:cs="Arial"/>
        </w:rPr>
        <w:t xml:space="preserve">, during rooting treatments thus </w:t>
      </w:r>
      <w:r w:rsidRPr="00316461">
        <w:rPr>
          <w:rFonts w:ascii="Arial" w:hAnsi="Arial" w:cs="Arial"/>
        </w:rPr>
        <w:lastRenderedPageBreak/>
        <w:t>tends to maintain explant vigor during the root induction phase (</w:t>
      </w:r>
      <w:r w:rsidRPr="00316461">
        <w:rPr>
          <w:rFonts w:ascii="Arial" w:hAnsi="Arial" w:cs="Arial"/>
          <w:bCs/>
        </w:rPr>
        <w:t>Arya et al., 2022</w:t>
      </w:r>
      <w:r w:rsidRPr="00316461">
        <w:rPr>
          <w:rFonts w:ascii="Arial" w:hAnsi="Arial" w:cs="Arial"/>
        </w:rPr>
        <w:t xml:space="preserve">). Figure 1 shows different stages of </w:t>
      </w:r>
      <w:r w:rsidRPr="0099128F">
        <w:rPr>
          <w:rFonts w:ascii="Arial" w:hAnsi="Arial" w:cs="Arial"/>
          <w:i/>
          <w:iCs/>
          <w:highlight w:val="yellow"/>
        </w:rPr>
        <w:t>in vitro</w:t>
      </w:r>
      <w:r w:rsidRPr="00316461">
        <w:rPr>
          <w:rFonts w:ascii="Arial" w:hAnsi="Arial" w:cs="Arial"/>
        </w:rPr>
        <w:t xml:space="preserve"> propagation in </w:t>
      </w:r>
      <w:r w:rsidRPr="0099128F">
        <w:rPr>
          <w:rFonts w:ascii="Arial" w:hAnsi="Arial" w:cs="Arial"/>
          <w:i/>
          <w:iCs/>
          <w:highlight w:val="yellow"/>
        </w:rPr>
        <w:t>H. orixense</w:t>
      </w:r>
      <w:r w:rsidRPr="00316461">
        <w:rPr>
          <w:rFonts w:ascii="Arial" w:hAnsi="Arial" w:cs="Arial"/>
          <w:iCs/>
        </w:rPr>
        <w:t>,</w:t>
      </w:r>
      <w:r w:rsidRPr="00316461">
        <w:rPr>
          <w:rFonts w:ascii="Arial" w:hAnsi="Arial" w:cs="Arial"/>
        </w:rPr>
        <w:t xml:space="preserve"> as achieved during the study.</w:t>
      </w:r>
    </w:p>
    <w:p w14:paraId="33ABC313" w14:textId="3AFF51C5" w:rsidR="00087DB1" w:rsidRDefault="00087DB1" w:rsidP="00087DB1">
      <w:pPr>
        <w:pStyle w:val="Body"/>
        <w:spacing w:after="0"/>
        <w:rPr>
          <w:rFonts w:ascii="Arial" w:hAnsi="Arial" w:cs="Arial"/>
          <w:iCs/>
          <w:lang w:val="en-IN"/>
        </w:rPr>
      </w:pPr>
      <w:r w:rsidRPr="00316461">
        <w:rPr>
          <w:rFonts w:ascii="Arial" w:hAnsi="Arial" w:cs="Arial"/>
        </w:rPr>
        <w:t>The average number of roots increased with the increasing concentrations of IAA while</w:t>
      </w:r>
      <w:r w:rsidRPr="00087DB1">
        <w:rPr>
          <w:rFonts w:ascii="Arial" w:hAnsi="Arial" w:cs="Arial"/>
        </w:rPr>
        <w:t xml:space="preserve"> the trend was reverse in case of NAA. The highest and most significant numbers of roots (~41.49 number of roots) were obtained with ½ strength MS medium containing 1 mgL</w:t>
      </w:r>
      <w:r w:rsidRPr="00087DB1">
        <w:rPr>
          <w:rFonts w:ascii="Arial" w:hAnsi="Arial" w:cs="Arial"/>
          <w:vertAlign w:val="superscript"/>
        </w:rPr>
        <w:t>-1</w:t>
      </w:r>
      <w:r w:rsidRPr="00087DB1">
        <w:rPr>
          <w:rFonts w:ascii="Arial" w:hAnsi="Arial" w:cs="Arial"/>
        </w:rPr>
        <w:t xml:space="preserve"> IAA and 0.025 mgL</w:t>
      </w:r>
      <w:r w:rsidRPr="00087DB1">
        <w:rPr>
          <w:rFonts w:ascii="Arial" w:hAnsi="Arial" w:cs="Arial"/>
          <w:vertAlign w:val="superscript"/>
        </w:rPr>
        <w:t>-1</w:t>
      </w:r>
      <w:r w:rsidRPr="00087DB1">
        <w:rPr>
          <w:rFonts w:ascii="Arial" w:hAnsi="Arial" w:cs="Arial"/>
        </w:rPr>
        <w:t xml:space="preserve"> kinetin, while all the other concentrations of IAA had no significant differences between them. In case of NAA, the treatments applied were ineffective as there were no significant differences between them. In case of root length similar kind of trend was observed as in root number and higher concentrations of IAA produced longer roots than lower concentrations and NAA had the reverse trend. The longest and the most significant root length was obtained with ½ strength +1 mgL</w:t>
      </w:r>
      <w:r w:rsidRPr="00087DB1">
        <w:rPr>
          <w:rFonts w:ascii="Arial" w:hAnsi="Arial" w:cs="Arial"/>
          <w:vertAlign w:val="superscript"/>
        </w:rPr>
        <w:t>-1</w:t>
      </w:r>
      <w:r w:rsidRPr="00087DB1">
        <w:rPr>
          <w:rFonts w:ascii="Arial" w:hAnsi="Arial" w:cs="Arial"/>
        </w:rPr>
        <w:t xml:space="preserve"> IAA+0.025 mgL</w:t>
      </w:r>
      <w:r w:rsidRPr="00087DB1">
        <w:rPr>
          <w:rFonts w:ascii="Arial" w:hAnsi="Arial" w:cs="Arial"/>
          <w:vertAlign w:val="superscript"/>
        </w:rPr>
        <w:t>-1</w:t>
      </w:r>
      <w:r w:rsidRPr="00087DB1">
        <w:rPr>
          <w:rFonts w:ascii="Arial" w:hAnsi="Arial" w:cs="Arial"/>
        </w:rPr>
        <w:t xml:space="preserve"> kinetin (~6.73 cm). Also, this concentration had the most vigorous and best quality rooting. This concentration was at par with ½ strength MS+0.25 mgL</w:t>
      </w:r>
      <w:r w:rsidRPr="00087DB1">
        <w:rPr>
          <w:rFonts w:ascii="Arial" w:hAnsi="Arial" w:cs="Arial"/>
          <w:vertAlign w:val="superscript"/>
        </w:rPr>
        <w:t>-1</w:t>
      </w:r>
      <w:r w:rsidRPr="00087DB1">
        <w:rPr>
          <w:rFonts w:ascii="Arial" w:hAnsi="Arial" w:cs="Arial"/>
        </w:rPr>
        <w:t xml:space="preserve"> NAA+0.025 mgL</w:t>
      </w:r>
      <w:r w:rsidRPr="00087DB1">
        <w:rPr>
          <w:rFonts w:ascii="Arial" w:hAnsi="Arial" w:cs="Arial"/>
          <w:vertAlign w:val="superscript"/>
        </w:rPr>
        <w:t>-1</w:t>
      </w:r>
      <w:r w:rsidRPr="00087DB1">
        <w:rPr>
          <w:rFonts w:ascii="Arial" w:hAnsi="Arial" w:cs="Arial"/>
        </w:rPr>
        <w:t xml:space="preserve"> kinetin but it was the immense amounts of callus formed with it that made this PGR combination undesirable. All other concentrations of IAA had no significant difference between them. The PGR concentrations of NAA had fairly no significant differences between them negating their effectiveness for </w:t>
      </w:r>
      <w:r w:rsidRPr="00087DB1">
        <w:rPr>
          <w:rFonts w:ascii="Arial" w:hAnsi="Arial" w:cs="Arial"/>
          <w:i/>
        </w:rPr>
        <w:t>in vitro</w:t>
      </w:r>
      <w:r w:rsidRPr="00087DB1">
        <w:rPr>
          <w:rFonts w:ascii="Arial" w:hAnsi="Arial" w:cs="Arial"/>
        </w:rPr>
        <w:t xml:space="preserve"> rooting in </w:t>
      </w:r>
      <w:r w:rsidRPr="00087DB1">
        <w:rPr>
          <w:rFonts w:ascii="Arial" w:hAnsi="Arial" w:cs="Arial"/>
          <w:i/>
        </w:rPr>
        <w:t>H. orixense</w:t>
      </w:r>
      <w:r w:rsidRPr="00087DB1">
        <w:rPr>
          <w:rFonts w:ascii="Arial" w:hAnsi="Arial" w:cs="Arial"/>
        </w:rPr>
        <w:t xml:space="preserve">. </w:t>
      </w:r>
      <w:r w:rsidR="0099128F" w:rsidRPr="0099128F">
        <w:rPr>
          <w:rFonts w:ascii="Arial" w:hAnsi="Arial" w:cs="Arial"/>
          <w:highlight w:val="yellow"/>
        </w:rPr>
        <w:t xml:space="preserve">A lower concentration of IAA and all the concentrations of NAA tested in present study had lower statistical significance. Although all NAA concentrations provided 100% rooting, </w:t>
      </w:r>
      <w:proofErr w:type="spellStart"/>
      <w:r w:rsidR="0099128F" w:rsidRPr="0099128F">
        <w:rPr>
          <w:rFonts w:ascii="Arial" w:hAnsi="Arial" w:cs="Arial"/>
          <w:highlight w:val="yellow"/>
        </w:rPr>
        <w:t>callogenous</w:t>
      </w:r>
      <w:proofErr w:type="spellEnd"/>
      <w:r w:rsidR="0099128F" w:rsidRPr="0099128F">
        <w:rPr>
          <w:rFonts w:ascii="Arial" w:hAnsi="Arial" w:cs="Arial"/>
          <w:highlight w:val="yellow"/>
        </w:rPr>
        <w:t xml:space="preserve"> and amorphous roots were observed, indicating their poor quality as opposed to those obtained from IAA concentrations. MS basal medium did not provide any rooting. In general, IAA, especially 1 mgL</w:t>
      </w:r>
      <w:r w:rsidR="0099128F" w:rsidRPr="0099128F">
        <w:rPr>
          <w:rFonts w:ascii="Cambria Math" w:hAnsi="Cambria Math" w:cs="Cambria Math"/>
          <w:highlight w:val="yellow"/>
        </w:rPr>
        <w:t>⁻</w:t>
      </w:r>
      <w:r w:rsidR="0099128F" w:rsidRPr="0099128F">
        <w:rPr>
          <w:rFonts w:ascii="Arial" w:hAnsi="Arial" w:cs="Arial"/>
          <w:highlight w:val="yellow"/>
        </w:rPr>
        <w:t>¹, was the most statistically effective in producing high-quality roots.</w:t>
      </w:r>
      <w:r w:rsidR="0099128F">
        <w:rPr>
          <w:rFonts w:ascii="Arial" w:hAnsi="Arial" w:cs="Arial"/>
          <w:color w:val="FF0000"/>
        </w:rPr>
        <w:t xml:space="preserve"> </w:t>
      </w:r>
      <w:r w:rsidR="00DA2DEB" w:rsidRPr="00DA2DEB">
        <w:rPr>
          <w:rFonts w:ascii="Arial" w:hAnsi="Arial" w:cs="Arial"/>
          <w:highlight w:val="yellow"/>
        </w:rPr>
        <w:t xml:space="preserve">IAA was also found to be optimal auxin for initiating </w:t>
      </w:r>
      <w:r w:rsidR="00DA2DEB" w:rsidRPr="00DA2DEB">
        <w:rPr>
          <w:rFonts w:ascii="Arial" w:hAnsi="Arial" w:cs="Arial"/>
          <w:i/>
          <w:highlight w:val="yellow"/>
        </w:rPr>
        <w:t>in vitro</w:t>
      </w:r>
      <w:r w:rsidR="00DA2DEB" w:rsidRPr="00DA2DEB">
        <w:rPr>
          <w:rFonts w:ascii="Arial" w:hAnsi="Arial" w:cs="Arial"/>
          <w:highlight w:val="yellow"/>
        </w:rPr>
        <w:t xml:space="preserve"> rooting in </w:t>
      </w:r>
      <w:r w:rsidR="00DA2DEB" w:rsidRPr="00DA2DEB">
        <w:rPr>
          <w:rFonts w:ascii="Arial" w:hAnsi="Arial" w:cs="Arial"/>
          <w:i/>
          <w:highlight w:val="yellow"/>
        </w:rPr>
        <w:t xml:space="preserve">Sterculia </w:t>
      </w:r>
      <w:proofErr w:type="spellStart"/>
      <w:r w:rsidR="00DA2DEB" w:rsidRPr="00DA2DEB">
        <w:rPr>
          <w:rFonts w:ascii="Arial" w:hAnsi="Arial" w:cs="Arial"/>
          <w:i/>
          <w:highlight w:val="yellow"/>
        </w:rPr>
        <w:t>foetida</w:t>
      </w:r>
      <w:proofErr w:type="spellEnd"/>
      <w:r w:rsidR="00DA2DEB">
        <w:rPr>
          <w:rFonts w:ascii="Arial" w:hAnsi="Arial" w:cs="Arial"/>
          <w:highlight w:val="yellow"/>
        </w:rPr>
        <w:t xml:space="preserve"> (Anitha </w:t>
      </w:r>
      <w:r w:rsidR="00DA2DEB" w:rsidRPr="00DA2DEB">
        <w:rPr>
          <w:rFonts w:ascii="Arial" w:hAnsi="Arial" w:cs="Arial"/>
          <w:highlight w:val="yellow"/>
        </w:rPr>
        <w:t>and Pullaiah, 2001).</w:t>
      </w:r>
      <w:r w:rsidR="00DA2DEB">
        <w:rPr>
          <w:rFonts w:ascii="Arial" w:hAnsi="Arial" w:cs="Arial"/>
          <w:color w:val="FF0000"/>
        </w:rPr>
        <w:t xml:space="preserve"> </w:t>
      </w:r>
      <w:r w:rsidRPr="00087DB1">
        <w:rPr>
          <w:rFonts w:ascii="Arial" w:hAnsi="Arial" w:cs="Arial"/>
        </w:rPr>
        <w:t xml:space="preserve">A 15-day cycle in the optimized medium without gelling agent was included and it enhanced the quality of the </w:t>
      </w:r>
      <w:r w:rsidRPr="00087DB1">
        <w:rPr>
          <w:rFonts w:ascii="Arial" w:hAnsi="Arial" w:cs="Arial"/>
          <w:i/>
          <w:iCs/>
        </w:rPr>
        <w:t>in vitro</w:t>
      </w:r>
      <w:r w:rsidRPr="00087DB1">
        <w:rPr>
          <w:rFonts w:ascii="Arial" w:hAnsi="Arial" w:cs="Arial"/>
        </w:rPr>
        <w:t xml:space="preserve"> roots which were visibly healthier and stout enough to be </w:t>
      </w:r>
      <w:r w:rsidRPr="00316461">
        <w:rPr>
          <w:rFonts w:ascii="Arial" w:hAnsi="Arial" w:cs="Arial"/>
        </w:rPr>
        <w:t>transplanted (</w:t>
      </w:r>
      <w:r w:rsidRPr="00316461">
        <w:rPr>
          <w:rFonts w:ascii="Arial" w:hAnsi="Arial" w:cs="Arial"/>
          <w:bCs/>
        </w:rPr>
        <w:t>Figure 2</w:t>
      </w:r>
      <w:r w:rsidRPr="00316461">
        <w:rPr>
          <w:rFonts w:ascii="Arial" w:hAnsi="Arial" w:cs="Arial"/>
        </w:rPr>
        <w:t>).</w:t>
      </w:r>
      <w:r w:rsidRPr="00087DB1">
        <w:rPr>
          <w:rFonts w:ascii="Arial" w:hAnsi="Arial" w:cs="Arial"/>
        </w:rPr>
        <w:t xml:space="preserve">  </w:t>
      </w:r>
      <w:r w:rsidRPr="00087DB1">
        <w:rPr>
          <w:rFonts w:ascii="Arial" w:hAnsi="Arial" w:cs="Arial"/>
          <w:i/>
          <w:iCs/>
        </w:rPr>
        <w:t>In vitro</w:t>
      </w:r>
      <w:r w:rsidRPr="00087DB1">
        <w:rPr>
          <w:rFonts w:ascii="Arial" w:hAnsi="Arial" w:cs="Arial"/>
        </w:rPr>
        <w:t xml:space="preserve"> rooted plantlets were successfully acclimatized under greenhouse conditions with 85% survival. Figure 2 depicts different stages of hardening in </w:t>
      </w:r>
      <w:r w:rsidRPr="00087DB1">
        <w:rPr>
          <w:rFonts w:ascii="Arial" w:hAnsi="Arial" w:cs="Arial"/>
          <w:i/>
          <w:iCs/>
        </w:rPr>
        <w:t>H. orixense</w:t>
      </w:r>
      <w:r w:rsidRPr="00087DB1">
        <w:rPr>
          <w:rFonts w:ascii="Arial" w:hAnsi="Arial" w:cs="Arial"/>
        </w:rPr>
        <w:t xml:space="preserve"> and development of plants in greenhouse. The step wise protocol thus optimized could be effectively used for </w:t>
      </w:r>
      <w:r w:rsidRPr="00087DB1">
        <w:rPr>
          <w:rFonts w:ascii="Arial" w:hAnsi="Arial" w:cs="Arial"/>
          <w:i/>
          <w:iCs/>
        </w:rPr>
        <w:t>in vitro</w:t>
      </w:r>
      <w:r w:rsidRPr="00087DB1">
        <w:rPr>
          <w:rFonts w:ascii="Arial" w:hAnsi="Arial" w:cs="Arial"/>
        </w:rPr>
        <w:t xml:space="preserve"> regeneration and conservation of this tree species. It can be highly useful in case elite or superior planting material, for example, genotypes with high phytochemical content or potential medicinal properties are to be mass propagated</w:t>
      </w:r>
      <w:r w:rsidRPr="00087DB1">
        <w:rPr>
          <w:rFonts w:ascii="Arial" w:hAnsi="Arial" w:cs="Arial"/>
          <w:iCs/>
          <w:lang w:val="en-IN"/>
        </w:rPr>
        <w:t>, as in those cases propagation through seeds may not be desirable owing to variations.</w:t>
      </w:r>
    </w:p>
    <w:p w14:paraId="5F678DC9" w14:textId="77777777" w:rsidR="00012FD0" w:rsidRDefault="00012FD0" w:rsidP="00087DB1">
      <w:pPr>
        <w:pStyle w:val="Body"/>
        <w:spacing w:after="0"/>
        <w:rPr>
          <w:rFonts w:ascii="Arial" w:hAnsi="Arial" w:cs="Arial"/>
          <w:iCs/>
          <w:lang w:val="en-IN"/>
        </w:rPr>
      </w:pPr>
    </w:p>
    <w:p w14:paraId="22B748B7" w14:textId="77777777" w:rsidR="00012FD0" w:rsidRPr="00012FD0" w:rsidRDefault="00012FD0" w:rsidP="00012FD0">
      <w:pPr>
        <w:pStyle w:val="Body"/>
        <w:spacing w:after="0"/>
        <w:rPr>
          <w:rFonts w:ascii="Arial" w:hAnsi="Arial" w:cs="Arial"/>
          <w:b/>
          <w:bCs/>
          <w:iCs/>
          <w:lang w:val="en-IN"/>
        </w:rPr>
      </w:pPr>
      <w:r w:rsidRPr="00012FD0">
        <w:rPr>
          <w:rFonts w:ascii="Arial" w:hAnsi="Arial" w:cs="Arial"/>
          <w:b/>
          <w:bCs/>
          <w:iCs/>
          <w:lang w:val="en-IN"/>
        </w:rPr>
        <w:t xml:space="preserve">Table </w:t>
      </w:r>
      <w:r w:rsidRPr="00012FD0">
        <w:rPr>
          <w:rFonts w:ascii="Arial" w:hAnsi="Arial" w:cs="Arial"/>
          <w:b/>
          <w:bCs/>
          <w:iCs/>
          <w:lang w:val="en-IN"/>
        </w:rPr>
        <w:fldChar w:fldCharType="begin"/>
      </w:r>
      <w:r w:rsidRPr="00012FD0">
        <w:rPr>
          <w:rFonts w:ascii="Arial" w:hAnsi="Arial" w:cs="Arial"/>
          <w:b/>
          <w:bCs/>
          <w:iCs/>
          <w:lang w:val="en-IN"/>
        </w:rPr>
        <w:instrText xml:space="preserve"> SEQ Table \* ARABIC </w:instrText>
      </w:r>
      <w:r w:rsidRPr="00012FD0">
        <w:rPr>
          <w:rFonts w:ascii="Arial" w:hAnsi="Arial" w:cs="Arial"/>
          <w:b/>
          <w:bCs/>
          <w:iCs/>
          <w:lang w:val="en-IN"/>
        </w:rPr>
        <w:fldChar w:fldCharType="separate"/>
      </w:r>
      <w:r w:rsidRPr="00012FD0">
        <w:rPr>
          <w:rFonts w:ascii="Arial" w:hAnsi="Arial" w:cs="Arial"/>
          <w:b/>
          <w:bCs/>
          <w:iCs/>
          <w:lang w:val="en-IN"/>
        </w:rPr>
        <w:t>3</w:t>
      </w:r>
      <w:r w:rsidRPr="00012FD0">
        <w:rPr>
          <w:rFonts w:ascii="Arial" w:hAnsi="Arial" w:cs="Arial"/>
          <w:iCs/>
          <w:lang w:val="en-IN"/>
        </w:rPr>
        <w:fldChar w:fldCharType="end"/>
      </w:r>
      <w:r>
        <w:rPr>
          <w:rFonts w:ascii="Arial" w:hAnsi="Arial" w:cs="Arial"/>
          <w:iCs/>
          <w:lang w:val="en-IN"/>
        </w:rPr>
        <w:t>.</w:t>
      </w:r>
      <w:r w:rsidRPr="00012FD0">
        <w:rPr>
          <w:rFonts w:ascii="Arial" w:hAnsi="Arial" w:cs="Arial"/>
          <w:b/>
          <w:bCs/>
          <w:iCs/>
          <w:lang w:val="en-IN"/>
        </w:rPr>
        <w:t xml:space="preserve"> </w:t>
      </w:r>
      <w:r w:rsidRPr="00012FD0">
        <w:rPr>
          <w:rFonts w:ascii="Arial" w:hAnsi="Arial" w:cs="Arial"/>
          <w:b/>
          <w:bCs/>
          <w:i/>
          <w:iCs/>
          <w:lang w:val="en-IN"/>
        </w:rPr>
        <w:t>In vitro</w:t>
      </w:r>
      <w:r w:rsidRPr="00012FD0">
        <w:rPr>
          <w:rFonts w:ascii="Arial" w:hAnsi="Arial" w:cs="Arial"/>
          <w:b/>
          <w:bCs/>
          <w:iCs/>
          <w:lang w:val="en-IN"/>
        </w:rPr>
        <w:t xml:space="preserve"> rooting results in </w:t>
      </w:r>
      <w:proofErr w:type="spellStart"/>
      <w:r w:rsidRPr="00012FD0">
        <w:rPr>
          <w:rFonts w:ascii="Arial" w:hAnsi="Arial" w:cs="Arial"/>
          <w:b/>
          <w:bCs/>
          <w:i/>
          <w:iCs/>
          <w:lang w:val="en-IN"/>
        </w:rPr>
        <w:t>Hymenodictyon</w:t>
      </w:r>
      <w:proofErr w:type="spellEnd"/>
      <w:r w:rsidRPr="00012FD0">
        <w:rPr>
          <w:rFonts w:ascii="Arial" w:hAnsi="Arial" w:cs="Arial"/>
          <w:b/>
          <w:bCs/>
          <w:i/>
          <w:iCs/>
          <w:lang w:val="en-IN"/>
        </w:rPr>
        <w:t xml:space="preserve"> </w:t>
      </w:r>
      <w:proofErr w:type="spellStart"/>
      <w:r w:rsidRPr="00012FD0">
        <w:rPr>
          <w:rFonts w:ascii="Arial" w:hAnsi="Arial" w:cs="Arial"/>
          <w:b/>
          <w:bCs/>
          <w:i/>
          <w:iCs/>
          <w:lang w:val="en-IN"/>
        </w:rPr>
        <w:t>orixense</w:t>
      </w:r>
      <w:proofErr w:type="spellEnd"/>
      <w:r w:rsidRPr="00012FD0">
        <w:rPr>
          <w:rFonts w:ascii="Arial" w:hAnsi="Arial" w:cs="Arial"/>
          <w:b/>
          <w:bCs/>
          <w:i/>
          <w:iCs/>
          <w:lang w:val="en-IN"/>
        </w:rPr>
        <w:t xml:space="preserve"> </w:t>
      </w:r>
      <w:r w:rsidRPr="00012FD0">
        <w:rPr>
          <w:rFonts w:ascii="Arial" w:hAnsi="Arial" w:cs="Arial"/>
          <w:b/>
          <w:bCs/>
          <w:iCs/>
          <w:lang w:val="en-IN"/>
        </w:rPr>
        <w:t>indicating mean root number, mean root length in each treatment along with nature of roots and rooting percentage</w:t>
      </w:r>
    </w:p>
    <w:tbl>
      <w:tblPr>
        <w:tblStyle w:val="TableGrid"/>
        <w:tblW w:w="47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4"/>
        <w:gridCol w:w="1480"/>
        <w:gridCol w:w="1266"/>
        <w:gridCol w:w="1688"/>
        <w:gridCol w:w="1346"/>
      </w:tblGrid>
      <w:tr w:rsidR="00012FD0" w:rsidRPr="00012FD0" w14:paraId="49DCF5FC" w14:textId="77777777" w:rsidTr="00012FD0">
        <w:trPr>
          <w:trHeight w:val="290"/>
        </w:trPr>
        <w:tc>
          <w:tcPr>
            <w:tcW w:w="1609" w:type="pct"/>
            <w:tcBorders>
              <w:top w:val="single" w:sz="4" w:space="0" w:color="auto"/>
              <w:bottom w:val="single" w:sz="4" w:space="0" w:color="auto"/>
            </w:tcBorders>
            <w:noWrap/>
            <w:vAlign w:val="center"/>
            <w:hideMark/>
          </w:tcPr>
          <w:p w14:paraId="6C6D4F26" w14:textId="77777777" w:rsidR="00012FD0" w:rsidRPr="00012FD0" w:rsidRDefault="00012FD0" w:rsidP="00012FD0">
            <w:pPr>
              <w:pStyle w:val="Body"/>
              <w:rPr>
                <w:rFonts w:ascii="Arial" w:hAnsi="Arial" w:cs="Arial"/>
                <w:b/>
                <w:iCs/>
                <w:sz w:val="20"/>
                <w:szCs w:val="20"/>
                <w:lang w:val="en-IN"/>
              </w:rPr>
            </w:pPr>
            <w:r w:rsidRPr="00012FD0">
              <w:rPr>
                <w:rFonts w:ascii="Arial" w:hAnsi="Arial" w:cs="Arial"/>
                <w:b/>
                <w:iCs/>
                <w:sz w:val="20"/>
                <w:szCs w:val="20"/>
                <w:lang w:val="en-IN"/>
              </w:rPr>
              <w:t>PGR combination</w:t>
            </w:r>
          </w:p>
        </w:tc>
        <w:tc>
          <w:tcPr>
            <w:tcW w:w="851" w:type="pct"/>
            <w:tcBorders>
              <w:top w:val="single" w:sz="4" w:space="0" w:color="auto"/>
              <w:bottom w:val="single" w:sz="4" w:space="0" w:color="auto"/>
            </w:tcBorders>
            <w:noWrap/>
            <w:vAlign w:val="center"/>
            <w:hideMark/>
          </w:tcPr>
          <w:p w14:paraId="38824743" w14:textId="77777777" w:rsidR="00012FD0" w:rsidRPr="00012FD0" w:rsidRDefault="00012FD0" w:rsidP="00012FD0">
            <w:pPr>
              <w:pStyle w:val="Body"/>
              <w:rPr>
                <w:rFonts w:ascii="Arial" w:hAnsi="Arial" w:cs="Arial"/>
                <w:b/>
                <w:iCs/>
                <w:sz w:val="20"/>
                <w:szCs w:val="20"/>
                <w:lang w:val="en-IN"/>
              </w:rPr>
            </w:pPr>
            <w:r w:rsidRPr="00012FD0">
              <w:rPr>
                <w:rFonts w:ascii="Arial" w:hAnsi="Arial" w:cs="Arial"/>
                <w:b/>
                <w:iCs/>
                <w:sz w:val="20"/>
                <w:szCs w:val="20"/>
                <w:lang w:val="en-IN"/>
              </w:rPr>
              <w:t>Mean number of roots</w:t>
            </w:r>
          </w:p>
        </w:tc>
        <w:tc>
          <w:tcPr>
            <w:tcW w:w="737" w:type="pct"/>
            <w:tcBorders>
              <w:top w:val="single" w:sz="4" w:space="0" w:color="auto"/>
              <w:bottom w:val="single" w:sz="4" w:space="0" w:color="auto"/>
            </w:tcBorders>
            <w:noWrap/>
            <w:vAlign w:val="center"/>
            <w:hideMark/>
          </w:tcPr>
          <w:p w14:paraId="78F4A2E3" w14:textId="77777777" w:rsidR="00012FD0" w:rsidRPr="00012FD0" w:rsidRDefault="00012FD0" w:rsidP="00012FD0">
            <w:pPr>
              <w:pStyle w:val="Body"/>
              <w:rPr>
                <w:rFonts w:ascii="Arial" w:hAnsi="Arial" w:cs="Arial"/>
                <w:b/>
                <w:iCs/>
                <w:sz w:val="20"/>
                <w:szCs w:val="20"/>
                <w:lang w:val="en-IN"/>
              </w:rPr>
            </w:pPr>
            <w:r w:rsidRPr="00012FD0">
              <w:rPr>
                <w:rFonts w:ascii="Arial" w:hAnsi="Arial" w:cs="Arial"/>
                <w:b/>
                <w:iCs/>
                <w:sz w:val="20"/>
                <w:szCs w:val="20"/>
                <w:lang w:val="en-IN"/>
              </w:rPr>
              <w:t>Mean Root Length</w:t>
            </w:r>
          </w:p>
        </w:tc>
        <w:tc>
          <w:tcPr>
            <w:tcW w:w="1030" w:type="pct"/>
            <w:tcBorders>
              <w:top w:val="single" w:sz="4" w:space="0" w:color="auto"/>
              <w:bottom w:val="single" w:sz="4" w:space="0" w:color="auto"/>
            </w:tcBorders>
            <w:noWrap/>
            <w:vAlign w:val="center"/>
            <w:hideMark/>
          </w:tcPr>
          <w:p w14:paraId="5C19DE97" w14:textId="77777777" w:rsidR="00012FD0" w:rsidRPr="00012FD0" w:rsidRDefault="00012FD0" w:rsidP="00012FD0">
            <w:pPr>
              <w:pStyle w:val="Body"/>
              <w:rPr>
                <w:rFonts w:ascii="Arial" w:hAnsi="Arial" w:cs="Arial"/>
                <w:b/>
                <w:iCs/>
                <w:sz w:val="20"/>
                <w:szCs w:val="20"/>
                <w:lang w:val="en-IN"/>
              </w:rPr>
            </w:pPr>
            <w:r w:rsidRPr="00012FD0">
              <w:rPr>
                <w:rFonts w:ascii="Arial" w:hAnsi="Arial" w:cs="Arial"/>
                <w:b/>
                <w:iCs/>
                <w:sz w:val="20"/>
                <w:szCs w:val="20"/>
                <w:lang w:val="en-IN"/>
              </w:rPr>
              <w:t>Nature of roots</w:t>
            </w:r>
          </w:p>
        </w:tc>
        <w:tc>
          <w:tcPr>
            <w:tcW w:w="773" w:type="pct"/>
            <w:tcBorders>
              <w:top w:val="single" w:sz="4" w:space="0" w:color="auto"/>
              <w:bottom w:val="single" w:sz="4" w:space="0" w:color="auto"/>
            </w:tcBorders>
            <w:noWrap/>
            <w:vAlign w:val="center"/>
            <w:hideMark/>
          </w:tcPr>
          <w:p w14:paraId="677D3812" w14:textId="77777777" w:rsidR="00012FD0" w:rsidRPr="00012FD0" w:rsidRDefault="00012FD0" w:rsidP="00012FD0">
            <w:pPr>
              <w:pStyle w:val="Body"/>
              <w:rPr>
                <w:rFonts w:ascii="Arial" w:hAnsi="Arial" w:cs="Arial"/>
                <w:b/>
                <w:iCs/>
                <w:sz w:val="20"/>
                <w:szCs w:val="20"/>
                <w:lang w:val="en-IN"/>
              </w:rPr>
            </w:pPr>
            <w:r w:rsidRPr="00012FD0">
              <w:rPr>
                <w:rFonts w:ascii="Arial" w:hAnsi="Arial" w:cs="Arial"/>
                <w:b/>
                <w:iCs/>
                <w:sz w:val="20"/>
                <w:szCs w:val="20"/>
                <w:lang w:val="en-IN"/>
              </w:rPr>
              <w:t>Rooting percentage</w:t>
            </w:r>
          </w:p>
        </w:tc>
      </w:tr>
      <w:tr w:rsidR="00012FD0" w:rsidRPr="00012FD0" w14:paraId="38ABF3E8" w14:textId="77777777" w:rsidTr="00012FD0">
        <w:trPr>
          <w:trHeight w:val="290"/>
        </w:trPr>
        <w:tc>
          <w:tcPr>
            <w:tcW w:w="1609" w:type="pct"/>
            <w:tcBorders>
              <w:top w:val="single" w:sz="4" w:space="0" w:color="auto"/>
            </w:tcBorders>
            <w:noWrap/>
            <w:vAlign w:val="center"/>
          </w:tcPr>
          <w:p w14:paraId="3CD5B085"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MS (basal)</w:t>
            </w:r>
          </w:p>
        </w:tc>
        <w:tc>
          <w:tcPr>
            <w:tcW w:w="851" w:type="pct"/>
            <w:tcBorders>
              <w:top w:val="single" w:sz="4" w:space="0" w:color="auto"/>
            </w:tcBorders>
            <w:noWrap/>
            <w:vAlign w:val="center"/>
          </w:tcPr>
          <w:p w14:paraId="6CE1AE56"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No roots</w:t>
            </w:r>
          </w:p>
        </w:tc>
        <w:tc>
          <w:tcPr>
            <w:tcW w:w="737" w:type="pct"/>
            <w:tcBorders>
              <w:top w:val="single" w:sz="4" w:space="0" w:color="auto"/>
            </w:tcBorders>
            <w:noWrap/>
            <w:vAlign w:val="center"/>
          </w:tcPr>
          <w:p w14:paraId="28EA1926"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No roots</w:t>
            </w:r>
          </w:p>
        </w:tc>
        <w:tc>
          <w:tcPr>
            <w:tcW w:w="1030" w:type="pct"/>
            <w:tcBorders>
              <w:top w:val="single" w:sz="4" w:space="0" w:color="auto"/>
            </w:tcBorders>
            <w:noWrap/>
            <w:vAlign w:val="center"/>
          </w:tcPr>
          <w:p w14:paraId="37D37CAE"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No roots</w:t>
            </w:r>
          </w:p>
        </w:tc>
        <w:tc>
          <w:tcPr>
            <w:tcW w:w="773" w:type="pct"/>
            <w:tcBorders>
              <w:top w:val="single" w:sz="4" w:space="0" w:color="auto"/>
            </w:tcBorders>
            <w:noWrap/>
            <w:vAlign w:val="center"/>
          </w:tcPr>
          <w:p w14:paraId="4762E9B1"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0%</w:t>
            </w:r>
          </w:p>
        </w:tc>
      </w:tr>
      <w:tr w:rsidR="00012FD0" w:rsidRPr="00012FD0" w14:paraId="3FDC253D" w14:textId="77777777" w:rsidTr="00012FD0">
        <w:trPr>
          <w:trHeight w:val="310"/>
        </w:trPr>
        <w:tc>
          <w:tcPr>
            <w:tcW w:w="1609" w:type="pct"/>
            <w:noWrap/>
            <w:vAlign w:val="center"/>
            <w:hideMark/>
          </w:tcPr>
          <w:p w14:paraId="37B8E57F" w14:textId="77777777" w:rsidR="00012FD0" w:rsidRPr="00012FD0" w:rsidRDefault="00012FD0" w:rsidP="00012FD0">
            <w:pPr>
              <w:pStyle w:val="Body"/>
              <w:jc w:val="left"/>
              <w:rPr>
                <w:rFonts w:ascii="Arial" w:hAnsi="Arial" w:cs="Arial"/>
                <w:iCs/>
                <w:sz w:val="20"/>
                <w:szCs w:val="20"/>
                <w:lang w:val="en-IN"/>
              </w:rPr>
            </w:pPr>
            <w:r w:rsidRPr="00012FD0">
              <w:rPr>
                <w:rFonts w:ascii="Arial" w:hAnsi="Arial" w:cs="Arial"/>
                <w:iCs/>
                <w:sz w:val="20"/>
                <w:szCs w:val="20"/>
                <w:lang w:val="en-IN"/>
              </w:rPr>
              <w:t>1/2 MS+0.25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IAA+0.025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kinetin</w:t>
            </w:r>
          </w:p>
        </w:tc>
        <w:tc>
          <w:tcPr>
            <w:tcW w:w="851" w:type="pct"/>
            <w:noWrap/>
            <w:vAlign w:val="center"/>
          </w:tcPr>
          <w:p w14:paraId="4B490749"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14.02±0.21</w:t>
            </w:r>
            <w:r w:rsidRPr="00012FD0">
              <w:rPr>
                <w:rFonts w:ascii="Arial" w:hAnsi="Arial" w:cs="Arial"/>
                <w:iCs/>
                <w:sz w:val="20"/>
                <w:szCs w:val="20"/>
                <w:vertAlign w:val="superscript"/>
                <w:lang w:val="en-IN"/>
              </w:rPr>
              <w:t>b</w:t>
            </w:r>
          </w:p>
        </w:tc>
        <w:tc>
          <w:tcPr>
            <w:tcW w:w="737" w:type="pct"/>
            <w:noWrap/>
            <w:vAlign w:val="center"/>
          </w:tcPr>
          <w:p w14:paraId="4BA966AB"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4.20±0.23</w:t>
            </w:r>
            <w:r w:rsidRPr="00012FD0">
              <w:rPr>
                <w:rFonts w:ascii="Arial" w:hAnsi="Arial" w:cs="Arial"/>
                <w:iCs/>
                <w:sz w:val="20"/>
                <w:szCs w:val="20"/>
                <w:vertAlign w:val="superscript"/>
                <w:lang w:val="en-IN"/>
              </w:rPr>
              <w:t>bc</w:t>
            </w:r>
          </w:p>
        </w:tc>
        <w:tc>
          <w:tcPr>
            <w:tcW w:w="1030" w:type="pct"/>
            <w:noWrap/>
            <w:vAlign w:val="center"/>
            <w:hideMark/>
          </w:tcPr>
          <w:p w14:paraId="3CD47E38"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Various short roots</w:t>
            </w:r>
          </w:p>
        </w:tc>
        <w:tc>
          <w:tcPr>
            <w:tcW w:w="773" w:type="pct"/>
            <w:noWrap/>
            <w:vAlign w:val="center"/>
            <w:hideMark/>
          </w:tcPr>
          <w:p w14:paraId="3EFB0ADA"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100%</w:t>
            </w:r>
          </w:p>
        </w:tc>
      </w:tr>
      <w:tr w:rsidR="00012FD0" w:rsidRPr="00012FD0" w14:paraId="2357DE83" w14:textId="77777777" w:rsidTr="00012FD0">
        <w:trPr>
          <w:trHeight w:val="310"/>
        </w:trPr>
        <w:tc>
          <w:tcPr>
            <w:tcW w:w="1609" w:type="pct"/>
            <w:noWrap/>
            <w:vAlign w:val="center"/>
            <w:hideMark/>
          </w:tcPr>
          <w:p w14:paraId="7B8D590B" w14:textId="77777777" w:rsidR="00012FD0" w:rsidRPr="00012FD0" w:rsidRDefault="00012FD0" w:rsidP="00012FD0">
            <w:pPr>
              <w:pStyle w:val="Body"/>
              <w:jc w:val="left"/>
              <w:rPr>
                <w:rFonts w:ascii="Arial" w:hAnsi="Arial" w:cs="Arial"/>
                <w:iCs/>
                <w:sz w:val="20"/>
                <w:szCs w:val="20"/>
                <w:lang w:val="en-IN"/>
              </w:rPr>
            </w:pPr>
            <w:r w:rsidRPr="00012FD0">
              <w:rPr>
                <w:rFonts w:ascii="Arial" w:hAnsi="Arial" w:cs="Arial"/>
                <w:iCs/>
                <w:sz w:val="20"/>
                <w:szCs w:val="20"/>
                <w:lang w:val="en-IN"/>
              </w:rPr>
              <w:t>1/2 MS+0.5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IAA+0.025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kinetin</w:t>
            </w:r>
          </w:p>
        </w:tc>
        <w:tc>
          <w:tcPr>
            <w:tcW w:w="851" w:type="pct"/>
            <w:noWrap/>
            <w:vAlign w:val="center"/>
          </w:tcPr>
          <w:p w14:paraId="789DEA90"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14.33±1.76</w:t>
            </w:r>
            <w:r w:rsidRPr="00012FD0">
              <w:rPr>
                <w:rFonts w:ascii="Arial" w:hAnsi="Arial" w:cs="Arial"/>
                <w:iCs/>
                <w:sz w:val="20"/>
                <w:szCs w:val="20"/>
                <w:vertAlign w:val="superscript"/>
                <w:lang w:val="en-IN"/>
              </w:rPr>
              <w:t>b</w:t>
            </w:r>
          </w:p>
        </w:tc>
        <w:tc>
          <w:tcPr>
            <w:tcW w:w="737" w:type="pct"/>
            <w:noWrap/>
            <w:vAlign w:val="center"/>
          </w:tcPr>
          <w:p w14:paraId="5D3C81FC"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4.82±0.73</w:t>
            </w:r>
            <w:r w:rsidRPr="00012FD0">
              <w:rPr>
                <w:rFonts w:ascii="Arial" w:hAnsi="Arial" w:cs="Arial"/>
                <w:iCs/>
                <w:sz w:val="20"/>
                <w:szCs w:val="20"/>
                <w:vertAlign w:val="superscript"/>
                <w:lang w:val="en-IN"/>
              </w:rPr>
              <w:t>bc</w:t>
            </w:r>
          </w:p>
        </w:tc>
        <w:tc>
          <w:tcPr>
            <w:tcW w:w="1030" w:type="pct"/>
            <w:noWrap/>
            <w:vAlign w:val="center"/>
            <w:hideMark/>
          </w:tcPr>
          <w:p w14:paraId="75537B22"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short roots</w:t>
            </w:r>
          </w:p>
        </w:tc>
        <w:tc>
          <w:tcPr>
            <w:tcW w:w="773" w:type="pct"/>
            <w:noWrap/>
            <w:vAlign w:val="center"/>
            <w:hideMark/>
          </w:tcPr>
          <w:p w14:paraId="1EA7B859"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100%</w:t>
            </w:r>
          </w:p>
        </w:tc>
      </w:tr>
      <w:tr w:rsidR="00012FD0" w:rsidRPr="00012FD0" w14:paraId="27268EDE" w14:textId="77777777" w:rsidTr="00012FD0">
        <w:trPr>
          <w:trHeight w:val="310"/>
        </w:trPr>
        <w:tc>
          <w:tcPr>
            <w:tcW w:w="1609" w:type="pct"/>
            <w:noWrap/>
            <w:vAlign w:val="center"/>
            <w:hideMark/>
          </w:tcPr>
          <w:p w14:paraId="7D00198F" w14:textId="77777777" w:rsidR="00012FD0" w:rsidRPr="00012FD0" w:rsidRDefault="00012FD0" w:rsidP="00012FD0">
            <w:pPr>
              <w:pStyle w:val="Body"/>
              <w:jc w:val="left"/>
              <w:rPr>
                <w:rFonts w:ascii="Arial" w:hAnsi="Arial" w:cs="Arial"/>
                <w:iCs/>
                <w:sz w:val="20"/>
                <w:szCs w:val="20"/>
                <w:lang w:val="en-IN"/>
              </w:rPr>
            </w:pPr>
            <w:r w:rsidRPr="00012FD0">
              <w:rPr>
                <w:rFonts w:ascii="Arial" w:hAnsi="Arial" w:cs="Arial"/>
                <w:iCs/>
                <w:sz w:val="20"/>
                <w:szCs w:val="20"/>
                <w:lang w:val="en-IN"/>
              </w:rPr>
              <w:t>1/2 MS+ 0.75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IAA+0.025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kinetin</w:t>
            </w:r>
          </w:p>
        </w:tc>
        <w:tc>
          <w:tcPr>
            <w:tcW w:w="851" w:type="pct"/>
            <w:noWrap/>
            <w:vAlign w:val="center"/>
          </w:tcPr>
          <w:p w14:paraId="07E17837"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24.85±3.48</w:t>
            </w:r>
            <w:r w:rsidRPr="00012FD0">
              <w:rPr>
                <w:rFonts w:ascii="Arial" w:hAnsi="Arial" w:cs="Arial"/>
                <w:iCs/>
                <w:sz w:val="20"/>
                <w:szCs w:val="20"/>
                <w:vertAlign w:val="superscript"/>
                <w:lang w:val="en-IN"/>
              </w:rPr>
              <w:t>b</w:t>
            </w:r>
          </w:p>
        </w:tc>
        <w:tc>
          <w:tcPr>
            <w:tcW w:w="737" w:type="pct"/>
            <w:noWrap/>
            <w:vAlign w:val="center"/>
          </w:tcPr>
          <w:p w14:paraId="6FCD93CB"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5.76±0.30</w:t>
            </w:r>
            <w:r w:rsidRPr="00012FD0">
              <w:rPr>
                <w:rFonts w:ascii="Arial" w:hAnsi="Arial" w:cs="Arial"/>
                <w:iCs/>
                <w:sz w:val="20"/>
                <w:szCs w:val="20"/>
                <w:vertAlign w:val="superscript"/>
                <w:lang w:val="en-IN"/>
              </w:rPr>
              <w:t>bc</w:t>
            </w:r>
          </w:p>
        </w:tc>
        <w:tc>
          <w:tcPr>
            <w:tcW w:w="1030" w:type="pct"/>
            <w:noWrap/>
            <w:vAlign w:val="center"/>
            <w:hideMark/>
          </w:tcPr>
          <w:p w14:paraId="3CABCD54"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thin flimsy roots</w:t>
            </w:r>
          </w:p>
        </w:tc>
        <w:tc>
          <w:tcPr>
            <w:tcW w:w="773" w:type="pct"/>
            <w:noWrap/>
            <w:vAlign w:val="center"/>
            <w:hideMark/>
          </w:tcPr>
          <w:p w14:paraId="25F0EFA7"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100%</w:t>
            </w:r>
          </w:p>
        </w:tc>
      </w:tr>
      <w:tr w:rsidR="00012FD0" w:rsidRPr="00012FD0" w14:paraId="1EA18E4E" w14:textId="77777777" w:rsidTr="00012FD0">
        <w:trPr>
          <w:trHeight w:val="310"/>
        </w:trPr>
        <w:tc>
          <w:tcPr>
            <w:tcW w:w="1609" w:type="pct"/>
            <w:noWrap/>
            <w:vAlign w:val="center"/>
            <w:hideMark/>
          </w:tcPr>
          <w:p w14:paraId="0D43B324" w14:textId="77777777" w:rsidR="00012FD0" w:rsidRPr="00012FD0" w:rsidRDefault="00012FD0" w:rsidP="00012FD0">
            <w:pPr>
              <w:pStyle w:val="Body"/>
              <w:jc w:val="left"/>
              <w:rPr>
                <w:rFonts w:ascii="Arial" w:hAnsi="Arial" w:cs="Arial"/>
                <w:bCs/>
                <w:iCs/>
                <w:sz w:val="20"/>
                <w:szCs w:val="20"/>
                <w:lang w:val="en-IN"/>
              </w:rPr>
            </w:pPr>
            <w:r w:rsidRPr="00012FD0">
              <w:rPr>
                <w:rFonts w:ascii="Arial" w:hAnsi="Arial" w:cs="Arial"/>
                <w:bCs/>
                <w:iCs/>
                <w:sz w:val="20"/>
                <w:szCs w:val="20"/>
                <w:lang w:val="en-IN"/>
              </w:rPr>
              <w:t>1/2 MS+ 1 mgL</w:t>
            </w:r>
            <w:r w:rsidRPr="00012FD0">
              <w:rPr>
                <w:rFonts w:ascii="Arial" w:hAnsi="Arial" w:cs="Arial"/>
                <w:bCs/>
                <w:iCs/>
                <w:sz w:val="20"/>
                <w:szCs w:val="20"/>
                <w:vertAlign w:val="superscript"/>
                <w:lang w:val="en-IN"/>
              </w:rPr>
              <w:t>-1</w:t>
            </w:r>
            <w:r w:rsidRPr="00012FD0">
              <w:rPr>
                <w:rFonts w:ascii="Arial" w:hAnsi="Arial" w:cs="Arial"/>
                <w:bCs/>
                <w:iCs/>
                <w:sz w:val="20"/>
                <w:szCs w:val="20"/>
                <w:lang w:val="en-IN"/>
              </w:rPr>
              <w:t xml:space="preserve">  </w:t>
            </w:r>
            <w:r w:rsidRPr="00012FD0">
              <w:rPr>
                <w:rFonts w:ascii="Arial" w:hAnsi="Arial" w:cs="Arial"/>
                <w:bCs/>
                <w:iCs/>
                <w:sz w:val="20"/>
                <w:szCs w:val="20"/>
                <w:lang w:val="en-IN"/>
              </w:rPr>
              <w:lastRenderedPageBreak/>
              <w:t>IAA+0.025 mgL</w:t>
            </w:r>
            <w:r w:rsidRPr="00012FD0">
              <w:rPr>
                <w:rFonts w:ascii="Arial" w:hAnsi="Arial" w:cs="Arial"/>
                <w:bCs/>
                <w:iCs/>
                <w:sz w:val="20"/>
                <w:szCs w:val="20"/>
                <w:vertAlign w:val="superscript"/>
                <w:lang w:val="en-IN"/>
              </w:rPr>
              <w:t>-1</w:t>
            </w:r>
            <w:r w:rsidRPr="00012FD0">
              <w:rPr>
                <w:rFonts w:ascii="Arial" w:hAnsi="Arial" w:cs="Arial"/>
                <w:bCs/>
                <w:iCs/>
                <w:sz w:val="20"/>
                <w:szCs w:val="20"/>
                <w:lang w:val="en-IN"/>
              </w:rPr>
              <w:t xml:space="preserve"> kinetin</w:t>
            </w:r>
          </w:p>
        </w:tc>
        <w:tc>
          <w:tcPr>
            <w:tcW w:w="851" w:type="pct"/>
            <w:noWrap/>
            <w:vAlign w:val="center"/>
          </w:tcPr>
          <w:p w14:paraId="793C3368" w14:textId="77777777" w:rsidR="00012FD0" w:rsidRPr="00012FD0" w:rsidRDefault="00012FD0" w:rsidP="00012FD0">
            <w:pPr>
              <w:pStyle w:val="Body"/>
              <w:rPr>
                <w:rFonts w:ascii="Arial" w:hAnsi="Arial" w:cs="Arial"/>
                <w:bCs/>
                <w:iCs/>
                <w:sz w:val="20"/>
                <w:szCs w:val="20"/>
                <w:lang w:val="en-IN"/>
              </w:rPr>
            </w:pPr>
            <w:r w:rsidRPr="00012FD0">
              <w:rPr>
                <w:rFonts w:ascii="Arial" w:hAnsi="Arial" w:cs="Arial"/>
                <w:bCs/>
                <w:iCs/>
                <w:sz w:val="20"/>
                <w:szCs w:val="20"/>
                <w:lang w:val="en-IN"/>
              </w:rPr>
              <w:lastRenderedPageBreak/>
              <w:t>41.49±2.78</w:t>
            </w:r>
            <w:r w:rsidRPr="00012FD0">
              <w:rPr>
                <w:rFonts w:ascii="Arial" w:hAnsi="Arial" w:cs="Arial"/>
                <w:bCs/>
                <w:iCs/>
                <w:sz w:val="20"/>
                <w:szCs w:val="20"/>
                <w:vertAlign w:val="superscript"/>
                <w:lang w:val="en-IN"/>
              </w:rPr>
              <w:t>a</w:t>
            </w:r>
          </w:p>
        </w:tc>
        <w:tc>
          <w:tcPr>
            <w:tcW w:w="737" w:type="pct"/>
            <w:noWrap/>
            <w:vAlign w:val="center"/>
          </w:tcPr>
          <w:p w14:paraId="158D19FD" w14:textId="77777777" w:rsidR="00012FD0" w:rsidRPr="00012FD0" w:rsidRDefault="00012FD0" w:rsidP="00012FD0">
            <w:pPr>
              <w:pStyle w:val="Body"/>
              <w:rPr>
                <w:rFonts w:ascii="Arial" w:hAnsi="Arial" w:cs="Arial"/>
                <w:bCs/>
                <w:iCs/>
                <w:sz w:val="20"/>
                <w:szCs w:val="20"/>
                <w:lang w:val="en-IN"/>
              </w:rPr>
            </w:pPr>
            <w:r w:rsidRPr="00012FD0">
              <w:rPr>
                <w:rFonts w:ascii="Arial" w:hAnsi="Arial" w:cs="Arial"/>
                <w:bCs/>
                <w:iCs/>
                <w:sz w:val="20"/>
                <w:szCs w:val="20"/>
                <w:lang w:val="en-IN"/>
              </w:rPr>
              <w:t>6.73±0.22</w:t>
            </w:r>
            <w:r w:rsidRPr="00012FD0">
              <w:rPr>
                <w:rFonts w:ascii="Arial" w:hAnsi="Arial" w:cs="Arial"/>
                <w:bCs/>
                <w:iCs/>
                <w:sz w:val="20"/>
                <w:szCs w:val="20"/>
                <w:vertAlign w:val="superscript"/>
                <w:lang w:val="en-IN"/>
              </w:rPr>
              <w:t>a</w:t>
            </w:r>
          </w:p>
        </w:tc>
        <w:tc>
          <w:tcPr>
            <w:tcW w:w="1030" w:type="pct"/>
            <w:noWrap/>
            <w:vAlign w:val="center"/>
            <w:hideMark/>
          </w:tcPr>
          <w:p w14:paraId="612AC677" w14:textId="77777777" w:rsidR="00012FD0" w:rsidRPr="00012FD0" w:rsidRDefault="00012FD0" w:rsidP="00012FD0">
            <w:pPr>
              <w:pStyle w:val="Body"/>
              <w:rPr>
                <w:rFonts w:ascii="Arial" w:hAnsi="Arial" w:cs="Arial"/>
                <w:bCs/>
                <w:iCs/>
                <w:sz w:val="20"/>
                <w:szCs w:val="20"/>
                <w:lang w:val="en-IN"/>
              </w:rPr>
            </w:pPr>
            <w:r w:rsidRPr="00012FD0">
              <w:rPr>
                <w:rFonts w:ascii="Arial" w:hAnsi="Arial" w:cs="Arial"/>
                <w:bCs/>
                <w:iCs/>
                <w:sz w:val="20"/>
                <w:szCs w:val="20"/>
                <w:lang w:val="en-IN"/>
              </w:rPr>
              <w:t xml:space="preserve">thick and </w:t>
            </w:r>
            <w:r w:rsidRPr="00012FD0">
              <w:rPr>
                <w:rFonts w:ascii="Arial" w:hAnsi="Arial" w:cs="Arial"/>
                <w:bCs/>
                <w:iCs/>
                <w:sz w:val="20"/>
                <w:szCs w:val="20"/>
                <w:lang w:val="en-IN"/>
              </w:rPr>
              <w:lastRenderedPageBreak/>
              <w:t>vigorous</w:t>
            </w:r>
          </w:p>
        </w:tc>
        <w:tc>
          <w:tcPr>
            <w:tcW w:w="773" w:type="pct"/>
            <w:noWrap/>
            <w:vAlign w:val="center"/>
            <w:hideMark/>
          </w:tcPr>
          <w:p w14:paraId="410CAEFA" w14:textId="77777777" w:rsidR="00012FD0" w:rsidRPr="00012FD0" w:rsidRDefault="00012FD0" w:rsidP="00012FD0">
            <w:pPr>
              <w:pStyle w:val="Body"/>
              <w:rPr>
                <w:rFonts w:ascii="Arial" w:hAnsi="Arial" w:cs="Arial"/>
                <w:bCs/>
                <w:iCs/>
                <w:sz w:val="20"/>
                <w:szCs w:val="20"/>
                <w:lang w:val="en-IN"/>
              </w:rPr>
            </w:pPr>
            <w:r w:rsidRPr="00012FD0">
              <w:rPr>
                <w:rFonts w:ascii="Arial" w:hAnsi="Arial" w:cs="Arial"/>
                <w:bCs/>
                <w:iCs/>
                <w:sz w:val="20"/>
                <w:szCs w:val="20"/>
                <w:lang w:val="en-IN"/>
              </w:rPr>
              <w:lastRenderedPageBreak/>
              <w:t>100%</w:t>
            </w:r>
          </w:p>
        </w:tc>
      </w:tr>
      <w:tr w:rsidR="00012FD0" w:rsidRPr="00012FD0" w14:paraId="13140E82" w14:textId="77777777" w:rsidTr="00012FD0">
        <w:trPr>
          <w:trHeight w:val="310"/>
        </w:trPr>
        <w:tc>
          <w:tcPr>
            <w:tcW w:w="1609" w:type="pct"/>
            <w:noWrap/>
            <w:vAlign w:val="center"/>
            <w:hideMark/>
          </w:tcPr>
          <w:p w14:paraId="36DD05E0" w14:textId="77777777" w:rsidR="00012FD0" w:rsidRPr="00012FD0" w:rsidRDefault="00012FD0" w:rsidP="00012FD0">
            <w:pPr>
              <w:pStyle w:val="Body"/>
              <w:jc w:val="left"/>
              <w:rPr>
                <w:rFonts w:ascii="Arial" w:hAnsi="Arial" w:cs="Arial"/>
                <w:iCs/>
                <w:sz w:val="20"/>
                <w:szCs w:val="20"/>
                <w:lang w:val="en-IN"/>
              </w:rPr>
            </w:pPr>
            <w:r w:rsidRPr="00012FD0">
              <w:rPr>
                <w:rFonts w:ascii="Arial" w:hAnsi="Arial" w:cs="Arial"/>
                <w:iCs/>
                <w:sz w:val="20"/>
                <w:szCs w:val="20"/>
                <w:lang w:val="en-IN"/>
              </w:rPr>
              <w:t>1/2 MS+0.25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NAA+0.025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kinetin</w:t>
            </w:r>
          </w:p>
        </w:tc>
        <w:tc>
          <w:tcPr>
            <w:tcW w:w="851" w:type="pct"/>
            <w:noWrap/>
            <w:vAlign w:val="center"/>
          </w:tcPr>
          <w:p w14:paraId="58373D69"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24.92±0.12</w:t>
            </w:r>
            <w:r w:rsidRPr="00012FD0">
              <w:rPr>
                <w:rFonts w:ascii="Arial" w:hAnsi="Arial" w:cs="Arial"/>
                <w:iCs/>
                <w:sz w:val="20"/>
                <w:szCs w:val="20"/>
                <w:vertAlign w:val="superscript"/>
                <w:lang w:val="en-IN"/>
              </w:rPr>
              <w:t>b</w:t>
            </w:r>
          </w:p>
        </w:tc>
        <w:tc>
          <w:tcPr>
            <w:tcW w:w="737" w:type="pct"/>
            <w:noWrap/>
            <w:vAlign w:val="center"/>
          </w:tcPr>
          <w:p w14:paraId="5A3BD995"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5.96±0.17</w:t>
            </w:r>
            <w:r w:rsidRPr="00012FD0">
              <w:rPr>
                <w:rFonts w:ascii="Arial" w:hAnsi="Arial" w:cs="Arial"/>
                <w:iCs/>
                <w:sz w:val="20"/>
                <w:szCs w:val="20"/>
                <w:vertAlign w:val="superscript"/>
                <w:lang w:val="en-IN"/>
              </w:rPr>
              <w:t>ab</w:t>
            </w:r>
          </w:p>
        </w:tc>
        <w:tc>
          <w:tcPr>
            <w:tcW w:w="1030" w:type="pct"/>
            <w:noWrap/>
            <w:vAlign w:val="center"/>
            <w:hideMark/>
          </w:tcPr>
          <w:p w14:paraId="45170D4F" w14:textId="77777777" w:rsidR="00012FD0" w:rsidRPr="00012FD0" w:rsidRDefault="00012FD0" w:rsidP="00012FD0">
            <w:pPr>
              <w:pStyle w:val="Body"/>
              <w:rPr>
                <w:rFonts w:ascii="Arial" w:hAnsi="Arial" w:cs="Arial"/>
                <w:iCs/>
                <w:sz w:val="20"/>
                <w:szCs w:val="20"/>
                <w:lang w:val="en-IN"/>
              </w:rPr>
            </w:pPr>
            <w:proofErr w:type="spellStart"/>
            <w:r w:rsidRPr="00012FD0">
              <w:rPr>
                <w:rFonts w:ascii="Arial" w:hAnsi="Arial" w:cs="Arial"/>
                <w:iCs/>
                <w:sz w:val="20"/>
                <w:szCs w:val="20"/>
                <w:lang w:val="en-IN"/>
              </w:rPr>
              <w:t>callogenic</w:t>
            </w:r>
            <w:proofErr w:type="spellEnd"/>
            <w:r w:rsidRPr="00012FD0">
              <w:rPr>
                <w:rFonts w:ascii="Arial" w:hAnsi="Arial" w:cs="Arial"/>
                <w:iCs/>
                <w:sz w:val="20"/>
                <w:szCs w:val="20"/>
                <w:lang w:val="en-IN"/>
              </w:rPr>
              <w:t xml:space="preserve"> amorphous roots</w:t>
            </w:r>
          </w:p>
        </w:tc>
        <w:tc>
          <w:tcPr>
            <w:tcW w:w="773" w:type="pct"/>
            <w:noWrap/>
            <w:vAlign w:val="center"/>
            <w:hideMark/>
          </w:tcPr>
          <w:p w14:paraId="206663EC"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100%</w:t>
            </w:r>
          </w:p>
        </w:tc>
      </w:tr>
      <w:tr w:rsidR="00012FD0" w:rsidRPr="00012FD0" w14:paraId="7E50C27D" w14:textId="77777777" w:rsidTr="00012FD0">
        <w:trPr>
          <w:trHeight w:val="310"/>
        </w:trPr>
        <w:tc>
          <w:tcPr>
            <w:tcW w:w="1609" w:type="pct"/>
            <w:noWrap/>
            <w:vAlign w:val="center"/>
            <w:hideMark/>
          </w:tcPr>
          <w:p w14:paraId="037D466E" w14:textId="77777777" w:rsidR="00012FD0" w:rsidRPr="00012FD0" w:rsidRDefault="00012FD0" w:rsidP="00012FD0">
            <w:pPr>
              <w:pStyle w:val="Body"/>
              <w:jc w:val="left"/>
              <w:rPr>
                <w:rFonts w:ascii="Arial" w:hAnsi="Arial" w:cs="Arial"/>
                <w:iCs/>
                <w:sz w:val="20"/>
                <w:szCs w:val="20"/>
                <w:lang w:val="en-IN"/>
              </w:rPr>
            </w:pPr>
            <w:r w:rsidRPr="00012FD0">
              <w:rPr>
                <w:rFonts w:ascii="Arial" w:hAnsi="Arial" w:cs="Arial"/>
                <w:iCs/>
                <w:sz w:val="20"/>
                <w:szCs w:val="20"/>
                <w:lang w:val="en-IN"/>
              </w:rPr>
              <w:t>1/2 MS+0.5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NAA+0.025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kinetin</w:t>
            </w:r>
          </w:p>
        </w:tc>
        <w:tc>
          <w:tcPr>
            <w:tcW w:w="851" w:type="pct"/>
            <w:noWrap/>
            <w:vAlign w:val="center"/>
          </w:tcPr>
          <w:p w14:paraId="78039C16"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23.67±1.30</w:t>
            </w:r>
            <w:r w:rsidRPr="00012FD0">
              <w:rPr>
                <w:rFonts w:ascii="Arial" w:hAnsi="Arial" w:cs="Arial"/>
                <w:iCs/>
                <w:sz w:val="20"/>
                <w:szCs w:val="20"/>
                <w:vertAlign w:val="superscript"/>
                <w:lang w:val="en-IN"/>
              </w:rPr>
              <w:t>b</w:t>
            </w:r>
          </w:p>
        </w:tc>
        <w:tc>
          <w:tcPr>
            <w:tcW w:w="737" w:type="pct"/>
            <w:noWrap/>
            <w:vAlign w:val="center"/>
          </w:tcPr>
          <w:p w14:paraId="3D87E5B0"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5.41±0.36</w:t>
            </w:r>
            <w:r w:rsidRPr="00012FD0">
              <w:rPr>
                <w:rFonts w:ascii="Arial" w:hAnsi="Arial" w:cs="Arial"/>
                <w:iCs/>
                <w:sz w:val="20"/>
                <w:szCs w:val="20"/>
                <w:vertAlign w:val="superscript"/>
                <w:lang w:val="en-IN"/>
              </w:rPr>
              <w:t>bc</w:t>
            </w:r>
          </w:p>
        </w:tc>
        <w:tc>
          <w:tcPr>
            <w:tcW w:w="1030" w:type="pct"/>
            <w:noWrap/>
            <w:vAlign w:val="center"/>
            <w:hideMark/>
          </w:tcPr>
          <w:p w14:paraId="218367C8" w14:textId="77777777" w:rsidR="00012FD0" w:rsidRPr="00012FD0" w:rsidRDefault="00012FD0" w:rsidP="00012FD0">
            <w:pPr>
              <w:pStyle w:val="Body"/>
              <w:rPr>
                <w:rFonts w:ascii="Arial" w:hAnsi="Arial" w:cs="Arial"/>
                <w:iCs/>
                <w:sz w:val="20"/>
                <w:szCs w:val="20"/>
                <w:lang w:val="en-IN"/>
              </w:rPr>
            </w:pPr>
            <w:proofErr w:type="spellStart"/>
            <w:r w:rsidRPr="00012FD0">
              <w:rPr>
                <w:rFonts w:ascii="Arial" w:hAnsi="Arial" w:cs="Arial"/>
                <w:iCs/>
                <w:sz w:val="20"/>
                <w:szCs w:val="20"/>
                <w:lang w:val="en-IN"/>
              </w:rPr>
              <w:t>callogenic</w:t>
            </w:r>
            <w:proofErr w:type="spellEnd"/>
            <w:r w:rsidRPr="00012FD0">
              <w:rPr>
                <w:rFonts w:ascii="Arial" w:hAnsi="Arial" w:cs="Arial"/>
                <w:iCs/>
                <w:sz w:val="20"/>
                <w:szCs w:val="20"/>
                <w:lang w:val="en-IN"/>
              </w:rPr>
              <w:t xml:space="preserve"> roots</w:t>
            </w:r>
          </w:p>
        </w:tc>
        <w:tc>
          <w:tcPr>
            <w:tcW w:w="773" w:type="pct"/>
            <w:noWrap/>
            <w:vAlign w:val="center"/>
            <w:hideMark/>
          </w:tcPr>
          <w:p w14:paraId="49312B23"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100%</w:t>
            </w:r>
          </w:p>
        </w:tc>
      </w:tr>
      <w:tr w:rsidR="00012FD0" w:rsidRPr="00012FD0" w14:paraId="50C03BDE" w14:textId="77777777" w:rsidTr="00012FD0">
        <w:trPr>
          <w:trHeight w:val="310"/>
        </w:trPr>
        <w:tc>
          <w:tcPr>
            <w:tcW w:w="1609" w:type="pct"/>
            <w:noWrap/>
            <w:vAlign w:val="center"/>
            <w:hideMark/>
          </w:tcPr>
          <w:p w14:paraId="7B42415F" w14:textId="77777777" w:rsidR="00012FD0" w:rsidRPr="00012FD0" w:rsidRDefault="00012FD0" w:rsidP="00012FD0">
            <w:pPr>
              <w:pStyle w:val="Body"/>
              <w:jc w:val="left"/>
              <w:rPr>
                <w:rFonts w:ascii="Arial" w:hAnsi="Arial" w:cs="Arial"/>
                <w:iCs/>
                <w:sz w:val="20"/>
                <w:szCs w:val="20"/>
                <w:lang w:val="en-IN"/>
              </w:rPr>
            </w:pPr>
            <w:r w:rsidRPr="00012FD0">
              <w:rPr>
                <w:rFonts w:ascii="Arial" w:hAnsi="Arial" w:cs="Arial"/>
                <w:iCs/>
                <w:sz w:val="20"/>
                <w:szCs w:val="20"/>
                <w:lang w:val="en-IN"/>
              </w:rPr>
              <w:t>1/2 MS+0.75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NAA+0.025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kinetin</w:t>
            </w:r>
          </w:p>
        </w:tc>
        <w:tc>
          <w:tcPr>
            <w:tcW w:w="851" w:type="pct"/>
            <w:noWrap/>
            <w:vAlign w:val="center"/>
          </w:tcPr>
          <w:p w14:paraId="37D2E567"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19.83±0.33</w:t>
            </w:r>
            <w:r w:rsidRPr="00012FD0">
              <w:rPr>
                <w:rFonts w:ascii="Arial" w:hAnsi="Arial" w:cs="Arial"/>
                <w:iCs/>
                <w:sz w:val="20"/>
                <w:szCs w:val="20"/>
                <w:vertAlign w:val="superscript"/>
                <w:lang w:val="en-IN"/>
              </w:rPr>
              <w:t>b</w:t>
            </w:r>
          </w:p>
        </w:tc>
        <w:tc>
          <w:tcPr>
            <w:tcW w:w="737" w:type="pct"/>
            <w:noWrap/>
            <w:vAlign w:val="center"/>
          </w:tcPr>
          <w:p w14:paraId="30B77F0E"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4.48±0.23</w:t>
            </w:r>
            <w:r w:rsidRPr="00012FD0">
              <w:rPr>
                <w:rFonts w:ascii="Arial" w:hAnsi="Arial" w:cs="Arial"/>
                <w:iCs/>
                <w:sz w:val="20"/>
                <w:szCs w:val="20"/>
                <w:vertAlign w:val="superscript"/>
                <w:lang w:val="en-IN"/>
              </w:rPr>
              <w:t>bc</w:t>
            </w:r>
          </w:p>
        </w:tc>
        <w:tc>
          <w:tcPr>
            <w:tcW w:w="1030" w:type="pct"/>
            <w:noWrap/>
            <w:vAlign w:val="center"/>
            <w:hideMark/>
          </w:tcPr>
          <w:p w14:paraId="0A91FF60"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various thin roots</w:t>
            </w:r>
          </w:p>
        </w:tc>
        <w:tc>
          <w:tcPr>
            <w:tcW w:w="773" w:type="pct"/>
            <w:noWrap/>
            <w:vAlign w:val="center"/>
            <w:hideMark/>
          </w:tcPr>
          <w:p w14:paraId="1DFEBDB3"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100%</w:t>
            </w:r>
          </w:p>
        </w:tc>
      </w:tr>
      <w:tr w:rsidR="00012FD0" w:rsidRPr="00012FD0" w14:paraId="0A2DF5D0" w14:textId="77777777" w:rsidTr="00012FD0">
        <w:trPr>
          <w:trHeight w:val="310"/>
        </w:trPr>
        <w:tc>
          <w:tcPr>
            <w:tcW w:w="1609" w:type="pct"/>
            <w:noWrap/>
            <w:vAlign w:val="center"/>
            <w:hideMark/>
          </w:tcPr>
          <w:p w14:paraId="79C58431" w14:textId="77777777" w:rsidR="00012FD0" w:rsidRPr="00012FD0" w:rsidRDefault="00012FD0" w:rsidP="00012FD0">
            <w:pPr>
              <w:pStyle w:val="Body"/>
              <w:jc w:val="left"/>
              <w:rPr>
                <w:rFonts w:ascii="Arial" w:hAnsi="Arial" w:cs="Arial"/>
                <w:iCs/>
                <w:sz w:val="20"/>
                <w:szCs w:val="20"/>
                <w:lang w:val="en-IN"/>
              </w:rPr>
            </w:pPr>
            <w:r w:rsidRPr="00012FD0">
              <w:rPr>
                <w:rFonts w:ascii="Arial" w:hAnsi="Arial" w:cs="Arial"/>
                <w:iCs/>
                <w:sz w:val="20"/>
                <w:szCs w:val="20"/>
                <w:lang w:val="en-IN"/>
              </w:rPr>
              <w:t>1/2 MS+ 1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NAA+0.025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kinetin</w:t>
            </w:r>
          </w:p>
        </w:tc>
        <w:tc>
          <w:tcPr>
            <w:tcW w:w="851" w:type="pct"/>
            <w:noWrap/>
            <w:vAlign w:val="center"/>
          </w:tcPr>
          <w:p w14:paraId="296D561F"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16.67±2.40</w:t>
            </w:r>
            <w:r w:rsidRPr="00012FD0">
              <w:rPr>
                <w:rFonts w:ascii="Arial" w:hAnsi="Arial" w:cs="Arial"/>
                <w:iCs/>
                <w:sz w:val="20"/>
                <w:szCs w:val="20"/>
                <w:vertAlign w:val="superscript"/>
                <w:lang w:val="en-IN"/>
              </w:rPr>
              <w:t>b</w:t>
            </w:r>
          </w:p>
        </w:tc>
        <w:tc>
          <w:tcPr>
            <w:tcW w:w="737" w:type="pct"/>
            <w:noWrap/>
            <w:vAlign w:val="center"/>
          </w:tcPr>
          <w:p w14:paraId="628DA2B9"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4.36±0.20</w:t>
            </w:r>
            <w:r w:rsidRPr="00012FD0">
              <w:rPr>
                <w:rFonts w:ascii="Arial" w:hAnsi="Arial" w:cs="Arial"/>
                <w:iCs/>
                <w:sz w:val="20"/>
                <w:szCs w:val="20"/>
                <w:vertAlign w:val="superscript"/>
                <w:lang w:val="en-IN"/>
              </w:rPr>
              <w:t>c</w:t>
            </w:r>
          </w:p>
        </w:tc>
        <w:tc>
          <w:tcPr>
            <w:tcW w:w="1030" w:type="pct"/>
            <w:noWrap/>
            <w:vAlign w:val="center"/>
            <w:hideMark/>
          </w:tcPr>
          <w:p w14:paraId="6EA88DA3"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 xml:space="preserve">Few thick </w:t>
            </w:r>
            <w:proofErr w:type="spellStart"/>
            <w:r w:rsidRPr="00012FD0">
              <w:rPr>
                <w:rFonts w:ascii="Arial" w:hAnsi="Arial" w:cs="Arial"/>
                <w:iCs/>
                <w:sz w:val="20"/>
                <w:szCs w:val="20"/>
                <w:lang w:val="en-IN"/>
              </w:rPr>
              <w:t>callogenic</w:t>
            </w:r>
            <w:proofErr w:type="spellEnd"/>
            <w:r w:rsidRPr="00012FD0">
              <w:rPr>
                <w:rFonts w:ascii="Arial" w:hAnsi="Arial" w:cs="Arial"/>
                <w:iCs/>
                <w:sz w:val="20"/>
                <w:szCs w:val="20"/>
                <w:lang w:val="en-IN"/>
              </w:rPr>
              <w:t xml:space="preserve"> roots</w:t>
            </w:r>
          </w:p>
        </w:tc>
        <w:tc>
          <w:tcPr>
            <w:tcW w:w="773" w:type="pct"/>
            <w:noWrap/>
            <w:vAlign w:val="center"/>
            <w:hideMark/>
          </w:tcPr>
          <w:p w14:paraId="534E9EC6"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100%</w:t>
            </w:r>
          </w:p>
        </w:tc>
      </w:tr>
    </w:tbl>
    <w:p w14:paraId="203BE4E9" w14:textId="04DB3076" w:rsidR="00012FD0" w:rsidRPr="00012FD0" w:rsidRDefault="00012FD0" w:rsidP="00012FD0">
      <w:pPr>
        <w:pStyle w:val="Body"/>
        <w:pBdr>
          <w:top w:val="single" w:sz="4" w:space="1" w:color="auto"/>
        </w:pBdr>
        <w:spacing w:after="0"/>
        <w:rPr>
          <w:rFonts w:ascii="Arial" w:hAnsi="Arial" w:cs="Arial"/>
          <w:iCs/>
        </w:rPr>
      </w:pPr>
      <w:r w:rsidRPr="00012FD0">
        <w:rPr>
          <w:rFonts w:ascii="Arial" w:hAnsi="Arial" w:cs="Arial"/>
          <w:iCs/>
        </w:rPr>
        <w:t>Means followed by the same letter within a column are not</w:t>
      </w:r>
      <w:r>
        <w:rPr>
          <w:rFonts w:ascii="Arial" w:hAnsi="Arial" w:cs="Arial"/>
          <w:iCs/>
        </w:rPr>
        <w:t xml:space="preserve"> significantly different at (P≤</w:t>
      </w:r>
      <w:r w:rsidR="00D02D32" w:rsidRPr="0099128F">
        <w:rPr>
          <w:rFonts w:ascii="Arial" w:hAnsi="Arial" w:cs="Arial"/>
          <w:iCs/>
          <w:highlight w:val="yellow"/>
        </w:rPr>
        <w:t>0</w:t>
      </w:r>
      <w:r w:rsidRPr="0099128F">
        <w:rPr>
          <w:rFonts w:ascii="Arial" w:hAnsi="Arial" w:cs="Arial"/>
          <w:iCs/>
          <w:highlight w:val="yellow"/>
        </w:rPr>
        <w:t>.</w:t>
      </w:r>
      <w:r w:rsidRPr="00012FD0">
        <w:rPr>
          <w:rFonts w:ascii="Arial" w:hAnsi="Arial" w:cs="Arial"/>
          <w:iCs/>
        </w:rPr>
        <w:t>05)</w:t>
      </w:r>
    </w:p>
    <w:p w14:paraId="34C988E6" w14:textId="48F57B3A" w:rsidR="00012FD0" w:rsidRPr="00087DB1" w:rsidRDefault="00E8315A" w:rsidP="00012FD0">
      <w:pPr>
        <w:pStyle w:val="Body"/>
        <w:pBdr>
          <w:top w:val="single" w:sz="4" w:space="1" w:color="auto"/>
        </w:pBdr>
        <w:spacing w:after="0"/>
        <w:rPr>
          <w:rFonts w:ascii="Arial" w:hAnsi="Arial" w:cs="Arial"/>
          <w:iCs/>
          <w:lang w:val="en-IN"/>
        </w:rPr>
      </w:pPr>
      <w:r>
        <w:rPr>
          <w:rFonts w:ascii="Times New Roman" w:hAnsi="Times New Roman"/>
          <w:noProof/>
          <w:sz w:val="24"/>
          <w:szCs w:val="24"/>
        </w:rPr>
        <w:pict w14:anchorId="40CC1F1B">
          <v:shapetype id="_x0000_t202" coordsize="21600,21600" o:spt="202" path="m,l,21600r21600,l21600,xe">
            <v:stroke joinstyle="miter"/>
            <v:path gradientshapeok="t" o:connecttype="rect"/>
          </v:shapetype>
          <v:shape id="_x0000_s2053" type="#_x0000_t202" style="position:absolute;left:0;text-align:left;margin-left:211.85pt;margin-top:11.05pt;width:22.25pt;height:21.8pt;z-index:251659264" filled="f" stroked="f">
            <v:textbox>
              <w:txbxContent>
                <w:p w14:paraId="3B6A0B93" w14:textId="6B902DE5" w:rsidR="00DA2DEB" w:rsidRDefault="00DA2DEB" w:rsidP="00DA2DEB">
                  <w:r>
                    <w:t>b</w:t>
                  </w:r>
                </w:p>
              </w:txbxContent>
            </v:textbox>
          </v:shape>
        </w:pict>
      </w:r>
    </w:p>
    <w:p w14:paraId="3295B99F" w14:textId="363C8E37" w:rsidR="00087DB1" w:rsidRPr="00087DB1" w:rsidRDefault="00E8315A" w:rsidP="00012FD0">
      <w:pPr>
        <w:pStyle w:val="Body"/>
        <w:spacing w:after="0"/>
        <w:jc w:val="center"/>
        <w:rPr>
          <w:rFonts w:ascii="Arial" w:hAnsi="Arial" w:cs="Arial"/>
        </w:rPr>
      </w:pPr>
      <w:r>
        <w:rPr>
          <w:rFonts w:ascii="Times New Roman" w:hAnsi="Times New Roman"/>
          <w:noProof/>
          <w:sz w:val="24"/>
          <w:szCs w:val="24"/>
        </w:rPr>
        <w:lastRenderedPageBreak/>
        <w:pict w14:anchorId="40CC1F1B">
          <v:shape id="_x0000_s2056" type="#_x0000_t202" style="position:absolute;left:0;text-align:left;margin-left:65.7pt;margin-top:380.3pt;width:22.25pt;height:21.8pt;z-index:251662336" filled="f" stroked="f">
            <v:textbox>
              <w:txbxContent>
                <w:p w14:paraId="413BE122" w14:textId="18F4B706" w:rsidR="00DA2DEB" w:rsidRDefault="00DA2DEB" w:rsidP="00DA2DEB">
                  <w:r>
                    <w:t>e</w:t>
                  </w:r>
                </w:p>
              </w:txbxContent>
            </v:textbox>
          </v:shape>
        </w:pict>
      </w:r>
      <w:r>
        <w:rPr>
          <w:rFonts w:ascii="Times New Roman" w:hAnsi="Times New Roman"/>
          <w:noProof/>
          <w:sz w:val="24"/>
          <w:szCs w:val="24"/>
        </w:rPr>
        <w:pict w14:anchorId="40CC1F1B">
          <v:shape id="_x0000_s2055" type="#_x0000_t202" style="position:absolute;left:0;text-align:left;margin-left:66.8pt;margin-top:250.45pt;width:22.25pt;height:21.8pt;z-index:251661312" filled="f" stroked="f">
            <v:textbox>
              <w:txbxContent>
                <w:p w14:paraId="740FFC17" w14:textId="2C5984B8" w:rsidR="00DA2DEB" w:rsidRDefault="00DA2DEB" w:rsidP="00DA2DEB">
                  <w:r>
                    <w:t>d</w:t>
                  </w:r>
                </w:p>
              </w:txbxContent>
            </v:textbox>
          </v:shape>
        </w:pict>
      </w:r>
      <w:r w:rsidR="00DA2DEB">
        <w:rPr>
          <w:rFonts w:ascii="Times New Roman" w:hAnsi="Times New Roman"/>
          <w:noProof/>
          <w:sz w:val="24"/>
          <w:szCs w:val="24"/>
        </w:rPr>
        <w:drawing>
          <wp:inline distT="0" distB="0" distL="0" distR="0" wp14:anchorId="7FFCEE24" wp14:editId="2548D8A9">
            <wp:extent cx="3538330" cy="63865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0873" cy="6391134"/>
                    </a:xfrm>
                    <a:prstGeom prst="rect">
                      <a:avLst/>
                    </a:prstGeom>
                    <a:noFill/>
                  </pic:spPr>
                </pic:pic>
              </a:graphicData>
            </a:graphic>
          </wp:inline>
        </w:drawing>
      </w:r>
      <w:r>
        <w:rPr>
          <w:rFonts w:ascii="Times New Roman" w:hAnsi="Times New Roman"/>
          <w:noProof/>
          <w:sz w:val="24"/>
          <w:szCs w:val="24"/>
        </w:rPr>
        <w:pict w14:anchorId="40CC1F1B">
          <v:shape id="_x0000_s2054" type="#_x0000_t202" style="position:absolute;left:0;text-align:left;margin-left:66.8pt;margin-top:117.15pt;width:22.25pt;height:21.8pt;z-index:251660288;mso-position-horizontal-relative:text;mso-position-vertical-relative:text" filled="f" stroked="f">
            <v:textbox>
              <w:txbxContent>
                <w:p w14:paraId="504FEB8A" w14:textId="6C321CD4" w:rsidR="00DA2DEB" w:rsidRDefault="00DA2DEB" w:rsidP="00DA2DEB">
                  <w:r>
                    <w:t>c</w:t>
                  </w:r>
                </w:p>
              </w:txbxContent>
            </v:textbox>
          </v:shape>
        </w:pict>
      </w:r>
      <w:r>
        <w:rPr>
          <w:rFonts w:ascii="Times New Roman" w:hAnsi="Times New Roman"/>
          <w:noProof/>
          <w:sz w:val="24"/>
          <w:szCs w:val="24"/>
        </w:rPr>
        <w:pict w14:anchorId="40CC1F1B">
          <v:shape id="_x0000_s2052" type="#_x0000_t202" style="position:absolute;left:0;text-align:left;margin-left:66.35pt;margin-top:.65pt;width:22.25pt;height:21.8pt;z-index:251658240;mso-position-horizontal-relative:text;mso-position-vertical-relative:text" filled="f" stroked="f">
            <v:textbox>
              <w:txbxContent>
                <w:p w14:paraId="71D22E0A" w14:textId="273D30AB" w:rsidR="00DA2DEB" w:rsidRDefault="00DA2DEB">
                  <w:r>
                    <w:t>a</w:t>
                  </w:r>
                </w:p>
              </w:txbxContent>
            </v:textbox>
          </v:shape>
        </w:pict>
      </w:r>
    </w:p>
    <w:p w14:paraId="34FEC8FA" w14:textId="77777777" w:rsidR="00790ADA" w:rsidRDefault="00790ADA" w:rsidP="00441B6F">
      <w:pPr>
        <w:pStyle w:val="Body"/>
        <w:spacing w:after="0"/>
        <w:rPr>
          <w:rFonts w:ascii="Arial" w:hAnsi="Arial" w:cs="Arial"/>
        </w:rPr>
      </w:pPr>
    </w:p>
    <w:p w14:paraId="2D70EBD9" w14:textId="77777777" w:rsidR="00012FD0" w:rsidRDefault="009E048A" w:rsidP="00012FD0">
      <w:pPr>
        <w:autoSpaceDE w:val="0"/>
        <w:autoSpaceDN w:val="0"/>
        <w:adjustRightInd w:val="0"/>
        <w:jc w:val="both"/>
        <w:rPr>
          <w:rFonts w:ascii="Arial" w:hAnsi="Arial" w:cs="Arial"/>
          <w:b/>
          <w:bCs/>
          <w:szCs w:val="22"/>
        </w:rPr>
      </w:pPr>
      <w:r>
        <w:rPr>
          <w:rFonts w:ascii="Arial" w:hAnsi="Arial" w:cs="Arial"/>
          <w:b/>
          <w:bCs/>
          <w:szCs w:val="22"/>
        </w:rPr>
        <w:t>Fig.</w:t>
      </w:r>
      <w:r w:rsidR="00927834" w:rsidRPr="008247A6">
        <w:rPr>
          <w:rFonts w:ascii="Arial" w:hAnsi="Arial" w:cs="Arial"/>
          <w:b/>
          <w:bCs/>
          <w:szCs w:val="22"/>
        </w:rPr>
        <w:t xml:space="preserve"> 1</w:t>
      </w:r>
      <w:r>
        <w:rPr>
          <w:rFonts w:ascii="Arial" w:hAnsi="Arial" w:cs="Arial"/>
          <w:b/>
          <w:bCs/>
          <w:szCs w:val="22"/>
        </w:rPr>
        <w:t>.</w:t>
      </w:r>
      <w:r w:rsidR="00927834" w:rsidRPr="008247A6">
        <w:rPr>
          <w:rFonts w:ascii="Arial" w:hAnsi="Arial" w:cs="Arial"/>
          <w:b/>
          <w:bCs/>
          <w:szCs w:val="22"/>
        </w:rPr>
        <w:t xml:space="preserve"> </w:t>
      </w:r>
      <w:r w:rsidR="00012FD0" w:rsidRPr="00012FD0">
        <w:rPr>
          <w:rFonts w:ascii="Arial" w:hAnsi="Arial" w:cs="Arial"/>
          <w:b/>
          <w:bCs/>
          <w:szCs w:val="22"/>
        </w:rPr>
        <w:t xml:space="preserve">Micropropagation of </w:t>
      </w:r>
      <w:r w:rsidR="00012FD0" w:rsidRPr="00012FD0">
        <w:rPr>
          <w:rFonts w:ascii="Arial" w:hAnsi="Arial" w:cs="Arial"/>
          <w:b/>
          <w:bCs/>
          <w:i/>
          <w:iCs/>
          <w:szCs w:val="22"/>
        </w:rPr>
        <w:t>H. orixense</w:t>
      </w:r>
      <w:r w:rsidR="00012FD0" w:rsidRPr="00012FD0">
        <w:rPr>
          <w:rFonts w:ascii="Arial" w:hAnsi="Arial" w:cs="Arial"/>
          <w:b/>
          <w:bCs/>
          <w:szCs w:val="22"/>
        </w:rPr>
        <w:t xml:space="preserve">. a) </w:t>
      </w:r>
      <w:r w:rsidR="00012FD0" w:rsidRPr="00012FD0">
        <w:rPr>
          <w:rFonts w:ascii="Arial" w:hAnsi="Arial" w:cs="Arial"/>
          <w:b/>
          <w:bCs/>
          <w:i/>
          <w:iCs/>
          <w:szCs w:val="22"/>
        </w:rPr>
        <w:t>in vitro</w:t>
      </w:r>
      <w:r w:rsidR="00012FD0" w:rsidRPr="00012FD0">
        <w:rPr>
          <w:rFonts w:ascii="Arial" w:hAnsi="Arial" w:cs="Arial"/>
          <w:b/>
          <w:bCs/>
          <w:szCs w:val="22"/>
        </w:rPr>
        <w:t xml:space="preserve"> seed germination, b) shoot initiation, c) multiplication of shoots, d-e) </w:t>
      </w:r>
      <w:r w:rsidR="00012FD0" w:rsidRPr="00012FD0">
        <w:rPr>
          <w:rFonts w:ascii="Arial" w:hAnsi="Arial" w:cs="Arial"/>
          <w:b/>
          <w:bCs/>
          <w:i/>
          <w:iCs/>
          <w:szCs w:val="22"/>
        </w:rPr>
        <w:t>in vitro</w:t>
      </w:r>
      <w:r w:rsidR="00012FD0" w:rsidRPr="00012FD0">
        <w:rPr>
          <w:rFonts w:ascii="Arial" w:hAnsi="Arial" w:cs="Arial"/>
          <w:b/>
          <w:bCs/>
          <w:szCs w:val="22"/>
        </w:rPr>
        <w:t xml:space="preserve"> root formation in </w:t>
      </w:r>
      <w:r w:rsidR="00012FD0" w:rsidRPr="00012FD0">
        <w:rPr>
          <w:rFonts w:ascii="Arial" w:hAnsi="Arial" w:cs="Arial"/>
          <w:b/>
          <w:bCs/>
          <w:i/>
          <w:iCs/>
          <w:szCs w:val="22"/>
        </w:rPr>
        <w:t xml:space="preserve">H. orixense </w:t>
      </w:r>
      <w:r w:rsidR="00012FD0" w:rsidRPr="00012FD0">
        <w:rPr>
          <w:rFonts w:ascii="Arial" w:hAnsi="Arial" w:cs="Arial"/>
          <w:b/>
          <w:bCs/>
          <w:szCs w:val="22"/>
        </w:rPr>
        <w:t>under semi-solid and liquid medium conditions.</w:t>
      </w:r>
    </w:p>
    <w:p w14:paraId="6014B32E" w14:textId="77777777" w:rsidR="00012FD0" w:rsidRDefault="00012FD0" w:rsidP="00012FD0">
      <w:pPr>
        <w:autoSpaceDE w:val="0"/>
        <w:autoSpaceDN w:val="0"/>
        <w:adjustRightInd w:val="0"/>
        <w:jc w:val="both"/>
        <w:rPr>
          <w:rFonts w:ascii="Arial" w:hAnsi="Arial" w:cs="Arial"/>
          <w:b/>
          <w:bCs/>
          <w:szCs w:val="22"/>
        </w:rPr>
      </w:pPr>
    </w:p>
    <w:p w14:paraId="152AD344" w14:textId="6C964BC6" w:rsidR="00012FD0" w:rsidRDefault="00E8315A" w:rsidP="00012FD0">
      <w:pPr>
        <w:autoSpaceDE w:val="0"/>
        <w:autoSpaceDN w:val="0"/>
        <w:adjustRightInd w:val="0"/>
        <w:jc w:val="center"/>
        <w:rPr>
          <w:rFonts w:ascii="Arial" w:hAnsi="Arial" w:cs="Arial"/>
          <w:b/>
          <w:bCs/>
          <w:szCs w:val="22"/>
        </w:rPr>
      </w:pPr>
      <w:r>
        <w:rPr>
          <w:rFonts w:ascii="Times New Roman" w:hAnsi="Times New Roman"/>
          <w:noProof/>
          <w:sz w:val="24"/>
          <w:szCs w:val="24"/>
        </w:rPr>
        <w:lastRenderedPageBreak/>
        <w:pict w14:anchorId="40CC1F1B">
          <v:shape id="_x0000_s2062" type="#_x0000_t202" style="position:absolute;left:0;text-align:left;margin-left:254.5pt;margin-top:287.85pt;width:18.05pt;height:21.8pt;z-index:251668480" filled="f" stroked="f">
            <v:textbox>
              <w:txbxContent>
                <w:p w14:paraId="5853B011" w14:textId="2B57AA29" w:rsidR="00DA2DEB" w:rsidRPr="00DA2DEB" w:rsidRDefault="00DA2DEB" w:rsidP="00DA2DEB">
                  <w:pPr>
                    <w:rPr>
                      <w:b/>
                    </w:rPr>
                  </w:pPr>
                  <w:r>
                    <w:rPr>
                      <w:b/>
                    </w:rPr>
                    <w:t>f</w:t>
                  </w:r>
                </w:p>
              </w:txbxContent>
            </v:textbox>
          </v:shape>
        </w:pict>
      </w:r>
      <w:r>
        <w:rPr>
          <w:rFonts w:ascii="Times New Roman" w:hAnsi="Times New Roman"/>
          <w:noProof/>
          <w:sz w:val="24"/>
          <w:szCs w:val="24"/>
        </w:rPr>
        <w:pict w14:anchorId="40CC1F1B">
          <v:shape id="_x0000_s2061" type="#_x0000_t202" style="position:absolute;left:0;text-align:left;margin-left:23.85pt;margin-top:287.85pt;width:18.05pt;height:21.8pt;z-index:251667456" filled="f" stroked="f">
            <v:textbox>
              <w:txbxContent>
                <w:p w14:paraId="645DAFD0" w14:textId="39C8A806" w:rsidR="00DA2DEB" w:rsidRPr="00DA2DEB" w:rsidRDefault="00DA2DEB" w:rsidP="00DA2DEB">
                  <w:pPr>
                    <w:rPr>
                      <w:b/>
                    </w:rPr>
                  </w:pPr>
                  <w:r>
                    <w:rPr>
                      <w:b/>
                    </w:rPr>
                    <w:t>e</w:t>
                  </w:r>
                </w:p>
              </w:txbxContent>
            </v:textbox>
          </v:shape>
        </w:pict>
      </w:r>
      <w:r>
        <w:rPr>
          <w:rFonts w:ascii="Times New Roman" w:hAnsi="Times New Roman"/>
          <w:noProof/>
          <w:sz w:val="24"/>
          <w:szCs w:val="24"/>
        </w:rPr>
        <w:pict w14:anchorId="40CC1F1B">
          <v:shape id="_x0000_s2060" type="#_x0000_t202" style="position:absolute;left:0;text-align:left;margin-left:253.4pt;margin-top:133.6pt;width:18.05pt;height:21.8pt;z-index:251666432" filled="f" stroked="f">
            <v:textbox>
              <w:txbxContent>
                <w:p w14:paraId="6B7F3DC8" w14:textId="320BA361" w:rsidR="00DA2DEB" w:rsidRPr="00DA2DEB" w:rsidRDefault="00DA2DEB" w:rsidP="00DA2DEB">
                  <w:pPr>
                    <w:rPr>
                      <w:b/>
                    </w:rPr>
                  </w:pPr>
                  <w:r>
                    <w:rPr>
                      <w:b/>
                    </w:rPr>
                    <w:t>d</w:t>
                  </w:r>
                </w:p>
              </w:txbxContent>
            </v:textbox>
          </v:shape>
        </w:pict>
      </w:r>
      <w:r>
        <w:rPr>
          <w:rFonts w:ascii="Times New Roman" w:hAnsi="Times New Roman"/>
          <w:noProof/>
          <w:sz w:val="24"/>
          <w:szCs w:val="24"/>
        </w:rPr>
        <w:pict w14:anchorId="40CC1F1B">
          <v:shape id="_x0000_s2059" type="#_x0000_t202" style="position:absolute;left:0;text-align:left;margin-left:31.5pt;margin-top:133.6pt;width:18.05pt;height:21.8pt;z-index:251665408" filled="f" stroked="f">
            <v:textbox>
              <w:txbxContent>
                <w:p w14:paraId="46EEC42F" w14:textId="51070C01" w:rsidR="00DA2DEB" w:rsidRPr="00DA2DEB" w:rsidRDefault="00DA2DEB" w:rsidP="00DA2DEB">
                  <w:pPr>
                    <w:rPr>
                      <w:b/>
                    </w:rPr>
                  </w:pPr>
                  <w:r w:rsidRPr="00DA2DEB">
                    <w:rPr>
                      <w:b/>
                    </w:rPr>
                    <w:t>c</w:t>
                  </w:r>
                </w:p>
              </w:txbxContent>
            </v:textbox>
          </v:shape>
        </w:pict>
      </w:r>
      <w:r>
        <w:rPr>
          <w:rFonts w:ascii="Times New Roman" w:hAnsi="Times New Roman"/>
          <w:noProof/>
          <w:sz w:val="24"/>
          <w:szCs w:val="24"/>
        </w:rPr>
        <w:pict w14:anchorId="40CC1F1B">
          <v:shape id="_x0000_s2058" type="#_x0000_t202" style="position:absolute;left:0;text-align:left;margin-left:205.15pt;margin-top:.3pt;width:18.05pt;height:21.8pt;z-index:251664384" filled="f" stroked="f">
            <v:textbox>
              <w:txbxContent>
                <w:p w14:paraId="3D9C655C" w14:textId="2FC29668" w:rsidR="00DA2DEB" w:rsidRDefault="00DA2DEB" w:rsidP="00DA2DEB">
                  <w:r>
                    <w:t>b</w:t>
                  </w:r>
                </w:p>
              </w:txbxContent>
            </v:textbox>
          </v:shape>
        </w:pict>
      </w:r>
      <w:r>
        <w:rPr>
          <w:rFonts w:ascii="Times New Roman" w:hAnsi="Times New Roman"/>
          <w:noProof/>
          <w:sz w:val="24"/>
          <w:szCs w:val="24"/>
        </w:rPr>
        <w:pict w14:anchorId="40CC1F1B">
          <v:shape id="_x0000_s2057" type="#_x0000_t202" style="position:absolute;left:0;text-align:left;margin-left:22.55pt;margin-top:.3pt;width:18.05pt;height:21.8pt;z-index:251663360" filled="f" stroked="f">
            <v:textbox>
              <w:txbxContent>
                <w:p w14:paraId="5FC76CA6" w14:textId="6B8851C3" w:rsidR="00DA2DEB" w:rsidRDefault="00DA2DEB" w:rsidP="00DA2DEB">
                  <w:r>
                    <w:t>a</w:t>
                  </w:r>
                </w:p>
              </w:txbxContent>
            </v:textbox>
          </v:shape>
        </w:pict>
      </w:r>
      <w:r w:rsidR="00012FD0">
        <w:rPr>
          <w:rFonts w:ascii="Times New Roman" w:hAnsi="Times New Roman"/>
          <w:noProof/>
          <w:sz w:val="24"/>
          <w:szCs w:val="24"/>
        </w:rPr>
        <w:drawing>
          <wp:inline distT="0" distB="0" distL="0" distR="0" wp14:anchorId="21F56BCF" wp14:editId="5F359799">
            <wp:extent cx="4658038" cy="5610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1016" cy="5613812"/>
                    </a:xfrm>
                    <a:prstGeom prst="rect">
                      <a:avLst/>
                    </a:prstGeom>
                    <a:noFill/>
                  </pic:spPr>
                </pic:pic>
              </a:graphicData>
            </a:graphic>
          </wp:inline>
        </w:drawing>
      </w:r>
    </w:p>
    <w:p w14:paraId="26F78C3B" w14:textId="77777777" w:rsidR="00012FD0" w:rsidRDefault="00012FD0" w:rsidP="00012FD0">
      <w:pPr>
        <w:autoSpaceDE w:val="0"/>
        <w:autoSpaceDN w:val="0"/>
        <w:adjustRightInd w:val="0"/>
        <w:jc w:val="center"/>
        <w:rPr>
          <w:rFonts w:ascii="Arial" w:hAnsi="Arial" w:cs="Arial"/>
          <w:b/>
          <w:bCs/>
          <w:szCs w:val="22"/>
        </w:rPr>
      </w:pPr>
    </w:p>
    <w:p w14:paraId="01CB7394" w14:textId="77777777" w:rsidR="00012FD0" w:rsidRPr="00012FD0" w:rsidRDefault="00012FD0" w:rsidP="00012FD0">
      <w:pPr>
        <w:autoSpaceDE w:val="0"/>
        <w:autoSpaceDN w:val="0"/>
        <w:adjustRightInd w:val="0"/>
        <w:rPr>
          <w:rFonts w:ascii="Arial" w:hAnsi="Arial" w:cs="Arial"/>
          <w:b/>
          <w:bCs/>
          <w:szCs w:val="22"/>
        </w:rPr>
      </w:pPr>
      <w:r w:rsidRPr="00012FD0">
        <w:rPr>
          <w:rFonts w:ascii="Arial" w:hAnsi="Arial" w:cs="Arial"/>
          <w:b/>
          <w:bCs/>
          <w:szCs w:val="22"/>
        </w:rPr>
        <w:t>Figure 2</w:t>
      </w:r>
      <w:r>
        <w:rPr>
          <w:rFonts w:ascii="Arial" w:hAnsi="Arial" w:cs="Arial"/>
          <w:b/>
          <w:bCs/>
          <w:szCs w:val="22"/>
        </w:rPr>
        <w:t>.</w:t>
      </w:r>
      <w:r w:rsidRPr="00012FD0">
        <w:rPr>
          <w:rFonts w:ascii="Arial" w:hAnsi="Arial" w:cs="Arial"/>
          <w:b/>
          <w:bCs/>
          <w:szCs w:val="22"/>
        </w:rPr>
        <w:t xml:space="preserve"> Hardening of tissue-culture plants in </w:t>
      </w:r>
      <w:r w:rsidRPr="00012FD0">
        <w:rPr>
          <w:rFonts w:ascii="Arial" w:hAnsi="Arial" w:cs="Arial"/>
          <w:b/>
          <w:bCs/>
          <w:i/>
          <w:iCs/>
          <w:szCs w:val="22"/>
        </w:rPr>
        <w:t>H. orixense</w:t>
      </w:r>
      <w:r w:rsidRPr="00012FD0">
        <w:rPr>
          <w:rFonts w:ascii="Arial" w:hAnsi="Arial" w:cs="Arial"/>
          <w:b/>
          <w:bCs/>
          <w:szCs w:val="22"/>
        </w:rPr>
        <w:t xml:space="preserve">. a) transfer of </w:t>
      </w:r>
      <w:r w:rsidRPr="00012FD0">
        <w:rPr>
          <w:rFonts w:ascii="Arial" w:hAnsi="Arial" w:cs="Arial"/>
          <w:b/>
          <w:bCs/>
          <w:i/>
          <w:iCs/>
          <w:szCs w:val="22"/>
        </w:rPr>
        <w:t>in vitro</w:t>
      </w:r>
      <w:r w:rsidRPr="00012FD0">
        <w:rPr>
          <w:rFonts w:ascii="Arial" w:hAnsi="Arial" w:cs="Arial"/>
          <w:b/>
          <w:bCs/>
          <w:szCs w:val="22"/>
        </w:rPr>
        <w:t xml:space="preserve"> rooted plantlets to </w:t>
      </w:r>
      <w:proofErr w:type="spellStart"/>
      <w:r w:rsidRPr="00012FD0">
        <w:rPr>
          <w:rFonts w:ascii="Arial" w:hAnsi="Arial" w:cs="Arial"/>
          <w:b/>
          <w:bCs/>
          <w:szCs w:val="22"/>
        </w:rPr>
        <w:t>vermiculite:sand:garden-soil</w:t>
      </w:r>
      <w:proofErr w:type="spellEnd"/>
      <w:r w:rsidRPr="00012FD0">
        <w:rPr>
          <w:rFonts w:ascii="Arial" w:hAnsi="Arial" w:cs="Arial"/>
          <w:b/>
          <w:bCs/>
          <w:szCs w:val="22"/>
        </w:rPr>
        <w:t xml:space="preserve"> mix</w:t>
      </w:r>
      <w:r>
        <w:rPr>
          <w:rFonts w:ascii="Arial" w:hAnsi="Arial" w:cs="Arial"/>
          <w:b/>
          <w:bCs/>
          <w:szCs w:val="22"/>
        </w:rPr>
        <w:t>,</w:t>
      </w:r>
      <w:r w:rsidRPr="00012FD0">
        <w:rPr>
          <w:rFonts w:ascii="Arial" w:hAnsi="Arial" w:cs="Arial"/>
          <w:b/>
          <w:bCs/>
          <w:szCs w:val="22"/>
        </w:rPr>
        <w:t xml:space="preserve"> b-d) Plants after 6-8 months of growth in greenhouse</w:t>
      </w:r>
      <w:r>
        <w:rPr>
          <w:rFonts w:ascii="Arial" w:hAnsi="Arial" w:cs="Arial"/>
          <w:b/>
          <w:bCs/>
          <w:szCs w:val="22"/>
        </w:rPr>
        <w:t>,</w:t>
      </w:r>
      <w:r w:rsidRPr="00012FD0">
        <w:rPr>
          <w:rFonts w:ascii="Arial" w:hAnsi="Arial" w:cs="Arial"/>
          <w:b/>
          <w:bCs/>
          <w:szCs w:val="22"/>
        </w:rPr>
        <w:t xml:space="preserve"> e-f) Plants after more than 01 year of growth</w:t>
      </w:r>
    </w:p>
    <w:p w14:paraId="751D9475" w14:textId="77777777" w:rsidR="00012FD0" w:rsidRPr="00012FD0" w:rsidRDefault="00012FD0" w:rsidP="00012FD0">
      <w:pPr>
        <w:autoSpaceDE w:val="0"/>
        <w:autoSpaceDN w:val="0"/>
        <w:adjustRightInd w:val="0"/>
        <w:rPr>
          <w:rFonts w:ascii="Arial" w:hAnsi="Arial" w:cs="Arial"/>
          <w:b/>
          <w:bCs/>
          <w:szCs w:val="22"/>
        </w:rPr>
      </w:pPr>
    </w:p>
    <w:p w14:paraId="0AD54658" w14:textId="77777777" w:rsidR="00863BD3" w:rsidRPr="00FB3A86" w:rsidRDefault="00863BD3" w:rsidP="00012FD0">
      <w:pPr>
        <w:autoSpaceDE w:val="0"/>
        <w:autoSpaceDN w:val="0"/>
        <w:adjustRightInd w:val="0"/>
        <w:jc w:val="both"/>
        <w:rPr>
          <w:rFonts w:ascii="Arial" w:hAnsi="Arial" w:cs="Arial"/>
        </w:rPr>
      </w:pPr>
    </w:p>
    <w:p w14:paraId="32F84F7F"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B0E9772" w14:textId="77777777" w:rsidR="00790ADA" w:rsidRPr="00FB3A86" w:rsidRDefault="00790ADA" w:rsidP="00441B6F">
      <w:pPr>
        <w:pStyle w:val="ConcHead"/>
        <w:spacing w:after="0"/>
        <w:jc w:val="both"/>
        <w:rPr>
          <w:rFonts w:ascii="Arial" w:hAnsi="Arial" w:cs="Arial"/>
        </w:rPr>
      </w:pPr>
    </w:p>
    <w:p w14:paraId="79D4E839" w14:textId="77777777" w:rsidR="00087DB1" w:rsidRPr="00087DB1" w:rsidRDefault="00087DB1" w:rsidP="00087DB1">
      <w:pPr>
        <w:pStyle w:val="Body"/>
        <w:rPr>
          <w:rFonts w:ascii="Arial" w:hAnsi="Arial" w:cs="Arial"/>
        </w:rPr>
      </w:pPr>
      <w:r w:rsidRPr="00087DB1">
        <w:rPr>
          <w:rFonts w:ascii="Arial" w:hAnsi="Arial" w:cs="Arial"/>
        </w:rPr>
        <w:t xml:space="preserve">Plant tissue culture is the best alternative for mass propagation of species with low seed viability and also for multiplication of quality material if the species has commercial or medicinal importance. In the present study a step-wise propagation method has been optimized for </w:t>
      </w:r>
      <w:r w:rsidRPr="00087DB1">
        <w:rPr>
          <w:rFonts w:ascii="Arial" w:hAnsi="Arial" w:cs="Arial"/>
          <w:i/>
          <w:iCs/>
        </w:rPr>
        <w:t>H. orixense</w:t>
      </w:r>
      <w:r w:rsidRPr="00087DB1">
        <w:rPr>
          <w:rFonts w:ascii="Arial" w:hAnsi="Arial" w:cs="Arial"/>
        </w:rPr>
        <w:t xml:space="preserve"> that yields well rooted and acclimatized plants at the end of the cycle. </w:t>
      </w:r>
      <w:r w:rsidRPr="00087DB1">
        <w:rPr>
          <w:rFonts w:ascii="Arial" w:hAnsi="Arial" w:cs="Arial"/>
          <w:i/>
          <w:iCs/>
        </w:rPr>
        <w:t>H. orixense</w:t>
      </w:r>
      <w:r w:rsidRPr="00087DB1">
        <w:rPr>
          <w:rFonts w:ascii="Arial" w:hAnsi="Arial" w:cs="Arial"/>
        </w:rPr>
        <w:t xml:space="preserve">. Since the species is highly medicinal, the propagation method described here would be very useful in multiplication of desired genotypes with superior phytochemical constituents and also for conservation of this species </w:t>
      </w:r>
      <w:r w:rsidRPr="00087DB1">
        <w:rPr>
          <w:rFonts w:ascii="Arial" w:hAnsi="Arial" w:cs="Arial"/>
          <w:i/>
          <w:iCs/>
        </w:rPr>
        <w:t>ex situ</w:t>
      </w:r>
      <w:r w:rsidRPr="00087DB1">
        <w:rPr>
          <w:rFonts w:ascii="Arial" w:hAnsi="Arial" w:cs="Arial"/>
        </w:rPr>
        <w:t>.</w:t>
      </w:r>
    </w:p>
    <w:p w14:paraId="77DDBDA0" w14:textId="77777777" w:rsidR="00B01FCD" w:rsidRDefault="00B01FCD" w:rsidP="00441B6F">
      <w:pPr>
        <w:pStyle w:val="AcknHead"/>
        <w:spacing w:after="0"/>
        <w:jc w:val="both"/>
        <w:rPr>
          <w:rFonts w:ascii="Arial" w:hAnsi="Arial" w:cs="Arial"/>
        </w:rPr>
      </w:pPr>
      <w:r w:rsidRPr="00FB3A86">
        <w:rPr>
          <w:rFonts w:ascii="Arial" w:hAnsi="Arial" w:cs="Arial"/>
        </w:rPr>
        <w:lastRenderedPageBreak/>
        <w:t>Acknowledg</w:t>
      </w:r>
      <w:r w:rsidR="003E2904">
        <w:rPr>
          <w:rFonts w:ascii="Arial" w:hAnsi="Arial" w:cs="Arial"/>
        </w:rPr>
        <w:t>E</w:t>
      </w:r>
      <w:r w:rsidRPr="00FB3A86">
        <w:rPr>
          <w:rFonts w:ascii="Arial" w:hAnsi="Arial" w:cs="Arial"/>
        </w:rPr>
        <w:t>ments</w:t>
      </w:r>
    </w:p>
    <w:p w14:paraId="10C0AB20" w14:textId="77777777" w:rsidR="00790ADA" w:rsidRPr="00FB3A86" w:rsidRDefault="00790ADA" w:rsidP="00441B6F">
      <w:pPr>
        <w:pStyle w:val="AcknHead"/>
        <w:spacing w:after="0"/>
        <w:jc w:val="both"/>
        <w:rPr>
          <w:rFonts w:ascii="Arial" w:hAnsi="Arial" w:cs="Arial"/>
        </w:rPr>
      </w:pPr>
    </w:p>
    <w:p w14:paraId="4A7191D0" w14:textId="77777777" w:rsidR="00315186" w:rsidRPr="00315186" w:rsidRDefault="00DD5C90" w:rsidP="00DD5C90">
      <w:pPr>
        <w:pStyle w:val="Body"/>
      </w:pPr>
      <w:r>
        <w:rPr>
          <w:rFonts w:ascii="Arial" w:hAnsi="Arial" w:cs="Arial"/>
        </w:rPr>
        <w:t xml:space="preserve">Authors acknowledge funding from </w:t>
      </w:r>
      <w:r w:rsidRPr="00DD5C90">
        <w:rPr>
          <w:rFonts w:ascii="Arial" w:hAnsi="Arial" w:cs="Arial"/>
        </w:rPr>
        <w:t xml:space="preserve">National Authority CAMPA, </w:t>
      </w:r>
      <w:proofErr w:type="spellStart"/>
      <w:r w:rsidRPr="00DD5C90">
        <w:rPr>
          <w:rFonts w:ascii="Arial" w:hAnsi="Arial" w:cs="Arial"/>
        </w:rPr>
        <w:t>MoEF&amp;CC</w:t>
      </w:r>
      <w:proofErr w:type="spellEnd"/>
      <w:r w:rsidRPr="00DD5C90">
        <w:rPr>
          <w:rFonts w:ascii="Arial" w:hAnsi="Arial" w:cs="Arial"/>
        </w:rPr>
        <w:t xml:space="preserve">, Govt. of India </w:t>
      </w:r>
      <w:r>
        <w:rPr>
          <w:rFonts w:ascii="Arial" w:hAnsi="Arial" w:cs="Arial"/>
        </w:rPr>
        <w:t>for execution of project “</w:t>
      </w:r>
      <w:r w:rsidRPr="00DD5C90">
        <w:rPr>
          <w:rFonts w:ascii="Arial" w:hAnsi="Arial" w:cs="Arial"/>
        </w:rPr>
        <w:t>National Program for conservation and Development of Forest Genetic resources: Pilot Project on ‘Creation of Centre of excellence on forest genetic resources (</w:t>
      </w:r>
      <w:proofErr w:type="spellStart"/>
      <w:r w:rsidRPr="00DD5C90">
        <w:rPr>
          <w:rFonts w:ascii="Arial" w:hAnsi="Arial" w:cs="Arial"/>
        </w:rPr>
        <w:t>CoFGR</w:t>
      </w:r>
      <w:proofErr w:type="spellEnd"/>
      <w:r w:rsidRPr="00DD5C90">
        <w:rPr>
          <w:rFonts w:ascii="Arial" w:hAnsi="Arial" w:cs="Arial"/>
        </w:rPr>
        <w:t>)</w:t>
      </w:r>
      <w:r>
        <w:rPr>
          <w:rFonts w:ascii="Arial" w:hAnsi="Arial" w:cs="Arial"/>
        </w:rPr>
        <w:t>”</w:t>
      </w:r>
      <w:r w:rsidRPr="00315186">
        <w:t xml:space="preserve"> </w:t>
      </w:r>
    </w:p>
    <w:p w14:paraId="01F3B255"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7D0D0B37" w14:textId="77777777" w:rsidR="00860000" w:rsidRPr="00786D36" w:rsidRDefault="00860000" w:rsidP="00441B6F">
      <w:pPr>
        <w:pStyle w:val="ReferHead"/>
        <w:spacing w:after="0"/>
        <w:jc w:val="both"/>
        <w:rPr>
          <w:rFonts w:ascii="Arial" w:hAnsi="Arial" w:cs="Arial"/>
        </w:rPr>
      </w:pPr>
    </w:p>
    <w:p w14:paraId="787440DA" w14:textId="77777777" w:rsidR="00860000" w:rsidRPr="00012FD0" w:rsidRDefault="00E66E10" w:rsidP="00441B6F">
      <w:pPr>
        <w:pStyle w:val="ReferHead"/>
        <w:spacing w:after="0"/>
        <w:jc w:val="both"/>
        <w:rPr>
          <w:rFonts w:ascii="Arial" w:hAnsi="Arial" w:cs="Arial"/>
          <w:b w:val="0"/>
          <w:caps w:val="0"/>
          <w:sz w:val="20"/>
        </w:rPr>
      </w:pPr>
      <w:r w:rsidRPr="00012FD0">
        <w:rPr>
          <w:rFonts w:ascii="Arial" w:hAnsi="Arial" w:cs="Arial"/>
          <w:b w:val="0"/>
          <w:caps w:val="0"/>
          <w:sz w:val="20"/>
        </w:rPr>
        <w:t xml:space="preserve">Authors </w:t>
      </w:r>
      <w:r w:rsidR="00012FD0">
        <w:rPr>
          <w:rFonts w:ascii="Arial" w:hAnsi="Arial" w:cs="Arial"/>
          <w:b w:val="0"/>
          <w:caps w:val="0"/>
          <w:sz w:val="20"/>
        </w:rPr>
        <w:t>declare</w:t>
      </w:r>
      <w:r w:rsidRPr="00012FD0">
        <w:rPr>
          <w:rFonts w:ascii="Arial" w:hAnsi="Arial" w:cs="Arial"/>
          <w:b w:val="0"/>
          <w:caps w:val="0"/>
          <w:sz w:val="20"/>
        </w:rPr>
        <w:t xml:space="preserve"> that</w:t>
      </w:r>
      <w:r w:rsidR="00012FD0">
        <w:rPr>
          <w:rFonts w:ascii="Arial" w:hAnsi="Arial" w:cs="Arial"/>
          <w:b w:val="0"/>
          <w:caps w:val="0"/>
          <w:sz w:val="20"/>
        </w:rPr>
        <w:t xml:space="preserve"> no competing interests exist</w:t>
      </w:r>
    </w:p>
    <w:p w14:paraId="1EE8F67D" w14:textId="77777777" w:rsidR="00371FB6" w:rsidRDefault="00371FB6" w:rsidP="00441B6F">
      <w:pPr>
        <w:pStyle w:val="ReferHead"/>
        <w:spacing w:after="0"/>
        <w:jc w:val="both"/>
        <w:rPr>
          <w:rFonts w:ascii="Arial" w:hAnsi="Arial" w:cs="Arial"/>
          <w:b w:val="0"/>
          <w:caps w:val="0"/>
          <w:sz w:val="20"/>
        </w:rPr>
      </w:pPr>
    </w:p>
    <w:p w14:paraId="6A44E6A9" w14:textId="77777777" w:rsidR="00371FB6" w:rsidRDefault="00371FB6" w:rsidP="00441B6F">
      <w:pPr>
        <w:pStyle w:val="ReferHead"/>
        <w:spacing w:after="0"/>
        <w:jc w:val="both"/>
        <w:rPr>
          <w:rFonts w:ascii="Arial" w:hAnsi="Arial" w:cs="Arial"/>
          <w:bCs/>
        </w:rPr>
      </w:pPr>
      <w:r w:rsidRPr="00371FB6">
        <w:rPr>
          <w:rFonts w:ascii="Arial" w:hAnsi="Arial" w:cs="Arial"/>
          <w:bCs/>
        </w:rPr>
        <w:t>Authors’ Contributions</w:t>
      </w:r>
    </w:p>
    <w:p w14:paraId="7051C5A5" w14:textId="77777777" w:rsidR="00371FB6" w:rsidRPr="00371FB6" w:rsidRDefault="00371FB6" w:rsidP="00441B6F">
      <w:pPr>
        <w:pStyle w:val="ReferHead"/>
        <w:spacing w:after="0"/>
        <w:jc w:val="both"/>
        <w:rPr>
          <w:rFonts w:ascii="Arial" w:hAnsi="Arial" w:cs="Arial"/>
          <w:bCs/>
        </w:rPr>
      </w:pPr>
    </w:p>
    <w:p w14:paraId="0C184C7F" w14:textId="77777777" w:rsidR="00DD5C90" w:rsidRDefault="00DD5C90" w:rsidP="00DD5C90">
      <w:pPr>
        <w:pStyle w:val="ReferHead"/>
        <w:spacing w:after="0"/>
        <w:jc w:val="both"/>
        <w:rPr>
          <w:rFonts w:ascii="Arial" w:hAnsi="Arial" w:cs="Arial"/>
          <w:b w:val="0"/>
          <w:caps w:val="0"/>
          <w:sz w:val="20"/>
        </w:rPr>
      </w:pPr>
      <w:r w:rsidRPr="00D15FE1">
        <w:rPr>
          <w:rFonts w:ascii="Arial" w:hAnsi="Arial" w:cs="Arial"/>
          <w:b w:val="0"/>
          <w:bCs/>
          <w:caps w:val="0"/>
          <w:sz w:val="20"/>
          <w:szCs w:val="18"/>
          <w:lang w:val="en-IN"/>
        </w:rPr>
        <w:t>Conceptualization: [</w:t>
      </w:r>
      <w:r>
        <w:rPr>
          <w:rFonts w:ascii="Arial" w:hAnsi="Arial" w:cs="Arial"/>
          <w:b w:val="0"/>
          <w:bCs/>
          <w:caps w:val="0"/>
          <w:sz w:val="20"/>
          <w:szCs w:val="18"/>
          <w:lang w:val="en-IN"/>
        </w:rPr>
        <w:t>SY</w:t>
      </w:r>
      <w:r w:rsidRPr="00D15FE1">
        <w:rPr>
          <w:rFonts w:ascii="Arial" w:hAnsi="Arial" w:cs="Arial"/>
          <w:b w:val="0"/>
          <w:bCs/>
          <w:caps w:val="0"/>
          <w:sz w:val="20"/>
          <w:szCs w:val="18"/>
          <w:lang w:val="en-IN"/>
        </w:rPr>
        <w:t>, AT]; Methodology: [</w:t>
      </w:r>
      <w:r>
        <w:rPr>
          <w:rFonts w:ascii="Arial" w:hAnsi="Arial" w:cs="Arial"/>
          <w:b w:val="0"/>
          <w:bCs/>
          <w:caps w:val="0"/>
          <w:sz w:val="20"/>
          <w:szCs w:val="18"/>
          <w:lang w:val="en-IN"/>
        </w:rPr>
        <w:t>SY, KP, PK</w:t>
      </w:r>
      <w:r w:rsidRPr="00D15FE1">
        <w:rPr>
          <w:rFonts w:ascii="Arial" w:hAnsi="Arial" w:cs="Arial"/>
          <w:b w:val="0"/>
          <w:bCs/>
          <w:caps w:val="0"/>
          <w:sz w:val="20"/>
          <w:szCs w:val="18"/>
          <w:lang w:val="en-IN"/>
        </w:rPr>
        <w:t>]; Formal Analysis and Investigation: [</w:t>
      </w:r>
      <w:r>
        <w:rPr>
          <w:rFonts w:ascii="Arial" w:hAnsi="Arial" w:cs="Arial"/>
          <w:b w:val="0"/>
          <w:bCs/>
          <w:caps w:val="0"/>
          <w:sz w:val="20"/>
          <w:szCs w:val="18"/>
          <w:lang w:val="en-IN"/>
        </w:rPr>
        <w:t>SY, KP, PK</w:t>
      </w:r>
      <w:r w:rsidRPr="00D15FE1">
        <w:rPr>
          <w:rFonts w:ascii="Arial" w:hAnsi="Arial" w:cs="Arial"/>
          <w:b w:val="0"/>
          <w:bCs/>
          <w:caps w:val="0"/>
          <w:sz w:val="20"/>
          <w:szCs w:val="18"/>
          <w:lang w:val="en-IN"/>
        </w:rPr>
        <w:t>]; Writing - Original Draft Preparation: [</w:t>
      </w:r>
      <w:r>
        <w:rPr>
          <w:rFonts w:ascii="Arial" w:hAnsi="Arial" w:cs="Arial"/>
          <w:b w:val="0"/>
          <w:bCs/>
          <w:caps w:val="0"/>
          <w:sz w:val="20"/>
          <w:szCs w:val="18"/>
          <w:lang w:val="en-IN"/>
        </w:rPr>
        <w:t>SY, KP</w:t>
      </w:r>
      <w:r w:rsidRPr="00D15FE1">
        <w:rPr>
          <w:rFonts w:ascii="Arial" w:hAnsi="Arial" w:cs="Arial"/>
          <w:b w:val="0"/>
          <w:bCs/>
          <w:caps w:val="0"/>
          <w:sz w:val="20"/>
          <w:szCs w:val="18"/>
          <w:lang w:val="en-IN"/>
        </w:rPr>
        <w:t>]; Writing - Review and Editi</w:t>
      </w:r>
      <w:r>
        <w:rPr>
          <w:rFonts w:ascii="Arial" w:hAnsi="Arial" w:cs="Arial"/>
          <w:b w:val="0"/>
          <w:bCs/>
          <w:caps w:val="0"/>
          <w:sz w:val="20"/>
          <w:szCs w:val="18"/>
          <w:lang w:val="en-IN"/>
        </w:rPr>
        <w:t>ng: [AT, SY, SG</w:t>
      </w:r>
      <w:r w:rsidR="001660E9">
        <w:rPr>
          <w:rFonts w:ascii="Arial" w:hAnsi="Arial" w:cs="Arial"/>
          <w:b w:val="0"/>
          <w:bCs/>
          <w:caps w:val="0"/>
          <w:sz w:val="20"/>
          <w:szCs w:val="18"/>
          <w:lang w:val="en-IN"/>
        </w:rPr>
        <w:t>, DS</w:t>
      </w:r>
      <w:r w:rsidRPr="00D15FE1">
        <w:rPr>
          <w:rFonts w:ascii="Arial" w:hAnsi="Arial" w:cs="Arial"/>
          <w:b w:val="0"/>
          <w:bCs/>
          <w:caps w:val="0"/>
          <w:sz w:val="20"/>
          <w:szCs w:val="18"/>
          <w:lang w:val="en-IN"/>
        </w:rPr>
        <w:t>]; Resourc</w:t>
      </w:r>
      <w:r>
        <w:rPr>
          <w:rFonts w:ascii="Arial" w:hAnsi="Arial" w:cs="Arial"/>
          <w:b w:val="0"/>
          <w:bCs/>
          <w:caps w:val="0"/>
          <w:sz w:val="20"/>
          <w:szCs w:val="18"/>
          <w:lang w:val="en-IN"/>
        </w:rPr>
        <w:t>es: [AT, SY]; Supervision: [AT</w:t>
      </w:r>
      <w:r w:rsidRPr="00D15FE1">
        <w:rPr>
          <w:rFonts w:ascii="Arial" w:hAnsi="Arial" w:cs="Arial"/>
          <w:b w:val="0"/>
          <w:bCs/>
          <w:caps w:val="0"/>
          <w:sz w:val="20"/>
          <w:szCs w:val="18"/>
          <w:lang w:val="en-IN"/>
        </w:rPr>
        <w:t>]</w:t>
      </w:r>
      <w:r w:rsidRPr="00D15FE1">
        <w:rPr>
          <w:rFonts w:ascii="Arial" w:hAnsi="Arial" w:cs="Arial"/>
          <w:b w:val="0"/>
          <w:bCs/>
          <w:sz w:val="20"/>
          <w:szCs w:val="18"/>
          <w:lang w:val="en-IN"/>
        </w:rPr>
        <w:t xml:space="preserve">. </w:t>
      </w:r>
      <w:r w:rsidRPr="00D15FE1">
        <w:rPr>
          <w:rFonts w:ascii="Arial" w:hAnsi="Arial" w:cs="Arial"/>
          <w:b w:val="0"/>
          <w:caps w:val="0"/>
          <w:sz w:val="20"/>
        </w:rPr>
        <w:t>All authors read and approved the final manuscript.”</w:t>
      </w:r>
    </w:p>
    <w:p w14:paraId="43784E43" w14:textId="77777777" w:rsidR="00D02D32" w:rsidRDefault="00D02D32" w:rsidP="00E5252F">
      <w:pPr>
        <w:spacing w:after="200" w:line="276" w:lineRule="auto"/>
        <w:rPr>
          <w:rFonts w:ascii="Calibri" w:eastAsia="Calibri" w:hAnsi="Calibri"/>
          <w:b/>
          <w:kern w:val="2"/>
          <w:sz w:val="22"/>
          <w:szCs w:val="22"/>
          <w:highlight w:val="yellow"/>
        </w:rPr>
      </w:pPr>
    </w:p>
    <w:p w14:paraId="4A00302E" w14:textId="620FA401" w:rsidR="00E5252F" w:rsidRPr="00CF2A76" w:rsidRDefault="00D02D32" w:rsidP="00E5252F">
      <w:pPr>
        <w:spacing w:after="200" w:line="276" w:lineRule="auto"/>
        <w:rPr>
          <w:rFonts w:ascii="Arial" w:eastAsia="Calibri" w:hAnsi="Arial" w:cs="Arial"/>
          <w:b/>
          <w:kern w:val="2"/>
          <w:highlight w:val="yellow"/>
        </w:rPr>
      </w:pPr>
      <w:r w:rsidRPr="00CF2A76">
        <w:rPr>
          <w:rFonts w:ascii="Arial" w:eastAsia="Calibri" w:hAnsi="Arial" w:cs="Arial"/>
          <w:b/>
          <w:kern w:val="2"/>
          <w:highlight w:val="yellow"/>
        </w:rPr>
        <w:t>DISCLAIMER (ARTIFICIAL INTELLIGENCE)</w:t>
      </w:r>
    </w:p>
    <w:p w14:paraId="04452ACF" w14:textId="77777777" w:rsidR="00E5252F" w:rsidRPr="00CF2A76" w:rsidRDefault="00E5252F" w:rsidP="00D02D32">
      <w:pPr>
        <w:spacing w:after="200" w:line="276" w:lineRule="auto"/>
        <w:jc w:val="both"/>
        <w:rPr>
          <w:rFonts w:ascii="Arial" w:eastAsia="Calibri" w:hAnsi="Arial" w:cs="Arial"/>
          <w:kern w:val="2"/>
        </w:rPr>
      </w:pPr>
      <w:r w:rsidRPr="00CF2A76">
        <w:rPr>
          <w:rFonts w:ascii="Arial" w:eastAsia="Calibri" w:hAnsi="Arial" w:cs="Arial"/>
          <w:kern w:val="2"/>
          <w:highlight w:val="yellow"/>
        </w:rPr>
        <w:t>Author(s) hereby declare that NO generative AI technologies such as Large Language Models (ChatGPT, COPILOT, etc.) and text-to-image generators have been used during the writing or editing of this manuscript.</w:t>
      </w:r>
      <w:r w:rsidRPr="00CF2A76">
        <w:rPr>
          <w:rFonts w:ascii="Arial" w:eastAsia="Calibri" w:hAnsi="Arial" w:cs="Arial"/>
          <w:kern w:val="2"/>
        </w:rPr>
        <w:t xml:space="preserve"> </w:t>
      </w:r>
    </w:p>
    <w:p w14:paraId="1B3B59DD" w14:textId="77777777" w:rsidR="002B685A" w:rsidRDefault="002B685A" w:rsidP="00441B6F">
      <w:pPr>
        <w:pStyle w:val="ReferHead"/>
        <w:spacing w:after="0"/>
        <w:jc w:val="both"/>
        <w:rPr>
          <w:rFonts w:ascii="Arial" w:hAnsi="Arial" w:cs="Arial"/>
          <w:b w:val="0"/>
          <w:caps w:val="0"/>
          <w:sz w:val="20"/>
        </w:rPr>
      </w:pPr>
    </w:p>
    <w:p w14:paraId="4EF32FD4" w14:textId="77777777" w:rsidR="00860000" w:rsidRDefault="00860000" w:rsidP="00441B6F">
      <w:pPr>
        <w:pStyle w:val="ReferHead"/>
        <w:spacing w:after="0"/>
        <w:jc w:val="both"/>
        <w:rPr>
          <w:rFonts w:ascii="Arial" w:hAnsi="Arial" w:cs="Arial"/>
        </w:rPr>
      </w:pPr>
    </w:p>
    <w:p w14:paraId="627EA8D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B49D49D" w14:textId="76B4BB2C" w:rsidR="00D02D32" w:rsidRPr="00B50B00" w:rsidRDefault="00D02D32" w:rsidP="00D02D32">
      <w:pPr>
        <w:pStyle w:val="ListParagraph"/>
        <w:numPr>
          <w:ilvl w:val="0"/>
          <w:numId w:val="33"/>
        </w:numPr>
        <w:spacing w:before="240"/>
        <w:ind w:left="360"/>
        <w:jc w:val="both"/>
        <w:rPr>
          <w:rFonts w:ascii="Arial" w:hAnsi="Arial" w:cs="Arial"/>
          <w:sz w:val="20"/>
          <w:szCs w:val="20"/>
        </w:rPr>
      </w:pPr>
      <w:proofErr w:type="spellStart"/>
      <w:r w:rsidRPr="00405CC2">
        <w:rPr>
          <w:rFonts w:ascii="Arial" w:hAnsi="Arial" w:cs="Arial"/>
          <w:sz w:val="20"/>
          <w:szCs w:val="20"/>
        </w:rPr>
        <w:t>Razafimandimbison</w:t>
      </w:r>
      <w:proofErr w:type="spellEnd"/>
      <w:r w:rsidRPr="00405CC2">
        <w:rPr>
          <w:rFonts w:ascii="Arial" w:hAnsi="Arial" w:cs="Arial"/>
          <w:sz w:val="20"/>
          <w:szCs w:val="20"/>
        </w:rPr>
        <w:t xml:space="preserve">, S.G. and Bremer, B. (2006). Taxonomic revision of the tribe </w:t>
      </w:r>
      <w:proofErr w:type="spellStart"/>
      <w:r w:rsidRPr="00405CC2">
        <w:rPr>
          <w:rFonts w:ascii="Arial" w:hAnsi="Arial" w:cs="Arial"/>
          <w:sz w:val="20"/>
          <w:szCs w:val="20"/>
        </w:rPr>
        <w:t>Hymenodictyeae</w:t>
      </w:r>
      <w:proofErr w:type="spellEnd"/>
      <w:r w:rsidRPr="00405CC2">
        <w:rPr>
          <w:rFonts w:ascii="Arial" w:hAnsi="Arial" w:cs="Arial"/>
          <w:sz w:val="20"/>
          <w:szCs w:val="20"/>
        </w:rPr>
        <w:t xml:space="preserve"> (</w:t>
      </w:r>
      <w:proofErr w:type="spellStart"/>
      <w:r w:rsidRPr="00405CC2">
        <w:rPr>
          <w:rFonts w:ascii="Arial" w:hAnsi="Arial" w:cs="Arial"/>
          <w:sz w:val="20"/>
          <w:szCs w:val="20"/>
        </w:rPr>
        <w:t>Rubiaceae</w:t>
      </w:r>
      <w:proofErr w:type="spellEnd"/>
      <w:r w:rsidRPr="00405CC2">
        <w:rPr>
          <w:rFonts w:ascii="Arial" w:hAnsi="Arial" w:cs="Arial"/>
          <w:sz w:val="20"/>
          <w:szCs w:val="20"/>
        </w:rPr>
        <w:t xml:space="preserve">, </w:t>
      </w:r>
      <w:proofErr w:type="spellStart"/>
      <w:r w:rsidRPr="00405CC2">
        <w:rPr>
          <w:rFonts w:ascii="Arial" w:hAnsi="Arial" w:cs="Arial"/>
          <w:sz w:val="20"/>
          <w:szCs w:val="20"/>
        </w:rPr>
        <w:t>Cinchonoideae</w:t>
      </w:r>
      <w:proofErr w:type="spellEnd"/>
      <w:r w:rsidRPr="00405CC2">
        <w:rPr>
          <w:rFonts w:ascii="Arial" w:hAnsi="Arial" w:cs="Arial"/>
          <w:sz w:val="20"/>
          <w:szCs w:val="20"/>
        </w:rPr>
        <w:t xml:space="preserve">). </w:t>
      </w:r>
      <w:r w:rsidRPr="00405CC2">
        <w:rPr>
          <w:rFonts w:ascii="Arial" w:hAnsi="Arial" w:cs="Arial"/>
          <w:i/>
          <w:iCs/>
          <w:sz w:val="20"/>
          <w:szCs w:val="20"/>
        </w:rPr>
        <w:t>Botanical Journal of the Linnean Society</w:t>
      </w:r>
      <w:r w:rsidRPr="00405CC2">
        <w:rPr>
          <w:rFonts w:ascii="Arial" w:hAnsi="Arial" w:cs="Arial"/>
          <w:sz w:val="20"/>
          <w:szCs w:val="20"/>
        </w:rPr>
        <w:t xml:space="preserve">, </w:t>
      </w:r>
      <w:r w:rsidRPr="00405CC2">
        <w:rPr>
          <w:rFonts w:ascii="Arial" w:hAnsi="Arial" w:cs="Arial"/>
          <w:i/>
          <w:iCs/>
          <w:sz w:val="20"/>
          <w:szCs w:val="20"/>
        </w:rPr>
        <w:t>152</w:t>
      </w:r>
      <w:r w:rsidRPr="00405CC2">
        <w:rPr>
          <w:rFonts w:ascii="Arial" w:hAnsi="Arial" w:cs="Arial"/>
          <w:sz w:val="20"/>
          <w:szCs w:val="20"/>
        </w:rPr>
        <w:t>(3), 331-386</w:t>
      </w:r>
      <w:r w:rsidRPr="00B50B00">
        <w:rPr>
          <w:rFonts w:ascii="Arial" w:hAnsi="Arial" w:cs="Arial"/>
          <w:sz w:val="20"/>
          <w:szCs w:val="20"/>
        </w:rPr>
        <w:t xml:space="preserve">. </w:t>
      </w:r>
      <w:hyperlink r:id="rId16" w:history="1">
        <w:r w:rsidRPr="00B50B00">
          <w:rPr>
            <w:rStyle w:val="Hyperlink"/>
            <w:rFonts w:ascii="Arial" w:hAnsi="Arial" w:cs="Arial"/>
            <w:color w:val="000000" w:themeColor="text1"/>
            <w:sz w:val="20"/>
            <w:szCs w:val="20"/>
            <w:u w:val="none"/>
          </w:rPr>
          <w:t>https://doi.org/10.1111/j.1095-8339.2006.00567.x</w:t>
        </w:r>
      </w:hyperlink>
    </w:p>
    <w:p w14:paraId="3A6E6EB1" w14:textId="4C0C1B4D" w:rsidR="00D02D32" w:rsidRPr="00405CC2" w:rsidRDefault="00D02D32" w:rsidP="00D02D32">
      <w:pPr>
        <w:pStyle w:val="ListParagraph"/>
        <w:numPr>
          <w:ilvl w:val="0"/>
          <w:numId w:val="33"/>
        </w:numPr>
        <w:spacing w:before="240"/>
        <w:ind w:left="360"/>
        <w:jc w:val="both"/>
        <w:rPr>
          <w:rFonts w:ascii="Arial" w:hAnsi="Arial" w:cs="Arial"/>
          <w:sz w:val="20"/>
          <w:szCs w:val="20"/>
        </w:rPr>
      </w:pPr>
      <w:r w:rsidRPr="00405CC2">
        <w:rPr>
          <w:rFonts w:ascii="Arial" w:hAnsi="Arial" w:cs="Arial"/>
          <w:sz w:val="20"/>
          <w:szCs w:val="20"/>
        </w:rPr>
        <w:t xml:space="preserve">Islam, A., Hao, H., Hossain, M.K. and Rahman, M. (2022). Nursery Growing Media Practice: Impact on Seed Germination and Initial Seedling Development of </w:t>
      </w:r>
      <w:proofErr w:type="spellStart"/>
      <w:r w:rsidRPr="00405CC2">
        <w:rPr>
          <w:rFonts w:ascii="Arial" w:hAnsi="Arial" w:cs="Arial"/>
          <w:i/>
          <w:iCs/>
          <w:sz w:val="20"/>
          <w:szCs w:val="20"/>
        </w:rPr>
        <w:t>Hymenodictyon</w:t>
      </w:r>
      <w:proofErr w:type="spellEnd"/>
      <w:r w:rsidRPr="00405CC2">
        <w:rPr>
          <w:rFonts w:ascii="Arial" w:hAnsi="Arial" w:cs="Arial"/>
          <w:i/>
          <w:iCs/>
          <w:sz w:val="20"/>
          <w:szCs w:val="20"/>
        </w:rPr>
        <w:t xml:space="preserve"> </w:t>
      </w:r>
      <w:proofErr w:type="spellStart"/>
      <w:r w:rsidRPr="00405CC2">
        <w:rPr>
          <w:rFonts w:ascii="Arial" w:hAnsi="Arial" w:cs="Arial"/>
          <w:i/>
          <w:iCs/>
          <w:sz w:val="20"/>
          <w:szCs w:val="20"/>
        </w:rPr>
        <w:t>orixensis</w:t>
      </w:r>
      <w:proofErr w:type="spellEnd"/>
      <w:r w:rsidRPr="00405CC2">
        <w:rPr>
          <w:rFonts w:ascii="Arial" w:hAnsi="Arial" w:cs="Arial"/>
          <w:sz w:val="20"/>
          <w:szCs w:val="20"/>
        </w:rPr>
        <w:t xml:space="preserve"> (</w:t>
      </w:r>
      <w:proofErr w:type="spellStart"/>
      <w:r w:rsidRPr="00405CC2">
        <w:rPr>
          <w:rFonts w:ascii="Arial" w:hAnsi="Arial" w:cs="Arial"/>
          <w:sz w:val="20"/>
          <w:szCs w:val="20"/>
        </w:rPr>
        <w:t>Roxb</w:t>
      </w:r>
      <w:proofErr w:type="spellEnd"/>
      <w:r w:rsidRPr="00405CC2">
        <w:rPr>
          <w:rFonts w:ascii="Arial" w:hAnsi="Arial" w:cs="Arial"/>
          <w:sz w:val="20"/>
          <w:szCs w:val="20"/>
        </w:rPr>
        <w:t xml:space="preserve">.) Mabberley - A Vulnerable Native Tree Species. </w:t>
      </w:r>
      <w:r w:rsidRPr="00405CC2">
        <w:rPr>
          <w:rFonts w:ascii="Arial" w:hAnsi="Arial" w:cs="Arial"/>
          <w:i/>
          <w:iCs/>
          <w:sz w:val="20"/>
          <w:szCs w:val="20"/>
        </w:rPr>
        <w:t>Journal of Forest and Environmental Science</w:t>
      </w:r>
      <w:r w:rsidRPr="00405CC2">
        <w:rPr>
          <w:rFonts w:ascii="Arial" w:hAnsi="Arial" w:cs="Arial"/>
          <w:sz w:val="20"/>
          <w:szCs w:val="20"/>
        </w:rPr>
        <w:t xml:space="preserve">, </w:t>
      </w:r>
      <w:r w:rsidRPr="00405CC2">
        <w:rPr>
          <w:rFonts w:ascii="Arial" w:hAnsi="Arial" w:cs="Arial"/>
          <w:i/>
          <w:iCs/>
          <w:sz w:val="20"/>
          <w:szCs w:val="20"/>
        </w:rPr>
        <w:t>38</w:t>
      </w:r>
      <w:r w:rsidRPr="00405CC2">
        <w:rPr>
          <w:rFonts w:ascii="Arial" w:hAnsi="Arial" w:cs="Arial"/>
          <w:sz w:val="20"/>
          <w:szCs w:val="20"/>
        </w:rPr>
        <w:t>(1), 38-47.</w:t>
      </w:r>
    </w:p>
    <w:p w14:paraId="3999461B" w14:textId="77777777" w:rsidR="00D02D32" w:rsidRPr="00405CC2" w:rsidRDefault="00D02D32" w:rsidP="00D02D32">
      <w:pPr>
        <w:pStyle w:val="ListParagraph"/>
        <w:numPr>
          <w:ilvl w:val="0"/>
          <w:numId w:val="33"/>
        </w:numPr>
        <w:spacing w:before="240"/>
        <w:ind w:left="360"/>
        <w:jc w:val="both"/>
        <w:rPr>
          <w:rFonts w:ascii="Arial" w:hAnsi="Arial" w:cs="Arial"/>
          <w:color w:val="000000" w:themeColor="text1"/>
          <w:sz w:val="20"/>
          <w:szCs w:val="20"/>
        </w:rPr>
      </w:pPr>
      <w:r w:rsidRPr="00405CC2">
        <w:rPr>
          <w:rFonts w:ascii="Arial" w:hAnsi="Arial" w:cs="Arial"/>
          <w:color w:val="000000" w:themeColor="text1"/>
          <w:sz w:val="20"/>
          <w:szCs w:val="20"/>
        </w:rPr>
        <w:t xml:space="preserve">Roy, B.C., Sharma, B.P., Thakur, K. and Mishra, S. (2026). Ethnomedicinal and ecological importance of </w:t>
      </w:r>
      <w:proofErr w:type="spellStart"/>
      <w:r w:rsidRPr="00405CC2">
        <w:rPr>
          <w:rFonts w:ascii="Arial" w:hAnsi="Arial" w:cs="Arial"/>
          <w:i/>
          <w:iCs/>
          <w:color w:val="000000" w:themeColor="text1"/>
          <w:sz w:val="20"/>
          <w:szCs w:val="20"/>
        </w:rPr>
        <w:t>Hymenodictyon</w:t>
      </w:r>
      <w:proofErr w:type="spellEnd"/>
      <w:r w:rsidRPr="00405CC2">
        <w:rPr>
          <w:rFonts w:ascii="Arial" w:hAnsi="Arial" w:cs="Arial"/>
          <w:i/>
          <w:iCs/>
          <w:color w:val="000000" w:themeColor="text1"/>
          <w:sz w:val="20"/>
          <w:szCs w:val="20"/>
        </w:rPr>
        <w:t xml:space="preserve"> </w:t>
      </w:r>
      <w:proofErr w:type="spellStart"/>
      <w:r w:rsidRPr="00405CC2">
        <w:rPr>
          <w:rFonts w:ascii="Arial" w:hAnsi="Arial" w:cs="Arial"/>
          <w:i/>
          <w:iCs/>
          <w:color w:val="000000" w:themeColor="text1"/>
          <w:sz w:val="20"/>
          <w:szCs w:val="20"/>
        </w:rPr>
        <w:t>orixense</w:t>
      </w:r>
      <w:proofErr w:type="spellEnd"/>
      <w:r w:rsidRPr="00B50B00">
        <w:rPr>
          <w:rFonts w:ascii="Arial" w:hAnsi="Arial" w:cs="Arial"/>
          <w:color w:val="000000" w:themeColor="text1"/>
          <w:sz w:val="20"/>
          <w:szCs w:val="20"/>
        </w:rPr>
        <w:t>.  In book: Medicinal Trees of India, Vol - IV (4</w:t>
      </w:r>
      <w:r w:rsidRPr="00B50B00">
        <w:rPr>
          <w:rFonts w:ascii="Arial" w:hAnsi="Arial" w:cs="Arial"/>
          <w:color w:val="000000" w:themeColor="text1"/>
          <w:sz w:val="20"/>
          <w:szCs w:val="20"/>
          <w:vertAlign w:val="superscript"/>
        </w:rPr>
        <w:t>th</w:t>
      </w:r>
      <w:r w:rsidRPr="00B50B00">
        <w:rPr>
          <w:rFonts w:ascii="Arial" w:hAnsi="Arial" w:cs="Arial"/>
          <w:color w:val="000000" w:themeColor="text1"/>
          <w:sz w:val="20"/>
          <w:szCs w:val="20"/>
        </w:rPr>
        <w:t xml:space="preserve"> Ed., pp. 57–64). Ambika Prasad Research Foundation Publisher.</w:t>
      </w:r>
      <w:r w:rsidRPr="00405CC2">
        <w:rPr>
          <w:rFonts w:ascii="Arial" w:hAnsi="Arial" w:cs="Arial"/>
          <w:color w:val="000000" w:themeColor="text1"/>
          <w:sz w:val="20"/>
          <w:szCs w:val="20"/>
        </w:rPr>
        <w:t xml:space="preserve"> </w:t>
      </w:r>
      <w:hyperlink r:id="rId17" w:history="1">
        <w:r w:rsidRPr="00405CC2">
          <w:rPr>
            <w:rStyle w:val="Hyperlink"/>
            <w:rFonts w:ascii="Arial" w:hAnsi="Arial" w:cs="Arial"/>
            <w:color w:val="000000" w:themeColor="text1"/>
            <w:sz w:val="20"/>
            <w:szCs w:val="20"/>
            <w:u w:val="none"/>
          </w:rPr>
          <w:t>https://doi.org/10.5281/zenodo.19246089</w:t>
        </w:r>
      </w:hyperlink>
    </w:p>
    <w:p w14:paraId="4823506D" w14:textId="078031C4" w:rsidR="00D02D32" w:rsidRPr="00B50B00" w:rsidRDefault="00D02D32" w:rsidP="00D02D32">
      <w:pPr>
        <w:pStyle w:val="ListParagraph"/>
        <w:numPr>
          <w:ilvl w:val="0"/>
          <w:numId w:val="33"/>
        </w:numPr>
        <w:spacing w:before="240"/>
        <w:ind w:left="360"/>
        <w:jc w:val="both"/>
        <w:rPr>
          <w:rFonts w:ascii="Arial" w:hAnsi="Arial" w:cs="Arial"/>
          <w:sz w:val="20"/>
          <w:szCs w:val="20"/>
        </w:rPr>
      </w:pPr>
      <w:r w:rsidRPr="00405CC2">
        <w:rPr>
          <w:rFonts w:ascii="Arial" w:hAnsi="Arial" w:cs="Arial"/>
          <w:sz w:val="20"/>
          <w:szCs w:val="20"/>
        </w:rPr>
        <w:t xml:space="preserve">Esha, R.T., Chowdhury, M.R., Adhikary, S., Haque, K.M.A., </w:t>
      </w:r>
      <w:proofErr w:type="spellStart"/>
      <w:r w:rsidRPr="00405CC2">
        <w:rPr>
          <w:rFonts w:ascii="Arial" w:hAnsi="Arial" w:cs="Arial"/>
          <w:sz w:val="20"/>
          <w:szCs w:val="20"/>
        </w:rPr>
        <w:t>Acharjee</w:t>
      </w:r>
      <w:proofErr w:type="spellEnd"/>
      <w:r w:rsidRPr="00405CC2">
        <w:rPr>
          <w:rFonts w:ascii="Arial" w:hAnsi="Arial" w:cs="Arial"/>
          <w:sz w:val="20"/>
          <w:szCs w:val="20"/>
        </w:rPr>
        <w:t xml:space="preserve">, M., Nurunnabi, M., Khatun, Z., </w:t>
      </w:r>
      <w:r w:rsidRPr="00E82CFE">
        <w:rPr>
          <w:rFonts w:ascii="Arial" w:hAnsi="Arial" w:cs="Arial"/>
          <w:color w:val="000000" w:themeColor="text1"/>
          <w:sz w:val="20"/>
          <w:szCs w:val="20"/>
        </w:rPr>
        <w:t xml:space="preserve">Lee Y.K. </w:t>
      </w:r>
      <w:r w:rsidRPr="00405CC2">
        <w:rPr>
          <w:rFonts w:ascii="Arial" w:hAnsi="Arial" w:cs="Arial"/>
          <w:sz w:val="20"/>
          <w:szCs w:val="20"/>
        </w:rPr>
        <w:t xml:space="preserve">and Rahmatullah, M. (2012). Medicinal plants used by tribal medicinal practitioners of three clans of the Chakma </w:t>
      </w:r>
      <w:r w:rsidRPr="007B4559">
        <w:rPr>
          <w:rFonts w:ascii="Arial" w:hAnsi="Arial" w:cs="Arial"/>
          <w:color w:val="000000" w:themeColor="text1"/>
          <w:sz w:val="20"/>
          <w:szCs w:val="20"/>
        </w:rPr>
        <w:t>tribe residing in Rangamati district, Bangladesh</w:t>
      </w:r>
      <w:r w:rsidRPr="00B50B00">
        <w:rPr>
          <w:rFonts w:ascii="Arial" w:hAnsi="Arial" w:cs="Arial"/>
          <w:color w:val="000000" w:themeColor="text1"/>
          <w:sz w:val="20"/>
          <w:szCs w:val="20"/>
        </w:rPr>
        <w:t xml:space="preserve">. </w:t>
      </w:r>
      <w:r w:rsidRPr="00B50B00">
        <w:rPr>
          <w:rFonts w:ascii="Arial" w:hAnsi="Arial" w:cs="Arial"/>
          <w:sz w:val="20"/>
          <w:szCs w:val="20"/>
        </w:rPr>
        <w:t xml:space="preserve">American-Eurasian Journal of Sustainable Agriculture, </w:t>
      </w:r>
      <w:r w:rsidRPr="00B50B00">
        <w:rPr>
          <w:rFonts w:ascii="Arial" w:hAnsi="Arial" w:cs="Arial"/>
          <w:i/>
          <w:iCs/>
          <w:sz w:val="20"/>
          <w:szCs w:val="20"/>
        </w:rPr>
        <w:t>6</w:t>
      </w:r>
      <w:r w:rsidRPr="00B50B00">
        <w:rPr>
          <w:rFonts w:ascii="Arial" w:hAnsi="Arial" w:cs="Arial"/>
          <w:sz w:val="20"/>
          <w:szCs w:val="20"/>
        </w:rPr>
        <w:t>(2), 74-84.</w:t>
      </w:r>
    </w:p>
    <w:p w14:paraId="0DD13E8A" w14:textId="77777777" w:rsidR="00D02D32" w:rsidRPr="00B50B00" w:rsidRDefault="00D02D32" w:rsidP="00D02D32">
      <w:pPr>
        <w:pStyle w:val="ListParagraph"/>
        <w:numPr>
          <w:ilvl w:val="0"/>
          <w:numId w:val="33"/>
        </w:numPr>
        <w:spacing w:before="240"/>
        <w:ind w:left="360"/>
        <w:jc w:val="both"/>
        <w:rPr>
          <w:rFonts w:ascii="Arial" w:hAnsi="Arial" w:cs="Arial"/>
          <w:color w:val="000000" w:themeColor="text1"/>
          <w:sz w:val="20"/>
          <w:szCs w:val="20"/>
        </w:rPr>
      </w:pPr>
      <w:r w:rsidRPr="00106A0F">
        <w:rPr>
          <w:rFonts w:ascii="Arial" w:hAnsi="Arial" w:cs="Arial"/>
          <w:color w:val="000000" w:themeColor="text1"/>
          <w:sz w:val="20"/>
          <w:szCs w:val="20"/>
        </w:rPr>
        <w:t xml:space="preserve">Jagtap, S.D., Deokule, S.S. and Bhosle, S.V. (2006). Some unique ethnomedicinal uses of plants used by the Korku tribe of Amravati district of Maharashtra, India. </w:t>
      </w:r>
      <w:r w:rsidRPr="00106A0F">
        <w:rPr>
          <w:rFonts w:ascii="Arial" w:hAnsi="Arial" w:cs="Arial"/>
          <w:i/>
          <w:iCs/>
          <w:color w:val="000000" w:themeColor="text1"/>
          <w:sz w:val="20"/>
          <w:szCs w:val="20"/>
        </w:rPr>
        <w:t xml:space="preserve">Journal of </w:t>
      </w:r>
      <w:r w:rsidRPr="008C2813">
        <w:rPr>
          <w:rFonts w:ascii="Arial" w:hAnsi="Arial" w:cs="Arial"/>
          <w:i/>
          <w:iCs/>
          <w:color w:val="000000" w:themeColor="text1"/>
          <w:sz w:val="20"/>
          <w:szCs w:val="20"/>
        </w:rPr>
        <w:t>Ethnopharmacology</w:t>
      </w:r>
      <w:r w:rsidRPr="008C2813">
        <w:rPr>
          <w:rFonts w:ascii="Arial" w:hAnsi="Arial" w:cs="Arial"/>
          <w:color w:val="000000" w:themeColor="text1"/>
          <w:sz w:val="20"/>
          <w:szCs w:val="20"/>
        </w:rPr>
        <w:t xml:space="preserve">, </w:t>
      </w:r>
      <w:r w:rsidRPr="008C2813">
        <w:rPr>
          <w:rFonts w:ascii="Arial" w:hAnsi="Arial" w:cs="Arial"/>
          <w:i/>
          <w:iCs/>
          <w:color w:val="000000" w:themeColor="text1"/>
          <w:sz w:val="20"/>
          <w:szCs w:val="20"/>
        </w:rPr>
        <w:t>107</w:t>
      </w:r>
      <w:r w:rsidRPr="008C2813">
        <w:rPr>
          <w:rFonts w:ascii="Arial" w:hAnsi="Arial" w:cs="Arial"/>
          <w:color w:val="000000" w:themeColor="text1"/>
          <w:sz w:val="20"/>
          <w:szCs w:val="20"/>
        </w:rPr>
        <w:t>(3), 463-469</w:t>
      </w:r>
      <w:r w:rsidRPr="00B50B00">
        <w:rPr>
          <w:rFonts w:ascii="Arial" w:hAnsi="Arial" w:cs="Arial"/>
          <w:color w:val="000000" w:themeColor="text1"/>
          <w:sz w:val="20"/>
          <w:szCs w:val="20"/>
        </w:rPr>
        <w:t>. https://doi.org/10.1016/j.jep.2006.04.002</w:t>
      </w:r>
    </w:p>
    <w:p w14:paraId="2F58FEEA" w14:textId="77777777" w:rsidR="00D02D32" w:rsidRPr="00B50B00" w:rsidRDefault="00D02D32" w:rsidP="00D02D32">
      <w:pPr>
        <w:pStyle w:val="ListParagraph"/>
        <w:numPr>
          <w:ilvl w:val="0"/>
          <w:numId w:val="33"/>
        </w:numPr>
        <w:spacing w:before="240"/>
        <w:ind w:left="360"/>
        <w:jc w:val="both"/>
        <w:rPr>
          <w:rFonts w:ascii="Arial" w:hAnsi="Arial" w:cs="Arial"/>
          <w:color w:val="000000" w:themeColor="text1"/>
          <w:sz w:val="20"/>
          <w:szCs w:val="20"/>
        </w:rPr>
      </w:pPr>
      <w:r w:rsidRPr="008C2813">
        <w:rPr>
          <w:rFonts w:ascii="Arial" w:hAnsi="Arial" w:cs="Arial"/>
          <w:color w:val="000000" w:themeColor="text1"/>
          <w:sz w:val="20"/>
          <w:szCs w:val="20"/>
        </w:rPr>
        <w:t xml:space="preserve">Swe, N.N. (2008). </w:t>
      </w:r>
      <w:proofErr w:type="spellStart"/>
      <w:r w:rsidRPr="008C2813">
        <w:rPr>
          <w:rFonts w:ascii="Arial" w:hAnsi="Arial" w:cs="Arial"/>
          <w:color w:val="000000" w:themeColor="text1"/>
          <w:sz w:val="20"/>
          <w:szCs w:val="20"/>
        </w:rPr>
        <w:t>Scopoletin</w:t>
      </w:r>
      <w:proofErr w:type="spellEnd"/>
      <w:r w:rsidRPr="008C2813">
        <w:rPr>
          <w:rFonts w:ascii="Arial" w:hAnsi="Arial" w:cs="Arial"/>
          <w:color w:val="000000" w:themeColor="text1"/>
          <w:sz w:val="20"/>
          <w:szCs w:val="20"/>
        </w:rPr>
        <w:t xml:space="preserve"> from</w:t>
      </w:r>
      <w:r w:rsidRPr="008C2813">
        <w:rPr>
          <w:rFonts w:ascii="Arial" w:hAnsi="Arial" w:cs="Arial"/>
          <w:i/>
          <w:iCs/>
          <w:color w:val="000000" w:themeColor="text1"/>
          <w:sz w:val="20"/>
          <w:szCs w:val="20"/>
        </w:rPr>
        <w:t xml:space="preserve"> </w:t>
      </w:r>
      <w:proofErr w:type="spellStart"/>
      <w:r w:rsidRPr="008C2813">
        <w:rPr>
          <w:rFonts w:ascii="Arial" w:hAnsi="Arial" w:cs="Arial"/>
          <w:i/>
          <w:iCs/>
          <w:color w:val="000000" w:themeColor="text1"/>
          <w:sz w:val="20"/>
          <w:szCs w:val="20"/>
        </w:rPr>
        <w:t>Hymenodictyon</w:t>
      </w:r>
      <w:proofErr w:type="spellEnd"/>
      <w:r w:rsidRPr="008C2813">
        <w:rPr>
          <w:rFonts w:ascii="Arial" w:hAnsi="Arial" w:cs="Arial"/>
          <w:i/>
          <w:iCs/>
          <w:color w:val="000000" w:themeColor="text1"/>
          <w:sz w:val="20"/>
          <w:szCs w:val="20"/>
        </w:rPr>
        <w:t xml:space="preserve"> </w:t>
      </w:r>
      <w:proofErr w:type="spellStart"/>
      <w:r w:rsidRPr="008C2813">
        <w:rPr>
          <w:rFonts w:ascii="Arial" w:hAnsi="Arial" w:cs="Arial"/>
          <w:i/>
          <w:iCs/>
          <w:color w:val="000000" w:themeColor="text1"/>
          <w:sz w:val="20"/>
          <w:szCs w:val="20"/>
        </w:rPr>
        <w:t>orixense</w:t>
      </w:r>
      <w:proofErr w:type="spellEnd"/>
      <w:r w:rsidRPr="008C2813">
        <w:rPr>
          <w:rFonts w:ascii="Arial" w:hAnsi="Arial" w:cs="Arial"/>
          <w:i/>
          <w:iCs/>
          <w:color w:val="000000" w:themeColor="text1"/>
          <w:sz w:val="20"/>
          <w:szCs w:val="20"/>
        </w:rPr>
        <w:t xml:space="preserve"> </w:t>
      </w:r>
      <w:r w:rsidRPr="008C2813">
        <w:rPr>
          <w:rFonts w:ascii="Arial" w:hAnsi="Arial" w:cs="Arial"/>
          <w:color w:val="000000" w:themeColor="text1"/>
          <w:sz w:val="20"/>
          <w:szCs w:val="20"/>
        </w:rPr>
        <w:t>(</w:t>
      </w:r>
      <w:proofErr w:type="spellStart"/>
      <w:r w:rsidRPr="008C2813">
        <w:rPr>
          <w:rFonts w:ascii="Arial" w:hAnsi="Arial" w:cs="Arial"/>
          <w:color w:val="000000" w:themeColor="text1"/>
          <w:sz w:val="20"/>
          <w:szCs w:val="20"/>
        </w:rPr>
        <w:t>Roxb</w:t>
      </w:r>
      <w:proofErr w:type="spellEnd"/>
      <w:r w:rsidRPr="008C2813">
        <w:rPr>
          <w:rFonts w:ascii="Arial" w:hAnsi="Arial" w:cs="Arial"/>
          <w:color w:val="000000" w:themeColor="text1"/>
          <w:sz w:val="20"/>
          <w:szCs w:val="20"/>
        </w:rPr>
        <w:t xml:space="preserve">.) Mabb. </w:t>
      </w:r>
      <w:r w:rsidRPr="008C2813">
        <w:rPr>
          <w:rFonts w:ascii="Arial" w:hAnsi="Arial" w:cs="Arial"/>
          <w:i/>
          <w:iCs/>
          <w:color w:val="000000" w:themeColor="text1"/>
          <w:sz w:val="20"/>
          <w:szCs w:val="20"/>
        </w:rPr>
        <w:t>Journal of the Myanmar Academy of Arts and Science</w:t>
      </w:r>
      <w:r w:rsidRPr="008C2813">
        <w:rPr>
          <w:rFonts w:ascii="Arial" w:hAnsi="Arial" w:cs="Arial"/>
          <w:color w:val="000000" w:themeColor="text1"/>
          <w:sz w:val="20"/>
          <w:szCs w:val="20"/>
        </w:rPr>
        <w:t xml:space="preserve">, </w:t>
      </w:r>
      <w:r w:rsidRPr="00B50B00">
        <w:rPr>
          <w:rFonts w:ascii="Arial" w:hAnsi="Arial" w:cs="Arial"/>
          <w:i/>
          <w:iCs/>
          <w:color w:val="000000" w:themeColor="text1"/>
          <w:sz w:val="20"/>
          <w:szCs w:val="20"/>
        </w:rPr>
        <w:t>6</w:t>
      </w:r>
      <w:r w:rsidRPr="00B50B00">
        <w:rPr>
          <w:rFonts w:ascii="Arial" w:hAnsi="Arial" w:cs="Arial"/>
          <w:color w:val="000000" w:themeColor="text1"/>
          <w:sz w:val="20"/>
          <w:szCs w:val="20"/>
        </w:rPr>
        <w:t>(4), 193–203.</w:t>
      </w:r>
    </w:p>
    <w:p w14:paraId="04381521" w14:textId="77777777" w:rsidR="00D02D32" w:rsidRPr="00B50B00" w:rsidRDefault="00D02D32" w:rsidP="00D02D32">
      <w:pPr>
        <w:pStyle w:val="ListParagraph"/>
        <w:numPr>
          <w:ilvl w:val="0"/>
          <w:numId w:val="33"/>
        </w:numPr>
        <w:spacing w:before="240"/>
        <w:ind w:left="360"/>
        <w:jc w:val="both"/>
        <w:rPr>
          <w:rFonts w:ascii="Arial" w:hAnsi="Arial" w:cs="Arial"/>
          <w:color w:val="000000" w:themeColor="text1"/>
          <w:sz w:val="20"/>
          <w:szCs w:val="20"/>
        </w:rPr>
      </w:pPr>
      <w:r w:rsidRPr="008C2813">
        <w:rPr>
          <w:rFonts w:ascii="Arial" w:hAnsi="Arial" w:cs="Arial"/>
          <w:color w:val="000000" w:themeColor="text1"/>
          <w:sz w:val="20"/>
          <w:szCs w:val="20"/>
        </w:rPr>
        <w:lastRenderedPageBreak/>
        <w:t xml:space="preserve">Chakraborty, P., Sasi, S., Nair, A.A., Anjum, N. and Tripathi, Y.C. (2017). Medicinal applications, phytochemistry and pharmacology of </w:t>
      </w:r>
      <w:proofErr w:type="spellStart"/>
      <w:r w:rsidRPr="008C2813">
        <w:rPr>
          <w:rFonts w:ascii="Arial" w:hAnsi="Arial" w:cs="Arial"/>
          <w:i/>
          <w:iCs/>
          <w:color w:val="000000" w:themeColor="text1"/>
          <w:sz w:val="20"/>
          <w:szCs w:val="20"/>
        </w:rPr>
        <w:t>Hymenodictyon</w:t>
      </w:r>
      <w:proofErr w:type="spellEnd"/>
      <w:r w:rsidRPr="008C2813">
        <w:rPr>
          <w:rFonts w:ascii="Arial" w:hAnsi="Arial" w:cs="Arial"/>
          <w:i/>
          <w:iCs/>
          <w:color w:val="000000" w:themeColor="text1"/>
          <w:sz w:val="20"/>
          <w:szCs w:val="20"/>
        </w:rPr>
        <w:t xml:space="preserve"> </w:t>
      </w:r>
      <w:proofErr w:type="spellStart"/>
      <w:r w:rsidRPr="008C2813">
        <w:rPr>
          <w:rFonts w:ascii="Arial" w:hAnsi="Arial" w:cs="Arial"/>
          <w:i/>
          <w:iCs/>
          <w:color w:val="000000" w:themeColor="text1"/>
          <w:sz w:val="20"/>
          <w:szCs w:val="20"/>
        </w:rPr>
        <w:t>excelsum</w:t>
      </w:r>
      <w:proofErr w:type="spellEnd"/>
      <w:r w:rsidRPr="008C2813">
        <w:rPr>
          <w:rFonts w:ascii="Arial" w:hAnsi="Arial" w:cs="Arial"/>
          <w:color w:val="000000" w:themeColor="text1"/>
          <w:sz w:val="20"/>
          <w:szCs w:val="20"/>
        </w:rPr>
        <w:t xml:space="preserve"> (</w:t>
      </w:r>
      <w:proofErr w:type="spellStart"/>
      <w:r w:rsidRPr="008C2813">
        <w:rPr>
          <w:rFonts w:ascii="Arial" w:hAnsi="Arial" w:cs="Arial"/>
          <w:color w:val="000000" w:themeColor="text1"/>
          <w:sz w:val="20"/>
          <w:szCs w:val="20"/>
        </w:rPr>
        <w:t>Roxb</w:t>
      </w:r>
      <w:proofErr w:type="spellEnd"/>
      <w:r w:rsidRPr="008C2813">
        <w:rPr>
          <w:rFonts w:ascii="Arial" w:hAnsi="Arial" w:cs="Arial"/>
          <w:color w:val="000000" w:themeColor="text1"/>
          <w:sz w:val="20"/>
          <w:szCs w:val="20"/>
        </w:rPr>
        <w:t xml:space="preserve">.) Wall: A Review. </w:t>
      </w:r>
      <w:r w:rsidRPr="00B50B00">
        <w:rPr>
          <w:rFonts w:ascii="Arial" w:hAnsi="Arial" w:cs="Arial"/>
          <w:i/>
          <w:iCs/>
          <w:color w:val="000000" w:themeColor="text1"/>
          <w:sz w:val="20"/>
          <w:szCs w:val="20"/>
        </w:rPr>
        <w:t>Organic &amp; Medicinal Chemistry International Journal</w:t>
      </w:r>
      <w:r w:rsidRPr="00B50B00">
        <w:rPr>
          <w:rFonts w:ascii="Arial" w:hAnsi="Arial" w:cs="Arial"/>
          <w:color w:val="000000" w:themeColor="text1"/>
          <w:sz w:val="20"/>
          <w:szCs w:val="20"/>
        </w:rPr>
        <w:t>, 2(3), 1-5.</w:t>
      </w:r>
    </w:p>
    <w:p w14:paraId="768F365A" w14:textId="77777777" w:rsidR="00D02D32" w:rsidRPr="008C2813" w:rsidRDefault="00D02D32" w:rsidP="00D02D32">
      <w:pPr>
        <w:pStyle w:val="ListParagraph"/>
        <w:numPr>
          <w:ilvl w:val="0"/>
          <w:numId w:val="33"/>
        </w:numPr>
        <w:spacing w:before="240"/>
        <w:ind w:left="360"/>
        <w:jc w:val="both"/>
        <w:rPr>
          <w:rFonts w:ascii="Arial" w:hAnsi="Arial" w:cs="Arial"/>
          <w:color w:val="000000" w:themeColor="text1"/>
          <w:sz w:val="20"/>
          <w:szCs w:val="20"/>
        </w:rPr>
      </w:pPr>
      <w:r w:rsidRPr="008C2813">
        <w:rPr>
          <w:rFonts w:ascii="Arial" w:hAnsi="Arial" w:cs="Arial"/>
          <w:color w:val="000000" w:themeColor="text1"/>
          <w:sz w:val="20"/>
          <w:szCs w:val="20"/>
        </w:rPr>
        <w:t xml:space="preserve">Pradhan, R., Manohara, T.N., Suresh, H.S. and Nayak, A.P. (2020). An ethnomedicinal study of important medicinal plants in </w:t>
      </w:r>
      <w:proofErr w:type="spellStart"/>
      <w:r w:rsidRPr="008C2813">
        <w:rPr>
          <w:rFonts w:ascii="Arial" w:hAnsi="Arial" w:cs="Arial"/>
          <w:color w:val="000000" w:themeColor="text1"/>
          <w:sz w:val="20"/>
          <w:szCs w:val="20"/>
        </w:rPr>
        <w:t>Kudermukh</w:t>
      </w:r>
      <w:proofErr w:type="spellEnd"/>
      <w:r w:rsidRPr="008C2813">
        <w:rPr>
          <w:rFonts w:ascii="Arial" w:hAnsi="Arial" w:cs="Arial"/>
          <w:color w:val="000000" w:themeColor="text1"/>
          <w:sz w:val="20"/>
          <w:szCs w:val="20"/>
        </w:rPr>
        <w:t xml:space="preserve"> National Park of Karnataka: A review. </w:t>
      </w:r>
      <w:r w:rsidRPr="008C2813">
        <w:rPr>
          <w:rFonts w:ascii="Arial" w:hAnsi="Arial" w:cs="Arial"/>
          <w:i/>
          <w:iCs/>
          <w:color w:val="000000" w:themeColor="text1"/>
          <w:sz w:val="20"/>
          <w:szCs w:val="20"/>
        </w:rPr>
        <w:t>International Journal of Current Microbiology and Applied Sciences</w:t>
      </w:r>
      <w:r w:rsidRPr="008C2813">
        <w:rPr>
          <w:rFonts w:ascii="Arial" w:hAnsi="Arial" w:cs="Arial"/>
          <w:color w:val="000000" w:themeColor="text1"/>
          <w:sz w:val="20"/>
          <w:szCs w:val="20"/>
        </w:rPr>
        <w:t xml:space="preserve">, </w:t>
      </w:r>
      <w:r w:rsidRPr="008C2813">
        <w:rPr>
          <w:rFonts w:ascii="Arial" w:hAnsi="Arial" w:cs="Arial"/>
          <w:i/>
          <w:iCs/>
          <w:color w:val="000000" w:themeColor="text1"/>
          <w:sz w:val="20"/>
          <w:szCs w:val="20"/>
        </w:rPr>
        <w:t>9</w:t>
      </w:r>
      <w:r w:rsidRPr="008C2813">
        <w:rPr>
          <w:rFonts w:ascii="Arial" w:hAnsi="Arial" w:cs="Arial"/>
          <w:color w:val="000000" w:themeColor="text1"/>
          <w:sz w:val="20"/>
          <w:szCs w:val="20"/>
        </w:rPr>
        <w:t>(9), 3477-3490.</w:t>
      </w:r>
      <w:r>
        <w:rPr>
          <w:rFonts w:ascii="Arial" w:hAnsi="Arial" w:cs="Arial"/>
          <w:color w:val="000000" w:themeColor="text1"/>
          <w:sz w:val="20"/>
          <w:szCs w:val="20"/>
        </w:rPr>
        <w:t xml:space="preserve"> </w:t>
      </w:r>
      <w:r w:rsidRPr="00B50B00">
        <w:rPr>
          <w:rFonts w:ascii="Arial" w:hAnsi="Arial" w:cs="Arial"/>
          <w:color w:val="000000" w:themeColor="text1"/>
          <w:sz w:val="20"/>
          <w:szCs w:val="20"/>
        </w:rPr>
        <w:t>https://doi.org/</w:t>
      </w:r>
      <w:hyperlink r:id="rId18" w:tgtFrame="_blank" w:history="1">
        <w:r w:rsidRPr="00B50B00">
          <w:rPr>
            <w:rStyle w:val="Hyperlink"/>
            <w:rFonts w:ascii="Arial" w:hAnsi="Arial" w:cs="Arial"/>
            <w:color w:val="000000" w:themeColor="text1"/>
            <w:sz w:val="20"/>
            <w:szCs w:val="20"/>
            <w:u w:val="none"/>
            <w:bdr w:val="none" w:sz="0" w:space="0" w:color="auto" w:frame="1"/>
          </w:rPr>
          <w:t>10.20546/ijcmas.2020.909.432</w:t>
        </w:r>
      </w:hyperlink>
    </w:p>
    <w:p w14:paraId="6F2510B4" w14:textId="480E929A" w:rsidR="00D02D32" w:rsidRPr="00955EF3" w:rsidRDefault="00D02D32" w:rsidP="00D02D32">
      <w:pPr>
        <w:pStyle w:val="ListParagraph"/>
        <w:numPr>
          <w:ilvl w:val="0"/>
          <w:numId w:val="33"/>
        </w:numPr>
        <w:spacing w:before="240"/>
        <w:ind w:left="360"/>
        <w:jc w:val="both"/>
        <w:rPr>
          <w:rFonts w:ascii="Arial" w:hAnsi="Arial" w:cs="Arial"/>
          <w:sz w:val="20"/>
        </w:rPr>
      </w:pPr>
      <w:r w:rsidRPr="00955EF3">
        <w:rPr>
          <w:rFonts w:ascii="Arial" w:hAnsi="Arial" w:cs="Arial"/>
          <w:sz w:val="20"/>
        </w:rPr>
        <w:t xml:space="preserve">Chandra, A., Negi, R., Verma, P.K., Naithani, H.B., Saxena, J., </w:t>
      </w:r>
      <w:proofErr w:type="spellStart"/>
      <w:r w:rsidRPr="00955EF3">
        <w:rPr>
          <w:rFonts w:ascii="Arial" w:hAnsi="Arial" w:cs="Arial"/>
          <w:sz w:val="20"/>
        </w:rPr>
        <w:t>Kewat</w:t>
      </w:r>
      <w:proofErr w:type="spellEnd"/>
      <w:r w:rsidRPr="00955EF3">
        <w:rPr>
          <w:rFonts w:ascii="Arial" w:hAnsi="Arial" w:cs="Arial"/>
          <w:sz w:val="20"/>
        </w:rPr>
        <w:t>, A.,</w:t>
      </w:r>
      <w:r w:rsidR="008122F7">
        <w:rPr>
          <w:rFonts w:ascii="Arial" w:hAnsi="Arial" w:cs="Arial"/>
          <w:sz w:val="20"/>
        </w:rPr>
        <w:t xml:space="preserve"> </w:t>
      </w:r>
      <w:r w:rsidR="008122F7" w:rsidRPr="008122F7">
        <w:rPr>
          <w:rFonts w:ascii="Arial" w:hAnsi="Arial" w:cs="Arial"/>
          <w:sz w:val="20"/>
          <w:highlight w:val="yellow"/>
        </w:rPr>
        <w:t xml:space="preserve">Prajapati, S., </w:t>
      </w:r>
      <w:proofErr w:type="spellStart"/>
      <w:r w:rsidR="008122F7" w:rsidRPr="008122F7">
        <w:rPr>
          <w:rFonts w:ascii="Arial" w:hAnsi="Arial" w:cs="Arial"/>
          <w:sz w:val="20"/>
          <w:highlight w:val="yellow"/>
        </w:rPr>
        <w:t>Kishwan</w:t>
      </w:r>
      <w:proofErr w:type="spellEnd"/>
      <w:r w:rsidR="008122F7" w:rsidRPr="008122F7">
        <w:rPr>
          <w:rFonts w:ascii="Arial" w:hAnsi="Arial" w:cs="Arial"/>
          <w:sz w:val="20"/>
          <w:highlight w:val="yellow"/>
        </w:rPr>
        <w:t>, S., Baig, S., Semwal, D. and Umasankar</w:t>
      </w:r>
      <w:r w:rsidR="008122F7">
        <w:rPr>
          <w:rFonts w:ascii="Arial" w:hAnsi="Arial" w:cs="Arial"/>
          <w:sz w:val="20"/>
        </w:rPr>
        <w:t xml:space="preserve">. </w:t>
      </w:r>
      <w:r>
        <w:rPr>
          <w:rFonts w:ascii="Arial" w:hAnsi="Arial" w:cs="Arial"/>
          <w:sz w:val="20"/>
        </w:rPr>
        <w:t>(</w:t>
      </w:r>
      <w:r w:rsidRPr="00955EF3">
        <w:rPr>
          <w:rFonts w:ascii="Arial" w:hAnsi="Arial" w:cs="Arial"/>
          <w:sz w:val="20"/>
        </w:rPr>
        <w:t>2022</w:t>
      </w:r>
      <w:r>
        <w:rPr>
          <w:rFonts w:ascii="Arial" w:hAnsi="Arial" w:cs="Arial"/>
          <w:sz w:val="20"/>
        </w:rPr>
        <w:t>)</w:t>
      </w:r>
      <w:r w:rsidRPr="00955EF3">
        <w:rPr>
          <w:rFonts w:ascii="Arial" w:hAnsi="Arial" w:cs="Arial"/>
          <w:sz w:val="20"/>
        </w:rPr>
        <w:t xml:space="preserve">. </w:t>
      </w:r>
      <w:r w:rsidRPr="00955EF3">
        <w:rPr>
          <w:rFonts w:ascii="Arial" w:hAnsi="Arial" w:cs="Arial"/>
          <w:i/>
          <w:iCs/>
          <w:sz w:val="20"/>
        </w:rPr>
        <w:t>In:</w:t>
      </w:r>
      <w:r w:rsidRPr="00955EF3">
        <w:rPr>
          <w:rFonts w:ascii="Arial" w:hAnsi="Arial" w:cs="Arial"/>
          <w:sz w:val="20"/>
        </w:rPr>
        <w:t xml:space="preserve"> </w:t>
      </w:r>
      <w:proofErr w:type="spellStart"/>
      <w:r w:rsidRPr="00955EF3">
        <w:rPr>
          <w:rFonts w:ascii="Arial" w:hAnsi="Arial" w:cs="Arial"/>
          <w:sz w:val="20"/>
        </w:rPr>
        <w:t>Ginwal</w:t>
      </w:r>
      <w:proofErr w:type="spellEnd"/>
      <w:r w:rsidRPr="00955EF3">
        <w:rPr>
          <w:rFonts w:ascii="Arial" w:hAnsi="Arial" w:cs="Arial"/>
          <w:sz w:val="20"/>
        </w:rPr>
        <w:t xml:space="preserve"> HS, Mathur PK, Rawat A, Singh S. (Eds.) Conservation of Forest Genetic Resources, State Report-Uttarakhand, Pilot Project, National Program for Conservation and Development of Forest Genetic Resources. Forest Research Institute, ICFRE, (pp. 1-840).</w:t>
      </w:r>
    </w:p>
    <w:p w14:paraId="334BFDCB" w14:textId="7160A320" w:rsidR="003270C8" w:rsidRPr="008B6B94" w:rsidRDefault="003270C8" w:rsidP="008B6B94">
      <w:pPr>
        <w:pStyle w:val="ListParagraph"/>
        <w:numPr>
          <w:ilvl w:val="0"/>
          <w:numId w:val="33"/>
        </w:numPr>
        <w:spacing w:before="240"/>
        <w:ind w:left="360"/>
        <w:jc w:val="both"/>
        <w:rPr>
          <w:rFonts w:ascii="Arial" w:hAnsi="Arial" w:cs="Arial"/>
          <w:color w:val="222222"/>
          <w:sz w:val="20"/>
          <w:highlight w:val="yellow"/>
          <w:shd w:val="clear" w:color="auto" w:fill="FFFFFF"/>
        </w:rPr>
      </w:pPr>
      <w:r w:rsidRPr="003270C8">
        <w:rPr>
          <w:rFonts w:ascii="Arial" w:hAnsi="Arial" w:cs="Arial"/>
          <w:color w:val="222222"/>
          <w:sz w:val="20"/>
          <w:szCs w:val="20"/>
          <w:highlight w:val="yellow"/>
          <w:shd w:val="clear" w:color="auto" w:fill="FFFFFF"/>
        </w:rPr>
        <w:t xml:space="preserve">Bhardwaj, S., Kumari, M., Chethan, T., </w:t>
      </w:r>
      <w:proofErr w:type="spellStart"/>
      <w:r w:rsidRPr="003270C8">
        <w:rPr>
          <w:rFonts w:ascii="Arial" w:hAnsi="Arial" w:cs="Arial"/>
          <w:color w:val="222222"/>
          <w:sz w:val="20"/>
          <w:szCs w:val="20"/>
          <w:highlight w:val="yellow"/>
          <w:shd w:val="clear" w:color="auto" w:fill="FFFFFF"/>
        </w:rPr>
        <w:t>Hosamani</w:t>
      </w:r>
      <w:proofErr w:type="spellEnd"/>
      <w:r w:rsidRPr="003270C8">
        <w:rPr>
          <w:rFonts w:ascii="Arial" w:hAnsi="Arial" w:cs="Arial"/>
          <w:color w:val="222222"/>
          <w:sz w:val="20"/>
          <w:szCs w:val="20"/>
          <w:highlight w:val="yellow"/>
          <w:shd w:val="clear" w:color="auto" w:fill="FFFFFF"/>
        </w:rPr>
        <w:t xml:space="preserve">, M., Paul, M., </w:t>
      </w:r>
      <w:proofErr w:type="spellStart"/>
      <w:r w:rsidRPr="003270C8">
        <w:rPr>
          <w:rFonts w:ascii="Arial" w:hAnsi="Arial" w:cs="Arial"/>
          <w:color w:val="222222"/>
          <w:sz w:val="20"/>
          <w:szCs w:val="20"/>
          <w:highlight w:val="yellow"/>
          <w:shd w:val="clear" w:color="auto" w:fill="FFFFFF"/>
        </w:rPr>
        <w:t>Moirangthem</w:t>
      </w:r>
      <w:proofErr w:type="spellEnd"/>
      <w:r w:rsidRPr="003270C8">
        <w:rPr>
          <w:rFonts w:ascii="Arial" w:hAnsi="Arial" w:cs="Arial"/>
          <w:color w:val="222222"/>
          <w:sz w:val="20"/>
          <w:szCs w:val="20"/>
          <w:highlight w:val="yellow"/>
          <w:shd w:val="clear" w:color="auto" w:fill="FFFFFF"/>
        </w:rPr>
        <w:t>, A., Dash, A.P. and Verma, S. (2025). Advances in Micropropagation and Tissue Culture for Horticultural Crops: A Review. </w:t>
      </w:r>
      <w:r w:rsidRPr="003270C8">
        <w:rPr>
          <w:rFonts w:ascii="Arial" w:hAnsi="Arial" w:cs="Arial"/>
          <w:i/>
          <w:iCs/>
          <w:color w:val="222222"/>
          <w:sz w:val="20"/>
          <w:szCs w:val="20"/>
          <w:highlight w:val="yellow"/>
          <w:shd w:val="clear" w:color="auto" w:fill="FFFFFF"/>
        </w:rPr>
        <w:t>Plant Cell Biotechnology and Molecular Biology</w:t>
      </w:r>
      <w:r w:rsidRPr="003270C8">
        <w:rPr>
          <w:rFonts w:ascii="Arial" w:hAnsi="Arial" w:cs="Arial"/>
          <w:color w:val="222222"/>
          <w:sz w:val="20"/>
          <w:szCs w:val="20"/>
          <w:highlight w:val="yellow"/>
          <w:shd w:val="clear" w:color="auto" w:fill="FFFFFF"/>
        </w:rPr>
        <w:t>, </w:t>
      </w:r>
      <w:r w:rsidRPr="003270C8">
        <w:rPr>
          <w:rFonts w:ascii="Arial" w:hAnsi="Arial" w:cs="Arial"/>
          <w:iCs/>
          <w:color w:val="222222"/>
          <w:sz w:val="20"/>
          <w:szCs w:val="20"/>
          <w:highlight w:val="yellow"/>
          <w:shd w:val="clear" w:color="auto" w:fill="FFFFFF"/>
        </w:rPr>
        <w:t>26</w:t>
      </w:r>
      <w:r w:rsidRPr="003270C8">
        <w:rPr>
          <w:rFonts w:ascii="Arial" w:hAnsi="Arial" w:cs="Arial"/>
          <w:color w:val="222222"/>
          <w:sz w:val="20"/>
          <w:szCs w:val="20"/>
          <w:highlight w:val="yellow"/>
          <w:shd w:val="clear" w:color="auto" w:fill="FFFFFF"/>
        </w:rPr>
        <w:t>(11-12), 166-182.</w:t>
      </w:r>
      <w:r w:rsidR="00DA2DEB" w:rsidRPr="00DA2DEB">
        <w:t xml:space="preserve"> </w:t>
      </w:r>
      <w:r w:rsidR="008B6B94" w:rsidRPr="008B6B94">
        <w:rPr>
          <w:rFonts w:ascii="Arial" w:hAnsi="Arial" w:cs="Arial"/>
          <w:color w:val="000000" w:themeColor="text1"/>
          <w:sz w:val="20"/>
          <w:szCs w:val="20"/>
          <w:highlight w:val="yellow"/>
        </w:rPr>
        <w:t>https://doi.org/</w:t>
      </w:r>
      <w:r w:rsidR="00DA2DEB" w:rsidRPr="008B6B94">
        <w:rPr>
          <w:rFonts w:ascii="Arial" w:hAnsi="Arial" w:cs="Arial"/>
          <w:color w:val="222222"/>
          <w:sz w:val="20"/>
          <w:szCs w:val="20"/>
          <w:highlight w:val="yellow"/>
          <w:shd w:val="clear" w:color="auto" w:fill="FFFFFF"/>
        </w:rPr>
        <w:t>10.56557/pcbmb/2025/v26i11-1210039</w:t>
      </w:r>
    </w:p>
    <w:p w14:paraId="612A0257" w14:textId="2D547C72" w:rsidR="008B6B94" w:rsidRPr="008B6B94" w:rsidRDefault="008122F7" w:rsidP="008B6B94">
      <w:pPr>
        <w:pStyle w:val="ListParagraph"/>
        <w:numPr>
          <w:ilvl w:val="0"/>
          <w:numId w:val="33"/>
        </w:numPr>
        <w:spacing w:before="240"/>
        <w:ind w:left="360"/>
        <w:jc w:val="both"/>
        <w:rPr>
          <w:rFonts w:ascii="Arial" w:hAnsi="Arial" w:cs="Arial"/>
          <w:color w:val="222222"/>
          <w:sz w:val="20"/>
          <w:highlight w:val="yellow"/>
          <w:shd w:val="clear" w:color="auto" w:fill="FFFFFF"/>
        </w:rPr>
      </w:pPr>
      <w:r w:rsidRPr="008B6B94">
        <w:rPr>
          <w:rFonts w:ascii="Arial" w:hAnsi="Arial" w:cs="Arial"/>
          <w:color w:val="222222"/>
          <w:sz w:val="20"/>
          <w:szCs w:val="20"/>
          <w:highlight w:val="yellow"/>
          <w:shd w:val="clear" w:color="auto" w:fill="FFFFFF"/>
        </w:rPr>
        <w:t xml:space="preserve">Minj, S., Lakra, A., Baghel, P., </w:t>
      </w:r>
      <w:proofErr w:type="spellStart"/>
      <w:r w:rsidRPr="008B6B94">
        <w:rPr>
          <w:rFonts w:ascii="Arial" w:hAnsi="Arial" w:cs="Arial"/>
          <w:color w:val="222222"/>
          <w:sz w:val="20"/>
          <w:szCs w:val="20"/>
          <w:highlight w:val="yellow"/>
          <w:shd w:val="clear" w:color="auto" w:fill="FFFFFF"/>
        </w:rPr>
        <w:t>Xaxa</w:t>
      </w:r>
      <w:proofErr w:type="spellEnd"/>
      <w:r w:rsidRPr="008B6B94">
        <w:rPr>
          <w:rFonts w:ascii="Arial" w:hAnsi="Arial" w:cs="Arial"/>
          <w:color w:val="222222"/>
          <w:sz w:val="20"/>
          <w:szCs w:val="20"/>
          <w:highlight w:val="yellow"/>
          <w:shd w:val="clear" w:color="auto" w:fill="FFFFFF"/>
        </w:rPr>
        <w:t xml:space="preserve">, S., Sahu, T. and Jha, Z., (2025). </w:t>
      </w:r>
      <w:r w:rsidRPr="008B6B94">
        <w:rPr>
          <w:rFonts w:ascii="Arial" w:hAnsi="Arial" w:cs="Arial"/>
          <w:i/>
          <w:color w:val="222222"/>
          <w:sz w:val="20"/>
          <w:szCs w:val="20"/>
          <w:highlight w:val="yellow"/>
          <w:shd w:val="clear" w:color="auto" w:fill="FFFFFF"/>
        </w:rPr>
        <w:t>In vitro</w:t>
      </w:r>
      <w:r w:rsidRPr="008B6B94">
        <w:rPr>
          <w:rFonts w:ascii="Arial" w:hAnsi="Arial" w:cs="Arial"/>
          <w:color w:val="222222"/>
          <w:sz w:val="20"/>
          <w:szCs w:val="20"/>
          <w:highlight w:val="yellow"/>
          <w:shd w:val="clear" w:color="auto" w:fill="FFFFFF"/>
        </w:rPr>
        <w:t xml:space="preserve"> Propagation of </w:t>
      </w:r>
      <w:r w:rsidRPr="008B6B94">
        <w:rPr>
          <w:rFonts w:ascii="Arial" w:hAnsi="Arial" w:cs="Arial"/>
          <w:i/>
          <w:color w:val="222222"/>
          <w:sz w:val="20"/>
          <w:szCs w:val="20"/>
          <w:highlight w:val="yellow"/>
          <w:shd w:val="clear" w:color="auto" w:fill="FFFFFF"/>
        </w:rPr>
        <w:t>Eucalyptus</w:t>
      </w:r>
      <w:r w:rsidRPr="008B6B94">
        <w:rPr>
          <w:rFonts w:ascii="Arial" w:hAnsi="Arial" w:cs="Arial"/>
          <w:color w:val="222222"/>
          <w:sz w:val="20"/>
          <w:szCs w:val="20"/>
          <w:highlight w:val="yellow"/>
          <w:shd w:val="clear" w:color="auto" w:fill="FFFFFF"/>
        </w:rPr>
        <w:t xml:space="preserve"> Hybrids: Optimizing Tissue Culture for Sustainable Paper Industry Practices. </w:t>
      </w:r>
      <w:r w:rsidRPr="008B6B94">
        <w:rPr>
          <w:rFonts w:ascii="Arial" w:hAnsi="Arial" w:cs="Arial"/>
          <w:i/>
          <w:iCs/>
          <w:color w:val="222222"/>
          <w:sz w:val="20"/>
          <w:szCs w:val="20"/>
          <w:highlight w:val="yellow"/>
          <w:shd w:val="clear" w:color="auto" w:fill="FFFFFF"/>
        </w:rPr>
        <w:t>Plant Cell Biotechnology and Molecular Biology</w:t>
      </w:r>
      <w:r w:rsidRPr="008B6B94">
        <w:rPr>
          <w:rFonts w:ascii="Arial" w:hAnsi="Arial" w:cs="Arial"/>
          <w:color w:val="222222"/>
          <w:sz w:val="20"/>
          <w:szCs w:val="20"/>
          <w:highlight w:val="yellow"/>
          <w:shd w:val="clear" w:color="auto" w:fill="FFFFFF"/>
        </w:rPr>
        <w:t>, </w:t>
      </w:r>
      <w:r w:rsidRPr="008B6B94">
        <w:rPr>
          <w:rFonts w:ascii="Arial" w:hAnsi="Arial" w:cs="Arial"/>
          <w:i/>
          <w:iCs/>
          <w:color w:val="222222"/>
          <w:sz w:val="20"/>
          <w:szCs w:val="20"/>
          <w:highlight w:val="yellow"/>
          <w:shd w:val="clear" w:color="auto" w:fill="FFFFFF"/>
        </w:rPr>
        <w:t>26</w:t>
      </w:r>
      <w:r w:rsidRPr="008B6B94">
        <w:rPr>
          <w:rFonts w:ascii="Arial" w:hAnsi="Arial" w:cs="Arial"/>
          <w:color w:val="222222"/>
          <w:sz w:val="20"/>
          <w:szCs w:val="20"/>
          <w:highlight w:val="yellow"/>
          <w:shd w:val="clear" w:color="auto" w:fill="FFFFFF"/>
        </w:rPr>
        <w:t>(7-8), 203-211.</w:t>
      </w:r>
      <w:r w:rsidR="008B6B94">
        <w:rPr>
          <w:rFonts w:ascii="Arial" w:hAnsi="Arial" w:cs="Arial"/>
          <w:color w:val="222222"/>
          <w:sz w:val="20"/>
          <w:szCs w:val="20"/>
          <w:highlight w:val="yellow"/>
          <w:shd w:val="clear" w:color="auto" w:fill="FFFFFF"/>
        </w:rPr>
        <w:t xml:space="preserve"> </w:t>
      </w:r>
      <w:r w:rsidR="008B6B94" w:rsidRPr="008B6B94">
        <w:rPr>
          <w:rFonts w:ascii="Arial" w:hAnsi="Arial" w:cs="Arial"/>
          <w:color w:val="222222"/>
          <w:sz w:val="20"/>
          <w:highlight w:val="yellow"/>
          <w:shd w:val="clear" w:color="auto" w:fill="FFFFFF"/>
        </w:rPr>
        <w:t>https://doi.org/10.56557/pcbmb/2025/v26i7-89432</w:t>
      </w:r>
      <w:r w:rsidR="008B6B94" w:rsidRPr="008B6B94">
        <w:rPr>
          <w:rFonts w:ascii="Arial" w:hAnsi="Arial" w:cs="Arial"/>
          <w:color w:val="222222"/>
          <w:sz w:val="20"/>
          <w:shd w:val="clear" w:color="auto" w:fill="FFFFFF"/>
        </w:rPr>
        <w:t xml:space="preserve"> </w:t>
      </w:r>
    </w:p>
    <w:p w14:paraId="7BFECCE3" w14:textId="27ED2A18" w:rsidR="00D02D32" w:rsidRPr="00B50B00" w:rsidRDefault="00D02D32" w:rsidP="00D02D32">
      <w:pPr>
        <w:pStyle w:val="ListParagraph"/>
        <w:numPr>
          <w:ilvl w:val="0"/>
          <w:numId w:val="33"/>
        </w:numPr>
        <w:spacing w:before="240"/>
        <w:ind w:left="360"/>
        <w:jc w:val="both"/>
        <w:rPr>
          <w:rFonts w:ascii="Arial" w:hAnsi="Arial" w:cs="Arial"/>
          <w:color w:val="222222"/>
          <w:sz w:val="20"/>
          <w:shd w:val="clear" w:color="auto" w:fill="FFFFFF"/>
        </w:rPr>
      </w:pPr>
      <w:r w:rsidRPr="002F65DA">
        <w:rPr>
          <w:rFonts w:ascii="Arial" w:hAnsi="Arial" w:cs="Arial"/>
          <w:color w:val="222222"/>
          <w:sz w:val="20"/>
          <w:shd w:val="clear" w:color="auto" w:fill="FFFFFF"/>
        </w:rPr>
        <w:t xml:space="preserve">Murashige, T.  </w:t>
      </w:r>
      <w:r w:rsidRPr="00B50B00">
        <w:rPr>
          <w:rFonts w:ascii="Arial" w:hAnsi="Arial" w:cs="Arial"/>
          <w:color w:val="222222"/>
          <w:sz w:val="20"/>
          <w:shd w:val="clear" w:color="auto" w:fill="FFFFFF"/>
        </w:rPr>
        <w:t>and</w:t>
      </w:r>
      <w:r w:rsidRPr="002F65DA">
        <w:rPr>
          <w:rFonts w:ascii="Arial" w:hAnsi="Arial" w:cs="Arial"/>
          <w:color w:val="222222"/>
          <w:sz w:val="20"/>
          <w:shd w:val="clear" w:color="auto" w:fill="FFFFFF"/>
        </w:rPr>
        <w:t xml:space="preserve"> Skoog, F. (1962). A revised medium for rapid growth and bio assays with tobacco tissue cultures. </w:t>
      </w:r>
      <w:proofErr w:type="spellStart"/>
      <w:r w:rsidRPr="002F65DA">
        <w:rPr>
          <w:rFonts w:ascii="Arial" w:hAnsi="Arial" w:cs="Arial"/>
          <w:i/>
          <w:iCs/>
          <w:color w:val="222222"/>
          <w:sz w:val="20"/>
          <w:shd w:val="clear" w:color="auto" w:fill="FFFFFF"/>
        </w:rPr>
        <w:t>Physiologia</w:t>
      </w:r>
      <w:proofErr w:type="spellEnd"/>
      <w:r w:rsidRPr="002F65DA">
        <w:rPr>
          <w:rFonts w:ascii="Arial" w:hAnsi="Arial" w:cs="Arial"/>
          <w:i/>
          <w:iCs/>
          <w:color w:val="222222"/>
          <w:sz w:val="20"/>
          <w:shd w:val="clear" w:color="auto" w:fill="FFFFFF"/>
        </w:rPr>
        <w:t xml:space="preserve"> </w:t>
      </w:r>
      <w:r>
        <w:rPr>
          <w:rFonts w:ascii="Arial" w:hAnsi="Arial" w:cs="Arial"/>
          <w:i/>
          <w:iCs/>
          <w:color w:val="222222"/>
          <w:sz w:val="20"/>
          <w:shd w:val="clear" w:color="auto" w:fill="FFFFFF"/>
        </w:rPr>
        <w:t>P</w:t>
      </w:r>
      <w:r w:rsidRPr="002F65DA">
        <w:rPr>
          <w:rFonts w:ascii="Arial" w:hAnsi="Arial" w:cs="Arial"/>
          <w:i/>
          <w:iCs/>
          <w:color w:val="222222"/>
          <w:sz w:val="20"/>
          <w:shd w:val="clear" w:color="auto" w:fill="FFFFFF"/>
        </w:rPr>
        <w:t>lantarum</w:t>
      </w:r>
      <w:r w:rsidRPr="002F65DA">
        <w:rPr>
          <w:rFonts w:ascii="Arial" w:hAnsi="Arial" w:cs="Arial"/>
          <w:color w:val="222222"/>
          <w:sz w:val="20"/>
          <w:shd w:val="clear" w:color="auto" w:fill="FFFFFF"/>
        </w:rPr>
        <w:t>, </w:t>
      </w:r>
      <w:r w:rsidRPr="00B50B00">
        <w:rPr>
          <w:rFonts w:ascii="Arial" w:hAnsi="Arial" w:cs="Arial"/>
          <w:color w:val="222222"/>
          <w:sz w:val="20"/>
          <w:shd w:val="clear" w:color="auto" w:fill="FFFFFF"/>
        </w:rPr>
        <w:t>15, 473-497.</w:t>
      </w:r>
      <w:r w:rsidRPr="00B50B00">
        <w:rPr>
          <w:rFonts w:ascii="Arial" w:hAnsi="Arial" w:cs="Arial"/>
          <w:color w:val="222222"/>
          <w:sz w:val="20"/>
          <w:shd w:val="clear" w:color="auto" w:fill="FFFFFF"/>
        </w:rPr>
        <w:br/>
        <w:t>https://doi.org/10.1111/j.1399-3054.1962.tb08052.x</w:t>
      </w:r>
    </w:p>
    <w:p w14:paraId="79071846" w14:textId="77777777" w:rsidR="00D02D32" w:rsidRPr="00B50B00" w:rsidRDefault="00D02D32" w:rsidP="00D02D32">
      <w:pPr>
        <w:pStyle w:val="ListParagraph"/>
        <w:numPr>
          <w:ilvl w:val="0"/>
          <w:numId w:val="33"/>
        </w:numPr>
        <w:spacing w:before="240"/>
        <w:ind w:left="360"/>
        <w:jc w:val="both"/>
        <w:rPr>
          <w:rFonts w:ascii="Arial" w:hAnsi="Arial" w:cs="Arial"/>
          <w:sz w:val="20"/>
        </w:rPr>
      </w:pPr>
      <w:r w:rsidRPr="00955EF3">
        <w:rPr>
          <w:rFonts w:ascii="Arial" w:hAnsi="Arial" w:cs="Arial"/>
          <w:sz w:val="20"/>
        </w:rPr>
        <w:t>Abu-</w:t>
      </w:r>
      <w:proofErr w:type="spellStart"/>
      <w:r w:rsidRPr="00955EF3">
        <w:rPr>
          <w:rFonts w:ascii="Arial" w:hAnsi="Arial" w:cs="Arial"/>
          <w:sz w:val="20"/>
        </w:rPr>
        <w:t>Romman</w:t>
      </w:r>
      <w:proofErr w:type="spellEnd"/>
      <w:r w:rsidRPr="00955EF3">
        <w:rPr>
          <w:rFonts w:ascii="Arial" w:hAnsi="Arial" w:cs="Arial"/>
          <w:sz w:val="20"/>
        </w:rPr>
        <w:t>, S.M., Al-Hadid, K.A.</w:t>
      </w:r>
      <w:r>
        <w:rPr>
          <w:rFonts w:ascii="Arial" w:hAnsi="Arial" w:cs="Arial"/>
          <w:sz w:val="20"/>
        </w:rPr>
        <w:t xml:space="preserve"> </w:t>
      </w:r>
      <w:r w:rsidRPr="00B50B00">
        <w:rPr>
          <w:rFonts w:ascii="Arial" w:hAnsi="Arial" w:cs="Arial"/>
          <w:sz w:val="20"/>
        </w:rPr>
        <w:t>and</w:t>
      </w:r>
      <w:r w:rsidRPr="00955EF3">
        <w:rPr>
          <w:rFonts w:ascii="Arial" w:hAnsi="Arial" w:cs="Arial"/>
          <w:sz w:val="20"/>
        </w:rPr>
        <w:t xml:space="preserve"> </w:t>
      </w:r>
      <w:proofErr w:type="spellStart"/>
      <w:r w:rsidRPr="00955EF3">
        <w:rPr>
          <w:rFonts w:ascii="Arial" w:hAnsi="Arial" w:cs="Arial"/>
          <w:sz w:val="20"/>
        </w:rPr>
        <w:t>Arabiyyat</w:t>
      </w:r>
      <w:proofErr w:type="spellEnd"/>
      <w:r w:rsidRPr="00955EF3">
        <w:rPr>
          <w:rFonts w:ascii="Arial" w:hAnsi="Arial" w:cs="Arial"/>
          <w:sz w:val="20"/>
        </w:rPr>
        <w:t xml:space="preserve">, A.R. </w:t>
      </w:r>
      <w:r>
        <w:rPr>
          <w:rFonts w:ascii="Arial" w:hAnsi="Arial" w:cs="Arial"/>
          <w:sz w:val="20"/>
        </w:rPr>
        <w:t>(</w:t>
      </w:r>
      <w:r w:rsidRPr="00955EF3">
        <w:rPr>
          <w:rFonts w:ascii="Arial" w:hAnsi="Arial" w:cs="Arial"/>
          <w:sz w:val="20"/>
        </w:rPr>
        <w:t>2015</w:t>
      </w:r>
      <w:r>
        <w:rPr>
          <w:rFonts w:ascii="Arial" w:hAnsi="Arial" w:cs="Arial"/>
          <w:sz w:val="20"/>
        </w:rPr>
        <w:t>)</w:t>
      </w:r>
      <w:r w:rsidRPr="00955EF3">
        <w:rPr>
          <w:rFonts w:ascii="Arial" w:hAnsi="Arial" w:cs="Arial"/>
          <w:sz w:val="20"/>
        </w:rPr>
        <w:t xml:space="preserve">. Kinetin is the most effective cytokinin on shoot multiplication from cucumber. </w:t>
      </w:r>
      <w:r w:rsidRPr="00955EF3">
        <w:rPr>
          <w:rFonts w:ascii="Arial" w:hAnsi="Arial" w:cs="Arial"/>
          <w:i/>
          <w:iCs/>
          <w:sz w:val="20"/>
        </w:rPr>
        <w:t>Journal of Agricultural Science</w:t>
      </w:r>
      <w:r w:rsidRPr="00955EF3">
        <w:rPr>
          <w:rFonts w:ascii="Arial" w:hAnsi="Arial" w:cs="Arial"/>
          <w:sz w:val="20"/>
        </w:rPr>
        <w:t>, 7(10), 159</w:t>
      </w:r>
      <w:r>
        <w:rPr>
          <w:rFonts w:ascii="Arial" w:hAnsi="Arial" w:cs="Arial"/>
          <w:sz w:val="20"/>
        </w:rPr>
        <w:t>-</w:t>
      </w:r>
      <w:r w:rsidRPr="00B50B00">
        <w:rPr>
          <w:rFonts w:ascii="Arial" w:hAnsi="Arial" w:cs="Arial"/>
          <w:sz w:val="20"/>
        </w:rPr>
        <w:t>165. http://dx.doi.org/10.5539/jas.v7n10p159.</w:t>
      </w:r>
    </w:p>
    <w:p w14:paraId="0CFDBAB3" w14:textId="1149584B" w:rsidR="00AB6A52" w:rsidRPr="00AB6A52" w:rsidRDefault="00AB6A52" w:rsidP="00AB6A52">
      <w:pPr>
        <w:pStyle w:val="ListParagraph"/>
        <w:numPr>
          <w:ilvl w:val="0"/>
          <w:numId w:val="33"/>
        </w:numPr>
        <w:spacing w:before="240"/>
        <w:ind w:left="360"/>
        <w:jc w:val="both"/>
        <w:rPr>
          <w:rFonts w:ascii="Arial" w:hAnsi="Arial" w:cs="Arial"/>
          <w:sz w:val="20"/>
          <w:highlight w:val="yellow"/>
          <w:shd w:val="clear" w:color="auto" w:fill="FFFFFF"/>
        </w:rPr>
      </w:pPr>
      <w:r w:rsidRPr="00AB6A52">
        <w:rPr>
          <w:rFonts w:ascii="Arial" w:hAnsi="Arial" w:cs="Arial"/>
          <w:sz w:val="20"/>
          <w:highlight w:val="yellow"/>
          <w:shd w:val="clear" w:color="auto" w:fill="FFFFFF"/>
        </w:rPr>
        <w:t xml:space="preserve">Martins, J.P.R., Wawrzyniak, M.K., Ley-López, J.M. Kalemba, E.M., Mendes, M.M. and </w:t>
      </w:r>
      <w:proofErr w:type="spellStart"/>
      <w:r w:rsidRPr="00AB6A52">
        <w:rPr>
          <w:rFonts w:ascii="Arial" w:hAnsi="Arial" w:cs="Arial"/>
          <w:sz w:val="20"/>
          <w:highlight w:val="yellow"/>
          <w:shd w:val="clear" w:color="auto" w:fill="FFFFFF"/>
        </w:rPr>
        <w:t>Chmielarz</w:t>
      </w:r>
      <w:proofErr w:type="spellEnd"/>
      <w:r w:rsidRPr="00AB6A52">
        <w:rPr>
          <w:rFonts w:ascii="Arial" w:hAnsi="Arial" w:cs="Arial"/>
          <w:sz w:val="20"/>
          <w:highlight w:val="yellow"/>
          <w:shd w:val="clear" w:color="auto" w:fill="FFFFFF"/>
        </w:rPr>
        <w:t xml:space="preserve">, P. (2022). 6-Benzylaminopurine and kinetin modulations during </w:t>
      </w:r>
      <w:r w:rsidRPr="00AB6A52">
        <w:rPr>
          <w:rFonts w:ascii="Arial" w:hAnsi="Arial" w:cs="Arial"/>
          <w:i/>
          <w:sz w:val="20"/>
          <w:highlight w:val="yellow"/>
          <w:shd w:val="clear" w:color="auto" w:fill="FFFFFF"/>
        </w:rPr>
        <w:t>in vitro</w:t>
      </w:r>
      <w:r w:rsidRPr="00AB6A52">
        <w:rPr>
          <w:rFonts w:ascii="Arial" w:hAnsi="Arial" w:cs="Arial"/>
          <w:sz w:val="20"/>
          <w:highlight w:val="yellow"/>
          <w:shd w:val="clear" w:color="auto" w:fill="FFFFFF"/>
        </w:rPr>
        <w:t xml:space="preserve"> propagation of </w:t>
      </w:r>
      <w:r w:rsidRPr="00AB6A52">
        <w:rPr>
          <w:rFonts w:ascii="Arial" w:hAnsi="Arial" w:cs="Arial"/>
          <w:i/>
          <w:sz w:val="20"/>
          <w:highlight w:val="yellow"/>
          <w:shd w:val="clear" w:color="auto" w:fill="FFFFFF"/>
        </w:rPr>
        <w:t xml:space="preserve">Quercus </w:t>
      </w:r>
      <w:proofErr w:type="spellStart"/>
      <w:r w:rsidRPr="00AB6A52">
        <w:rPr>
          <w:rFonts w:ascii="Arial" w:hAnsi="Arial" w:cs="Arial"/>
          <w:i/>
          <w:sz w:val="20"/>
          <w:highlight w:val="yellow"/>
          <w:shd w:val="clear" w:color="auto" w:fill="FFFFFF"/>
        </w:rPr>
        <w:t>robur</w:t>
      </w:r>
      <w:proofErr w:type="spellEnd"/>
      <w:r w:rsidRPr="00AB6A52">
        <w:rPr>
          <w:rFonts w:ascii="Arial" w:hAnsi="Arial" w:cs="Arial"/>
          <w:sz w:val="20"/>
          <w:highlight w:val="yellow"/>
          <w:shd w:val="clear" w:color="auto" w:fill="FFFFFF"/>
        </w:rPr>
        <w:t xml:space="preserve"> (L.): an assessment of anatomical, biochemical, and physiological profiling of shoots. </w:t>
      </w:r>
      <w:r w:rsidRPr="00AB6A52">
        <w:rPr>
          <w:rFonts w:ascii="Arial" w:hAnsi="Arial" w:cs="Arial"/>
          <w:i/>
          <w:sz w:val="20"/>
          <w:highlight w:val="yellow"/>
          <w:shd w:val="clear" w:color="auto" w:fill="FFFFFF"/>
        </w:rPr>
        <w:t xml:space="preserve">Plant Cell Tissue and Organ Culture </w:t>
      </w:r>
      <w:r w:rsidRPr="00AB6A52">
        <w:rPr>
          <w:rFonts w:ascii="Arial" w:hAnsi="Arial" w:cs="Arial"/>
          <w:sz w:val="20"/>
          <w:highlight w:val="yellow"/>
          <w:shd w:val="clear" w:color="auto" w:fill="FFFFFF"/>
        </w:rPr>
        <w:t>151, 149–164. https://doi.org/10.1007/s11240-022-02339-9</w:t>
      </w:r>
    </w:p>
    <w:p w14:paraId="203B205B" w14:textId="71EC3016" w:rsidR="00D02D32" w:rsidRPr="00B50B00" w:rsidRDefault="00D02D32" w:rsidP="00D02D32">
      <w:pPr>
        <w:pStyle w:val="ListParagraph"/>
        <w:numPr>
          <w:ilvl w:val="0"/>
          <w:numId w:val="33"/>
        </w:numPr>
        <w:spacing w:before="240"/>
        <w:ind w:left="360"/>
        <w:jc w:val="both"/>
        <w:rPr>
          <w:rFonts w:ascii="Arial" w:hAnsi="Arial" w:cs="Arial"/>
          <w:sz w:val="20"/>
          <w:shd w:val="clear" w:color="auto" w:fill="FFFFFF"/>
        </w:rPr>
      </w:pPr>
      <w:r w:rsidRPr="00955EF3">
        <w:rPr>
          <w:rFonts w:ascii="Arial" w:hAnsi="Arial" w:cs="Arial"/>
          <w:sz w:val="20"/>
        </w:rPr>
        <w:t xml:space="preserve">Patel, A.K., Lodha, D. </w:t>
      </w:r>
      <w:r>
        <w:rPr>
          <w:rFonts w:ascii="Arial" w:hAnsi="Arial" w:cs="Arial"/>
          <w:sz w:val="20"/>
        </w:rPr>
        <w:t>and</w:t>
      </w:r>
      <w:r w:rsidRPr="00955EF3">
        <w:rPr>
          <w:rFonts w:ascii="Arial" w:hAnsi="Arial" w:cs="Arial"/>
          <w:sz w:val="20"/>
        </w:rPr>
        <w:t xml:space="preserve"> Shekhawat, N.S. </w:t>
      </w:r>
      <w:r>
        <w:rPr>
          <w:rFonts w:ascii="Arial" w:hAnsi="Arial" w:cs="Arial"/>
          <w:sz w:val="20"/>
        </w:rPr>
        <w:t>(</w:t>
      </w:r>
      <w:r w:rsidRPr="00955EF3">
        <w:rPr>
          <w:rFonts w:ascii="Arial" w:hAnsi="Arial" w:cs="Arial"/>
          <w:sz w:val="20"/>
        </w:rPr>
        <w:t>2020</w:t>
      </w:r>
      <w:r>
        <w:rPr>
          <w:rFonts w:ascii="Arial" w:hAnsi="Arial" w:cs="Arial"/>
          <w:sz w:val="20"/>
        </w:rPr>
        <w:t>)</w:t>
      </w:r>
      <w:r w:rsidRPr="00955EF3">
        <w:rPr>
          <w:rFonts w:ascii="Arial" w:hAnsi="Arial" w:cs="Arial"/>
          <w:sz w:val="20"/>
        </w:rPr>
        <w:t xml:space="preserve">. An improved micropropagation protocol for the </w:t>
      </w:r>
      <w:r w:rsidRPr="00955EF3">
        <w:rPr>
          <w:rFonts w:ascii="Arial" w:hAnsi="Arial" w:cs="Arial"/>
          <w:i/>
          <w:iCs/>
          <w:sz w:val="20"/>
        </w:rPr>
        <w:t>ex-situ</w:t>
      </w:r>
      <w:r w:rsidRPr="00955EF3">
        <w:rPr>
          <w:rFonts w:ascii="Arial" w:hAnsi="Arial" w:cs="Arial"/>
          <w:sz w:val="20"/>
        </w:rPr>
        <w:t xml:space="preserve"> conservation of </w:t>
      </w:r>
      <w:proofErr w:type="spellStart"/>
      <w:r w:rsidRPr="00955EF3">
        <w:rPr>
          <w:rFonts w:ascii="Arial" w:hAnsi="Arial" w:cs="Arial"/>
          <w:i/>
          <w:iCs/>
          <w:sz w:val="20"/>
        </w:rPr>
        <w:t>Mitragyna</w:t>
      </w:r>
      <w:proofErr w:type="spellEnd"/>
      <w:r w:rsidRPr="00955EF3">
        <w:rPr>
          <w:rFonts w:ascii="Arial" w:hAnsi="Arial" w:cs="Arial"/>
          <w:i/>
          <w:iCs/>
          <w:sz w:val="20"/>
        </w:rPr>
        <w:t xml:space="preserve"> </w:t>
      </w:r>
      <w:proofErr w:type="spellStart"/>
      <w:r w:rsidRPr="00955EF3">
        <w:rPr>
          <w:rFonts w:ascii="Arial" w:hAnsi="Arial" w:cs="Arial"/>
          <w:i/>
          <w:iCs/>
          <w:sz w:val="20"/>
        </w:rPr>
        <w:t>parvifolia</w:t>
      </w:r>
      <w:proofErr w:type="spellEnd"/>
      <w:r w:rsidRPr="00955EF3">
        <w:rPr>
          <w:rFonts w:ascii="Arial" w:hAnsi="Arial" w:cs="Arial"/>
          <w:sz w:val="20"/>
        </w:rPr>
        <w:t xml:space="preserve"> (</w:t>
      </w:r>
      <w:proofErr w:type="spellStart"/>
      <w:r w:rsidRPr="00955EF3">
        <w:rPr>
          <w:rFonts w:ascii="Arial" w:hAnsi="Arial" w:cs="Arial"/>
          <w:sz w:val="20"/>
        </w:rPr>
        <w:t>Roxb</w:t>
      </w:r>
      <w:proofErr w:type="spellEnd"/>
      <w:r w:rsidRPr="00955EF3">
        <w:rPr>
          <w:rFonts w:ascii="Arial" w:hAnsi="Arial" w:cs="Arial"/>
          <w:sz w:val="20"/>
        </w:rPr>
        <w:t>.) Korth. (</w:t>
      </w:r>
      <w:proofErr w:type="spellStart"/>
      <w:r w:rsidRPr="00955EF3">
        <w:rPr>
          <w:rFonts w:ascii="Arial" w:hAnsi="Arial" w:cs="Arial"/>
          <w:sz w:val="20"/>
        </w:rPr>
        <w:t>Rubiaceae</w:t>
      </w:r>
      <w:proofErr w:type="spellEnd"/>
      <w:r w:rsidRPr="00955EF3">
        <w:rPr>
          <w:rFonts w:ascii="Arial" w:hAnsi="Arial" w:cs="Arial"/>
          <w:sz w:val="20"/>
        </w:rPr>
        <w:t xml:space="preserve">): an endangered tree of pharmaceutical importance. </w:t>
      </w:r>
      <w:r w:rsidRPr="00955EF3">
        <w:rPr>
          <w:rFonts w:ascii="Arial" w:hAnsi="Arial" w:cs="Arial"/>
          <w:i/>
          <w:iCs/>
          <w:sz w:val="20"/>
        </w:rPr>
        <w:t xml:space="preserve">In </w:t>
      </w:r>
      <w:r>
        <w:rPr>
          <w:rFonts w:ascii="Arial" w:hAnsi="Arial" w:cs="Arial"/>
          <w:i/>
          <w:iCs/>
          <w:sz w:val="20"/>
        </w:rPr>
        <w:t>V</w:t>
      </w:r>
      <w:r w:rsidRPr="00955EF3">
        <w:rPr>
          <w:rFonts w:ascii="Arial" w:hAnsi="Arial" w:cs="Arial"/>
          <w:i/>
          <w:iCs/>
          <w:sz w:val="20"/>
        </w:rPr>
        <w:t xml:space="preserve">itro </w:t>
      </w:r>
      <w:r>
        <w:rPr>
          <w:rFonts w:ascii="Arial" w:hAnsi="Arial" w:cs="Arial"/>
          <w:i/>
          <w:iCs/>
          <w:sz w:val="20"/>
        </w:rPr>
        <w:t>C</w:t>
      </w:r>
      <w:r w:rsidRPr="00955EF3">
        <w:rPr>
          <w:rFonts w:ascii="Arial" w:hAnsi="Arial" w:cs="Arial"/>
          <w:i/>
          <w:iCs/>
          <w:sz w:val="20"/>
        </w:rPr>
        <w:t xml:space="preserve">ellular </w:t>
      </w:r>
      <w:r>
        <w:rPr>
          <w:rFonts w:ascii="Arial" w:hAnsi="Arial" w:cs="Arial"/>
          <w:i/>
          <w:iCs/>
          <w:sz w:val="20"/>
        </w:rPr>
        <w:t>and</w:t>
      </w:r>
      <w:r w:rsidRPr="00955EF3">
        <w:rPr>
          <w:rFonts w:ascii="Arial" w:hAnsi="Arial" w:cs="Arial"/>
          <w:i/>
          <w:iCs/>
          <w:sz w:val="20"/>
        </w:rPr>
        <w:t xml:space="preserve"> </w:t>
      </w:r>
      <w:r>
        <w:rPr>
          <w:rFonts w:ascii="Arial" w:hAnsi="Arial" w:cs="Arial"/>
          <w:i/>
          <w:iCs/>
          <w:sz w:val="20"/>
        </w:rPr>
        <w:t>D</w:t>
      </w:r>
      <w:r w:rsidRPr="00955EF3">
        <w:rPr>
          <w:rFonts w:ascii="Arial" w:hAnsi="Arial" w:cs="Arial"/>
          <w:i/>
          <w:iCs/>
          <w:sz w:val="20"/>
        </w:rPr>
        <w:t xml:space="preserve">evelopmental </w:t>
      </w:r>
      <w:r>
        <w:rPr>
          <w:rFonts w:ascii="Arial" w:hAnsi="Arial" w:cs="Arial"/>
          <w:i/>
          <w:iCs/>
          <w:sz w:val="20"/>
        </w:rPr>
        <w:t>B</w:t>
      </w:r>
      <w:r w:rsidRPr="00955EF3">
        <w:rPr>
          <w:rFonts w:ascii="Arial" w:hAnsi="Arial" w:cs="Arial"/>
          <w:i/>
          <w:iCs/>
          <w:sz w:val="20"/>
        </w:rPr>
        <w:t>iology</w:t>
      </w:r>
      <w:r>
        <w:rPr>
          <w:rFonts w:ascii="Arial" w:hAnsi="Arial" w:cs="Arial"/>
          <w:i/>
          <w:iCs/>
          <w:sz w:val="20"/>
        </w:rPr>
        <w:t xml:space="preserve"> – </w:t>
      </w:r>
      <w:r w:rsidRPr="00955EF3">
        <w:rPr>
          <w:rFonts w:ascii="Arial" w:hAnsi="Arial" w:cs="Arial"/>
          <w:i/>
          <w:iCs/>
          <w:sz w:val="20"/>
        </w:rPr>
        <w:t>Plant</w:t>
      </w:r>
      <w:r>
        <w:rPr>
          <w:rFonts w:ascii="Arial" w:hAnsi="Arial" w:cs="Arial"/>
          <w:i/>
          <w:iCs/>
          <w:sz w:val="20"/>
        </w:rPr>
        <w:t>,</w:t>
      </w:r>
      <w:r w:rsidRPr="00955EF3">
        <w:rPr>
          <w:rFonts w:ascii="Arial" w:hAnsi="Arial" w:cs="Arial"/>
          <w:i/>
          <w:iCs/>
          <w:sz w:val="20"/>
        </w:rPr>
        <w:t xml:space="preserve"> 56</w:t>
      </w:r>
      <w:r w:rsidRPr="00955EF3">
        <w:rPr>
          <w:rFonts w:ascii="Arial" w:hAnsi="Arial" w:cs="Arial"/>
          <w:sz w:val="20"/>
        </w:rPr>
        <w:t xml:space="preserve">(6), 817–826. </w:t>
      </w:r>
      <w:hyperlink r:id="rId19" w:history="1">
        <w:r w:rsidRPr="00B50B00">
          <w:rPr>
            <w:rStyle w:val="Hyperlink"/>
            <w:rFonts w:ascii="Arial" w:hAnsi="Arial" w:cs="Arial"/>
            <w:color w:val="000000" w:themeColor="text1"/>
            <w:sz w:val="20"/>
            <w:u w:val="none"/>
          </w:rPr>
          <w:t>https://doi.org/10.1007/s11627-020-10089-6</w:t>
        </w:r>
      </w:hyperlink>
    </w:p>
    <w:p w14:paraId="6561503B" w14:textId="0A1C939C" w:rsidR="006B2149" w:rsidRPr="006B2149" w:rsidRDefault="006B2149" w:rsidP="006B2149">
      <w:pPr>
        <w:pStyle w:val="ListParagraph"/>
        <w:numPr>
          <w:ilvl w:val="0"/>
          <w:numId w:val="33"/>
        </w:numPr>
        <w:spacing w:before="240"/>
        <w:ind w:left="360"/>
        <w:jc w:val="both"/>
        <w:rPr>
          <w:rFonts w:ascii="Arial" w:hAnsi="Arial" w:cs="Arial"/>
          <w:sz w:val="20"/>
          <w:szCs w:val="20"/>
          <w:highlight w:val="yellow"/>
        </w:rPr>
      </w:pPr>
      <w:r w:rsidRPr="006B2149">
        <w:rPr>
          <w:rFonts w:ascii="Arial" w:hAnsi="Arial" w:cs="Arial"/>
          <w:color w:val="222222"/>
          <w:sz w:val="20"/>
          <w:szCs w:val="20"/>
          <w:highlight w:val="yellow"/>
          <w:shd w:val="clear" w:color="auto" w:fill="FFFFFF"/>
        </w:rPr>
        <w:t xml:space="preserve">Aremu, A. O., </w:t>
      </w:r>
      <w:proofErr w:type="spellStart"/>
      <w:r w:rsidRPr="006B2149">
        <w:rPr>
          <w:rFonts w:ascii="Arial" w:hAnsi="Arial" w:cs="Arial"/>
          <w:color w:val="222222"/>
          <w:sz w:val="20"/>
          <w:szCs w:val="20"/>
          <w:highlight w:val="yellow"/>
          <w:shd w:val="clear" w:color="auto" w:fill="FFFFFF"/>
        </w:rPr>
        <w:t>Bairu</w:t>
      </w:r>
      <w:proofErr w:type="spellEnd"/>
      <w:r w:rsidRPr="006B2149">
        <w:rPr>
          <w:rFonts w:ascii="Arial" w:hAnsi="Arial" w:cs="Arial"/>
          <w:color w:val="222222"/>
          <w:sz w:val="20"/>
          <w:szCs w:val="20"/>
          <w:highlight w:val="yellow"/>
          <w:shd w:val="clear" w:color="auto" w:fill="FFFFFF"/>
        </w:rPr>
        <w:t xml:space="preserve">, M. W., Doležal, K., Finnie, J. F., and Van Staden, J. (2012). </w:t>
      </w:r>
      <w:proofErr w:type="spellStart"/>
      <w:r w:rsidRPr="006B2149">
        <w:rPr>
          <w:rFonts w:ascii="Arial" w:hAnsi="Arial" w:cs="Arial"/>
          <w:color w:val="222222"/>
          <w:sz w:val="20"/>
          <w:szCs w:val="20"/>
          <w:highlight w:val="yellow"/>
          <w:shd w:val="clear" w:color="auto" w:fill="FFFFFF"/>
        </w:rPr>
        <w:t>Topolins</w:t>
      </w:r>
      <w:proofErr w:type="spellEnd"/>
      <w:r w:rsidRPr="006B2149">
        <w:rPr>
          <w:rFonts w:ascii="Arial" w:hAnsi="Arial" w:cs="Arial"/>
          <w:color w:val="222222"/>
          <w:sz w:val="20"/>
          <w:szCs w:val="20"/>
          <w:highlight w:val="yellow"/>
          <w:shd w:val="clear" w:color="auto" w:fill="FFFFFF"/>
        </w:rPr>
        <w:t>: a panacea to plant tissue culture challenges? </w:t>
      </w:r>
      <w:r w:rsidRPr="006B2149">
        <w:rPr>
          <w:rFonts w:ascii="Arial" w:hAnsi="Arial" w:cs="Arial"/>
          <w:i/>
          <w:iCs/>
          <w:color w:val="222222"/>
          <w:sz w:val="20"/>
          <w:szCs w:val="20"/>
          <w:highlight w:val="yellow"/>
          <w:shd w:val="clear" w:color="auto" w:fill="FFFFFF"/>
        </w:rPr>
        <w:t xml:space="preserve">Plant Cell, Tissue and Organ Culture, </w:t>
      </w:r>
      <w:r w:rsidRPr="006B2149">
        <w:rPr>
          <w:rFonts w:ascii="Arial" w:hAnsi="Arial" w:cs="Arial"/>
          <w:iCs/>
          <w:color w:val="222222"/>
          <w:sz w:val="20"/>
          <w:szCs w:val="20"/>
          <w:highlight w:val="yellow"/>
          <w:shd w:val="clear" w:color="auto" w:fill="FFFFFF"/>
        </w:rPr>
        <w:t>108</w:t>
      </w:r>
      <w:r w:rsidRPr="006B2149">
        <w:rPr>
          <w:rFonts w:ascii="Arial" w:hAnsi="Arial" w:cs="Arial"/>
          <w:color w:val="222222"/>
          <w:sz w:val="20"/>
          <w:szCs w:val="20"/>
          <w:highlight w:val="yellow"/>
          <w:shd w:val="clear" w:color="auto" w:fill="FFFFFF"/>
        </w:rPr>
        <w:t>(1), 1-16.</w:t>
      </w:r>
      <w:r w:rsidRPr="006B2149">
        <w:rPr>
          <w:highlight w:val="yellow"/>
        </w:rPr>
        <w:t xml:space="preserve"> </w:t>
      </w:r>
      <w:r w:rsidRPr="006B2149">
        <w:rPr>
          <w:rFonts w:ascii="Arial" w:hAnsi="Arial" w:cs="Arial"/>
          <w:color w:val="222222"/>
          <w:sz w:val="20"/>
          <w:szCs w:val="20"/>
          <w:highlight w:val="yellow"/>
          <w:shd w:val="clear" w:color="auto" w:fill="FFFFFF"/>
        </w:rPr>
        <w:t>https://doi.org/10.1007/s11240-011-0007-7</w:t>
      </w:r>
    </w:p>
    <w:p w14:paraId="1754FE54" w14:textId="45BFAD1F" w:rsidR="00D02D32" w:rsidRPr="00EC7343" w:rsidRDefault="00D02D32" w:rsidP="00D02D32">
      <w:pPr>
        <w:pStyle w:val="ListParagraph"/>
        <w:numPr>
          <w:ilvl w:val="0"/>
          <w:numId w:val="33"/>
        </w:numPr>
        <w:spacing w:before="240"/>
        <w:ind w:left="360"/>
        <w:jc w:val="both"/>
        <w:rPr>
          <w:rFonts w:ascii="Arial" w:hAnsi="Arial" w:cs="Arial"/>
          <w:sz w:val="20"/>
          <w:szCs w:val="20"/>
        </w:rPr>
      </w:pPr>
      <w:proofErr w:type="spellStart"/>
      <w:r w:rsidRPr="00EC7343">
        <w:rPr>
          <w:rFonts w:ascii="Arial" w:hAnsi="Arial" w:cs="Arial"/>
          <w:sz w:val="20"/>
          <w:szCs w:val="20"/>
        </w:rPr>
        <w:t>Gonbad</w:t>
      </w:r>
      <w:proofErr w:type="spellEnd"/>
      <w:r w:rsidRPr="00EC7343">
        <w:rPr>
          <w:rFonts w:ascii="Arial" w:hAnsi="Arial" w:cs="Arial"/>
          <w:sz w:val="20"/>
          <w:szCs w:val="20"/>
        </w:rPr>
        <w:t xml:space="preserve">, R.A., Rani Sinniah, U., Aziz M.A. and Mohamad, R. (2014). Influence of cytokinins in combination with </w:t>
      </w:r>
      <w:r w:rsidRPr="00B50B00">
        <w:rPr>
          <w:rFonts w:ascii="Arial" w:hAnsi="Arial" w:cs="Arial"/>
          <w:sz w:val="20"/>
          <w:szCs w:val="20"/>
        </w:rPr>
        <w:t>GA</w:t>
      </w:r>
      <w:r w:rsidRPr="00B50B00">
        <w:rPr>
          <w:rFonts w:ascii="Arial" w:hAnsi="Arial" w:cs="Arial"/>
          <w:sz w:val="20"/>
          <w:szCs w:val="20"/>
          <w:vertAlign w:val="subscript"/>
        </w:rPr>
        <w:t>3</w:t>
      </w:r>
      <w:r w:rsidRPr="00B50B00">
        <w:rPr>
          <w:rFonts w:ascii="Arial" w:hAnsi="Arial" w:cs="Arial"/>
          <w:sz w:val="20"/>
          <w:szCs w:val="20"/>
        </w:rPr>
        <w:t xml:space="preserve"> on shoot multiplication and elongation of tea clone Iran 100 (</w:t>
      </w:r>
      <w:r w:rsidRPr="00B50B00">
        <w:rPr>
          <w:rFonts w:ascii="Arial" w:hAnsi="Arial" w:cs="Arial"/>
          <w:i/>
          <w:iCs/>
          <w:sz w:val="20"/>
          <w:szCs w:val="20"/>
        </w:rPr>
        <w:t>Camellia sinensis</w:t>
      </w:r>
      <w:r w:rsidRPr="00B50B00">
        <w:rPr>
          <w:rFonts w:ascii="Arial" w:hAnsi="Arial" w:cs="Arial"/>
          <w:sz w:val="20"/>
          <w:szCs w:val="20"/>
        </w:rPr>
        <w:t xml:space="preserve"> (L.) O. Kuntze). </w:t>
      </w:r>
      <w:r w:rsidRPr="00B50B00">
        <w:rPr>
          <w:rFonts w:ascii="Arial" w:hAnsi="Arial" w:cs="Arial"/>
          <w:i/>
          <w:iCs/>
          <w:sz w:val="20"/>
          <w:szCs w:val="20"/>
        </w:rPr>
        <w:t>Scientific World Journal</w:t>
      </w:r>
      <w:r w:rsidRPr="00B50B00">
        <w:rPr>
          <w:rFonts w:ascii="Arial" w:hAnsi="Arial" w:cs="Arial"/>
          <w:sz w:val="20"/>
          <w:szCs w:val="20"/>
        </w:rPr>
        <w:t xml:space="preserve">, </w:t>
      </w:r>
      <w:r w:rsidRPr="00B50B00">
        <w:rPr>
          <w:rFonts w:ascii="Arial" w:hAnsi="Arial" w:cs="Arial"/>
          <w:i/>
          <w:iCs/>
          <w:sz w:val="20"/>
          <w:szCs w:val="20"/>
        </w:rPr>
        <w:t xml:space="preserve">2014, </w:t>
      </w:r>
      <w:r w:rsidRPr="00B50B00">
        <w:rPr>
          <w:rFonts w:ascii="Arial" w:hAnsi="Arial" w:cs="Arial"/>
          <w:sz w:val="20"/>
          <w:szCs w:val="20"/>
        </w:rPr>
        <w:t>943054. https://doi.org/10.1155/2014/943054.</w:t>
      </w:r>
    </w:p>
    <w:p w14:paraId="306282FE" w14:textId="1423EE6A" w:rsidR="00AB6A52" w:rsidRPr="006B2149" w:rsidRDefault="00AB6A52" w:rsidP="00AB6A52">
      <w:pPr>
        <w:pStyle w:val="ListParagraph"/>
        <w:numPr>
          <w:ilvl w:val="0"/>
          <w:numId w:val="33"/>
        </w:numPr>
        <w:spacing w:before="240"/>
        <w:ind w:left="360"/>
        <w:jc w:val="both"/>
        <w:rPr>
          <w:rFonts w:ascii="Arial" w:hAnsi="Arial" w:cs="Arial"/>
          <w:bCs/>
          <w:sz w:val="20"/>
          <w:highlight w:val="yellow"/>
          <w:lang w:bidi="hi-IN"/>
        </w:rPr>
      </w:pPr>
      <w:r w:rsidRPr="006B2149">
        <w:rPr>
          <w:rFonts w:ascii="Arial" w:hAnsi="Arial" w:cs="Arial"/>
          <w:bCs/>
          <w:sz w:val="20"/>
          <w:highlight w:val="yellow"/>
          <w:lang w:bidi="hi-IN"/>
        </w:rPr>
        <w:t>Huang, H., Wei, Y., Zhai, Y., Ouyang, K., Chen, X., and Bai, L. (2020) High frequency regeneration of plants via callus-mediated organogenesis from cotyledon and hypocotyl cultures in a multipurpose tropical tree (</w:t>
      </w:r>
      <w:proofErr w:type="spellStart"/>
      <w:r w:rsidRPr="006B2149">
        <w:rPr>
          <w:rFonts w:ascii="Arial" w:hAnsi="Arial" w:cs="Arial"/>
          <w:bCs/>
          <w:i/>
          <w:sz w:val="20"/>
          <w:highlight w:val="yellow"/>
          <w:lang w:bidi="hi-IN"/>
        </w:rPr>
        <w:t>Neolamarkia</w:t>
      </w:r>
      <w:proofErr w:type="spellEnd"/>
      <w:r w:rsidRPr="006B2149">
        <w:rPr>
          <w:rFonts w:ascii="Arial" w:hAnsi="Arial" w:cs="Arial"/>
          <w:bCs/>
          <w:i/>
          <w:sz w:val="20"/>
          <w:highlight w:val="yellow"/>
          <w:lang w:bidi="hi-IN"/>
        </w:rPr>
        <w:t xml:space="preserve"> </w:t>
      </w:r>
      <w:proofErr w:type="spellStart"/>
      <w:r w:rsidRPr="006B2149">
        <w:rPr>
          <w:rFonts w:ascii="Arial" w:hAnsi="Arial" w:cs="Arial"/>
          <w:bCs/>
          <w:i/>
          <w:sz w:val="20"/>
          <w:highlight w:val="yellow"/>
          <w:lang w:bidi="hi-IN"/>
        </w:rPr>
        <w:t>cadamba</w:t>
      </w:r>
      <w:proofErr w:type="spellEnd"/>
      <w:r w:rsidRPr="006B2149">
        <w:rPr>
          <w:rFonts w:ascii="Arial" w:hAnsi="Arial" w:cs="Arial"/>
          <w:bCs/>
          <w:sz w:val="20"/>
          <w:highlight w:val="yellow"/>
          <w:lang w:bidi="hi-IN"/>
        </w:rPr>
        <w:t xml:space="preserve">). </w:t>
      </w:r>
      <w:r w:rsidRPr="006B2149">
        <w:rPr>
          <w:rFonts w:ascii="Arial" w:hAnsi="Arial" w:cs="Arial"/>
          <w:bCs/>
          <w:i/>
          <w:sz w:val="20"/>
          <w:highlight w:val="yellow"/>
          <w:lang w:bidi="hi-IN"/>
        </w:rPr>
        <w:t>Scientific Reports</w:t>
      </w:r>
      <w:r w:rsidRPr="006B2149">
        <w:rPr>
          <w:rFonts w:ascii="Arial" w:hAnsi="Arial" w:cs="Arial"/>
          <w:bCs/>
          <w:sz w:val="20"/>
          <w:highlight w:val="yellow"/>
          <w:lang w:bidi="hi-IN"/>
        </w:rPr>
        <w:t>, 10, 4558. https://doi.org/10.1038/s41598-020-61612-z</w:t>
      </w:r>
    </w:p>
    <w:p w14:paraId="1879E9D9" w14:textId="2AB3F2DF" w:rsidR="00AB6A52" w:rsidRPr="006B2149" w:rsidRDefault="00AB6A52" w:rsidP="00AB6A52">
      <w:pPr>
        <w:pStyle w:val="ListParagraph"/>
        <w:numPr>
          <w:ilvl w:val="0"/>
          <w:numId w:val="33"/>
        </w:numPr>
        <w:spacing w:before="240"/>
        <w:ind w:left="360"/>
        <w:jc w:val="both"/>
        <w:rPr>
          <w:rFonts w:ascii="Arial" w:hAnsi="Arial" w:cs="Arial"/>
          <w:bCs/>
          <w:sz w:val="20"/>
          <w:highlight w:val="yellow"/>
          <w:lang w:bidi="hi-IN"/>
        </w:rPr>
      </w:pPr>
      <w:r w:rsidRPr="006B2149">
        <w:rPr>
          <w:rFonts w:ascii="Arial" w:hAnsi="Arial" w:cs="Arial"/>
          <w:bCs/>
          <w:sz w:val="20"/>
          <w:highlight w:val="yellow"/>
          <w:lang w:bidi="hi-IN"/>
        </w:rPr>
        <w:lastRenderedPageBreak/>
        <w:t xml:space="preserve">Murthy, B.N.S., Murch, S.J. and Saxena, P.K. (1998). Thidiazuron: A potent regulator </w:t>
      </w:r>
      <w:proofErr w:type="spellStart"/>
      <w:r w:rsidRPr="006B2149">
        <w:rPr>
          <w:rFonts w:ascii="Arial" w:hAnsi="Arial" w:cs="Arial"/>
          <w:bCs/>
          <w:sz w:val="20"/>
          <w:highlight w:val="yellow"/>
          <w:lang w:bidi="hi-IN"/>
        </w:rPr>
        <w:t>ofin</w:t>
      </w:r>
      <w:proofErr w:type="spellEnd"/>
      <w:r w:rsidRPr="006B2149">
        <w:rPr>
          <w:rFonts w:ascii="Arial" w:hAnsi="Arial" w:cs="Arial"/>
          <w:bCs/>
          <w:sz w:val="20"/>
          <w:highlight w:val="yellow"/>
          <w:lang w:bidi="hi-IN"/>
        </w:rPr>
        <w:t xml:space="preserve"> vitro plant morphogenesis. </w:t>
      </w:r>
      <w:r w:rsidR="006B2149" w:rsidRPr="006B2149">
        <w:rPr>
          <w:rFonts w:ascii="Arial" w:hAnsi="Arial" w:cs="Arial"/>
          <w:i/>
          <w:iCs/>
          <w:color w:val="222222"/>
          <w:sz w:val="20"/>
          <w:szCs w:val="20"/>
          <w:highlight w:val="yellow"/>
          <w:shd w:val="clear" w:color="auto" w:fill="FFFFFF"/>
        </w:rPr>
        <w:t>In Vitro Cellular &amp; Developmental Biology-Plant</w:t>
      </w:r>
      <w:r w:rsidR="006B2149" w:rsidRPr="006B2149">
        <w:rPr>
          <w:rFonts w:ascii="Arial" w:hAnsi="Arial" w:cs="Arial"/>
          <w:bCs/>
          <w:sz w:val="20"/>
          <w:highlight w:val="yellow"/>
          <w:lang w:bidi="hi-IN"/>
        </w:rPr>
        <w:t xml:space="preserve">, </w:t>
      </w:r>
      <w:r w:rsidRPr="006B2149">
        <w:rPr>
          <w:rFonts w:ascii="Arial" w:hAnsi="Arial" w:cs="Arial"/>
          <w:bCs/>
          <w:sz w:val="20"/>
          <w:highlight w:val="yellow"/>
          <w:lang w:bidi="hi-IN"/>
        </w:rPr>
        <w:t>34, 267–275 https://doi.org/10.1007/BF02822732</w:t>
      </w:r>
    </w:p>
    <w:p w14:paraId="32ADA9FE" w14:textId="231284B5" w:rsidR="00D02D32" w:rsidRPr="00B50B00" w:rsidRDefault="00D02D32" w:rsidP="00D02D32">
      <w:pPr>
        <w:pStyle w:val="ListParagraph"/>
        <w:numPr>
          <w:ilvl w:val="0"/>
          <w:numId w:val="33"/>
        </w:numPr>
        <w:spacing w:before="240"/>
        <w:ind w:left="360"/>
        <w:jc w:val="both"/>
        <w:rPr>
          <w:rFonts w:ascii="Arial" w:hAnsi="Arial" w:cs="Arial"/>
          <w:b/>
          <w:bCs/>
          <w:sz w:val="20"/>
          <w:lang w:bidi="hi-IN"/>
        </w:rPr>
      </w:pPr>
      <w:proofErr w:type="spellStart"/>
      <w:r w:rsidRPr="00955EF3">
        <w:rPr>
          <w:rFonts w:ascii="Arial" w:hAnsi="Arial" w:cs="Arial"/>
          <w:sz w:val="20"/>
        </w:rPr>
        <w:t>Manokari</w:t>
      </w:r>
      <w:proofErr w:type="spellEnd"/>
      <w:r w:rsidRPr="00955EF3">
        <w:rPr>
          <w:rFonts w:ascii="Arial" w:hAnsi="Arial" w:cs="Arial"/>
          <w:sz w:val="20"/>
        </w:rPr>
        <w:t xml:space="preserve">, M., </w:t>
      </w:r>
      <w:proofErr w:type="spellStart"/>
      <w:r w:rsidRPr="00955EF3">
        <w:rPr>
          <w:rFonts w:ascii="Arial" w:hAnsi="Arial" w:cs="Arial"/>
          <w:sz w:val="20"/>
        </w:rPr>
        <w:t>Cokul</w:t>
      </w:r>
      <w:proofErr w:type="spellEnd"/>
      <w:r w:rsidRPr="00955EF3">
        <w:rPr>
          <w:rFonts w:ascii="Arial" w:hAnsi="Arial" w:cs="Arial"/>
          <w:sz w:val="20"/>
        </w:rPr>
        <w:t xml:space="preserve"> Raj, M., Dey, A., Faisal, M., Alatar</w:t>
      </w:r>
      <w:r w:rsidRPr="00B50B00">
        <w:rPr>
          <w:rFonts w:ascii="Arial" w:hAnsi="Arial" w:cs="Arial"/>
          <w:sz w:val="20"/>
        </w:rPr>
        <w:t>, A.A. and</w:t>
      </w:r>
      <w:r w:rsidRPr="00955EF3">
        <w:rPr>
          <w:rFonts w:ascii="Arial" w:hAnsi="Arial" w:cs="Arial"/>
          <w:sz w:val="20"/>
        </w:rPr>
        <w:t xml:space="preserve"> Shekhawat, </w:t>
      </w:r>
      <w:r>
        <w:rPr>
          <w:rFonts w:ascii="Arial" w:hAnsi="Arial" w:cs="Arial"/>
          <w:sz w:val="20"/>
        </w:rPr>
        <w:t>A.</w:t>
      </w:r>
      <w:r w:rsidRPr="00955EF3">
        <w:rPr>
          <w:rFonts w:ascii="Arial" w:hAnsi="Arial" w:cs="Arial"/>
          <w:sz w:val="20"/>
        </w:rPr>
        <w:t xml:space="preserve">M.S. </w:t>
      </w:r>
      <w:r>
        <w:rPr>
          <w:rFonts w:ascii="Arial" w:hAnsi="Arial" w:cs="Arial"/>
          <w:sz w:val="20"/>
        </w:rPr>
        <w:t>(</w:t>
      </w:r>
      <w:r w:rsidRPr="00955EF3">
        <w:rPr>
          <w:rFonts w:ascii="Arial" w:hAnsi="Arial" w:cs="Arial"/>
          <w:sz w:val="20"/>
        </w:rPr>
        <w:t>2024</w:t>
      </w:r>
      <w:r>
        <w:rPr>
          <w:rFonts w:ascii="Arial" w:hAnsi="Arial" w:cs="Arial"/>
          <w:sz w:val="20"/>
        </w:rPr>
        <w:t>)</w:t>
      </w:r>
      <w:r w:rsidRPr="00955EF3">
        <w:rPr>
          <w:rFonts w:ascii="Arial" w:hAnsi="Arial" w:cs="Arial"/>
          <w:sz w:val="20"/>
        </w:rPr>
        <w:t xml:space="preserve">. Micro-morpho-anatomical changes in leaf structure of plantlets during </w:t>
      </w:r>
      <w:r w:rsidRPr="00955EF3">
        <w:rPr>
          <w:rFonts w:ascii="Arial" w:hAnsi="Arial" w:cs="Arial"/>
          <w:i/>
          <w:iCs/>
          <w:sz w:val="20"/>
        </w:rPr>
        <w:t>in vitro</w:t>
      </w:r>
      <w:r w:rsidRPr="00955EF3">
        <w:rPr>
          <w:rFonts w:ascii="Arial" w:hAnsi="Arial" w:cs="Arial"/>
          <w:sz w:val="20"/>
        </w:rPr>
        <w:t xml:space="preserve"> propagation (micropropagation) of </w:t>
      </w:r>
      <w:r w:rsidRPr="00955EF3">
        <w:rPr>
          <w:rFonts w:ascii="Arial" w:hAnsi="Arial" w:cs="Arial"/>
          <w:i/>
          <w:iCs/>
          <w:sz w:val="20"/>
        </w:rPr>
        <w:t xml:space="preserve">Gardenia </w:t>
      </w:r>
      <w:proofErr w:type="spellStart"/>
      <w:r w:rsidRPr="00955EF3">
        <w:rPr>
          <w:rFonts w:ascii="Arial" w:hAnsi="Arial" w:cs="Arial"/>
          <w:i/>
          <w:iCs/>
          <w:sz w:val="20"/>
        </w:rPr>
        <w:t>jasminoides</w:t>
      </w:r>
      <w:proofErr w:type="spellEnd"/>
      <w:r w:rsidRPr="00955EF3">
        <w:rPr>
          <w:rFonts w:ascii="Arial" w:hAnsi="Arial" w:cs="Arial"/>
          <w:sz w:val="20"/>
        </w:rPr>
        <w:t xml:space="preserve"> J. Ellis. </w:t>
      </w:r>
      <w:proofErr w:type="spellStart"/>
      <w:r w:rsidRPr="00955EF3">
        <w:rPr>
          <w:rFonts w:ascii="Arial" w:hAnsi="Arial" w:cs="Arial"/>
          <w:i/>
          <w:iCs/>
          <w:sz w:val="20"/>
        </w:rPr>
        <w:t>Vegetos</w:t>
      </w:r>
      <w:proofErr w:type="spellEnd"/>
      <w:r w:rsidRPr="00955EF3">
        <w:rPr>
          <w:rFonts w:ascii="Arial" w:hAnsi="Arial" w:cs="Arial"/>
          <w:sz w:val="20"/>
        </w:rPr>
        <w:t xml:space="preserve">, </w:t>
      </w:r>
      <w:r w:rsidRPr="00955EF3">
        <w:rPr>
          <w:rFonts w:ascii="Arial" w:hAnsi="Arial" w:cs="Arial"/>
          <w:i/>
          <w:iCs/>
          <w:sz w:val="20"/>
        </w:rPr>
        <w:t>37</w:t>
      </w:r>
      <w:r w:rsidRPr="00955EF3">
        <w:rPr>
          <w:rFonts w:ascii="Arial" w:hAnsi="Arial" w:cs="Arial"/>
          <w:sz w:val="20"/>
        </w:rPr>
        <w:t>, 107-116.</w:t>
      </w:r>
      <w:r>
        <w:rPr>
          <w:rFonts w:ascii="Arial" w:hAnsi="Arial" w:cs="Arial"/>
          <w:sz w:val="20"/>
        </w:rPr>
        <w:t xml:space="preserve"> </w:t>
      </w:r>
      <w:r w:rsidRPr="00B50B00">
        <w:rPr>
          <w:rFonts w:ascii="Arial" w:hAnsi="Arial" w:cs="Arial"/>
          <w:sz w:val="20"/>
          <w:szCs w:val="20"/>
          <w:lang w:bidi="hi-IN"/>
        </w:rPr>
        <w:t>https://doi.org/10.1007/s42535-023-00577-6</w:t>
      </w:r>
    </w:p>
    <w:p w14:paraId="33B57082" w14:textId="7CC2D3FF" w:rsidR="006B2149" w:rsidRPr="006B2149" w:rsidRDefault="006B2149" w:rsidP="00AB6A52">
      <w:pPr>
        <w:pStyle w:val="ListParagraph"/>
        <w:numPr>
          <w:ilvl w:val="0"/>
          <w:numId w:val="33"/>
        </w:numPr>
        <w:spacing w:before="240" w:after="0"/>
        <w:ind w:left="360"/>
        <w:jc w:val="both"/>
        <w:rPr>
          <w:rFonts w:ascii="Arial" w:hAnsi="Arial" w:cs="Arial"/>
          <w:sz w:val="20"/>
          <w:szCs w:val="20"/>
          <w:highlight w:val="yellow"/>
        </w:rPr>
      </w:pPr>
      <w:r w:rsidRPr="006B2149">
        <w:rPr>
          <w:rFonts w:ascii="Arial" w:hAnsi="Arial" w:cs="Arial"/>
          <w:color w:val="222222"/>
          <w:sz w:val="20"/>
          <w:szCs w:val="20"/>
          <w:highlight w:val="yellow"/>
          <w:shd w:val="clear" w:color="auto" w:fill="FFFFFF"/>
        </w:rPr>
        <w:t xml:space="preserve">Isogai, S., </w:t>
      </w:r>
      <w:proofErr w:type="spellStart"/>
      <w:r w:rsidRPr="006B2149">
        <w:rPr>
          <w:rFonts w:ascii="Arial" w:hAnsi="Arial" w:cs="Arial"/>
          <w:color w:val="222222"/>
          <w:sz w:val="20"/>
          <w:szCs w:val="20"/>
          <w:highlight w:val="yellow"/>
          <w:shd w:val="clear" w:color="auto" w:fill="FFFFFF"/>
        </w:rPr>
        <w:t>Touno</w:t>
      </w:r>
      <w:proofErr w:type="spellEnd"/>
      <w:r w:rsidRPr="006B2149">
        <w:rPr>
          <w:rFonts w:ascii="Arial" w:hAnsi="Arial" w:cs="Arial"/>
          <w:color w:val="222222"/>
          <w:sz w:val="20"/>
          <w:szCs w:val="20"/>
          <w:highlight w:val="yellow"/>
          <w:shd w:val="clear" w:color="auto" w:fill="FFFFFF"/>
        </w:rPr>
        <w:t xml:space="preserve">, K., and Shimomura, K. (2008). Gibberellic acid improved shoot multiplication in </w:t>
      </w:r>
      <w:proofErr w:type="spellStart"/>
      <w:r w:rsidRPr="006B2149">
        <w:rPr>
          <w:rFonts w:ascii="Arial" w:hAnsi="Arial" w:cs="Arial"/>
          <w:i/>
          <w:color w:val="222222"/>
          <w:sz w:val="20"/>
          <w:szCs w:val="20"/>
          <w:highlight w:val="yellow"/>
          <w:shd w:val="clear" w:color="auto" w:fill="FFFFFF"/>
        </w:rPr>
        <w:t>Cephaelis</w:t>
      </w:r>
      <w:proofErr w:type="spellEnd"/>
      <w:r w:rsidRPr="006B2149">
        <w:rPr>
          <w:rFonts w:ascii="Arial" w:hAnsi="Arial" w:cs="Arial"/>
          <w:i/>
          <w:color w:val="222222"/>
          <w:sz w:val="20"/>
          <w:szCs w:val="20"/>
          <w:highlight w:val="yellow"/>
          <w:shd w:val="clear" w:color="auto" w:fill="FFFFFF"/>
        </w:rPr>
        <w:t xml:space="preserve"> ipecacuanha</w:t>
      </w:r>
      <w:r w:rsidRPr="006B2149">
        <w:rPr>
          <w:rFonts w:ascii="Arial" w:hAnsi="Arial" w:cs="Arial"/>
          <w:color w:val="222222"/>
          <w:sz w:val="20"/>
          <w:szCs w:val="20"/>
          <w:highlight w:val="yellow"/>
          <w:shd w:val="clear" w:color="auto" w:fill="FFFFFF"/>
        </w:rPr>
        <w:t>. </w:t>
      </w:r>
      <w:r w:rsidRPr="006B2149">
        <w:rPr>
          <w:rFonts w:ascii="Arial" w:hAnsi="Arial" w:cs="Arial"/>
          <w:i/>
          <w:iCs/>
          <w:color w:val="222222"/>
          <w:sz w:val="20"/>
          <w:szCs w:val="20"/>
          <w:highlight w:val="yellow"/>
          <w:shd w:val="clear" w:color="auto" w:fill="FFFFFF"/>
        </w:rPr>
        <w:t>In Vitro Cellular &amp; Developmental Biology-Plant</w:t>
      </w:r>
      <w:r w:rsidRPr="006B2149">
        <w:rPr>
          <w:rFonts w:ascii="Arial" w:hAnsi="Arial" w:cs="Arial"/>
          <w:color w:val="222222"/>
          <w:sz w:val="20"/>
          <w:szCs w:val="20"/>
          <w:highlight w:val="yellow"/>
          <w:shd w:val="clear" w:color="auto" w:fill="FFFFFF"/>
        </w:rPr>
        <w:t>, </w:t>
      </w:r>
      <w:r w:rsidRPr="006B2149">
        <w:rPr>
          <w:rFonts w:ascii="Arial" w:hAnsi="Arial" w:cs="Arial"/>
          <w:iCs/>
          <w:color w:val="222222"/>
          <w:sz w:val="20"/>
          <w:szCs w:val="20"/>
          <w:highlight w:val="yellow"/>
          <w:shd w:val="clear" w:color="auto" w:fill="FFFFFF"/>
        </w:rPr>
        <w:t>44</w:t>
      </w:r>
      <w:r w:rsidRPr="006B2149">
        <w:rPr>
          <w:rFonts w:ascii="Arial" w:hAnsi="Arial" w:cs="Arial"/>
          <w:color w:val="222222"/>
          <w:sz w:val="20"/>
          <w:szCs w:val="20"/>
          <w:highlight w:val="yellow"/>
          <w:shd w:val="clear" w:color="auto" w:fill="FFFFFF"/>
        </w:rPr>
        <w:t>(3), 216-220.</w:t>
      </w:r>
    </w:p>
    <w:p w14:paraId="6653C53C" w14:textId="306F2A45" w:rsidR="00AB6A52" w:rsidRPr="006B2149" w:rsidRDefault="00AB6A52" w:rsidP="00AB6A52">
      <w:pPr>
        <w:pStyle w:val="ListParagraph"/>
        <w:numPr>
          <w:ilvl w:val="0"/>
          <w:numId w:val="33"/>
        </w:numPr>
        <w:spacing w:before="240" w:after="0"/>
        <w:ind w:left="360"/>
        <w:jc w:val="both"/>
        <w:rPr>
          <w:rFonts w:ascii="Arial" w:hAnsi="Arial" w:cs="Arial"/>
          <w:sz w:val="20"/>
          <w:szCs w:val="20"/>
          <w:highlight w:val="yellow"/>
        </w:rPr>
      </w:pPr>
      <w:r w:rsidRPr="006B2149">
        <w:rPr>
          <w:rFonts w:ascii="Arial" w:hAnsi="Arial" w:cs="Arial"/>
          <w:sz w:val="20"/>
          <w:szCs w:val="20"/>
          <w:highlight w:val="yellow"/>
        </w:rPr>
        <w:t>Tung, H.T., Luan, V.Q., Van Anh, L.T., and Nhut, D.T. (2022). Stem Elongation for Plant Micropropagation. In Nhut, D.T., Tung, H.T., Yeung, E.CT. (eds) Plant Tissue Culture: New Techniques and Application in Horticultural Species of Tropical Region. Springer, Singapore. https://doi.org/10.1007/978-981-16-6498-4_7</w:t>
      </w:r>
    </w:p>
    <w:p w14:paraId="389C0363" w14:textId="6C2F1C0B" w:rsidR="00D02D32" w:rsidRPr="00B50B00" w:rsidRDefault="00D02D32" w:rsidP="00092FE0">
      <w:pPr>
        <w:pStyle w:val="ListParagraph"/>
        <w:numPr>
          <w:ilvl w:val="0"/>
          <w:numId w:val="33"/>
        </w:numPr>
        <w:spacing w:before="240" w:after="0"/>
        <w:ind w:left="360"/>
        <w:jc w:val="both"/>
        <w:rPr>
          <w:rStyle w:val="Hyperlink"/>
          <w:color w:val="auto"/>
          <w:u w:val="none"/>
        </w:rPr>
      </w:pPr>
      <w:proofErr w:type="spellStart"/>
      <w:r w:rsidRPr="00B50B00">
        <w:rPr>
          <w:rFonts w:ascii="Arial" w:hAnsi="Arial" w:cs="Arial"/>
          <w:sz w:val="20"/>
        </w:rPr>
        <w:t>Bhusare</w:t>
      </w:r>
      <w:proofErr w:type="spellEnd"/>
      <w:r w:rsidRPr="00B50B00">
        <w:rPr>
          <w:rFonts w:ascii="Arial" w:hAnsi="Arial" w:cs="Arial"/>
          <w:sz w:val="20"/>
        </w:rPr>
        <w:t xml:space="preserve">, B.P., John, C.K., Bhatt, V.P. and Nikam, T.D. (2018). </w:t>
      </w:r>
      <w:r w:rsidRPr="00B50B00">
        <w:rPr>
          <w:rFonts w:ascii="Arial" w:hAnsi="Arial" w:cs="Arial"/>
          <w:i/>
          <w:sz w:val="20"/>
        </w:rPr>
        <w:t>In vitro</w:t>
      </w:r>
      <w:r w:rsidRPr="00B50B00">
        <w:rPr>
          <w:rFonts w:ascii="Arial" w:hAnsi="Arial" w:cs="Arial"/>
          <w:sz w:val="20"/>
        </w:rPr>
        <w:t xml:space="preserve"> propagation of </w:t>
      </w:r>
      <w:r w:rsidRPr="00B50B00">
        <w:rPr>
          <w:rFonts w:ascii="Arial" w:hAnsi="Arial" w:cs="Arial"/>
          <w:i/>
          <w:iCs/>
          <w:sz w:val="20"/>
        </w:rPr>
        <w:t xml:space="preserve">Digitalis </w:t>
      </w:r>
      <w:proofErr w:type="spellStart"/>
      <w:r w:rsidRPr="00B50B00">
        <w:rPr>
          <w:rFonts w:ascii="Arial" w:hAnsi="Arial" w:cs="Arial"/>
          <w:i/>
          <w:iCs/>
          <w:sz w:val="20"/>
        </w:rPr>
        <w:t>lanata</w:t>
      </w:r>
      <w:proofErr w:type="spellEnd"/>
      <w:r w:rsidRPr="00B50B00">
        <w:rPr>
          <w:rFonts w:ascii="Arial" w:hAnsi="Arial" w:cs="Arial"/>
          <w:sz w:val="20"/>
        </w:rPr>
        <w:t xml:space="preserve"> </w:t>
      </w:r>
      <w:proofErr w:type="spellStart"/>
      <w:r w:rsidRPr="00B50B00">
        <w:rPr>
          <w:rFonts w:ascii="Arial" w:hAnsi="Arial" w:cs="Arial"/>
          <w:sz w:val="20"/>
        </w:rPr>
        <w:t>Ehrh</w:t>
      </w:r>
      <w:proofErr w:type="spellEnd"/>
      <w:r w:rsidRPr="00B50B00">
        <w:rPr>
          <w:rFonts w:ascii="Arial" w:hAnsi="Arial" w:cs="Arial"/>
          <w:sz w:val="20"/>
        </w:rPr>
        <w:t xml:space="preserve">. through direct shoot regeneration – A source of cardiotonic glycosides. </w:t>
      </w:r>
      <w:r w:rsidRPr="00B50B00">
        <w:rPr>
          <w:rFonts w:ascii="Arial" w:hAnsi="Arial" w:cs="Arial"/>
          <w:i/>
          <w:iCs/>
          <w:sz w:val="20"/>
        </w:rPr>
        <w:t>Industrial Crops and Products</w:t>
      </w:r>
      <w:r w:rsidRPr="00B50B00">
        <w:rPr>
          <w:rFonts w:ascii="Arial" w:hAnsi="Arial" w:cs="Arial"/>
          <w:sz w:val="20"/>
        </w:rPr>
        <w:t xml:space="preserve">, </w:t>
      </w:r>
      <w:r w:rsidRPr="00B50B00">
        <w:rPr>
          <w:rFonts w:ascii="Arial" w:hAnsi="Arial" w:cs="Arial"/>
          <w:i/>
          <w:iCs/>
          <w:sz w:val="20"/>
        </w:rPr>
        <w:t>121</w:t>
      </w:r>
      <w:r w:rsidRPr="00B50B00">
        <w:rPr>
          <w:rFonts w:ascii="Arial" w:hAnsi="Arial" w:cs="Arial"/>
          <w:sz w:val="20"/>
        </w:rPr>
        <w:t>,</w:t>
      </w:r>
      <w:r w:rsidR="00B50B00">
        <w:rPr>
          <w:rFonts w:ascii="Arial" w:hAnsi="Arial" w:cs="Arial"/>
          <w:sz w:val="20"/>
        </w:rPr>
        <w:t xml:space="preserve"> </w:t>
      </w:r>
      <w:r w:rsidRPr="00B50B00">
        <w:rPr>
          <w:rFonts w:ascii="Arial" w:hAnsi="Arial" w:cs="Arial"/>
          <w:sz w:val="20"/>
        </w:rPr>
        <w:t xml:space="preserve">313-319. </w:t>
      </w:r>
      <w:hyperlink r:id="rId20" w:history="1">
        <w:r w:rsidRPr="00B50B00">
          <w:rPr>
            <w:rStyle w:val="Hyperlink"/>
            <w:rFonts w:ascii="Arial" w:hAnsi="Arial" w:cs="Arial"/>
            <w:color w:val="000000" w:themeColor="text1"/>
            <w:sz w:val="20"/>
            <w:szCs w:val="20"/>
            <w:u w:val="none"/>
            <w:lang w:bidi="hi-IN"/>
          </w:rPr>
          <w:t>https://doi.org/</w:t>
        </w:r>
        <w:r w:rsidRPr="00B50B00">
          <w:rPr>
            <w:rStyle w:val="Hyperlink"/>
            <w:rFonts w:ascii="Arial" w:hAnsi="Arial" w:cs="Arial"/>
            <w:color w:val="000000" w:themeColor="text1"/>
            <w:sz w:val="20"/>
            <w:u w:val="none"/>
          </w:rPr>
          <w:t>10.1016/j.indcrop.2018.05.019</w:t>
        </w:r>
      </w:hyperlink>
    </w:p>
    <w:p w14:paraId="61BE3C04" w14:textId="77777777" w:rsidR="00DA2DEB" w:rsidRPr="00DA2DEB" w:rsidRDefault="00D02D32" w:rsidP="00DA2DEB">
      <w:pPr>
        <w:pStyle w:val="ListParagraph"/>
        <w:numPr>
          <w:ilvl w:val="0"/>
          <w:numId w:val="33"/>
        </w:numPr>
        <w:spacing w:before="240" w:after="0"/>
        <w:ind w:left="360"/>
        <w:jc w:val="both"/>
        <w:rPr>
          <w:rStyle w:val="Hyperlink"/>
          <w:color w:val="auto"/>
          <w:u w:val="none"/>
        </w:rPr>
      </w:pPr>
      <w:r w:rsidRPr="00B50B00">
        <w:rPr>
          <w:rFonts w:ascii="Arial" w:hAnsi="Arial" w:cs="Arial"/>
          <w:sz w:val="20"/>
          <w:szCs w:val="20"/>
          <w:shd w:val="clear" w:color="auto" w:fill="FFFFFF"/>
        </w:rPr>
        <w:t xml:space="preserve">Arya, A., Sharma, V., Tyagi, P.K., Gola, D. and Husen, A. (2022). Role of cytokinins in adventitious root formation. </w:t>
      </w:r>
      <w:r w:rsidRPr="00B50B00">
        <w:rPr>
          <w:rFonts w:ascii="Arial" w:hAnsi="Arial" w:cs="Arial"/>
          <w:i/>
          <w:iCs/>
          <w:sz w:val="20"/>
          <w:szCs w:val="20"/>
          <w:shd w:val="clear" w:color="auto" w:fill="FFFFFF"/>
        </w:rPr>
        <w:t>In Husen A (ed): Environmental, physiological and chemical controls of adventitious rooting in cuttings,</w:t>
      </w:r>
      <w:r w:rsidRPr="00B50B00">
        <w:rPr>
          <w:rFonts w:ascii="Arial" w:hAnsi="Arial" w:cs="Arial"/>
          <w:sz w:val="20"/>
          <w:szCs w:val="20"/>
          <w:shd w:val="clear" w:color="auto" w:fill="FFFFFF"/>
        </w:rPr>
        <w:t xml:space="preserve"> Elsevier, Amsterdam, Netherland. (pp. 239-249).  </w:t>
      </w:r>
      <w:hyperlink r:id="rId21" w:history="1">
        <w:r w:rsidRPr="00B50B00">
          <w:rPr>
            <w:rStyle w:val="Hyperlink"/>
            <w:rFonts w:ascii="Arial" w:hAnsi="Arial" w:cs="Arial"/>
            <w:color w:val="000000" w:themeColor="text1"/>
            <w:sz w:val="20"/>
            <w:szCs w:val="20"/>
            <w:u w:val="none"/>
            <w:shd w:val="clear" w:color="auto" w:fill="FFFFFF"/>
          </w:rPr>
          <w:t>https://doi.org/10.1016/B978-0-323-90636-4.00017-9</w:t>
        </w:r>
      </w:hyperlink>
    </w:p>
    <w:p w14:paraId="314BA656" w14:textId="1E4F42B1" w:rsidR="00DA2DEB" w:rsidRPr="00E16239" w:rsidRDefault="00DA2DEB" w:rsidP="00DA2DEB">
      <w:pPr>
        <w:pStyle w:val="ListParagraph"/>
        <w:numPr>
          <w:ilvl w:val="0"/>
          <w:numId w:val="33"/>
        </w:numPr>
        <w:spacing w:before="240" w:after="0"/>
        <w:ind w:left="360"/>
        <w:jc w:val="both"/>
        <w:rPr>
          <w:rFonts w:ascii="Arial" w:hAnsi="Arial" w:cs="Arial"/>
          <w:sz w:val="20"/>
          <w:highlight w:val="yellow"/>
        </w:rPr>
        <w:sectPr w:rsidR="00DA2DEB" w:rsidRPr="00E16239" w:rsidSect="00A17BBB">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pPr>
      <w:r w:rsidRPr="00E16239">
        <w:rPr>
          <w:rFonts w:ascii="Arial" w:hAnsi="Arial" w:cs="Arial"/>
          <w:sz w:val="20"/>
          <w:highlight w:val="yellow"/>
        </w:rPr>
        <w:t xml:space="preserve">Anitha, S. and Pullaiah, T. (2001). </w:t>
      </w:r>
      <w:r w:rsidRPr="00E16239">
        <w:rPr>
          <w:rFonts w:ascii="Arial" w:hAnsi="Arial" w:cs="Arial"/>
          <w:i/>
          <w:sz w:val="20"/>
          <w:highlight w:val="yellow"/>
        </w:rPr>
        <w:t>In Vitro</w:t>
      </w:r>
      <w:r w:rsidRPr="00E16239">
        <w:rPr>
          <w:rFonts w:ascii="Arial" w:hAnsi="Arial" w:cs="Arial"/>
          <w:sz w:val="20"/>
          <w:highlight w:val="yellow"/>
        </w:rPr>
        <w:t xml:space="preserve"> Propagation of </w:t>
      </w:r>
      <w:r w:rsidRPr="00E16239">
        <w:rPr>
          <w:rFonts w:ascii="Arial" w:hAnsi="Arial" w:cs="Arial"/>
          <w:i/>
          <w:sz w:val="20"/>
          <w:highlight w:val="yellow"/>
        </w:rPr>
        <w:t xml:space="preserve">Sterculia </w:t>
      </w:r>
      <w:proofErr w:type="spellStart"/>
      <w:r w:rsidRPr="00E16239">
        <w:rPr>
          <w:rFonts w:ascii="Arial" w:hAnsi="Arial" w:cs="Arial"/>
          <w:i/>
          <w:sz w:val="20"/>
          <w:highlight w:val="yellow"/>
        </w:rPr>
        <w:t>foeti</w:t>
      </w:r>
      <w:r w:rsidRPr="00E16239">
        <w:rPr>
          <w:rFonts w:ascii="Arial" w:hAnsi="Arial" w:cs="Arial"/>
          <w:sz w:val="20"/>
          <w:highlight w:val="yellow"/>
        </w:rPr>
        <w:t>da</w:t>
      </w:r>
      <w:proofErr w:type="spellEnd"/>
      <w:r w:rsidRPr="00E16239">
        <w:rPr>
          <w:rFonts w:ascii="Arial" w:hAnsi="Arial" w:cs="Arial"/>
          <w:sz w:val="20"/>
          <w:highlight w:val="yellow"/>
        </w:rPr>
        <w:t xml:space="preserve"> Linn (</w:t>
      </w:r>
      <w:proofErr w:type="spellStart"/>
      <w:r w:rsidRPr="00E16239">
        <w:rPr>
          <w:rFonts w:ascii="Arial" w:hAnsi="Arial" w:cs="Arial"/>
          <w:sz w:val="20"/>
          <w:highlight w:val="yellow"/>
        </w:rPr>
        <w:t>Sterculiaceae</w:t>
      </w:r>
      <w:proofErr w:type="spellEnd"/>
      <w:r w:rsidRPr="00E16239">
        <w:rPr>
          <w:rFonts w:ascii="Arial" w:hAnsi="Arial" w:cs="Arial"/>
          <w:sz w:val="20"/>
          <w:highlight w:val="yellow"/>
        </w:rPr>
        <w:t>). </w:t>
      </w:r>
      <w:r w:rsidRPr="00E16239">
        <w:rPr>
          <w:rFonts w:ascii="Arial" w:hAnsi="Arial" w:cs="Arial"/>
          <w:i/>
          <w:iCs/>
          <w:sz w:val="20"/>
          <w:highlight w:val="yellow"/>
        </w:rPr>
        <w:t>Plant Cell Biotechnology and Molecular Biology</w:t>
      </w:r>
      <w:r w:rsidRPr="00E16239">
        <w:rPr>
          <w:rFonts w:ascii="Arial" w:hAnsi="Arial" w:cs="Arial"/>
          <w:sz w:val="20"/>
          <w:highlight w:val="yellow"/>
        </w:rPr>
        <w:t>, </w:t>
      </w:r>
      <w:r w:rsidRPr="00E16239">
        <w:rPr>
          <w:rFonts w:ascii="Arial" w:hAnsi="Arial" w:cs="Arial"/>
          <w:iCs/>
          <w:sz w:val="20"/>
          <w:highlight w:val="yellow"/>
        </w:rPr>
        <w:t>2</w:t>
      </w:r>
      <w:r w:rsidRPr="00E16239">
        <w:rPr>
          <w:rFonts w:ascii="Arial" w:hAnsi="Arial" w:cs="Arial"/>
          <w:sz w:val="20"/>
          <w:highlight w:val="yellow"/>
        </w:rPr>
        <w:t>(3-4), 139-144.</w:t>
      </w:r>
    </w:p>
    <w:p w14:paraId="79C4CE8E" w14:textId="77777777" w:rsidR="00B01FCD" w:rsidRPr="00FB3A86" w:rsidRDefault="00B01FCD" w:rsidP="00441B6F">
      <w:pPr>
        <w:pStyle w:val="Appendix"/>
        <w:spacing w:after="0"/>
        <w:jc w:val="both"/>
        <w:rPr>
          <w:rFonts w:ascii="Arial" w:hAnsi="Arial" w:cs="Arial"/>
          <w:b w:val="0"/>
        </w:rPr>
      </w:pPr>
    </w:p>
    <w:sectPr w:rsidR="00B01FCD" w:rsidRPr="00FB3A86" w:rsidSect="00A17BB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FF80D" w14:textId="77777777" w:rsidR="00E8315A" w:rsidRDefault="00E8315A" w:rsidP="00C37E61">
      <w:r>
        <w:separator/>
      </w:r>
    </w:p>
  </w:endnote>
  <w:endnote w:type="continuationSeparator" w:id="0">
    <w:p w14:paraId="68615C3D" w14:textId="77777777" w:rsidR="00E8315A" w:rsidRDefault="00E8315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FDFFE" w14:textId="77777777" w:rsidR="003B19F6" w:rsidRDefault="003B19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8EE62" w14:textId="174C5657" w:rsidR="00012FD0" w:rsidRPr="002C0904" w:rsidRDefault="00735057" w:rsidP="002C0904">
    <w:pPr>
      <w:pStyle w:val="Footer"/>
    </w:pPr>
    <w:r w:rsidRPr="002C0904">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DA699" w14:textId="77777777" w:rsidR="00012FD0" w:rsidRDefault="00012FD0">
    <w:pPr>
      <w:pStyle w:val="Footer"/>
      <w:rPr>
        <w:rFonts w:ascii="Arial" w:hAnsi="Arial" w:cs="Arial"/>
        <w:sz w:val="16"/>
      </w:rPr>
    </w:pPr>
  </w:p>
  <w:p w14:paraId="2B6D369E" w14:textId="77777777" w:rsidR="00012FD0" w:rsidRDefault="00012FD0"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17D51428" w14:textId="77777777" w:rsidR="00012FD0" w:rsidRDefault="00012FD0">
    <w:pPr>
      <w:pStyle w:val="Footer"/>
      <w:rPr>
        <w:rFonts w:ascii="Arial" w:hAnsi="Arial" w:cs="Arial"/>
        <w:sz w:val="16"/>
      </w:rPr>
    </w:pPr>
  </w:p>
  <w:p w14:paraId="64730451" w14:textId="77777777" w:rsidR="00012FD0" w:rsidRPr="009E048A" w:rsidRDefault="00012FD0">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E2F8F" w14:textId="77777777" w:rsidR="00012FD0" w:rsidRPr="00C37E61" w:rsidRDefault="00012FD0"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D8714" w14:textId="77777777" w:rsidR="00E8315A" w:rsidRDefault="00E8315A" w:rsidP="00C37E61">
      <w:r>
        <w:separator/>
      </w:r>
    </w:p>
  </w:footnote>
  <w:footnote w:type="continuationSeparator" w:id="0">
    <w:p w14:paraId="0F8CE317" w14:textId="77777777" w:rsidR="00E8315A" w:rsidRDefault="00E8315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1636E" w14:textId="2EBE30BE" w:rsidR="003B19F6" w:rsidRDefault="00E8315A">
    <w:pPr>
      <w:pStyle w:val="Header"/>
    </w:pPr>
    <w:r>
      <w:rPr>
        <w:noProof/>
      </w:rPr>
      <w:pict w14:anchorId="50141D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876"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D5089" w14:textId="1953234E" w:rsidR="003B19F6" w:rsidRDefault="00E8315A">
    <w:pPr>
      <w:pStyle w:val="Header"/>
    </w:pPr>
    <w:r>
      <w:rPr>
        <w:noProof/>
      </w:rPr>
      <w:pict w14:anchorId="063AD0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877"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D33F5" w14:textId="068E6F79" w:rsidR="00012FD0" w:rsidRPr="00296529" w:rsidRDefault="00E8315A" w:rsidP="00296529">
    <w:pPr>
      <w:ind w:left="2160"/>
      <w:jc w:val="center"/>
      <w:rPr>
        <w:rFonts w:ascii="Times New Roman" w:eastAsia="Calibri" w:hAnsi="Times New Roman"/>
        <w:i/>
        <w:sz w:val="18"/>
        <w:szCs w:val="22"/>
      </w:rPr>
    </w:pPr>
    <w:r>
      <w:rPr>
        <w:noProof/>
      </w:rPr>
      <w:pict w14:anchorId="16B05A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875"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FFF4075" w14:textId="77777777" w:rsidR="00012FD0" w:rsidRPr="00296529" w:rsidRDefault="00012FD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E58851E" w14:textId="77777777" w:rsidR="00012FD0" w:rsidRPr="00296529" w:rsidRDefault="00012FD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4F7CE14" w14:textId="77777777" w:rsidR="00012FD0" w:rsidRPr="00296529" w:rsidRDefault="00012FD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1A9AA9C" w14:textId="77777777" w:rsidR="00012FD0" w:rsidRDefault="00012FD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502F83E" w14:textId="77777777" w:rsidR="00012FD0" w:rsidRDefault="00012FD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DFA26A1" w14:textId="77777777" w:rsidR="00012FD0" w:rsidRDefault="00012FD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E9E" w14:textId="7761626E" w:rsidR="003B19F6" w:rsidRDefault="00E8315A">
    <w:pPr>
      <w:pStyle w:val="Header"/>
    </w:pPr>
    <w:r>
      <w:rPr>
        <w:noProof/>
      </w:rPr>
      <w:pict w14:anchorId="3EDB1F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879"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75D5B" w14:textId="1F0B4F9D" w:rsidR="003B19F6" w:rsidRDefault="00E8315A">
    <w:pPr>
      <w:pStyle w:val="Header"/>
    </w:pPr>
    <w:r>
      <w:rPr>
        <w:noProof/>
      </w:rPr>
      <w:pict w14:anchorId="48BD3E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880"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0E0DC" w14:textId="5560DCEE" w:rsidR="003B19F6" w:rsidRDefault="00E8315A">
    <w:pPr>
      <w:pStyle w:val="Header"/>
    </w:pPr>
    <w:r>
      <w:rPr>
        <w:noProof/>
      </w:rPr>
      <w:pict w14:anchorId="555FC0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878"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B32DA2"/>
    <w:multiLevelType w:val="hybridMultilevel"/>
    <w:tmpl w:val="A4224E5E"/>
    <w:lvl w:ilvl="0" w:tplc="DFDCBB6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2E801E9"/>
    <w:multiLevelType w:val="hybridMultilevel"/>
    <w:tmpl w:val="A4224E5E"/>
    <w:lvl w:ilvl="0" w:tplc="DFDCBB6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4BDC7183"/>
    <w:multiLevelType w:val="hybridMultilevel"/>
    <w:tmpl w:val="0B0293BA"/>
    <w:lvl w:ilvl="0" w:tplc="DFDCBB6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45320460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90191570">
    <w:abstractNumId w:val="17"/>
  </w:num>
  <w:num w:numId="3" w16cid:durableId="203175093">
    <w:abstractNumId w:val="26"/>
  </w:num>
  <w:num w:numId="4" w16cid:durableId="91292811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557401937">
    <w:abstractNumId w:val="9"/>
  </w:num>
  <w:num w:numId="6" w16cid:durableId="844200144">
    <w:abstractNumId w:val="7"/>
  </w:num>
  <w:num w:numId="7" w16cid:durableId="669141195">
    <w:abstractNumId w:val="1"/>
  </w:num>
  <w:num w:numId="8" w16cid:durableId="1053237525">
    <w:abstractNumId w:val="14"/>
  </w:num>
  <w:num w:numId="9" w16cid:durableId="1472870752">
    <w:abstractNumId w:val="28"/>
  </w:num>
  <w:num w:numId="10" w16cid:durableId="2102142962">
    <w:abstractNumId w:val="2"/>
  </w:num>
  <w:num w:numId="11" w16cid:durableId="541480667">
    <w:abstractNumId w:val="21"/>
  </w:num>
  <w:num w:numId="12" w16cid:durableId="1696493617">
    <w:abstractNumId w:val="3"/>
  </w:num>
  <w:num w:numId="13" w16cid:durableId="1009987196">
    <w:abstractNumId w:val="20"/>
  </w:num>
  <w:num w:numId="14" w16cid:durableId="1406142516">
    <w:abstractNumId w:val="10"/>
  </w:num>
  <w:num w:numId="15" w16cid:durableId="1311251713">
    <w:abstractNumId w:val="24"/>
  </w:num>
  <w:num w:numId="16" w16cid:durableId="1634019760">
    <w:abstractNumId w:val="5"/>
  </w:num>
  <w:num w:numId="17" w16cid:durableId="1518496299">
    <w:abstractNumId w:val="25"/>
  </w:num>
  <w:num w:numId="18" w16cid:durableId="1975060317">
    <w:abstractNumId w:val="16"/>
  </w:num>
  <w:num w:numId="19" w16cid:durableId="2053452952">
    <w:abstractNumId w:val="31"/>
  </w:num>
  <w:num w:numId="20" w16cid:durableId="422458599">
    <w:abstractNumId w:val="13"/>
  </w:num>
  <w:num w:numId="21" w16cid:durableId="1732074849">
    <w:abstractNumId w:val="11"/>
  </w:num>
  <w:num w:numId="22" w16cid:durableId="212542312">
    <w:abstractNumId w:val="15"/>
  </w:num>
  <w:num w:numId="23" w16cid:durableId="334498993">
    <w:abstractNumId w:val="22"/>
  </w:num>
  <w:num w:numId="24" w16cid:durableId="1833057618">
    <w:abstractNumId w:val="29"/>
  </w:num>
  <w:num w:numId="25" w16cid:durableId="811483506">
    <w:abstractNumId w:val="4"/>
  </w:num>
  <w:num w:numId="26" w16cid:durableId="1988434494">
    <w:abstractNumId w:val="19"/>
  </w:num>
  <w:num w:numId="27" w16cid:durableId="1530218270">
    <w:abstractNumId w:val="23"/>
  </w:num>
  <w:num w:numId="28" w16cid:durableId="471213778">
    <w:abstractNumId w:val="30"/>
  </w:num>
  <w:num w:numId="29" w16cid:durableId="801926558">
    <w:abstractNumId w:val="27"/>
  </w:num>
  <w:num w:numId="30" w16cid:durableId="2075813082">
    <w:abstractNumId w:val="12"/>
  </w:num>
  <w:num w:numId="31" w16cid:durableId="2140948281">
    <w:abstractNumId w:val="6"/>
  </w:num>
  <w:num w:numId="32" w16cid:durableId="440419348">
    <w:abstractNumId w:val="8"/>
  </w:num>
  <w:num w:numId="33" w16cid:durableId="61973061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6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jE3N7I0NTUzNDM3NzVQ0lEKTi0uzszPAykwrAUASkpJAiwAAAA="/>
  </w:docVars>
  <w:rsids>
    <w:rsidRoot w:val="00AA6219"/>
    <w:rsid w:val="00000F8F"/>
    <w:rsid w:val="00012FD0"/>
    <w:rsid w:val="00030174"/>
    <w:rsid w:val="0004579C"/>
    <w:rsid w:val="00087DB1"/>
    <w:rsid w:val="000A47FA"/>
    <w:rsid w:val="000A65D3"/>
    <w:rsid w:val="000B1E33"/>
    <w:rsid w:val="000D689F"/>
    <w:rsid w:val="000E7B7B"/>
    <w:rsid w:val="000E7D62"/>
    <w:rsid w:val="00103357"/>
    <w:rsid w:val="00123C9F"/>
    <w:rsid w:val="00126190"/>
    <w:rsid w:val="001270D0"/>
    <w:rsid w:val="00130F17"/>
    <w:rsid w:val="001320BF"/>
    <w:rsid w:val="00163BC4"/>
    <w:rsid w:val="001660E9"/>
    <w:rsid w:val="00191062"/>
    <w:rsid w:val="00192B72"/>
    <w:rsid w:val="00196B7A"/>
    <w:rsid w:val="001A29D8"/>
    <w:rsid w:val="001A5CAA"/>
    <w:rsid w:val="001B0427"/>
    <w:rsid w:val="001D3A51"/>
    <w:rsid w:val="001D7880"/>
    <w:rsid w:val="001E10D2"/>
    <w:rsid w:val="001E25B4"/>
    <w:rsid w:val="001E44FE"/>
    <w:rsid w:val="00200595"/>
    <w:rsid w:val="00204835"/>
    <w:rsid w:val="00214050"/>
    <w:rsid w:val="00231920"/>
    <w:rsid w:val="0023195C"/>
    <w:rsid w:val="0024282C"/>
    <w:rsid w:val="002460DC"/>
    <w:rsid w:val="00250985"/>
    <w:rsid w:val="002556F6"/>
    <w:rsid w:val="00283105"/>
    <w:rsid w:val="00284C4C"/>
    <w:rsid w:val="00287E68"/>
    <w:rsid w:val="00296529"/>
    <w:rsid w:val="002B27FB"/>
    <w:rsid w:val="002B685A"/>
    <w:rsid w:val="002C0904"/>
    <w:rsid w:val="002C57D2"/>
    <w:rsid w:val="002E0D56"/>
    <w:rsid w:val="00315186"/>
    <w:rsid w:val="00316461"/>
    <w:rsid w:val="003270C8"/>
    <w:rsid w:val="0033343E"/>
    <w:rsid w:val="003512C2"/>
    <w:rsid w:val="00371CE7"/>
    <w:rsid w:val="00371FB6"/>
    <w:rsid w:val="003763C1"/>
    <w:rsid w:val="00376BBE"/>
    <w:rsid w:val="0039224F"/>
    <w:rsid w:val="003A43A4"/>
    <w:rsid w:val="003A7E18"/>
    <w:rsid w:val="003B19F6"/>
    <w:rsid w:val="003C4C86"/>
    <w:rsid w:val="003C6258"/>
    <w:rsid w:val="003E2904"/>
    <w:rsid w:val="00401927"/>
    <w:rsid w:val="0041027F"/>
    <w:rsid w:val="00412475"/>
    <w:rsid w:val="00423789"/>
    <w:rsid w:val="00432882"/>
    <w:rsid w:val="00440F43"/>
    <w:rsid w:val="00441B6F"/>
    <w:rsid w:val="00446221"/>
    <w:rsid w:val="00450E62"/>
    <w:rsid w:val="004539DB"/>
    <w:rsid w:val="00471A80"/>
    <w:rsid w:val="004D305E"/>
    <w:rsid w:val="004D4277"/>
    <w:rsid w:val="00502516"/>
    <w:rsid w:val="00505F06"/>
    <w:rsid w:val="00506828"/>
    <w:rsid w:val="0053056E"/>
    <w:rsid w:val="00554FDA"/>
    <w:rsid w:val="00576B42"/>
    <w:rsid w:val="005C784C"/>
    <w:rsid w:val="005D17F6"/>
    <w:rsid w:val="005E5539"/>
    <w:rsid w:val="00602BF5"/>
    <w:rsid w:val="00617FDD"/>
    <w:rsid w:val="006229A7"/>
    <w:rsid w:val="00633614"/>
    <w:rsid w:val="00633F68"/>
    <w:rsid w:val="00636EB2"/>
    <w:rsid w:val="006375B8"/>
    <w:rsid w:val="0066510A"/>
    <w:rsid w:val="00673F9F"/>
    <w:rsid w:val="00686953"/>
    <w:rsid w:val="00687DEA"/>
    <w:rsid w:val="00687E67"/>
    <w:rsid w:val="006967F7"/>
    <w:rsid w:val="006A250C"/>
    <w:rsid w:val="006B2149"/>
    <w:rsid w:val="006B21D3"/>
    <w:rsid w:val="006B57D0"/>
    <w:rsid w:val="006D30FF"/>
    <w:rsid w:val="006D6940"/>
    <w:rsid w:val="006F11EC"/>
    <w:rsid w:val="0070082C"/>
    <w:rsid w:val="00735057"/>
    <w:rsid w:val="007369E6"/>
    <w:rsid w:val="00746E59"/>
    <w:rsid w:val="00754C9A"/>
    <w:rsid w:val="0075599A"/>
    <w:rsid w:val="00761D52"/>
    <w:rsid w:val="0077749E"/>
    <w:rsid w:val="00790ADA"/>
    <w:rsid w:val="007C1305"/>
    <w:rsid w:val="007D2288"/>
    <w:rsid w:val="007E088F"/>
    <w:rsid w:val="007F7B32"/>
    <w:rsid w:val="00804BC2"/>
    <w:rsid w:val="008122F7"/>
    <w:rsid w:val="0081431A"/>
    <w:rsid w:val="0083216F"/>
    <w:rsid w:val="00860000"/>
    <w:rsid w:val="00863BD3"/>
    <w:rsid w:val="008641ED"/>
    <w:rsid w:val="00866D66"/>
    <w:rsid w:val="008671C6"/>
    <w:rsid w:val="00875803"/>
    <w:rsid w:val="008B459E"/>
    <w:rsid w:val="008B6B94"/>
    <w:rsid w:val="008D1B48"/>
    <w:rsid w:val="008E13AE"/>
    <w:rsid w:val="008E1506"/>
    <w:rsid w:val="008E710C"/>
    <w:rsid w:val="008F69D6"/>
    <w:rsid w:val="00902823"/>
    <w:rsid w:val="00915CA6"/>
    <w:rsid w:val="00927834"/>
    <w:rsid w:val="009500A6"/>
    <w:rsid w:val="00955EF3"/>
    <w:rsid w:val="00957C18"/>
    <w:rsid w:val="009659BA"/>
    <w:rsid w:val="00983040"/>
    <w:rsid w:val="0099128F"/>
    <w:rsid w:val="009B3FB9"/>
    <w:rsid w:val="009C2465"/>
    <w:rsid w:val="009D35A0"/>
    <w:rsid w:val="009D7EB7"/>
    <w:rsid w:val="009E048A"/>
    <w:rsid w:val="009E08E9"/>
    <w:rsid w:val="009E3DB9"/>
    <w:rsid w:val="009E6E35"/>
    <w:rsid w:val="009F0EDA"/>
    <w:rsid w:val="00A03B96"/>
    <w:rsid w:val="00A05B19"/>
    <w:rsid w:val="00A1134E"/>
    <w:rsid w:val="00A17BBB"/>
    <w:rsid w:val="00A24E7E"/>
    <w:rsid w:val="00A258C3"/>
    <w:rsid w:val="00A347C0"/>
    <w:rsid w:val="00A51431"/>
    <w:rsid w:val="00A539AD"/>
    <w:rsid w:val="00A56555"/>
    <w:rsid w:val="00A94063"/>
    <w:rsid w:val="00AA6219"/>
    <w:rsid w:val="00AA74E0"/>
    <w:rsid w:val="00AB6A52"/>
    <w:rsid w:val="00AB703F"/>
    <w:rsid w:val="00AC6BB8"/>
    <w:rsid w:val="00AE008F"/>
    <w:rsid w:val="00B01FCD"/>
    <w:rsid w:val="00B1776C"/>
    <w:rsid w:val="00B50B00"/>
    <w:rsid w:val="00B52583"/>
    <w:rsid w:val="00B52896"/>
    <w:rsid w:val="00B95236"/>
    <w:rsid w:val="00B96BD9"/>
    <w:rsid w:val="00BA1B01"/>
    <w:rsid w:val="00BA2641"/>
    <w:rsid w:val="00BB37AA"/>
    <w:rsid w:val="00BB3978"/>
    <w:rsid w:val="00BC132E"/>
    <w:rsid w:val="00BC53A0"/>
    <w:rsid w:val="00BE62AD"/>
    <w:rsid w:val="00BF121F"/>
    <w:rsid w:val="00BF1F80"/>
    <w:rsid w:val="00C166EF"/>
    <w:rsid w:val="00C17EB0"/>
    <w:rsid w:val="00C27F5F"/>
    <w:rsid w:val="00C30A0F"/>
    <w:rsid w:val="00C37E61"/>
    <w:rsid w:val="00C47D14"/>
    <w:rsid w:val="00C70F1B"/>
    <w:rsid w:val="00C71A47"/>
    <w:rsid w:val="00C7464C"/>
    <w:rsid w:val="00C85588"/>
    <w:rsid w:val="00CD6755"/>
    <w:rsid w:val="00CD6856"/>
    <w:rsid w:val="00CE0089"/>
    <w:rsid w:val="00CE793C"/>
    <w:rsid w:val="00CF193C"/>
    <w:rsid w:val="00CF2A76"/>
    <w:rsid w:val="00D02D32"/>
    <w:rsid w:val="00D173F1"/>
    <w:rsid w:val="00D74CB0"/>
    <w:rsid w:val="00D8295D"/>
    <w:rsid w:val="00DA2DEB"/>
    <w:rsid w:val="00DC2A65"/>
    <w:rsid w:val="00DD5C90"/>
    <w:rsid w:val="00DE15F0"/>
    <w:rsid w:val="00DE5663"/>
    <w:rsid w:val="00DE78AA"/>
    <w:rsid w:val="00E053D0"/>
    <w:rsid w:val="00E15994"/>
    <w:rsid w:val="00E16239"/>
    <w:rsid w:val="00E3114E"/>
    <w:rsid w:val="00E31A70"/>
    <w:rsid w:val="00E35B02"/>
    <w:rsid w:val="00E5252F"/>
    <w:rsid w:val="00E52AD4"/>
    <w:rsid w:val="00E66496"/>
    <w:rsid w:val="00E66B35"/>
    <w:rsid w:val="00E66E10"/>
    <w:rsid w:val="00E769F6"/>
    <w:rsid w:val="00E8315A"/>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 w:val="00FD7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2"/>
      <o:rules v:ext="edit">
        <o:r id="V:Rule1" type="connector" idref="#_x0000_s2063"/>
      </o:rules>
    </o:shapelayout>
  </w:shapeDefaults>
  <w:decimalSymbol w:val="."/>
  <w:listSeparator w:val=","/>
  <w14:docId w14:val="0CBD55B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012FD0"/>
    <w:pPr>
      <w:spacing w:after="200" w:line="276" w:lineRule="auto"/>
      <w:ind w:left="720"/>
      <w:contextualSpacing/>
    </w:pPr>
    <w:rPr>
      <w:rFonts w:asciiTheme="minorHAnsi" w:eastAsiaTheme="minorHAnsi" w:hAnsiTheme="minorHAnsi" w:cstheme="minorBidi"/>
      <w:sz w:val="22"/>
      <w:szCs w:val="22"/>
    </w:rPr>
  </w:style>
  <w:style w:type="character" w:customStyle="1" w:styleId="UnresolvedMention2">
    <w:name w:val="Unresolved Mention2"/>
    <w:basedOn w:val="DefaultParagraphFont"/>
    <w:uiPriority w:val="99"/>
    <w:semiHidden/>
    <w:unhideWhenUsed/>
    <w:rsid w:val="002C09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02393593">
      <w:bodyDiv w:val="1"/>
      <w:marLeft w:val="0"/>
      <w:marRight w:val="0"/>
      <w:marTop w:val="0"/>
      <w:marBottom w:val="0"/>
      <w:divBdr>
        <w:top w:val="none" w:sz="0" w:space="0" w:color="auto"/>
        <w:left w:val="none" w:sz="0" w:space="0" w:color="auto"/>
        <w:bottom w:val="none" w:sz="0" w:space="0" w:color="auto"/>
        <w:right w:val="none" w:sz="0" w:space="0" w:color="auto"/>
      </w:divBdr>
      <w:divsChild>
        <w:div w:id="773131846">
          <w:marLeft w:val="0"/>
          <w:marRight w:val="0"/>
          <w:marTop w:val="0"/>
          <w:marBottom w:val="0"/>
          <w:divBdr>
            <w:top w:val="none" w:sz="0" w:space="0" w:color="auto"/>
            <w:left w:val="none" w:sz="0" w:space="0" w:color="auto"/>
            <w:bottom w:val="none" w:sz="0" w:space="0" w:color="auto"/>
            <w:right w:val="none" w:sz="0" w:space="0" w:color="auto"/>
          </w:divBdr>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2427039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4137625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20546/ijcmas.2020.909.43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016/B978-0-323-90636-4.00017-9"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5281/zenodo.19246089"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doi.org/10.1111/j.1095-8339.2006.00567.x" TargetMode="External"/><Relationship Id="rId20" Type="http://schemas.openxmlformats.org/officeDocument/2006/relationships/hyperlink" Target="https://doi.org/10.1016/j.indcrop.2018.05.0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s://doi.org/10.1007/s11627-020-10089-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50B49-350E-4CD0-A6C9-6BE3FA389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217</TotalTime>
  <Pages>13</Pages>
  <Words>5334</Words>
  <Characters>30405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35668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25</cp:revision>
  <cp:lastPrinted>1999-07-06T11:00:00Z</cp:lastPrinted>
  <dcterms:created xsi:type="dcterms:W3CDTF">2014-10-25T14:34:00Z</dcterms:created>
  <dcterms:modified xsi:type="dcterms:W3CDTF">2026-06-01T07:36:00Z</dcterms:modified>
</cp:coreProperties>
</file>