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C04DC" w14:textId="77777777" w:rsidR="00754C9A" w:rsidRDefault="00754C9A" w:rsidP="00441B6F">
      <w:pPr>
        <w:pStyle w:val="Title"/>
        <w:spacing w:after="0"/>
        <w:jc w:val="both"/>
        <w:rPr>
          <w:rFonts w:ascii="Arial" w:hAnsi="Arial" w:cs="Arial"/>
        </w:rPr>
      </w:pPr>
    </w:p>
    <w:p w14:paraId="17657CA2" w14:textId="77777777" w:rsidR="000C7015" w:rsidRPr="00E76534" w:rsidRDefault="000C7015" w:rsidP="000C7015">
      <w:pPr>
        <w:spacing w:before="100" w:beforeAutospacing="1" w:after="100" w:afterAutospacing="1"/>
        <w:jc w:val="right"/>
        <w:outlineLvl w:val="0"/>
        <w:rPr>
          <w:rFonts w:ascii="Arial" w:hAnsi="Arial" w:cs="Arial"/>
          <w:b/>
          <w:bCs/>
          <w:i/>
          <w:iCs/>
          <w:color w:val="000000"/>
          <w:kern w:val="36"/>
          <w:sz w:val="36"/>
          <w:szCs w:val="36"/>
          <w:u w:val="single"/>
        </w:rPr>
      </w:pPr>
      <w:r w:rsidRPr="00E76534">
        <w:rPr>
          <w:rFonts w:ascii="Arial" w:hAnsi="Arial" w:cs="Arial"/>
          <w:b/>
          <w:bCs/>
          <w:i/>
          <w:iCs/>
          <w:color w:val="000000"/>
          <w:kern w:val="36"/>
          <w:sz w:val="36"/>
          <w:szCs w:val="36"/>
          <w:u w:val="single"/>
        </w:rPr>
        <w:t>Original Research Article</w:t>
      </w:r>
    </w:p>
    <w:p w14:paraId="682891BD" w14:textId="0BCFA52A" w:rsidR="00A258C3" w:rsidRPr="00E76534" w:rsidRDefault="00B37BFE" w:rsidP="00B37BFE">
      <w:pPr>
        <w:spacing w:before="100" w:beforeAutospacing="1" w:after="100" w:afterAutospacing="1"/>
        <w:jc w:val="right"/>
        <w:outlineLvl w:val="0"/>
        <w:rPr>
          <w:rFonts w:ascii="Arial" w:hAnsi="Arial" w:cs="Arial"/>
          <w:b/>
          <w:bCs/>
          <w:color w:val="000000"/>
          <w:kern w:val="36"/>
          <w:sz w:val="36"/>
          <w:szCs w:val="36"/>
        </w:rPr>
      </w:pPr>
      <w:r w:rsidRPr="00E76534">
        <w:rPr>
          <w:rFonts w:ascii="Arial" w:hAnsi="Arial" w:cs="Arial"/>
          <w:b/>
          <w:bCs/>
          <w:color w:val="000000"/>
          <w:kern w:val="36"/>
          <w:sz w:val="36"/>
          <w:szCs w:val="36"/>
        </w:rPr>
        <w:t xml:space="preserve">Institutional Gender Inequality and Fertility </w:t>
      </w:r>
      <w:r w:rsidRPr="00E202F2">
        <w:rPr>
          <w:rFonts w:ascii="Arial" w:hAnsi="Arial" w:cs="Arial"/>
          <w:b/>
          <w:bCs/>
          <w:color w:val="000000"/>
          <w:kern w:val="36"/>
          <w:sz w:val="36"/>
          <w:szCs w:val="36"/>
          <w:highlight w:val="cyan"/>
        </w:rPr>
        <w:t>Tim</w:t>
      </w:r>
      <w:r w:rsidR="00E202F2" w:rsidRPr="00E202F2">
        <w:rPr>
          <w:rFonts w:ascii="Arial" w:hAnsi="Arial" w:cs="Arial"/>
          <w:b/>
          <w:bCs/>
          <w:color w:val="000000"/>
          <w:kern w:val="36"/>
          <w:sz w:val="36"/>
          <w:szCs w:val="36"/>
          <w:highlight w:val="cyan"/>
        </w:rPr>
        <w:t>ing</w:t>
      </w:r>
      <w:r w:rsidRPr="00E76534">
        <w:rPr>
          <w:rFonts w:ascii="Arial" w:hAnsi="Arial" w:cs="Arial"/>
          <w:b/>
          <w:bCs/>
          <w:color w:val="000000"/>
          <w:kern w:val="36"/>
          <w:sz w:val="36"/>
          <w:szCs w:val="36"/>
        </w:rPr>
        <w:t xml:space="preserve"> Across Countries</w:t>
      </w:r>
    </w:p>
    <w:p w14:paraId="3E807262" w14:textId="77777777" w:rsidR="002C57D2" w:rsidRDefault="002C57D2" w:rsidP="00441B6F">
      <w:pPr>
        <w:pStyle w:val="Affiliation"/>
        <w:spacing w:after="0" w:line="240" w:lineRule="auto"/>
        <w:jc w:val="both"/>
        <w:rPr>
          <w:rFonts w:ascii="Arial" w:hAnsi="Arial" w:cs="Arial"/>
        </w:rPr>
      </w:pPr>
    </w:p>
    <w:p w14:paraId="4B1DD3CF" w14:textId="77777777" w:rsidR="005A2F54" w:rsidRDefault="005A2F54" w:rsidP="00441B6F">
      <w:pPr>
        <w:pStyle w:val="Affiliation"/>
        <w:spacing w:after="0" w:line="240" w:lineRule="auto"/>
        <w:jc w:val="both"/>
        <w:rPr>
          <w:rFonts w:ascii="Arial" w:hAnsi="Arial" w:cs="Arial"/>
        </w:rPr>
      </w:pPr>
    </w:p>
    <w:p w14:paraId="6A863114" w14:textId="77777777" w:rsidR="005A2F54" w:rsidRPr="00E76534" w:rsidRDefault="005A2F54" w:rsidP="00441B6F">
      <w:pPr>
        <w:pStyle w:val="Affiliation"/>
        <w:spacing w:after="0" w:line="240" w:lineRule="auto"/>
        <w:jc w:val="both"/>
        <w:rPr>
          <w:rFonts w:ascii="Arial" w:hAnsi="Arial" w:cs="Arial"/>
        </w:rPr>
      </w:pPr>
    </w:p>
    <w:p w14:paraId="60B0F46A" w14:textId="77777777" w:rsidR="00B01FCD" w:rsidRPr="00E76534" w:rsidRDefault="00F73431" w:rsidP="00441B6F">
      <w:pPr>
        <w:pStyle w:val="Copyright"/>
        <w:spacing w:after="0" w:line="240" w:lineRule="auto"/>
        <w:jc w:val="both"/>
        <w:rPr>
          <w:rFonts w:ascii="Arial" w:hAnsi="Arial" w:cs="Arial"/>
        </w:rPr>
        <w:sectPr w:rsidR="00B01FCD" w:rsidRPr="00E76534" w:rsidSect="005A2F5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E76534">
        <w:rPr>
          <w:rFonts w:ascii="Arial" w:hAnsi="Arial" w:cs="Arial"/>
          <w:noProof/>
        </w:rPr>
        <mc:AlternateContent>
          <mc:Choice Requires="wps">
            <w:drawing>
              <wp:inline distT="0" distB="0" distL="0" distR="0" wp14:anchorId="257EF2F3" wp14:editId="123B1FCF">
                <wp:extent cx="5303520" cy="635"/>
                <wp:effectExtent l="0" t="12700" r="5080" b="12065"/>
                <wp:docPr id="128601968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45F864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sidRPr="00E76534">
        <w:rPr>
          <w:rFonts w:ascii="Arial" w:hAnsi="Arial" w:cs="Arial"/>
        </w:rPr>
        <w:t>.</w:t>
      </w:r>
    </w:p>
    <w:p w14:paraId="7F9D660A" w14:textId="50F86534" w:rsidR="00B01FCD" w:rsidRPr="00E76534" w:rsidRDefault="00B01FCD" w:rsidP="00441B6F">
      <w:pPr>
        <w:pStyle w:val="AbstHead"/>
        <w:spacing w:after="0"/>
        <w:jc w:val="both"/>
        <w:rPr>
          <w:rFonts w:ascii="Arial" w:hAnsi="Arial" w:cs="Arial"/>
        </w:rPr>
      </w:pPr>
      <w:r w:rsidRPr="00E76534">
        <w:rPr>
          <w:rFonts w:ascii="Arial" w:hAnsi="Arial" w:cs="Arial"/>
        </w:rPr>
        <w:t>ABSTRACT</w:t>
      </w:r>
      <w:r w:rsidR="0066510A" w:rsidRPr="00E76534">
        <w:rPr>
          <w:rFonts w:ascii="Arial" w:hAnsi="Arial" w:cs="Arial"/>
        </w:rPr>
        <w:t xml:space="preserve"> </w:t>
      </w:r>
    </w:p>
    <w:p w14:paraId="54607E2D" w14:textId="77777777" w:rsidR="00790ADA" w:rsidRPr="00E76534"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E76534" w14:paraId="2AA1A7B1" w14:textId="77777777" w:rsidTr="001E44FE">
        <w:tc>
          <w:tcPr>
            <w:tcW w:w="9576" w:type="dxa"/>
            <w:shd w:val="clear" w:color="auto" w:fill="F2F2F2"/>
          </w:tcPr>
          <w:p w14:paraId="20DF7D0F" w14:textId="77777777" w:rsidR="00B06374" w:rsidRDefault="00B06374" w:rsidP="00F92FE1">
            <w:pPr>
              <w:pStyle w:val="Body"/>
              <w:spacing w:after="0"/>
              <w:rPr>
                <w:rFonts w:ascii="Arial" w:eastAsia="Calibri" w:hAnsi="Arial" w:cs="Arial"/>
                <w:b/>
                <w:szCs w:val="22"/>
              </w:rPr>
            </w:pPr>
          </w:p>
          <w:p w14:paraId="39B99FDB" w14:textId="2D8185FA" w:rsidR="00B06374" w:rsidRDefault="00B06374" w:rsidP="00F92FE1">
            <w:pPr>
              <w:pStyle w:val="Body"/>
              <w:spacing w:after="0"/>
              <w:rPr>
                <w:rFonts w:ascii="Arial" w:eastAsia="Calibri" w:hAnsi="Arial" w:cs="Arial"/>
                <w:b/>
                <w:szCs w:val="22"/>
              </w:rPr>
            </w:pPr>
            <w:r w:rsidRPr="00DE6DF9">
              <w:rPr>
                <w:b/>
                <w:bCs/>
              </w:rPr>
              <w:t>Background:</w:t>
            </w:r>
            <w:r w:rsidR="00DE6DF9">
              <w:t xml:space="preserve"> </w:t>
            </w:r>
            <w:r>
              <w:t>Fertility behavior is a key area of economic and demographic research because of its strong connections to human capital formation, labor market outcomes, and long-term economic development. Early childbearing is particularly important as it can adversely affect women's educational attainment, employment opportunities, and lifetime earnings, while also generating lasting intergenerational consequences.</w:t>
            </w:r>
          </w:p>
          <w:p w14:paraId="3FAC16EF" w14:textId="77777777" w:rsidR="00B06374" w:rsidRDefault="00B06374" w:rsidP="00F92FE1">
            <w:pPr>
              <w:pStyle w:val="Body"/>
              <w:spacing w:after="0"/>
              <w:rPr>
                <w:rFonts w:ascii="Arial" w:eastAsia="Calibri" w:hAnsi="Arial" w:cs="Arial"/>
                <w:b/>
                <w:szCs w:val="22"/>
              </w:rPr>
            </w:pPr>
          </w:p>
          <w:p w14:paraId="50D46F35" w14:textId="21366ACE" w:rsidR="00F92FE1" w:rsidRPr="00E76534" w:rsidRDefault="00F92FE1" w:rsidP="00F92FE1">
            <w:pPr>
              <w:pStyle w:val="Body"/>
              <w:spacing w:after="0"/>
              <w:rPr>
                <w:rFonts w:ascii="Arial" w:eastAsia="Calibri" w:hAnsi="Arial" w:cs="Arial"/>
                <w:szCs w:val="22"/>
              </w:rPr>
            </w:pPr>
            <w:r w:rsidRPr="00E76534">
              <w:rPr>
                <w:rFonts w:ascii="Arial" w:eastAsia="Calibri" w:hAnsi="Arial" w:cs="Arial"/>
                <w:b/>
                <w:szCs w:val="22"/>
              </w:rPr>
              <w:t xml:space="preserve">Aims: </w:t>
            </w:r>
            <w:r w:rsidRPr="00E76534">
              <w:rPr>
                <w:color w:val="000000"/>
              </w:rPr>
              <w:t>This study asks whether institutional gendered constraints shift the distribution of first births rather than affecting overall fertility levels.</w:t>
            </w:r>
          </w:p>
          <w:p w14:paraId="2578E778" w14:textId="1C2227C8" w:rsidR="00F92FE1" w:rsidRPr="00E76534" w:rsidRDefault="00F92FE1" w:rsidP="00F92FE1">
            <w:pPr>
              <w:rPr>
                <w:rFonts w:ascii="Arial" w:eastAsia="Calibri" w:hAnsi="Arial" w:cs="Arial"/>
                <w:b/>
                <w:bCs/>
                <w:szCs w:val="22"/>
              </w:rPr>
            </w:pPr>
            <w:r w:rsidRPr="00E76534">
              <w:rPr>
                <w:rFonts w:ascii="Arial" w:eastAsia="Calibri" w:hAnsi="Arial" w:cs="Arial"/>
                <w:b/>
                <w:szCs w:val="22"/>
              </w:rPr>
              <w:t>Study design:</w:t>
            </w:r>
            <w:r w:rsidRPr="00E76534">
              <w:rPr>
                <w:rFonts w:ascii="Arial" w:eastAsia="Calibri" w:hAnsi="Arial" w:cs="Arial"/>
                <w:szCs w:val="22"/>
              </w:rPr>
              <w:t xml:space="preserve"> </w:t>
            </w:r>
            <w:r w:rsidR="00745A84" w:rsidRPr="00E76534">
              <w:rPr>
                <w:rFonts w:ascii="Arial" w:eastAsia="Calibri" w:hAnsi="Arial" w:cs="Arial"/>
                <w:szCs w:val="22"/>
              </w:rPr>
              <w:t>A longitudinal cross-country panel study combining a continuous-time life-cycle model with fixed-effects econometric analysis.</w:t>
            </w:r>
          </w:p>
          <w:p w14:paraId="58C022B5" w14:textId="0149622E" w:rsidR="00F92FE1" w:rsidRPr="00E76534" w:rsidRDefault="00F92FE1" w:rsidP="00F92FE1">
            <w:pPr>
              <w:rPr>
                <w:rFonts w:ascii="Arial" w:eastAsia="Calibri" w:hAnsi="Arial" w:cs="Arial"/>
                <w:bCs/>
                <w:szCs w:val="22"/>
              </w:rPr>
            </w:pPr>
            <w:r w:rsidRPr="00E76534">
              <w:rPr>
                <w:rFonts w:ascii="Arial" w:eastAsia="Calibri" w:hAnsi="Arial" w:cs="Arial"/>
                <w:b/>
                <w:szCs w:val="22"/>
              </w:rPr>
              <w:t>Place and Duration of Study:</w:t>
            </w:r>
            <w:r w:rsidR="00745A84" w:rsidRPr="00E76534">
              <w:rPr>
                <w:rFonts w:ascii="-webkit-standard" w:hAnsi="-webkit-standard"/>
                <w:color w:val="000000"/>
                <w:sz w:val="27"/>
                <w:szCs w:val="27"/>
              </w:rPr>
              <w:t xml:space="preserve"> </w:t>
            </w:r>
            <w:r w:rsidR="00745A84" w:rsidRPr="00E76534">
              <w:rPr>
                <w:rFonts w:ascii="Arial" w:eastAsia="Calibri" w:hAnsi="Arial" w:cs="Arial"/>
                <w:bCs/>
                <w:szCs w:val="22"/>
              </w:rPr>
              <w:t xml:space="preserve">The study was conducted using annual country-level data from 100 countries worldwide obtained from the World Bank, UNESCO, and the United Nations Development </w:t>
            </w:r>
            <w:proofErr w:type="spellStart"/>
            <w:r w:rsidR="00745A84" w:rsidRPr="00E76534">
              <w:rPr>
                <w:rFonts w:ascii="Arial" w:eastAsia="Calibri" w:hAnsi="Arial" w:cs="Arial"/>
                <w:bCs/>
                <w:szCs w:val="22"/>
              </w:rPr>
              <w:t>Programme</w:t>
            </w:r>
            <w:proofErr w:type="spellEnd"/>
            <w:r w:rsidR="00745A84" w:rsidRPr="00E76534">
              <w:rPr>
                <w:rFonts w:ascii="Arial" w:eastAsia="Calibri" w:hAnsi="Arial" w:cs="Arial"/>
                <w:bCs/>
                <w:szCs w:val="22"/>
              </w:rPr>
              <w:t xml:space="preserve"> (UNDP), covering the period between 1990 and 2023.</w:t>
            </w:r>
          </w:p>
          <w:p w14:paraId="2855BA39" w14:textId="77777777" w:rsidR="00851B9A" w:rsidRDefault="00F92FE1" w:rsidP="00851B9A">
            <w:pPr>
              <w:rPr>
                <w:color w:val="000000"/>
              </w:rPr>
            </w:pPr>
            <w:r w:rsidRPr="00E76534">
              <w:rPr>
                <w:rFonts w:ascii="Arial" w:eastAsia="Calibri" w:hAnsi="Arial" w:cs="Arial"/>
                <w:b/>
                <w:bCs/>
                <w:szCs w:val="22"/>
              </w:rPr>
              <w:t>Methodology:</w:t>
            </w:r>
            <w:r w:rsidRPr="00E76534">
              <w:rPr>
                <w:rFonts w:eastAsia="Calibri" w:cs="Arial"/>
                <w:b/>
                <w:bCs/>
                <w:szCs w:val="22"/>
              </w:rPr>
              <w:t xml:space="preserve"> </w:t>
            </w:r>
            <w:r w:rsidRPr="00E76534">
              <w:rPr>
                <w:color w:val="000000"/>
              </w:rPr>
              <w:t>The paper combines a continuous-time life-cycle model with a strongly balanced panel of 100 countries observed annually from 1990 to 2023. Fertility timing is proxied by adolescent first births, capturing mass in the lower tail of the first-birth distribution. Gender inequality is measured using the UNDP Gender Inequality Index. Two-way fixed-effects models exploit within-country variation over time and allow for nonlinear and dynamic specifications.</w:t>
            </w:r>
          </w:p>
          <w:p w14:paraId="564695D0" w14:textId="4F3466BA" w:rsidR="00745A84" w:rsidRPr="00851B9A" w:rsidRDefault="00F92FE1" w:rsidP="00851B9A">
            <w:pPr>
              <w:rPr>
                <w:color w:val="000000"/>
              </w:rPr>
            </w:pPr>
            <w:r w:rsidRPr="00851B9A">
              <w:rPr>
                <w:b/>
                <w:bCs/>
                <w:color w:val="000000"/>
              </w:rPr>
              <w:t xml:space="preserve">Results: </w:t>
            </w:r>
            <w:r w:rsidR="00745A84" w:rsidRPr="00851B9A">
              <w:rPr>
                <w:color w:val="000000"/>
              </w:rPr>
              <w:t>The study analyzed a balanced panel of 100 countries from 1990 to 2023 comprising 3,400 country–year observations. Higher Gender Inequality Index (GII) values were significantly associated with earlier fertility timing in fixed-effects models (</w:t>
            </w:r>
            <m:oMath>
              <m:r>
                <w:rPr>
                  <w:rFonts w:ascii="Cambria Math" w:hAnsi="Cambria Math"/>
                  <w:color w:val="000000"/>
                </w:rPr>
                <m:t>β=0.0126</m:t>
              </m:r>
            </m:oMath>
            <w:r w:rsidR="00745A84" w:rsidRPr="00851B9A">
              <w:rPr>
                <w:color w:val="000000"/>
              </w:rPr>
              <w:t xml:space="preserve"> , </w:t>
            </w:r>
            <m:oMath>
              <m:r>
                <w:rPr>
                  <w:rFonts w:ascii="Cambria Math" w:hAnsi="Cambria Math"/>
                  <w:color w:val="000000"/>
                </w:rPr>
                <m:t>SE=0.0057</m:t>
              </m:r>
            </m:oMath>
            <w:r w:rsidR="00745A84" w:rsidRPr="00851B9A">
              <w:rPr>
                <w:color w:val="000000"/>
              </w:rPr>
              <w:t xml:space="preserve">, </w:t>
            </w:r>
            <m:oMath>
              <m:r>
                <w:rPr>
                  <w:rFonts w:ascii="Cambria Math" w:hAnsi="Cambria Math"/>
                  <w:color w:val="000000"/>
                </w:rPr>
                <m:t>p&lt;0.05</m:t>
              </m:r>
            </m:oMath>
            <w:r w:rsidR="00745A84" w:rsidRPr="00851B9A">
              <w:rPr>
                <w:color w:val="000000"/>
              </w:rPr>
              <w:t xml:space="preserve">), and the relationship remained robust after controlling for gender development and schooling. Lagged models showed similar positive effects of prior gender inequality on early fertility timing </w:t>
            </w:r>
            <w:r w:rsidR="006E1241" w:rsidRPr="00851B9A">
              <w:rPr>
                <w:color w:val="000000"/>
              </w:rPr>
              <w:t xml:space="preserve">(β = 0.0108, </w:t>
            </w:r>
            <w:r w:rsidR="006E1241" w:rsidRPr="00851B9A">
              <w:rPr>
                <w:color w:val="000000"/>
                <w:highlight w:val="cyan"/>
              </w:rPr>
              <w:t>SE = 18.90,</w:t>
            </w:r>
            <w:r w:rsidR="006E1241" w:rsidRPr="00851B9A">
              <w:rPr>
                <w:color w:val="000000"/>
              </w:rPr>
              <w:t xml:space="preserve"> p &lt; 0.10). </w:t>
            </w:r>
            <w:r w:rsidR="00745A84" w:rsidRPr="00851B9A">
              <w:rPr>
                <w:color w:val="000000"/>
              </w:rPr>
              <w:t>Nonlinear specifications revealed significant regime dependence (</w:t>
            </w:r>
            <m:oMath>
              <m:r>
                <w:rPr>
                  <w:rFonts w:ascii="Cambria Math" w:hAnsi="Cambria Math"/>
                  <w:color w:val="000000"/>
                </w:rPr>
                <m:t>F=18.90</m:t>
              </m:r>
            </m:oMath>
            <w:r w:rsidR="00BF6D4D" w:rsidRPr="00851B9A">
              <w:rPr>
                <w:color w:val="000000"/>
              </w:rPr>
              <w:t xml:space="preserve"> , </w:t>
            </w:r>
            <m:oMath>
              <m:r>
                <w:rPr>
                  <w:rFonts w:ascii="Cambria Math" w:hAnsi="Cambria Math"/>
                  <w:color w:val="000000"/>
                </w:rPr>
                <m:t>p&lt;0.001</m:t>
              </m:r>
            </m:oMath>
            <w:r w:rsidR="00745A84" w:rsidRPr="00851B9A">
              <w:rPr>
                <w:color w:val="000000"/>
              </w:rPr>
              <w:t>), with stronger effects in highly unequal environments. Dynamic models further showed strong persistence in fertility timing over time (</w:t>
            </w:r>
            <m:oMath>
              <m:r>
                <w:rPr>
                  <w:rFonts w:ascii="Cambria Math" w:hAnsi="Cambria Math"/>
                  <w:color w:val="000000"/>
                </w:rPr>
                <m:t>β=0.981</m:t>
              </m:r>
            </m:oMath>
            <w:r w:rsidR="00BF6D4D" w:rsidRPr="00851B9A">
              <w:rPr>
                <w:color w:val="000000"/>
              </w:rPr>
              <w:t xml:space="preserve"> , </w:t>
            </w:r>
            <m:oMath>
              <m:r>
                <w:rPr>
                  <w:rFonts w:ascii="Cambria Math" w:hAnsi="Cambria Math"/>
                  <w:color w:val="000000"/>
                </w:rPr>
                <m:t>SE=0.004</m:t>
              </m:r>
            </m:oMath>
            <w:r w:rsidR="00BF6D4D" w:rsidRPr="00851B9A">
              <w:rPr>
                <w:color w:val="000000"/>
              </w:rPr>
              <w:t xml:space="preserve">, </w:t>
            </w:r>
            <m:oMath>
              <m:r>
                <w:rPr>
                  <w:rFonts w:ascii="Cambria Math" w:hAnsi="Cambria Math"/>
                  <w:color w:val="000000"/>
                </w:rPr>
                <m:t>p&lt;0.001</m:t>
              </m:r>
            </m:oMath>
            <w:r w:rsidR="00745A84" w:rsidRPr="00851B9A">
              <w:rPr>
                <w:color w:val="000000"/>
              </w:rPr>
              <w:t>).</w:t>
            </w:r>
          </w:p>
          <w:p w14:paraId="79E6E9BB" w14:textId="5F1FE284" w:rsidR="00505F06" w:rsidRPr="00E76534" w:rsidRDefault="00F92FE1" w:rsidP="00BF6D4D">
            <w:pPr>
              <w:rPr>
                <w:color w:val="000000"/>
              </w:rPr>
            </w:pPr>
            <w:r w:rsidRPr="00E76534">
              <w:rPr>
                <w:b/>
                <w:bCs/>
                <w:color w:val="000000"/>
              </w:rPr>
              <w:t xml:space="preserve">Conclusions: </w:t>
            </w:r>
            <w:r w:rsidRPr="00E76534">
              <w:rPr>
                <w:color w:val="000000"/>
              </w:rPr>
              <w:t>Institutional gender inequality reduces incentives to delay childbearing by lowering the opportunity cost of early fertility. The findings indicate that fertility timing responds primarily to structural constraints rather than short-term fluctuations.</w:t>
            </w:r>
          </w:p>
        </w:tc>
      </w:tr>
    </w:tbl>
    <w:p w14:paraId="16AAF56A" w14:textId="77777777" w:rsidR="00636EB2" w:rsidRPr="00E76534" w:rsidRDefault="00636EB2" w:rsidP="00441B6F">
      <w:pPr>
        <w:pStyle w:val="Body"/>
        <w:spacing w:after="0"/>
        <w:rPr>
          <w:rFonts w:ascii="Arial" w:hAnsi="Arial" w:cs="Arial"/>
          <w:i/>
        </w:rPr>
      </w:pPr>
    </w:p>
    <w:p w14:paraId="697FEE27" w14:textId="2B5F87DA" w:rsidR="0024282C" w:rsidRPr="00E76534" w:rsidRDefault="00A24E7E" w:rsidP="00BF6D4D">
      <w:pPr>
        <w:pStyle w:val="Body"/>
        <w:rPr>
          <w:rFonts w:ascii="Arial" w:hAnsi="Arial" w:cs="Arial"/>
          <w:i/>
        </w:rPr>
      </w:pPr>
      <w:r w:rsidRPr="00E76534">
        <w:rPr>
          <w:rFonts w:ascii="Arial" w:hAnsi="Arial" w:cs="Arial"/>
          <w:i/>
        </w:rPr>
        <w:t xml:space="preserve">Keywords: </w:t>
      </w:r>
      <w:r w:rsidR="00D25817" w:rsidRPr="00D25817">
        <w:rPr>
          <w:rFonts w:ascii="Arial" w:hAnsi="Arial" w:cs="Arial"/>
          <w:i/>
          <w:highlight w:val="cyan"/>
        </w:rPr>
        <w:t>Gender inequality; Fertility timing; Early childbearing; First birth; Human capital; Institutional constraints; Panel fixed effects</w:t>
      </w:r>
    </w:p>
    <w:p w14:paraId="23008E5A" w14:textId="77777777" w:rsidR="008F7670" w:rsidRPr="00E76534" w:rsidRDefault="008F7670" w:rsidP="00441B6F">
      <w:pPr>
        <w:pStyle w:val="Body"/>
        <w:spacing w:after="0"/>
        <w:rPr>
          <w:rFonts w:ascii="Arial" w:hAnsi="Arial" w:cs="Arial"/>
          <w:iCs/>
        </w:rPr>
      </w:pPr>
    </w:p>
    <w:p w14:paraId="43E5CEB4" w14:textId="6E84C206" w:rsidR="00790ADA" w:rsidRPr="00E76534" w:rsidRDefault="00902823" w:rsidP="00441B6F">
      <w:pPr>
        <w:pStyle w:val="AbstHead"/>
        <w:spacing w:after="0"/>
        <w:contextualSpacing/>
        <w:jc w:val="both"/>
        <w:rPr>
          <w:rFonts w:ascii="Arial" w:hAnsi="Arial" w:cs="Arial"/>
        </w:rPr>
      </w:pPr>
      <w:r w:rsidRPr="00E76534">
        <w:rPr>
          <w:rFonts w:ascii="Arial" w:hAnsi="Arial" w:cs="Arial"/>
        </w:rPr>
        <w:t xml:space="preserve">1. </w:t>
      </w:r>
      <w:r w:rsidR="00B01FCD" w:rsidRPr="00E76534">
        <w:rPr>
          <w:rFonts w:ascii="Arial" w:hAnsi="Arial" w:cs="Arial"/>
        </w:rPr>
        <w:t>INTRODUCTION</w:t>
      </w:r>
      <w:r w:rsidR="007F7B32" w:rsidRPr="00E76534">
        <w:rPr>
          <w:rFonts w:ascii="Arial" w:hAnsi="Arial" w:cs="Arial"/>
        </w:rPr>
        <w:t xml:space="preserve"> </w:t>
      </w:r>
    </w:p>
    <w:p w14:paraId="2DAD1207" w14:textId="7DCEE6DC" w:rsidR="00010349" w:rsidRPr="00E76534" w:rsidRDefault="00010349" w:rsidP="00BF6D4D">
      <w:pPr>
        <w:pStyle w:val="NormalWeb"/>
        <w:contextualSpacing/>
        <w:rPr>
          <w:rFonts w:ascii="Arial" w:hAnsi="Arial" w:cs="Arial"/>
          <w:b/>
          <w:bCs/>
          <w:color w:val="000000"/>
          <w:sz w:val="22"/>
          <w:szCs w:val="22"/>
        </w:rPr>
      </w:pPr>
      <w:r w:rsidRPr="00E76534">
        <w:rPr>
          <w:rFonts w:ascii="Arial" w:hAnsi="Arial" w:cs="Arial"/>
          <w:b/>
          <w:bCs/>
          <w:color w:val="000000"/>
          <w:sz w:val="22"/>
          <w:szCs w:val="22"/>
        </w:rPr>
        <w:t>1.1 Introduction</w:t>
      </w:r>
    </w:p>
    <w:p w14:paraId="01DC8F56" w14:textId="6BD51DB4" w:rsidR="00BF6D4D" w:rsidRPr="00E76534" w:rsidRDefault="00BF6D4D" w:rsidP="00BF6D4D">
      <w:pPr>
        <w:pStyle w:val="NormalWeb"/>
        <w:contextualSpacing/>
        <w:rPr>
          <w:rFonts w:ascii="Arial" w:hAnsi="Arial" w:cs="Arial"/>
          <w:color w:val="000000"/>
          <w:sz w:val="20"/>
          <w:szCs w:val="20"/>
        </w:rPr>
      </w:pPr>
      <w:r w:rsidRPr="00E76534">
        <w:rPr>
          <w:rFonts w:ascii="Arial" w:hAnsi="Arial" w:cs="Arial"/>
          <w:color w:val="000000"/>
          <w:sz w:val="20"/>
          <w:szCs w:val="20"/>
        </w:rPr>
        <w:t>Fertility behavior occupies a central place in economic and demographic research due to its links to human capital, labor markets, and long-run development (</w:t>
      </w:r>
      <w:proofErr w:type="spellStart"/>
      <w:r w:rsidRPr="00E76534">
        <w:rPr>
          <w:rFonts w:ascii="Arial" w:hAnsi="Arial" w:cs="Arial"/>
          <w:color w:val="000000"/>
          <w:sz w:val="20"/>
          <w:szCs w:val="20"/>
        </w:rPr>
        <w:t>Myrskylä</w:t>
      </w:r>
      <w:proofErr w:type="spellEnd"/>
      <w:r w:rsidRPr="00E76534">
        <w:rPr>
          <w:rFonts w:ascii="Arial" w:hAnsi="Arial" w:cs="Arial"/>
          <w:color w:val="000000"/>
          <w:sz w:val="20"/>
          <w:szCs w:val="20"/>
        </w:rPr>
        <w:t>, 2024). While much of the literature focuses on fertility levels, less attention has been paid to fertility timing and the institutional determinants of very early childbearing. Early entry into motherhood has disproportionate consequences for women’s education, labor-market attachment, and lifetime earnings, with persistent intergenerational effects (Klepinger, 1999; Narita and Diaz, 2016).</w:t>
      </w:r>
    </w:p>
    <w:p w14:paraId="4594A2FB" w14:textId="77777777" w:rsidR="008F7670" w:rsidRPr="00E76534" w:rsidRDefault="008F7670" w:rsidP="00BF6D4D">
      <w:pPr>
        <w:pStyle w:val="NormalWeb"/>
        <w:contextualSpacing/>
        <w:rPr>
          <w:rFonts w:ascii="Arial" w:hAnsi="Arial" w:cs="Arial"/>
          <w:color w:val="000000"/>
          <w:sz w:val="20"/>
          <w:szCs w:val="20"/>
        </w:rPr>
      </w:pPr>
    </w:p>
    <w:p w14:paraId="05738B5F" w14:textId="77777777" w:rsidR="00BF6D4D" w:rsidRPr="00E76534" w:rsidRDefault="00BF6D4D" w:rsidP="00BF6D4D">
      <w:pPr>
        <w:pStyle w:val="NormalWeb"/>
        <w:rPr>
          <w:rFonts w:ascii="Arial" w:hAnsi="Arial" w:cs="Arial"/>
          <w:color w:val="000000"/>
          <w:sz w:val="20"/>
          <w:szCs w:val="20"/>
        </w:rPr>
      </w:pPr>
      <w:r w:rsidRPr="00E76534">
        <w:rPr>
          <w:rFonts w:ascii="Arial" w:hAnsi="Arial" w:cs="Arial"/>
          <w:color w:val="000000"/>
          <w:sz w:val="20"/>
          <w:szCs w:val="20"/>
        </w:rPr>
        <w:t>This paper examines how gender inequality shapes fertility timing, focusing on whether institutional constraints shift the distribution of first births toward very early ages. Early fertility is treated as a distinct outcome with particularly large economic and social consequences (</w:t>
      </w:r>
      <w:proofErr w:type="spellStart"/>
      <w:r w:rsidRPr="00E76534">
        <w:rPr>
          <w:rFonts w:ascii="Arial" w:hAnsi="Arial" w:cs="Arial"/>
          <w:color w:val="000000"/>
          <w:sz w:val="20"/>
          <w:szCs w:val="20"/>
        </w:rPr>
        <w:t>Berthelon</w:t>
      </w:r>
      <w:proofErr w:type="spellEnd"/>
      <w:r w:rsidRPr="00E76534">
        <w:rPr>
          <w:rFonts w:ascii="Arial" w:hAnsi="Arial" w:cs="Arial"/>
          <w:color w:val="000000"/>
          <w:sz w:val="20"/>
          <w:szCs w:val="20"/>
        </w:rPr>
        <w:t xml:space="preserve"> and Kruger, 2017; Hayford, 2016), and as a socially embedded choice shaped by gender norms, policy environments, and structural constraints.</w:t>
      </w:r>
    </w:p>
    <w:p w14:paraId="3CB666AC" w14:textId="68A0AE71" w:rsidR="00BF6D4D" w:rsidRPr="00E76534" w:rsidRDefault="00BF6D4D" w:rsidP="00BF6D4D">
      <w:pPr>
        <w:pStyle w:val="NormalWeb"/>
        <w:rPr>
          <w:rFonts w:ascii="Arial" w:hAnsi="Arial" w:cs="Arial"/>
          <w:color w:val="000000"/>
          <w:sz w:val="20"/>
          <w:szCs w:val="20"/>
        </w:rPr>
      </w:pPr>
      <w:r w:rsidRPr="00E76534">
        <w:rPr>
          <w:rFonts w:ascii="Arial" w:hAnsi="Arial" w:cs="Arial"/>
          <w:color w:val="000000"/>
          <w:sz w:val="20"/>
          <w:szCs w:val="20"/>
        </w:rPr>
        <w:t xml:space="preserve">The core mechanism reflects an intertemporal trade-off between family benefits and the opportunity cost of career interruption (Berg </w:t>
      </w:r>
      <w:r w:rsidRPr="00E76534">
        <w:rPr>
          <w:rFonts w:ascii="Arial" w:hAnsi="Arial" w:cs="Arial"/>
          <w:i/>
          <w:iCs/>
          <w:color w:val="000000"/>
          <w:sz w:val="20"/>
          <w:szCs w:val="20"/>
        </w:rPr>
        <w:t>et al</w:t>
      </w:r>
      <w:r w:rsidRPr="00E76534">
        <w:rPr>
          <w:rFonts w:ascii="Arial" w:hAnsi="Arial" w:cs="Arial"/>
          <w:color w:val="000000"/>
          <w:sz w:val="20"/>
          <w:szCs w:val="20"/>
        </w:rPr>
        <w:t xml:space="preserve">., 2020). When education, employment, and reproductive autonomy are constrained, the returns to delaying fertility are limited, making early childbearing a rational response. In more egalitarian environments, higher opportunity costs incentivize delay. To formalize this intuition, the paper develops a continuous-time life-cycle model in which women jointly choose education, career attachment, and first-birth timing. Institutional environments—such as family policy, labor-market structures, and gender norms—create a wedge between marginal family benefits and marginal human-capital losses from early </w:t>
      </w:r>
      <w:r w:rsidRPr="00E54E72">
        <w:rPr>
          <w:rFonts w:ascii="Arial" w:hAnsi="Arial" w:cs="Arial"/>
          <w:color w:val="000000"/>
          <w:sz w:val="20"/>
          <w:szCs w:val="20"/>
        </w:rPr>
        <w:t>childbirth (</w:t>
      </w:r>
      <w:proofErr w:type="spellStart"/>
      <w:r w:rsidR="00E54E72" w:rsidRPr="00745D8D">
        <w:rPr>
          <w:rFonts w:ascii="Arial" w:eastAsia="Meiryo" w:hAnsi="Arial" w:cs="Arial"/>
          <w:color w:val="000000"/>
          <w:sz w:val="20"/>
          <w:szCs w:val="20"/>
          <w:highlight w:val="cyan"/>
        </w:rPr>
        <w:t>Baizán</w:t>
      </w:r>
      <w:proofErr w:type="spellEnd"/>
      <w:r w:rsidR="00E54E72" w:rsidRPr="00745D8D">
        <w:rPr>
          <w:rFonts w:ascii="Arial" w:eastAsia="Meiryo" w:hAnsi="Arial" w:cs="Arial"/>
          <w:i/>
          <w:iCs/>
          <w:color w:val="000000"/>
          <w:sz w:val="20"/>
          <w:szCs w:val="20"/>
          <w:highlight w:val="cyan"/>
        </w:rPr>
        <w:t xml:space="preserve"> </w:t>
      </w:r>
      <w:r w:rsidR="00E54E72" w:rsidRPr="00745D8D">
        <w:rPr>
          <w:rStyle w:val="ts-alignment-element"/>
          <w:rFonts w:ascii="Arial" w:eastAsia="Meiryo" w:hAnsi="Arial" w:cs="Arial"/>
          <w:i/>
          <w:iCs/>
          <w:color w:val="000000"/>
          <w:sz w:val="20"/>
          <w:szCs w:val="20"/>
          <w:highlight w:val="cyan"/>
        </w:rPr>
        <w:t>et</w:t>
      </w:r>
      <w:r w:rsidR="00E54E72" w:rsidRPr="00745D8D">
        <w:rPr>
          <w:rFonts w:ascii="Arial" w:eastAsia="Meiryo" w:hAnsi="Arial" w:cs="Arial"/>
          <w:i/>
          <w:iCs/>
          <w:color w:val="000000"/>
          <w:sz w:val="20"/>
          <w:szCs w:val="20"/>
          <w:highlight w:val="cyan"/>
        </w:rPr>
        <w:t xml:space="preserve"> </w:t>
      </w:r>
      <w:r w:rsidR="00E54E72" w:rsidRPr="00745D8D">
        <w:rPr>
          <w:rStyle w:val="ts-alignment-element"/>
          <w:rFonts w:ascii="Arial" w:eastAsia="Meiryo" w:hAnsi="Arial" w:cs="Arial"/>
          <w:i/>
          <w:iCs/>
          <w:color w:val="000000"/>
          <w:sz w:val="20"/>
          <w:szCs w:val="20"/>
          <w:highlight w:val="cyan"/>
        </w:rPr>
        <w:t>al</w:t>
      </w:r>
      <w:r w:rsidR="00EE3795">
        <w:rPr>
          <w:rStyle w:val="ts-alignment-element"/>
          <w:rFonts w:ascii="Arial" w:eastAsia="Meiryo" w:hAnsi="Arial" w:cs="Arial"/>
          <w:i/>
          <w:iCs/>
          <w:color w:val="000000"/>
          <w:sz w:val="20"/>
          <w:szCs w:val="20"/>
        </w:rPr>
        <w:t>.</w:t>
      </w:r>
      <w:r w:rsidRPr="00E54E72">
        <w:rPr>
          <w:rFonts w:ascii="Arial" w:hAnsi="Arial" w:cs="Arial"/>
          <w:color w:val="000000"/>
          <w:sz w:val="20"/>
          <w:szCs w:val="20"/>
        </w:rPr>
        <w:t>; Billingsley, 2022</w:t>
      </w:r>
      <w:r w:rsidRPr="00E76534">
        <w:rPr>
          <w:rFonts w:ascii="Arial" w:hAnsi="Arial" w:cs="Arial"/>
          <w:color w:val="000000"/>
          <w:sz w:val="20"/>
          <w:szCs w:val="20"/>
        </w:rPr>
        <w:t>). In high-inequality settings, this wedge concentrates births near the lower bound of the fertility window.</w:t>
      </w:r>
    </w:p>
    <w:p w14:paraId="3C8DB6F0" w14:textId="77777777" w:rsidR="00BF6D4D" w:rsidRPr="00E76534" w:rsidRDefault="00BF6D4D" w:rsidP="00BF6D4D">
      <w:pPr>
        <w:pStyle w:val="NormalWeb"/>
        <w:rPr>
          <w:rFonts w:ascii="Arial" w:hAnsi="Arial" w:cs="Arial"/>
          <w:color w:val="000000"/>
          <w:sz w:val="20"/>
          <w:szCs w:val="20"/>
        </w:rPr>
      </w:pPr>
      <w:r w:rsidRPr="00E76534">
        <w:rPr>
          <w:rFonts w:ascii="Arial" w:hAnsi="Arial" w:cs="Arial"/>
          <w:color w:val="000000"/>
          <w:sz w:val="20"/>
          <w:szCs w:val="20"/>
        </w:rPr>
        <w:t>Guided by this framework, the empirical analysis uses a strongly balanced panel of 100 countries observed annually from 1990 to 2023. Fertility timing is proxied by first births (mass in the lower tail), and gender inequality is measured by the UNDP’s Gender Inequality Index (GII). Exploiting within-country variation with country and year fixed effects and controls for educational attainment, the paper tests reduced-form implications at the macro level.</w:t>
      </w:r>
    </w:p>
    <w:p w14:paraId="2579D4C2" w14:textId="5C92E4B2" w:rsidR="00790ADA" w:rsidRPr="00E76534" w:rsidRDefault="00BF6D4D" w:rsidP="00BF6D4D">
      <w:pPr>
        <w:pStyle w:val="NormalWeb"/>
        <w:rPr>
          <w:rFonts w:ascii="Arial" w:hAnsi="Arial" w:cs="Arial"/>
          <w:color w:val="000000"/>
          <w:sz w:val="20"/>
          <w:szCs w:val="20"/>
        </w:rPr>
      </w:pPr>
      <w:r w:rsidRPr="00E76534">
        <w:rPr>
          <w:rFonts w:ascii="Arial" w:hAnsi="Arial" w:cs="Arial"/>
          <w:color w:val="000000"/>
          <w:sz w:val="20"/>
          <w:szCs w:val="20"/>
        </w:rPr>
        <w:t>Three findings emerge: (1) higher gender inequality is robustly associated with earlier fertility timing; (2) the relationship is nonlinear, becoming pronounced in high-inequality regimes; and (3) fertility timing is highly persistent, consistent with slow-moving institutional and normative equilibria. These results contribute to the literature by shifting attention from fertility levels (Becker, 1960; Galor and Weil, 1996) to timing, and by identifying early fertility as a mechanism linking gender inequality to long-run losses in female human capital and development (World Bank, 2012; UNDP, 2023). They also help reconcile mixed cross-country evidence by highlighting the regime-dependent effects of institutional inequality.</w:t>
      </w:r>
    </w:p>
    <w:p w14:paraId="7A266D96" w14:textId="77777777" w:rsidR="00CE5B86" w:rsidRPr="00E76534" w:rsidRDefault="00010349" w:rsidP="00CE5B86">
      <w:pPr>
        <w:spacing w:before="100" w:beforeAutospacing="1" w:after="100" w:afterAutospacing="1"/>
        <w:contextualSpacing/>
        <w:outlineLvl w:val="0"/>
        <w:rPr>
          <w:b/>
          <w:bCs/>
          <w:color w:val="000000"/>
          <w:kern w:val="36"/>
        </w:rPr>
      </w:pPr>
      <w:r w:rsidRPr="00E76534">
        <w:rPr>
          <w:b/>
          <w:bCs/>
          <w:color w:val="000000"/>
          <w:kern w:val="36"/>
        </w:rPr>
        <w:t xml:space="preserve">1.2 </w:t>
      </w:r>
      <w:r w:rsidR="00BF6D4D" w:rsidRPr="00E76534">
        <w:rPr>
          <w:b/>
          <w:bCs/>
          <w:color w:val="000000"/>
          <w:kern w:val="36"/>
        </w:rPr>
        <w:t>Literature Review</w:t>
      </w:r>
    </w:p>
    <w:p w14:paraId="67CCABE0" w14:textId="77777777" w:rsidR="008F7670" w:rsidRPr="00E76534" w:rsidRDefault="008F7670" w:rsidP="00CE5B86">
      <w:pPr>
        <w:spacing w:before="100" w:beforeAutospacing="1" w:after="100" w:afterAutospacing="1"/>
        <w:contextualSpacing/>
        <w:outlineLvl w:val="0"/>
        <w:rPr>
          <w:rFonts w:ascii="Arial" w:hAnsi="Arial" w:cs="Arial"/>
          <w:color w:val="000000"/>
        </w:rPr>
      </w:pPr>
    </w:p>
    <w:p w14:paraId="04509218" w14:textId="77777777" w:rsidR="008F7670" w:rsidRPr="00E76534" w:rsidRDefault="00BF6D4D" w:rsidP="008F7670">
      <w:pPr>
        <w:spacing w:before="100" w:beforeAutospacing="1" w:after="100" w:afterAutospacing="1"/>
        <w:contextualSpacing/>
        <w:outlineLvl w:val="0"/>
        <w:rPr>
          <w:rFonts w:ascii="Arial" w:hAnsi="Arial" w:cs="Arial"/>
          <w:color w:val="000000"/>
        </w:rPr>
      </w:pPr>
      <w:r w:rsidRPr="00E76534">
        <w:rPr>
          <w:rFonts w:ascii="Arial" w:hAnsi="Arial" w:cs="Arial"/>
          <w:color w:val="000000"/>
        </w:rPr>
        <w:t xml:space="preserve">A substantial literature documents that motherhood and childbearing generate persistent and unequal labor-market outcomes for women. Early work identifies a “family gap” in wages, showing that mothers earn less than observationally similar nonmothers even after conditioning on education, experience, and occupational characteristics (Waldfogel, 1997; Budig and England, 2001). Subsequent research quantifies these effects as motherhood </w:t>
      </w:r>
      <w:r w:rsidRPr="00E76534">
        <w:rPr>
          <w:rFonts w:ascii="Arial" w:hAnsi="Arial" w:cs="Arial"/>
          <w:color w:val="000000"/>
        </w:rPr>
        <w:lastRenderedPageBreak/>
        <w:t>wage penalties of roughly 3–4% per child and attributes them to reduced experience accumulation, discrimination, and sorting into lower-paid, family-friendly jobs (</w:t>
      </w:r>
      <w:proofErr w:type="spellStart"/>
      <w:r w:rsidRPr="00E76534">
        <w:rPr>
          <w:rFonts w:ascii="Arial" w:hAnsi="Arial" w:cs="Arial"/>
          <w:color w:val="000000"/>
        </w:rPr>
        <w:t>Cukrowska-Torzewska</w:t>
      </w:r>
      <w:proofErr w:type="spellEnd"/>
      <w:r w:rsidRPr="00E76534">
        <w:rPr>
          <w:rFonts w:ascii="Arial" w:hAnsi="Arial" w:cs="Arial"/>
          <w:color w:val="000000"/>
        </w:rPr>
        <w:t xml:space="preserve"> and Matysiak, 2020). Kleven </w:t>
      </w:r>
      <w:r w:rsidRPr="00E76534">
        <w:rPr>
          <w:rFonts w:ascii="Arial" w:hAnsi="Arial" w:cs="Arial"/>
          <w:i/>
          <w:iCs/>
          <w:color w:val="000000"/>
        </w:rPr>
        <w:t>et al</w:t>
      </w:r>
      <w:r w:rsidRPr="00E76534">
        <w:rPr>
          <w:rFonts w:ascii="Arial" w:hAnsi="Arial" w:cs="Arial"/>
          <w:color w:val="000000"/>
        </w:rPr>
        <w:t xml:space="preserve">. (2019) conceptualize these patterns as “child penalties,” defined as the long-run earnings and employment gaps between men and women that open after first birth. Cross-national evidence shows that child penalties become a dominant source of gender inequality as economies </w:t>
      </w:r>
      <w:proofErr w:type="gramStart"/>
      <w:r w:rsidRPr="00E76534">
        <w:rPr>
          <w:rFonts w:ascii="Arial" w:hAnsi="Arial" w:cs="Arial"/>
          <w:color w:val="000000"/>
        </w:rPr>
        <w:t>transition</w:t>
      </w:r>
      <w:proofErr w:type="gramEnd"/>
      <w:r w:rsidRPr="00E76534">
        <w:rPr>
          <w:rFonts w:ascii="Arial" w:hAnsi="Arial" w:cs="Arial"/>
          <w:color w:val="000000"/>
        </w:rPr>
        <w:t xml:space="preserve"> toward wage employment (Kleven </w:t>
      </w:r>
      <w:r w:rsidRPr="00E76534">
        <w:rPr>
          <w:rFonts w:ascii="Arial" w:hAnsi="Arial" w:cs="Arial"/>
          <w:i/>
          <w:iCs/>
          <w:color w:val="000000"/>
        </w:rPr>
        <w:t>et al</w:t>
      </w:r>
      <w:r w:rsidRPr="00E76534">
        <w:rPr>
          <w:rFonts w:ascii="Arial" w:hAnsi="Arial" w:cs="Arial"/>
          <w:color w:val="000000"/>
        </w:rPr>
        <w:t>., 2024b).</w:t>
      </w:r>
    </w:p>
    <w:p w14:paraId="04533882" w14:textId="77777777" w:rsidR="008F7670" w:rsidRPr="00E76534" w:rsidRDefault="008F7670" w:rsidP="008F7670">
      <w:pPr>
        <w:spacing w:before="100" w:beforeAutospacing="1" w:after="100" w:afterAutospacing="1"/>
        <w:contextualSpacing/>
        <w:outlineLvl w:val="0"/>
        <w:rPr>
          <w:rFonts w:ascii="Arial" w:hAnsi="Arial" w:cs="Arial"/>
          <w:color w:val="000000"/>
        </w:rPr>
      </w:pPr>
    </w:p>
    <w:p w14:paraId="2F5510BD" w14:textId="038DC525" w:rsidR="008F7670" w:rsidRPr="00E76534" w:rsidRDefault="00BF6D4D" w:rsidP="008F7670">
      <w:pPr>
        <w:spacing w:before="100" w:beforeAutospacing="1" w:after="100" w:afterAutospacing="1"/>
        <w:contextualSpacing/>
        <w:outlineLvl w:val="0"/>
        <w:rPr>
          <w:rFonts w:ascii="Arial" w:hAnsi="Arial" w:cs="Arial"/>
          <w:color w:val="000000"/>
        </w:rPr>
      </w:pPr>
      <w:r w:rsidRPr="00E76534">
        <w:rPr>
          <w:rFonts w:ascii="Arial" w:hAnsi="Arial" w:cs="Arial"/>
          <w:color w:val="000000"/>
        </w:rPr>
        <w:t>A related literature emphasizes that</w:t>
      </w:r>
      <w:r w:rsidRPr="00E76534">
        <w:rPr>
          <w:rStyle w:val="apple-converted-space"/>
          <w:rFonts w:ascii="Arial" w:eastAsiaTheme="majorEastAsia" w:hAnsi="Arial" w:cs="Arial"/>
          <w:color w:val="000000"/>
        </w:rPr>
        <w:t> </w:t>
      </w:r>
      <w:r w:rsidRPr="00E76534">
        <w:rPr>
          <w:rStyle w:val="Strong"/>
          <w:rFonts w:ascii="Arial" w:eastAsiaTheme="majorEastAsia" w:hAnsi="Arial" w:cs="Arial"/>
          <w:b w:val="0"/>
          <w:bCs w:val="0"/>
          <w:color w:val="000000"/>
        </w:rPr>
        <w:t>the timing of motherhood</w:t>
      </w:r>
      <w:r w:rsidRPr="00E76534">
        <w:rPr>
          <w:rStyle w:val="apple-converted-space"/>
          <w:rFonts w:ascii="Arial" w:eastAsiaTheme="majorEastAsia" w:hAnsi="Arial" w:cs="Arial"/>
          <w:color w:val="000000"/>
        </w:rPr>
        <w:t> </w:t>
      </w:r>
      <w:r w:rsidRPr="00E76534">
        <w:rPr>
          <w:rFonts w:ascii="Arial" w:hAnsi="Arial" w:cs="Arial"/>
          <w:color w:val="000000"/>
        </w:rPr>
        <w:t>plays a critical role in shaping women’s long-run outcomes. Delaying childbirth is associated with higher wages and stronger labor-force attachment, although the magnitude of these gains varies by education and occupation (</w:t>
      </w:r>
      <w:proofErr w:type="spellStart"/>
      <w:r w:rsidRPr="00E76534">
        <w:rPr>
          <w:rFonts w:ascii="Arial" w:hAnsi="Arial" w:cs="Arial"/>
          <w:color w:val="000000"/>
        </w:rPr>
        <w:t>Amuedo</w:t>
      </w:r>
      <w:proofErr w:type="spellEnd"/>
      <w:r w:rsidRPr="00E76534">
        <w:rPr>
          <w:rFonts w:ascii="Arial" w:hAnsi="Arial" w:cs="Arial"/>
          <w:color w:val="000000"/>
        </w:rPr>
        <w:t>-Dorantes and Kimmel, 2005; Buckles, 2008; Landivar, 2020). Reviews conclude that postponement facilitates human-capital accumulation but may reduce completed fertility in the absence of supportive institutions (</w:t>
      </w:r>
      <w:r w:rsidRPr="00180FEC">
        <w:rPr>
          <w:rFonts w:ascii="Arial" w:hAnsi="Arial" w:cs="Arial"/>
          <w:color w:val="000000"/>
          <w:highlight w:val="cyan"/>
        </w:rPr>
        <w:t>Bratti, 20</w:t>
      </w:r>
      <w:r w:rsidR="00180FEC" w:rsidRPr="00180FEC">
        <w:rPr>
          <w:rFonts w:ascii="Arial" w:hAnsi="Arial" w:cs="Arial"/>
          <w:color w:val="000000"/>
          <w:highlight w:val="cyan"/>
        </w:rPr>
        <w:t>23</w:t>
      </w:r>
      <w:r w:rsidRPr="00E76534">
        <w:rPr>
          <w:rFonts w:ascii="Arial" w:hAnsi="Arial" w:cs="Arial"/>
          <w:color w:val="000000"/>
        </w:rPr>
        <w:t>). Life-course and sequence-analytic research further shows that gender inequality accumulates through repeated transitions between full-time work, part-time work, and caregiving, producing durable disparities in earnings and health (</w:t>
      </w:r>
      <w:proofErr w:type="spellStart"/>
      <w:r w:rsidRPr="00E76534">
        <w:rPr>
          <w:rFonts w:ascii="Arial" w:hAnsi="Arial" w:cs="Arial"/>
          <w:color w:val="000000"/>
        </w:rPr>
        <w:t>Machů</w:t>
      </w:r>
      <w:proofErr w:type="spellEnd"/>
      <w:r w:rsidRPr="00E76534">
        <w:rPr>
          <w:rFonts w:ascii="Arial" w:hAnsi="Arial" w:cs="Arial"/>
          <w:color w:val="000000"/>
        </w:rPr>
        <w:t xml:space="preserve"> </w:t>
      </w:r>
      <w:r w:rsidRPr="00E76534">
        <w:rPr>
          <w:rFonts w:ascii="Arial" w:hAnsi="Arial" w:cs="Arial"/>
          <w:i/>
          <w:iCs/>
          <w:color w:val="000000"/>
        </w:rPr>
        <w:t>et al</w:t>
      </w:r>
      <w:r w:rsidRPr="00E76534">
        <w:rPr>
          <w:rFonts w:ascii="Arial" w:hAnsi="Arial" w:cs="Arial"/>
          <w:color w:val="000000"/>
        </w:rPr>
        <w:t>., 2022). This evidence challenges frictionless “two-stage” models of education followed by family formation and highlights the importance of institutional constraints in shaping nonlinear career trajectories.</w:t>
      </w:r>
    </w:p>
    <w:p w14:paraId="4CB50F9F" w14:textId="77777777" w:rsidR="008F7670" w:rsidRPr="00E76534" w:rsidRDefault="008F7670" w:rsidP="008F7670">
      <w:pPr>
        <w:spacing w:before="100" w:beforeAutospacing="1" w:after="100" w:afterAutospacing="1"/>
        <w:contextualSpacing/>
        <w:outlineLvl w:val="0"/>
        <w:rPr>
          <w:rFonts w:ascii="Arial" w:hAnsi="Arial" w:cs="Arial"/>
          <w:color w:val="000000"/>
        </w:rPr>
      </w:pPr>
    </w:p>
    <w:p w14:paraId="3AE6D1AD" w14:textId="50D96AE1" w:rsidR="008F7670" w:rsidRPr="00E76534" w:rsidRDefault="00BF6D4D" w:rsidP="008F7670">
      <w:pPr>
        <w:spacing w:before="100" w:beforeAutospacing="1" w:after="100" w:afterAutospacing="1"/>
        <w:contextualSpacing/>
        <w:outlineLvl w:val="0"/>
        <w:rPr>
          <w:rFonts w:ascii="Arial" w:hAnsi="Arial" w:cs="Arial"/>
          <w:color w:val="000000"/>
        </w:rPr>
      </w:pPr>
      <w:r w:rsidRPr="00E76534">
        <w:rPr>
          <w:rFonts w:ascii="Arial" w:hAnsi="Arial" w:cs="Arial"/>
          <w:color w:val="000000"/>
        </w:rPr>
        <w:t xml:space="preserve">A second strand of research analyzes the macro-structural drivers of fertility postponement. Rising educational attainment explains a substantial share of the increase in age at first birth across advanced economies (Ní </w:t>
      </w:r>
      <w:proofErr w:type="spellStart"/>
      <w:r w:rsidRPr="00E76534">
        <w:rPr>
          <w:rFonts w:ascii="Arial" w:hAnsi="Arial" w:cs="Arial"/>
          <w:color w:val="000000"/>
        </w:rPr>
        <w:t>Bhrolcháin</w:t>
      </w:r>
      <w:proofErr w:type="spellEnd"/>
      <w:r w:rsidRPr="00E76534">
        <w:rPr>
          <w:rFonts w:ascii="Arial" w:hAnsi="Arial" w:cs="Arial"/>
          <w:color w:val="000000"/>
        </w:rPr>
        <w:t xml:space="preserve"> and </w:t>
      </w:r>
      <w:proofErr w:type="spellStart"/>
      <w:r w:rsidRPr="00E76534">
        <w:rPr>
          <w:rFonts w:ascii="Arial" w:hAnsi="Arial" w:cs="Arial"/>
          <w:color w:val="000000"/>
        </w:rPr>
        <w:t>Beaujouan</w:t>
      </w:r>
      <w:proofErr w:type="spellEnd"/>
      <w:r w:rsidRPr="00E76534">
        <w:rPr>
          <w:rFonts w:ascii="Arial" w:hAnsi="Arial" w:cs="Arial"/>
          <w:color w:val="000000"/>
        </w:rPr>
        <w:t>, 2012). Evidence linking employment uncertainty to fertility timing is more mixed, with subjective expectations and institutional context playing key roles (</w:t>
      </w:r>
      <w:proofErr w:type="spellStart"/>
      <w:r w:rsidRPr="00E76534">
        <w:rPr>
          <w:rFonts w:ascii="Arial" w:hAnsi="Arial" w:cs="Arial"/>
          <w:color w:val="000000"/>
        </w:rPr>
        <w:t>Kreyenfeld</w:t>
      </w:r>
      <w:proofErr w:type="spellEnd"/>
      <w:r w:rsidRPr="00E76534">
        <w:rPr>
          <w:rFonts w:ascii="Arial" w:hAnsi="Arial" w:cs="Arial"/>
          <w:color w:val="000000"/>
        </w:rPr>
        <w:t xml:space="preserve"> </w:t>
      </w:r>
      <w:r w:rsidRPr="00E76534">
        <w:rPr>
          <w:rFonts w:ascii="Arial" w:hAnsi="Arial" w:cs="Arial"/>
          <w:i/>
          <w:iCs/>
          <w:color w:val="000000"/>
        </w:rPr>
        <w:t>et al</w:t>
      </w:r>
      <w:r w:rsidRPr="00E76534">
        <w:rPr>
          <w:rFonts w:ascii="Arial" w:hAnsi="Arial" w:cs="Arial"/>
          <w:color w:val="000000"/>
        </w:rPr>
        <w:t>., 2012). Cultural explanations associated with the second demographic transition emphasize changing norms around autonomy and self-realization (Zaidi and Morgan, 2017), though evidence from the United States points to considerable heterogeneity across race and class (</w:t>
      </w:r>
      <w:r w:rsidRPr="006E1241">
        <w:rPr>
          <w:rFonts w:ascii="Arial" w:hAnsi="Arial" w:cs="Arial"/>
          <w:color w:val="000000"/>
          <w:highlight w:val="cyan"/>
        </w:rPr>
        <w:t>Bloome, 20</w:t>
      </w:r>
      <w:r w:rsidR="006E1241" w:rsidRPr="006E1241">
        <w:rPr>
          <w:rFonts w:ascii="Arial" w:hAnsi="Arial" w:cs="Arial"/>
          <w:color w:val="000000"/>
          <w:highlight w:val="cyan"/>
        </w:rPr>
        <w:t>13</w:t>
      </w:r>
      <w:r w:rsidRPr="00E76534">
        <w:rPr>
          <w:rFonts w:ascii="Arial" w:hAnsi="Arial" w:cs="Arial"/>
          <w:color w:val="000000"/>
        </w:rPr>
        <w:t xml:space="preserve">). Recent life-course studies document increasingly diverse adult trajectories—career-centered, family-centered, and mixed—that generate distinct economic and health outcomes (Comolli </w:t>
      </w:r>
      <w:r w:rsidRPr="00E76534">
        <w:rPr>
          <w:rFonts w:ascii="Arial" w:hAnsi="Arial" w:cs="Arial"/>
          <w:i/>
          <w:iCs/>
          <w:color w:val="000000"/>
        </w:rPr>
        <w:t>et al</w:t>
      </w:r>
      <w:r w:rsidRPr="00E76534">
        <w:rPr>
          <w:rFonts w:ascii="Arial" w:hAnsi="Arial" w:cs="Arial"/>
          <w:color w:val="000000"/>
        </w:rPr>
        <w:t>., 2021; Halpern-Manners, 2015). However, much of this literature treats institutions as background conditions rather than as central mechanisms shaping fertility timing.</w:t>
      </w:r>
    </w:p>
    <w:p w14:paraId="41FC5150" w14:textId="77777777" w:rsidR="008F7670" w:rsidRPr="00E76534" w:rsidRDefault="008F7670" w:rsidP="008F7670">
      <w:pPr>
        <w:spacing w:before="100" w:beforeAutospacing="1" w:after="100" w:afterAutospacing="1"/>
        <w:contextualSpacing/>
        <w:outlineLvl w:val="0"/>
        <w:rPr>
          <w:rFonts w:ascii="Arial" w:hAnsi="Arial" w:cs="Arial"/>
          <w:color w:val="000000"/>
        </w:rPr>
      </w:pPr>
    </w:p>
    <w:p w14:paraId="73FF4CE4" w14:textId="77777777" w:rsidR="008F7670" w:rsidRPr="00E76534" w:rsidRDefault="00BF6D4D" w:rsidP="008F7670">
      <w:pPr>
        <w:spacing w:before="100" w:beforeAutospacing="1" w:after="100" w:afterAutospacing="1"/>
        <w:contextualSpacing/>
        <w:outlineLvl w:val="0"/>
        <w:rPr>
          <w:rFonts w:ascii="Arial" w:hAnsi="Arial" w:cs="Arial"/>
          <w:color w:val="000000"/>
        </w:rPr>
      </w:pPr>
      <w:r w:rsidRPr="00E76534">
        <w:rPr>
          <w:rFonts w:ascii="Arial" w:hAnsi="Arial" w:cs="Arial"/>
          <w:color w:val="000000"/>
        </w:rPr>
        <w:t>Recent economic research places institutions at the center of the fertility–career trade-off. Goldin (2021) documents how the structure and timing of career rewards interact with childbirth to generate persistent gender gaps, while Olivetti and Petrongolo (2017) show that family policies condition women’s labor supply and fertility decisions by altering the compatibility of employment and childbearing. Related discussions emphasize the continuing role of ‘presence-based’ reward structures in widening gender gaps after family transitions (Yoshimori &amp; Halbleib, 2026). These institutional effects are reinforced by slow-moving cultural norms. Fernández (2013) models cultural change as an intergenerational learning process, generating persistence and regime dependence in gender roles and family behavior. Together, these studies suggest that fertility timing reflects an equilibrium response to institutional environments rather than purely individual preferences.</w:t>
      </w:r>
    </w:p>
    <w:p w14:paraId="4804C40F" w14:textId="77777777" w:rsidR="008F7670" w:rsidRPr="00E76534" w:rsidRDefault="008F7670" w:rsidP="008F7670">
      <w:pPr>
        <w:spacing w:before="100" w:beforeAutospacing="1" w:after="100" w:afterAutospacing="1"/>
        <w:contextualSpacing/>
        <w:outlineLvl w:val="0"/>
        <w:rPr>
          <w:rFonts w:ascii="Arial" w:hAnsi="Arial" w:cs="Arial"/>
          <w:color w:val="000000"/>
        </w:rPr>
      </w:pPr>
    </w:p>
    <w:p w14:paraId="7203BD19" w14:textId="77777777" w:rsidR="008F7670" w:rsidRPr="00E76534" w:rsidRDefault="00BF6D4D" w:rsidP="008F7670">
      <w:pPr>
        <w:spacing w:before="100" w:beforeAutospacing="1" w:after="100" w:afterAutospacing="1"/>
        <w:contextualSpacing/>
        <w:outlineLvl w:val="0"/>
        <w:rPr>
          <w:rFonts w:ascii="Arial" w:hAnsi="Arial" w:cs="Arial"/>
          <w:color w:val="000000"/>
        </w:rPr>
      </w:pPr>
      <w:r w:rsidRPr="00E76534">
        <w:rPr>
          <w:rFonts w:ascii="Arial" w:hAnsi="Arial" w:cs="Arial"/>
          <w:color w:val="000000"/>
        </w:rPr>
        <w:t>A related literature highlights the economic significance of</w:t>
      </w:r>
      <w:r w:rsidRPr="00E76534">
        <w:rPr>
          <w:rStyle w:val="apple-converted-space"/>
          <w:rFonts w:ascii="Arial" w:eastAsiaTheme="majorEastAsia" w:hAnsi="Arial" w:cs="Arial"/>
          <w:color w:val="000000"/>
        </w:rPr>
        <w:t> </w:t>
      </w:r>
      <w:r w:rsidRPr="00E76534">
        <w:rPr>
          <w:rStyle w:val="Strong"/>
          <w:rFonts w:ascii="Arial" w:eastAsiaTheme="majorEastAsia" w:hAnsi="Arial" w:cs="Arial"/>
          <w:b w:val="0"/>
          <w:bCs w:val="0"/>
          <w:color w:val="000000"/>
        </w:rPr>
        <w:t>early childbearing</w:t>
      </w:r>
      <w:r w:rsidRPr="00E76534">
        <w:rPr>
          <w:rFonts w:ascii="Arial" w:hAnsi="Arial" w:cs="Arial"/>
          <w:color w:val="000000"/>
        </w:rPr>
        <w:t xml:space="preserve">. Fertility has been shown to carry large and lasting economic costs, including reduced educational attainment, weaker labor-market attachment, and lower lifetime earnings (Kearney and Levine, 2012). Political demography research further shows that fertility behavior varies systematically by ideology and religiosity, with conservative and religious groups tending to exhibit earlier family formation and higher completed fertility (Hayford and Morgan, 2008; Schnabel, 2021). Pronatalist discourse—both religious and secular—has re-emerged in response to declining fertility, often framing low birth rates as a civilizational or political crisis </w:t>
      </w:r>
      <w:r w:rsidRPr="00E76534">
        <w:rPr>
          <w:rFonts w:ascii="Arial" w:hAnsi="Arial" w:cs="Arial"/>
          <w:color w:val="000000"/>
        </w:rPr>
        <w:lastRenderedPageBreak/>
        <w:t>(Perry, 2022). Critics emphasize that such narratives frequently overlook structural constraints such as housing costs, childcare availability, and labor-market insecurity (Florida, 2020).</w:t>
      </w:r>
    </w:p>
    <w:p w14:paraId="7E01905F" w14:textId="77777777" w:rsidR="008F7670" w:rsidRPr="00E76534" w:rsidRDefault="008F7670" w:rsidP="008F7670">
      <w:pPr>
        <w:spacing w:before="100" w:beforeAutospacing="1" w:after="100" w:afterAutospacing="1"/>
        <w:contextualSpacing/>
        <w:outlineLvl w:val="0"/>
        <w:rPr>
          <w:rFonts w:ascii="Arial" w:hAnsi="Arial" w:cs="Arial"/>
          <w:color w:val="000000"/>
        </w:rPr>
      </w:pPr>
    </w:p>
    <w:p w14:paraId="22AA1523" w14:textId="4AD8E622" w:rsidR="00BF6D4D" w:rsidRDefault="00BF6D4D" w:rsidP="008F7670">
      <w:pPr>
        <w:spacing w:before="100" w:beforeAutospacing="1" w:after="100" w:afterAutospacing="1"/>
        <w:contextualSpacing/>
        <w:outlineLvl w:val="0"/>
        <w:rPr>
          <w:rFonts w:ascii="Arial" w:hAnsi="Arial" w:cs="Arial"/>
          <w:color w:val="000000"/>
        </w:rPr>
      </w:pPr>
      <w:r w:rsidRPr="00E76534">
        <w:rPr>
          <w:rFonts w:ascii="Arial" w:hAnsi="Arial" w:cs="Arial"/>
          <w:color w:val="000000"/>
        </w:rPr>
        <w:t>Finally, research on gender norms emphasizes that preferences and behaviors are embedded in dense institutional networks that shape economic incentives (</w:t>
      </w:r>
      <w:proofErr w:type="spellStart"/>
      <w:r w:rsidRPr="00E76534">
        <w:rPr>
          <w:rFonts w:ascii="Arial" w:hAnsi="Arial" w:cs="Arial"/>
          <w:color w:val="000000"/>
        </w:rPr>
        <w:t>Alesina</w:t>
      </w:r>
      <w:proofErr w:type="spellEnd"/>
      <w:r w:rsidRPr="00E76534">
        <w:rPr>
          <w:rFonts w:ascii="Arial" w:hAnsi="Arial" w:cs="Arial"/>
          <w:color w:val="000000"/>
        </w:rPr>
        <w:t xml:space="preserve"> </w:t>
      </w:r>
      <w:r w:rsidRPr="00E76534">
        <w:rPr>
          <w:rFonts w:ascii="Arial" w:hAnsi="Arial" w:cs="Arial"/>
          <w:i/>
          <w:iCs/>
          <w:color w:val="000000"/>
        </w:rPr>
        <w:t>et.al.</w:t>
      </w:r>
      <w:r w:rsidRPr="00E76534">
        <w:rPr>
          <w:rFonts w:ascii="Arial" w:hAnsi="Arial" w:cs="Arial"/>
          <w:color w:val="000000"/>
        </w:rPr>
        <w:t xml:space="preserve">, 2013).  Conservative societies exhibit larger child penalties and slower gender convergence (Kleven </w:t>
      </w:r>
      <w:r w:rsidRPr="00E76534">
        <w:rPr>
          <w:rFonts w:ascii="Arial" w:hAnsi="Arial" w:cs="Arial"/>
          <w:i/>
          <w:iCs/>
          <w:color w:val="000000"/>
        </w:rPr>
        <w:t>et al</w:t>
      </w:r>
      <w:r w:rsidRPr="00E76534">
        <w:rPr>
          <w:rFonts w:ascii="Arial" w:hAnsi="Arial" w:cs="Arial"/>
          <w:color w:val="000000"/>
        </w:rPr>
        <w:t>., 2024a), while qualitative studies document ecosystems—family-policy organizations, religious communities, and values-based employers—that promote early childbearing while offering limited support for sustained labor-market attachment (Wilcox and Wolfinger, 2016; Su and Musick, 2024). Political orientations are also transmitted intergenerationally, implying that fertility differentials can generate long-run shifts in population composition and institutional equilibria (</w:t>
      </w:r>
      <w:proofErr w:type="spellStart"/>
      <w:r w:rsidRPr="00E76534">
        <w:rPr>
          <w:rFonts w:ascii="Arial" w:hAnsi="Arial" w:cs="Arial"/>
          <w:color w:val="000000"/>
        </w:rPr>
        <w:t>Bisin</w:t>
      </w:r>
      <w:proofErr w:type="spellEnd"/>
      <w:r w:rsidRPr="00E76534">
        <w:rPr>
          <w:rFonts w:ascii="Arial" w:hAnsi="Arial" w:cs="Arial"/>
          <w:color w:val="000000"/>
        </w:rPr>
        <w:t xml:space="preserve"> and Verdier, 2001; Jennings </w:t>
      </w:r>
      <w:r w:rsidRPr="00E76534">
        <w:rPr>
          <w:rFonts w:ascii="Arial" w:hAnsi="Arial" w:cs="Arial"/>
          <w:i/>
          <w:iCs/>
          <w:color w:val="000000"/>
        </w:rPr>
        <w:t>et al</w:t>
      </w:r>
      <w:r w:rsidRPr="00E76534">
        <w:rPr>
          <w:rFonts w:ascii="Arial" w:hAnsi="Arial" w:cs="Arial"/>
          <w:color w:val="000000"/>
        </w:rPr>
        <w:t>., 2009; Van Ditmars and Bernardi, 2023).</w:t>
      </w:r>
    </w:p>
    <w:p w14:paraId="00ED301B" w14:textId="77777777" w:rsidR="00D25817" w:rsidRDefault="00D25817" w:rsidP="008F7670">
      <w:pPr>
        <w:spacing w:before="100" w:beforeAutospacing="1" w:after="100" w:afterAutospacing="1"/>
        <w:contextualSpacing/>
        <w:outlineLvl w:val="0"/>
        <w:rPr>
          <w:rFonts w:ascii="Arial" w:hAnsi="Arial" w:cs="Arial"/>
          <w:color w:val="000000"/>
        </w:rPr>
      </w:pPr>
    </w:p>
    <w:p w14:paraId="2A057B2D" w14:textId="77777777" w:rsidR="00D25817" w:rsidRPr="00D25817" w:rsidRDefault="00D25817" w:rsidP="00D25817">
      <w:pPr>
        <w:spacing w:before="100" w:beforeAutospacing="1" w:after="100" w:afterAutospacing="1"/>
        <w:contextualSpacing/>
        <w:outlineLvl w:val="0"/>
        <w:rPr>
          <w:rFonts w:ascii="Arial" w:hAnsi="Arial" w:cs="Arial"/>
          <w:b/>
          <w:bCs/>
          <w:color w:val="000000"/>
          <w:sz w:val="22"/>
          <w:szCs w:val="22"/>
          <w:highlight w:val="cyan"/>
        </w:rPr>
      </w:pPr>
      <w:r w:rsidRPr="00D25817">
        <w:rPr>
          <w:rFonts w:ascii="Arial" w:hAnsi="Arial" w:cs="Arial"/>
          <w:b/>
          <w:bCs/>
          <w:color w:val="000000"/>
          <w:sz w:val="22"/>
          <w:szCs w:val="22"/>
          <w:highlight w:val="cyan"/>
        </w:rPr>
        <w:t>1.3 Research Objectives and Hypotheses</w:t>
      </w:r>
    </w:p>
    <w:p w14:paraId="29B28FB1" w14:textId="77777777" w:rsidR="00D25817" w:rsidRPr="00D25817" w:rsidRDefault="00D25817" w:rsidP="00D25817">
      <w:pPr>
        <w:spacing w:before="100" w:beforeAutospacing="1" w:after="100" w:afterAutospacing="1"/>
        <w:contextualSpacing/>
        <w:outlineLvl w:val="0"/>
        <w:rPr>
          <w:rFonts w:ascii="Arial" w:hAnsi="Arial" w:cs="Arial"/>
          <w:b/>
          <w:bCs/>
          <w:color w:val="000000"/>
          <w:sz w:val="22"/>
          <w:szCs w:val="22"/>
          <w:highlight w:val="cyan"/>
        </w:rPr>
      </w:pPr>
    </w:p>
    <w:p w14:paraId="2F532625" w14:textId="77777777" w:rsidR="00D25817" w:rsidRPr="00D25817" w:rsidRDefault="00D25817" w:rsidP="00D25817">
      <w:pPr>
        <w:spacing w:before="100" w:beforeAutospacing="1" w:after="100" w:afterAutospacing="1"/>
        <w:contextualSpacing/>
        <w:outlineLvl w:val="0"/>
        <w:rPr>
          <w:rFonts w:ascii="Arial" w:hAnsi="Arial" w:cs="Arial"/>
          <w:color w:val="000000"/>
          <w:highlight w:val="cyan"/>
        </w:rPr>
      </w:pPr>
      <w:r w:rsidRPr="00D25817">
        <w:rPr>
          <w:rFonts w:ascii="Arial" w:hAnsi="Arial" w:cs="Arial"/>
          <w:color w:val="000000"/>
          <w:highlight w:val="cyan"/>
        </w:rPr>
        <w:t>This study examines whether institutional gender inequality systematically influences fertility timing across countries, particularly the incidence of very early childbearing. Building on the theoretical framework developed above, the paper investigates whether institutional constraints affecting women’s educational attainment, labor-market participation, and reproductive autonomy alter the opportunity cost of early fertility.</w:t>
      </w:r>
    </w:p>
    <w:p w14:paraId="118247F8" w14:textId="77777777" w:rsidR="00D25817" w:rsidRPr="00D25817" w:rsidRDefault="00D25817" w:rsidP="00D25817">
      <w:pPr>
        <w:spacing w:before="100" w:beforeAutospacing="1" w:after="100" w:afterAutospacing="1"/>
        <w:contextualSpacing/>
        <w:outlineLvl w:val="0"/>
        <w:rPr>
          <w:rFonts w:ascii="Arial" w:hAnsi="Arial" w:cs="Arial"/>
          <w:color w:val="000000"/>
          <w:highlight w:val="cyan"/>
        </w:rPr>
      </w:pPr>
    </w:p>
    <w:p w14:paraId="23EB2725" w14:textId="77777777" w:rsidR="00D25817" w:rsidRPr="00D25817" w:rsidRDefault="00D25817" w:rsidP="00D25817">
      <w:pPr>
        <w:spacing w:before="100" w:beforeAutospacing="1" w:after="100" w:afterAutospacing="1"/>
        <w:contextualSpacing/>
        <w:outlineLvl w:val="0"/>
        <w:rPr>
          <w:rFonts w:ascii="Arial" w:hAnsi="Arial" w:cs="Arial"/>
          <w:color w:val="000000"/>
          <w:highlight w:val="cyan"/>
        </w:rPr>
      </w:pPr>
      <w:r w:rsidRPr="00D25817">
        <w:rPr>
          <w:rFonts w:ascii="Arial" w:hAnsi="Arial" w:cs="Arial"/>
          <w:color w:val="000000"/>
          <w:highlight w:val="cyan"/>
        </w:rPr>
        <w:t>The empirical analysis has three main objectives. First, it examines whether higher levels of gender inequality are associated with earlier fertility timing within countries over time. Second, it evaluates whether this relationship is nonlinear and varies across institutional regimes. Third, it investigates whether fertility timing outcomes exhibit persistence consistent with slow-moving institutional and normative environments.</w:t>
      </w:r>
    </w:p>
    <w:p w14:paraId="4C7D3B49" w14:textId="77777777" w:rsidR="00D25817" w:rsidRPr="00D25817" w:rsidRDefault="00D25817" w:rsidP="00D25817">
      <w:pPr>
        <w:spacing w:before="100" w:beforeAutospacing="1" w:after="100" w:afterAutospacing="1"/>
        <w:contextualSpacing/>
        <w:outlineLvl w:val="0"/>
        <w:rPr>
          <w:rFonts w:ascii="Arial" w:hAnsi="Arial" w:cs="Arial"/>
          <w:color w:val="000000"/>
          <w:highlight w:val="cyan"/>
        </w:rPr>
      </w:pPr>
    </w:p>
    <w:p w14:paraId="0F4977C8" w14:textId="77777777" w:rsidR="00D25817" w:rsidRPr="00D25817" w:rsidRDefault="00D25817" w:rsidP="00D25817">
      <w:pPr>
        <w:spacing w:before="100" w:beforeAutospacing="1" w:after="100" w:afterAutospacing="1"/>
        <w:contextualSpacing/>
        <w:outlineLvl w:val="0"/>
        <w:rPr>
          <w:rFonts w:ascii="Arial" w:hAnsi="Arial" w:cs="Arial"/>
          <w:color w:val="000000"/>
          <w:highlight w:val="cyan"/>
        </w:rPr>
      </w:pPr>
      <w:r w:rsidRPr="00D25817">
        <w:rPr>
          <w:rFonts w:ascii="Arial" w:hAnsi="Arial" w:cs="Arial"/>
          <w:color w:val="000000"/>
          <w:highlight w:val="cyan"/>
        </w:rPr>
        <w:t>The analysis tests the following hypotheses:</w:t>
      </w:r>
    </w:p>
    <w:p w14:paraId="01F3B7BA" w14:textId="77777777" w:rsidR="00D25817" w:rsidRPr="00D25817" w:rsidRDefault="00D25817" w:rsidP="00D25817">
      <w:pPr>
        <w:spacing w:before="100" w:beforeAutospacing="1" w:after="100" w:afterAutospacing="1"/>
        <w:contextualSpacing/>
        <w:outlineLvl w:val="0"/>
        <w:rPr>
          <w:rFonts w:ascii="Arial" w:hAnsi="Arial" w:cs="Arial"/>
          <w:color w:val="000000"/>
          <w:highlight w:val="cyan"/>
        </w:rPr>
      </w:pPr>
    </w:p>
    <w:p w14:paraId="1084F61F" w14:textId="77777777" w:rsidR="00D25817" w:rsidRPr="00D25817" w:rsidRDefault="00D25817" w:rsidP="00D25817">
      <w:pPr>
        <w:spacing w:before="100" w:beforeAutospacing="1" w:after="100" w:afterAutospacing="1"/>
        <w:contextualSpacing/>
        <w:outlineLvl w:val="0"/>
        <w:rPr>
          <w:rFonts w:ascii="Arial" w:hAnsi="Arial" w:cs="Arial"/>
          <w:color w:val="000000"/>
          <w:highlight w:val="cyan"/>
        </w:rPr>
      </w:pPr>
      <w:r w:rsidRPr="00D25817">
        <w:rPr>
          <w:rFonts w:ascii="Arial" w:hAnsi="Arial" w:cs="Arial"/>
          <w:color w:val="000000"/>
          <w:highlight w:val="cyan"/>
        </w:rPr>
        <w:t>H1: Higher institutional gender inequality is associated with earlier childbearing.</w:t>
      </w:r>
    </w:p>
    <w:p w14:paraId="57E2BB28" w14:textId="77777777" w:rsidR="00D25817" w:rsidRPr="00D25817" w:rsidRDefault="00D25817" w:rsidP="00D25817">
      <w:pPr>
        <w:spacing w:before="100" w:beforeAutospacing="1" w:after="100" w:afterAutospacing="1"/>
        <w:contextualSpacing/>
        <w:outlineLvl w:val="0"/>
        <w:rPr>
          <w:rFonts w:ascii="Arial" w:hAnsi="Arial" w:cs="Arial"/>
          <w:color w:val="000000"/>
          <w:highlight w:val="cyan"/>
        </w:rPr>
      </w:pPr>
      <w:r w:rsidRPr="00D25817">
        <w:rPr>
          <w:rFonts w:ascii="Arial" w:hAnsi="Arial" w:cs="Arial"/>
          <w:color w:val="000000"/>
          <w:highlight w:val="cyan"/>
        </w:rPr>
        <w:t>H2: The effect of gender inequality on fertility timing is stronger in high-inequality institutional regimes.</w:t>
      </w:r>
    </w:p>
    <w:p w14:paraId="4B318298" w14:textId="7DDC1AA1" w:rsidR="00D25817" w:rsidRPr="00D25817" w:rsidRDefault="00D25817" w:rsidP="008F7670">
      <w:pPr>
        <w:spacing w:before="100" w:beforeAutospacing="1" w:after="100" w:afterAutospacing="1"/>
        <w:contextualSpacing/>
        <w:outlineLvl w:val="0"/>
        <w:rPr>
          <w:rFonts w:ascii="Arial" w:hAnsi="Arial" w:cs="Arial"/>
          <w:color w:val="000000"/>
        </w:rPr>
      </w:pPr>
      <w:r w:rsidRPr="00D25817">
        <w:rPr>
          <w:rFonts w:ascii="Arial" w:hAnsi="Arial" w:cs="Arial"/>
          <w:color w:val="000000"/>
          <w:highlight w:val="cyan"/>
        </w:rPr>
        <w:t>H3: Fertility timing outcomes exhibit persistence over time due to institutional and social path dependence.</w:t>
      </w:r>
    </w:p>
    <w:p w14:paraId="4DE3E719" w14:textId="7534FAE7" w:rsidR="007F7B32" w:rsidRPr="00E76534" w:rsidRDefault="00902823" w:rsidP="00441B6F">
      <w:pPr>
        <w:pStyle w:val="AbstHead"/>
        <w:spacing w:after="0"/>
        <w:jc w:val="both"/>
        <w:rPr>
          <w:rFonts w:ascii="Arial" w:hAnsi="Arial" w:cs="Arial"/>
        </w:rPr>
      </w:pPr>
      <w:r w:rsidRPr="00E76534">
        <w:rPr>
          <w:rFonts w:ascii="Arial" w:hAnsi="Arial" w:cs="Arial"/>
        </w:rPr>
        <w:t xml:space="preserve">2. </w:t>
      </w:r>
      <w:r w:rsidR="006B57D0" w:rsidRPr="00E76534">
        <w:rPr>
          <w:rFonts w:ascii="Arial" w:hAnsi="Arial" w:cs="Arial"/>
        </w:rPr>
        <w:t>methodology</w:t>
      </w:r>
      <w:r w:rsidR="007F7B32" w:rsidRPr="00E76534">
        <w:rPr>
          <w:rFonts w:ascii="Arial" w:hAnsi="Arial" w:cs="Arial"/>
        </w:rPr>
        <w:t xml:space="preserve"> </w:t>
      </w:r>
    </w:p>
    <w:p w14:paraId="3B259501" w14:textId="77777777" w:rsidR="00790ADA" w:rsidRPr="00E76534" w:rsidRDefault="00790ADA" w:rsidP="00441B6F">
      <w:pPr>
        <w:pStyle w:val="AbstHead"/>
        <w:spacing w:after="0"/>
        <w:jc w:val="both"/>
        <w:rPr>
          <w:rFonts w:ascii="Arial" w:hAnsi="Arial" w:cs="Arial"/>
        </w:rPr>
      </w:pPr>
    </w:p>
    <w:p w14:paraId="1EA29554" w14:textId="653DAB48" w:rsidR="00010349" w:rsidRPr="00E76534" w:rsidRDefault="00901FCA" w:rsidP="00010349">
      <w:pPr>
        <w:pStyle w:val="Body"/>
        <w:spacing w:after="0"/>
        <w:rPr>
          <w:rFonts w:ascii="Arial" w:hAnsi="Arial" w:cs="Arial"/>
          <w:b/>
          <w:bCs/>
          <w:sz w:val="22"/>
          <w:szCs w:val="22"/>
        </w:rPr>
      </w:pPr>
      <w:r w:rsidRPr="00E76534">
        <w:rPr>
          <w:rFonts w:ascii="Arial" w:hAnsi="Arial" w:cs="Arial"/>
          <w:b/>
          <w:bCs/>
          <w:sz w:val="22"/>
          <w:szCs w:val="22"/>
        </w:rPr>
        <w:t>2</w:t>
      </w:r>
      <w:r w:rsidR="00010349" w:rsidRPr="00E76534">
        <w:rPr>
          <w:rFonts w:ascii="Arial" w:hAnsi="Arial" w:cs="Arial"/>
          <w:b/>
          <w:bCs/>
          <w:sz w:val="22"/>
          <w:szCs w:val="22"/>
        </w:rPr>
        <w:t xml:space="preserve">.1 Theory </w:t>
      </w:r>
    </w:p>
    <w:p w14:paraId="5E4771A9" w14:textId="77777777" w:rsidR="00010349" w:rsidRPr="00E76534" w:rsidRDefault="00010349" w:rsidP="00010349">
      <w:pPr>
        <w:pStyle w:val="Body"/>
        <w:spacing w:after="0"/>
        <w:rPr>
          <w:rFonts w:ascii="Arial" w:hAnsi="Arial" w:cs="Arial"/>
        </w:rPr>
      </w:pPr>
      <w:r w:rsidRPr="00E76534">
        <w:rPr>
          <w:rFonts w:ascii="Arial" w:hAnsi="Arial" w:cs="Arial"/>
        </w:rPr>
        <w:t>This paper develops a continuous-time life-cycle model in which women jointly choose education, career attachment, and the timing of first birth. The model’s central object is not the average timing of fertility, but the distribution of optimal first-birth ages across women facing heterogeneous institutional environments (Heckman and Walker, 1990; Gustafsson, 2001).</w:t>
      </w:r>
    </w:p>
    <w:p w14:paraId="75E0386F" w14:textId="77777777" w:rsidR="00010349" w:rsidRPr="00E76534" w:rsidRDefault="00010349" w:rsidP="00010349">
      <w:pPr>
        <w:pStyle w:val="Body"/>
        <w:spacing w:after="0"/>
        <w:rPr>
          <w:rFonts w:ascii="Arial" w:hAnsi="Arial" w:cs="Arial"/>
        </w:rPr>
      </w:pPr>
      <w:r w:rsidRPr="00E76534">
        <w:rPr>
          <w:rFonts w:ascii="Arial" w:hAnsi="Arial" w:cs="Arial"/>
        </w:rPr>
        <w:t>In particular, the model is designed to characterize the conditions under which a non-trivial share of women optimally select very early childbearing</w:t>
      </w:r>
      <w:r w:rsidRPr="00E76534">
        <w:rPr>
          <w:rFonts w:ascii="Arial" w:hAnsi="Arial" w:cs="Arial"/>
          <w:b/>
          <w:bCs/>
        </w:rPr>
        <w:t>,</w:t>
      </w:r>
      <w:r w:rsidRPr="00E76534">
        <w:rPr>
          <w:rFonts w:ascii="Arial" w:hAnsi="Arial" w:cs="Arial"/>
        </w:rPr>
        <w:t xml:space="preserve"> corresponding to the left tail of the fertility-timing distribution. This focus allows the theoretical framework to speak directly to empirical measures of early fertility without requiring observation of complete life-cycle fertility histories (Kearney and Levine, 2012; Miller, 2011).</w:t>
      </w:r>
    </w:p>
    <w:p w14:paraId="35E1E493" w14:textId="296BA59C" w:rsidR="00010349" w:rsidRPr="00E76534" w:rsidRDefault="00010349" w:rsidP="00010349">
      <w:pPr>
        <w:pStyle w:val="Body"/>
        <w:spacing w:after="0"/>
        <w:rPr>
          <w:rFonts w:ascii="Arial" w:hAnsi="Arial" w:cs="Arial"/>
        </w:rPr>
      </w:pPr>
      <w:r w:rsidRPr="00E76534">
        <w:rPr>
          <w:rFonts w:ascii="Arial" w:hAnsi="Arial" w:cs="Arial"/>
        </w:rPr>
        <w:t>Time is continuous, and individuals live from age</w:t>
      </w:r>
      <m:oMath>
        <m:limLow>
          <m:limLowPr>
            <m:ctrlPr>
              <w:rPr>
                <w:rFonts w:ascii="Cambria Math" w:hAnsi="Cambria Math" w:cs="Arial"/>
              </w:rPr>
            </m:ctrlPr>
          </m:limLowPr>
          <m:e>
            <m:r>
              <w:rPr>
                <w:rFonts w:ascii="Cambria Math" w:hAnsi="Cambria Math" w:cs="Arial"/>
              </w:rPr>
              <m:t xml:space="preserve"> τ</m:t>
            </m:r>
          </m:e>
          <m:lim>
            <m:r>
              <w:rPr>
                <w:rFonts w:ascii="Cambria Math" w:hAnsi="Cambria Math" w:cs="Arial"/>
              </w:rPr>
              <m:t>‾</m:t>
            </m:r>
          </m:lim>
        </m:limLow>
      </m:oMath>
      <w:r w:rsidRPr="00E76534">
        <w:rPr>
          <w:rFonts w:ascii="Arial" w:hAnsi="Arial" w:cs="Arial"/>
        </w:rPr>
        <w:t> to </w:t>
      </w:r>
      <m:oMath>
        <m:acc>
          <m:accPr>
            <m:chr m:val="ˉ"/>
            <m:ctrlPr>
              <w:rPr>
                <w:rFonts w:ascii="Cambria Math" w:hAnsi="Cambria Math" w:cs="Arial"/>
              </w:rPr>
            </m:ctrlPr>
          </m:accPr>
          <m:e>
            <m:r>
              <w:rPr>
                <w:rFonts w:ascii="Cambria Math" w:hAnsi="Cambria Math" w:cs="Arial"/>
              </w:rPr>
              <m:t>τ</m:t>
            </m:r>
          </m:e>
        </m:acc>
      </m:oMath>
      <w:r w:rsidRPr="00E76534">
        <w:rPr>
          <w:rFonts w:ascii="Arial" w:hAnsi="Arial" w:cs="Arial"/>
        </w:rPr>
        <w:t xml:space="preserve">. A woman chooses (i) years of education </w:t>
      </w:r>
      <m:oMath>
        <m:r>
          <w:rPr>
            <w:rFonts w:ascii="Cambria Math" w:hAnsi="Cambria Math" w:cs="Arial"/>
          </w:rPr>
          <m:t>s≥0</m:t>
        </m:r>
      </m:oMath>
      <w:r w:rsidRPr="00E76534">
        <w:rPr>
          <w:rFonts w:ascii="Arial" w:hAnsi="Arial" w:cs="Arial"/>
        </w:rPr>
        <w:t xml:space="preserve">; (ii) a time path of career attachment </w:t>
      </w:r>
      <m:oMath>
        <m:r>
          <w:rPr>
            <w:rFonts w:ascii="Cambria Math" w:hAnsi="Cambria Math" w:cs="Arial"/>
          </w:rPr>
          <m:t>h(t)∈[0,1]</m:t>
        </m:r>
      </m:oMath>
      <w:r w:rsidRPr="00E76534">
        <w:rPr>
          <w:rFonts w:ascii="Arial" w:hAnsi="Arial" w:cs="Arial"/>
        </w:rPr>
        <w:t xml:space="preserve">, interpreted as labor supply </w:t>
      </w:r>
      <w:r w:rsidRPr="00E76534">
        <w:rPr>
          <w:rFonts w:ascii="Arial" w:hAnsi="Arial" w:cs="Arial"/>
        </w:rPr>
        <w:lastRenderedPageBreak/>
        <w:t xml:space="preserve">or career investment intensity; and (iii) the timing of first birth </w:t>
      </w:r>
      <m:oMath>
        <m:r>
          <w:rPr>
            <w:rFonts w:ascii="Cambria Math" w:hAnsi="Cambria Math" w:cs="Arial"/>
          </w:rPr>
          <m:t>∈[</m:t>
        </m:r>
        <m:limLow>
          <m:limLowPr>
            <m:ctrlPr>
              <w:rPr>
                <w:rFonts w:ascii="Cambria Math" w:hAnsi="Cambria Math" w:cs="Arial"/>
              </w:rPr>
            </m:ctrlPr>
          </m:limLowPr>
          <m:e>
            <m:r>
              <w:rPr>
                <w:rFonts w:ascii="Cambria Math" w:hAnsi="Cambria Math" w:cs="Arial"/>
              </w:rPr>
              <m:t>τ</m:t>
            </m:r>
          </m:e>
          <m:lim>
            <m:r>
              <w:rPr>
                <w:rFonts w:ascii="Cambria Math" w:hAnsi="Cambria Math" w:cs="Arial"/>
              </w:rPr>
              <m:t>‾</m:t>
            </m:r>
          </m:lim>
        </m:limLow>
        <m:r>
          <w:rPr>
            <w:rFonts w:ascii="Cambria Math" w:hAnsi="Cambria Math" w:cs="Arial"/>
          </w:rPr>
          <m:t>,</m:t>
        </m:r>
        <m:acc>
          <m:accPr>
            <m:chr m:val="ˉ"/>
            <m:ctrlPr>
              <w:rPr>
                <w:rFonts w:ascii="Cambria Math" w:hAnsi="Cambria Math" w:cs="Arial"/>
              </w:rPr>
            </m:ctrlPr>
          </m:accPr>
          <m:e>
            <m:r>
              <w:rPr>
                <w:rFonts w:ascii="Cambria Math" w:hAnsi="Cambria Math" w:cs="Arial"/>
              </w:rPr>
              <m:t>τ</m:t>
            </m:r>
          </m:e>
        </m:acc>
        <m:r>
          <w:rPr>
            <w:rFonts w:ascii="Cambria Math" w:hAnsi="Cambria Math" w:cs="Arial"/>
          </w:rPr>
          <m:t>]</m:t>
        </m:r>
      </m:oMath>
      <w:r w:rsidRPr="00E76534">
        <w:rPr>
          <w:rFonts w:ascii="Arial" w:hAnsi="Arial" w:cs="Arial"/>
        </w:rPr>
        <w:t>. Human capital evolves according to</w:t>
      </w:r>
    </w:p>
    <w:p w14:paraId="0755FE81" w14:textId="77777777" w:rsidR="00901FCA" w:rsidRPr="00E76534" w:rsidRDefault="00901FCA" w:rsidP="00010349">
      <w:pPr>
        <w:pStyle w:val="Body"/>
        <w:spacing w:after="0"/>
        <w:rPr>
          <w:rFonts w:ascii="Arial" w:hAnsi="Arial" w:cs="Arial"/>
        </w:rPr>
      </w:pPr>
    </w:p>
    <w:p w14:paraId="360AA49C" w14:textId="1D6BB037" w:rsidR="00010349" w:rsidRPr="00E76534" w:rsidRDefault="00000000" w:rsidP="00010349">
      <w:pPr>
        <w:pStyle w:val="Body"/>
        <w:rPr>
          <w:rFonts w:ascii="Arial" w:hAnsi="Arial" w:cs="Arial"/>
        </w:rPr>
      </w:pPr>
      <m:oMathPara>
        <m:oMath>
          <m:acc>
            <m:accPr>
              <m:chr m:val="̇"/>
              <m:ctrlPr>
                <w:rPr>
                  <w:rFonts w:ascii="Cambria Math" w:hAnsi="Cambria Math" w:cs="Arial"/>
                </w:rPr>
              </m:ctrlPr>
            </m:accPr>
            <m:e>
              <m:r>
                <w:rPr>
                  <w:rFonts w:ascii="Cambria Math" w:hAnsi="Cambria Math" w:cs="Arial"/>
                </w:rPr>
                <m:t>H</m:t>
              </m:r>
            </m:e>
          </m:acc>
          <m:d>
            <m:dPr>
              <m:ctrlPr>
                <w:rPr>
                  <w:rFonts w:ascii="Cambria Math" w:hAnsi="Cambria Math" w:cs="Arial"/>
                  <w:i/>
                </w:rPr>
              </m:ctrlPr>
            </m:dPr>
            <m:e>
              <m:r>
                <w:rPr>
                  <w:rFonts w:ascii="Cambria Math" w:hAnsi="Cambria Math" w:cs="Arial"/>
                </w:rPr>
                <m:t>t</m:t>
              </m:r>
            </m:e>
          </m:d>
          <m:r>
            <w:rPr>
              <w:rFonts w:ascii="Cambria Math" w:hAnsi="Cambria Math" w:cs="Arial"/>
            </w:rPr>
            <m:t>=αh</m:t>
          </m:r>
          <m:d>
            <m:dPr>
              <m:ctrlPr>
                <w:rPr>
                  <w:rFonts w:ascii="Cambria Math" w:hAnsi="Cambria Math" w:cs="Arial"/>
                  <w:i/>
                </w:rPr>
              </m:ctrlPr>
            </m:dPr>
            <m:e>
              <m:r>
                <w:rPr>
                  <w:rFonts w:ascii="Cambria Math" w:hAnsi="Cambria Math" w:cs="Arial"/>
                </w:rPr>
                <m:t>t</m:t>
              </m:r>
            </m:e>
          </m:d>
          <m:r>
            <w:rPr>
              <w:rFonts w:ascii="Cambria Math" w:hAnsi="Cambria Math" w:cs="Arial"/>
            </w:rPr>
            <m:t>-</m:t>
          </m:r>
          <m:r>
            <m:rPr>
              <m:sty m:val="p"/>
            </m:rPr>
            <w:rPr>
              <w:rFonts w:ascii="Cambria Math" w:hAnsi="Cambria Math" w:cs="Arial"/>
            </w:rPr>
            <m:t>Δ</m:t>
          </m:r>
          <m:d>
            <m:dPr>
              <m:ctrlPr>
                <w:rPr>
                  <w:rFonts w:ascii="Cambria Math" w:hAnsi="Cambria Math" w:cs="Arial"/>
                  <w:i/>
                </w:rPr>
              </m:ctrlPr>
            </m:dPr>
            <m:e>
              <m:r>
                <w:rPr>
                  <w:rFonts w:ascii="Cambria Math" w:hAnsi="Cambria Math" w:cs="Arial"/>
                </w:rPr>
                <m:t>τ,t</m:t>
              </m:r>
            </m:e>
          </m:d>
          <m:d>
            <m:dPr>
              <m:begChr m:val="{"/>
              <m:endChr m:val="}"/>
              <m:ctrlPr>
                <w:rPr>
                  <w:rFonts w:ascii="Cambria Math" w:hAnsi="Cambria Math" w:cs="Arial"/>
                  <w:i/>
                </w:rPr>
              </m:ctrlPr>
            </m:dPr>
            <m:e>
              <m:r>
                <w:rPr>
                  <w:rFonts w:ascii="Cambria Math" w:hAnsi="Cambria Math" w:cs="Arial"/>
                </w:rPr>
                <m:t>t≥τ</m:t>
              </m:r>
            </m:e>
          </m:d>
          <m:r>
            <w:rPr>
              <w:rFonts w:ascii="Cambria Math" w:hAnsi="Cambria Math" w:cs="Arial"/>
            </w:rPr>
            <m:t xml:space="preserve">          (1)</m:t>
          </m:r>
          <m:r>
            <m:rPr>
              <m:sty m:val="p"/>
            </m:rPr>
            <w:rPr>
              <w:rFonts w:ascii="Cambria Math" w:hAnsi="Cambria Math" w:cs="Arial"/>
            </w:rPr>
            <w:br/>
          </m:r>
        </m:oMath>
      </m:oMathPara>
    </w:p>
    <w:p w14:paraId="5159B9E8" w14:textId="02EE3A14" w:rsidR="00010349" w:rsidRPr="00E76534" w:rsidRDefault="00010349" w:rsidP="00010349">
      <w:pPr>
        <w:pStyle w:val="Body"/>
        <w:spacing w:after="0"/>
        <w:rPr>
          <w:rFonts w:ascii="Arial" w:hAnsi="Arial" w:cs="Arial"/>
        </w:rPr>
      </w:pPr>
      <w:r w:rsidRPr="00E76534">
        <w:rPr>
          <w:rFonts w:ascii="Arial" w:hAnsi="Arial" w:cs="Arial"/>
        </w:rPr>
        <w:t xml:space="preserve">where </w:t>
      </w:r>
      <m:oMath>
        <m:r>
          <w:rPr>
            <w:rFonts w:ascii="Cambria Math" w:hAnsi="Cambria Math" w:cs="Arial"/>
          </w:rPr>
          <m:t>α&gt;0</m:t>
        </m:r>
      </m:oMath>
      <w:r w:rsidRPr="00E76534">
        <w:rPr>
          <w:rFonts w:ascii="Arial" w:hAnsi="Arial" w:cs="Arial"/>
        </w:rPr>
        <w:t xml:space="preserve">  captures </w:t>
      </w:r>
      <w:proofErr w:type="gramStart"/>
      <w:r w:rsidRPr="00E76534">
        <w:rPr>
          <w:rFonts w:ascii="Arial" w:hAnsi="Arial" w:cs="Arial"/>
        </w:rPr>
        <w:t>returns</w:t>
      </w:r>
      <w:proofErr w:type="gramEnd"/>
      <w:r w:rsidRPr="00E76534">
        <w:rPr>
          <w:rFonts w:ascii="Arial" w:hAnsi="Arial" w:cs="Arial"/>
        </w:rPr>
        <w:t xml:space="preserve"> to career attachment prior to childbirth, and </w:t>
      </w:r>
      <m:oMath>
        <m:r>
          <w:rPr>
            <w:rFonts w:ascii="Cambria Math" w:hAnsi="Cambria Math" w:cs="Arial"/>
          </w:rPr>
          <m:t>∆</m:t>
        </m:r>
        <m:d>
          <m:dPr>
            <m:ctrlPr>
              <w:rPr>
                <w:rFonts w:ascii="Cambria Math" w:hAnsi="Cambria Math" w:cs="Arial"/>
                <w:i/>
              </w:rPr>
            </m:ctrlPr>
          </m:dPr>
          <m:e>
            <m:r>
              <w:rPr>
                <w:rFonts w:ascii="Cambria Math" w:hAnsi="Cambria Math" w:cs="Arial"/>
              </w:rPr>
              <m:t>τ, t</m:t>
            </m:r>
          </m:e>
        </m:d>
      </m:oMath>
      <w:r w:rsidRPr="00E76534">
        <w:rPr>
          <w:rFonts w:ascii="Arial" w:hAnsi="Arial" w:cs="Arial"/>
        </w:rPr>
        <w:t xml:space="preserve"> represents the motherhood penalty following first birth.</w:t>
      </w:r>
    </w:p>
    <w:p w14:paraId="7A3DCCD3" w14:textId="77777777" w:rsidR="00010349" w:rsidRPr="00E76534" w:rsidRDefault="00010349" w:rsidP="00010349">
      <w:pPr>
        <w:pStyle w:val="Body"/>
        <w:spacing w:after="0"/>
        <w:rPr>
          <w:rFonts w:ascii="Arial" w:hAnsi="Arial" w:cs="Arial"/>
        </w:rPr>
      </w:pPr>
      <w:r w:rsidRPr="00E76534">
        <w:rPr>
          <w:rFonts w:ascii="Arial" w:hAnsi="Arial" w:cs="Arial"/>
        </w:rPr>
        <w:t>Wages depend exponentially on accumulated human capital,</w:t>
      </w:r>
    </w:p>
    <w:p w14:paraId="5B2624A7" w14:textId="77777777" w:rsidR="00901FCA" w:rsidRPr="00E76534" w:rsidRDefault="00901FCA" w:rsidP="00010349">
      <w:pPr>
        <w:pStyle w:val="Body"/>
        <w:spacing w:after="0"/>
        <w:rPr>
          <w:rFonts w:ascii="Arial" w:hAnsi="Arial" w:cs="Arial"/>
        </w:rPr>
      </w:pPr>
    </w:p>
    <w:p w14:paraId="2FE7A8CC" w14:textId="1328C42F" w:rsidR="00010349" w:rsidRPr="00E76534" w:rsidRDefault="00010349" w:rsidP="00010349">
      <w:pPr>
        <w:pStyle w:val="Body"/>
        <w:rPr>
          <w:rFonts w:ascii="Arial" w:hAnsi="Arial" w:cs="Arial"/>
        </w:rPr>
      </w:pPr>
      <m:oMathPara>
        <m:oMath>
          <m:r>
            <w:rPr>
              <w:rFonts w:ascii="Cambria Math" w:hAnsi="Cambria Math" w:cs="Arial"/>
            </w:rPr>
            <m:t>w</m:t>
          </m:r>
          <m:d>
            <m:dPr>
              <m:ctrlPr>
                <w:rPr>
                  <w:rFonts w:ascii="Cambria Math" w:hAnsi="Cambria Math" w:cs="Arial"/>
                  <w:i/>
                </w:rPr>
              </m:ctrlPr>
            </m:dPr>
            <m:e>
              <m:r>
                <w:rPr>
                  <w:rFonts w:ascii="Cambria Math" w:hAnsi="Cambria Math" w:cs="Arial"/>
                </w:rPr>
                <m:t>t</m:t>
              </m:r>
            </m:e>
          </m:d>
          <m:r>
            <w:rPr>
              <w:rFonts w:ascii="Cambria Math" w:hAnsi="Cambria Math" w:cs="Arial"/>
            </w:rPr>
            <m:t>=</m:t>
          </m:r>
          <m:sSub>
            <m:sSubPr>
              <m:ctrlPr>
                <w:rPr>
                  <w:rFonts w:ascii="Cambria Math" w:hAnsi="Cambria Math" w:cs="Arial"/>
                </w:rPr>
              </m:ctrlPr>
            </m:sSubPr>
            <m:e>
              <m:r>
                <w:rPr>
                  <w:rFonts w:ascii="Cambria Math" w:hAnsi="Cambria Math" w:cs="Arial"/>
                </w:rPr>
                <m:t>w</m:t>
              </m:r>
            </m:e>
            <m:sub>
              <m:r>
                <w:rPr>
                  <w:rFonts w:ascii="Cambria Math" w:hAnsi="Cambria Math" w:cs="Arial"/>
                </w:rPr>
                <m:t>0</m:t>
              </m:r>
            </m:sub>
          </m:sSub>
          <m:func>
            <m:funcPr>
              <m:ctrlPr>
                <w:rPr>
                  <w:rFonts w:ascii="Cambria Math" w:hAnsi="Cambria Math" w:cs="Arial"/>
                  <w:i/>
                </w:rPr>
              </m:ctrlPr>
            </m:funcPr>
            <m:fName>
              <m:r>
                <m:rPr>
                  <m:sty m:val="p"/>
                </m:rPr>
                <w:rPr>
                  <w:rFonts w:ascii="Cambria Math" w:hAnsi="Cambria Math" w:cs="Arial"/>
                </w:rPr>
                <m:t>exp</m:t>
              </m:r>
            </m:fName>
            <m:e>
              <m:d>
                <m:dPr>
                  <m:ctrlPr>
                    <w:rPr>
                      <w:rFonts w:ascii="Cambria Math" w:hAnsi="Cambria Math" w:cs="Arial"/>
                      <w:i/>
                    </w:rPr>
                  </m:ctrlPr>
                </m:dPr>
                <m:e>
                  <m:r>
                    <w:rPr>
                      <w:rFonts w:ascii="Cambria Math" w:hAnsi="Cambria Math" w:cs="Arial"/>
                    </w:rPr>
                    <m:t>βH</m:t>
                  </m:r>
                  <m:d>
                    <m:dPr>
                      <m:ctrlPr>
                        <w:rPr>
                          <w:rFonts w:ascii="Cambria Math" w:hAnsi="Cambria Math" w:cs="Arial"/>
                          <w:i/>
                        </w:rPr>
                      </m:ctrlPr>
                    </m:dPr>
                    <m:e>
                      <m:r>
                        <w:rPr>
                          <w:rFonts w:ascii="Cambria Math" w:hAnsi="Cambria Math" w:cs="Arial"/>
                        </w:rPr>
                        <m:t>t</m:t>
                      </m:r>
                    </m:e>
                  </m:d>
                </m:e>
              </m:d>
            </m:e>
          </m:func>
          <m:r>
            <w:rPr>
              <w:rFonts w:ascii="Cambria Math" w:hAnsi="Cambria Math" w:cs="Arial"/>
            </w:rPr>
            <m:t xml:space="preserve">          (2)</m:t>
          </m:r>
          <m:r>
            <m:rPr>
              <m:sty m:val="p"/>
            </m:rPr>
            <w:rPr>
              <w:rFonts w:ascii="Cambria Math" w:hAnsi="Cambria Math" w:cs="Arial"/>
            </w:rPr>
            <w:br/>
          </m:r>
        </m:oMath>
      </m:oMathPara>
    </w:p>
    <w:p w14:paraId="65437465" w14:textId="77777777" w:rsidR="00010349" w:rsidRPr="00E76534" w:rsidRDefault="00010349" w:rsidP="00010349">
      <w:pPr>
        <w:pStyle w:val="Body"/>
        <w:spacing w:after="0"/>
        <w:rPr>
          <w:rFonts w:ascii="Arial" w:hAnsi="Arial" w:cs="Arial"/>
        </w:rPr>
      </w:pPr>
      <w:r w:rsidRPr="00E76534">
        <w:rPr>
          <w:rFonts w:ascii="Arial" w:hAnsi="Arial" w:cs="Arial"/>
        </w:rPr>
        <w:t xml:space="preserve">so that forgone accumulation early in life has persistent earnings consequences (Mincer and Polachek, 1974). </w:t>
      </w:r>
    </w:p>
    <w:p w14:paraId="23E0F563" w14:textId="77777777" w:rsidR="00901FCA" w:rsidRPr="00E76534" w:rsidRDefault="00901FCA" w:rsidP="00010349">
      <w:pPr>
        <w:pStyle w:val="Body"/>
        <w:spacing w:after="0"/>
        <w:rPr>
          <w:rFonts w:ascii="Arial" w:hAnsi="Arial" w:cs="Arial"/>
        </w:rPr>
      </w:pPr>
    </w:p>
    <w:p w14:paraId="67D5422C" w14:textId="77777777" w:rsidR="00010349" w:rsidRPr="00E76534" w:rsidRDefault="00010349" w:rsidP="00010349">
      <w:pPr>
        <w:pStyle w:val="Body"/>
        <w:spacing w:after="0"/>
        <w:rPr>
          <w:rFonts w:ascii="Arial" w:hAnsi="Arial" w:cs="Arial"/>
        </w:rPr>
      </w:pPr>
      <w:r w:rsidRPr="00E76534">
        <w:rPr>
          <w:rFonts w:ascii="Arial" w:hAnsi="Arial" w:cs="Arial"/>
        </w:rPr>
        <w:t>Education affects fertility timing through two channels: it raises initial human capital at labor market entry,</w:t>
      </w:r>
    </w:p>
    <w:p w14:paraId="7B587902" w14:textId="4AAA7909" w:rsidR="00010349" w:rsidRPr="00E76534" w:rsidRDefault="00010349" w:rsidP="00010349">
      <w:pPr>
        <w:pStyle w:val="Body"/>
        <w:rPr>
          <w:rFonts w:ascii="Arial" w:hAnsi="Arial" w:cs="Arial"/>
        </w:rPr>
      </w:pPr>
      <m:oMathPara>
        <m:oMath>
          <m:r>
            <w:rPr>
              <w:rFonts w:ascii="Cambria Math" w:hAnsi="Cambria Math" w:cs="Arial"/>
            </w:rPr>
            <m:t>H</m:t>
          </m:r>
          <m:d>
            <m:dPr>
              <m:ctrlPr>
                <w:rPr>
                  <w:rFonts w:ascii="Cambria Math" w:hAnsi="Cambria Math" w:cs="Arial"/>
                  <w:i/>
                </w:rPr>
              </m:ctrlPr>
            </m:dPr>
            <m:e>
              <m:limLow>
                <m:limLowPr>
                  <m:ctrlPr>
                    <w:rPr>
                      <w:rFonts w:ascii="Cambria Math" w:hAnsi="Cambria Math" w:cs="Arial"/>
                    </w:rPr>
                  </m:ctrlPr>
                </m:limLowPr>
                <m:e>
                  <m:r>
                    <w:rPr>
                      <w:rFonts w:ascii="Cambria Math" w:hAnsi="Cambria Math" w:cs="Arial"/>
                    </w:rPr>
                    <m:t>τ</m:t>
                  </m:r>
                </m:e>
                <m:lim>
                  <m:r>
                    <w:rPr>
                      <w:rFonts w:ascii="Cambria Math" w:hAnsi="Cambria Math" w:cs="Arial"/>
                    </w:rPr>
                    <m:t>‾</m:t>
                  </m:r>
                </m:lim>
              </m:limLow>
            </m:e>
          </m:d>
          <m:r>
            <w:rPr>
              <w:rFonts w:ascii="Cambria Math" w:hAnsi="Cambria Math" w:cs="Arial"/>
            </w:rPr>
            <m:t>=</m:t>
          </m:r>
          <m:sSub>
            <m:sSubPr>
              <m:ctrlPr>
                <w:rPr>
                  <w:rFonts w:ascii="Cambria Math" w:hAnsi="Cambria Math" w:cs="Arial"/>
                </w:rPr>
              </m:ctrlPr>
            </m:sSubPr>
            <m:e>
              <m:r>
                <w:rPr>
                  <w:rFonts w:ascii="Cambria Math" w:hAnsi="Cambria Math" w:cs="Arial"/>
                </w:rPr>
                <m:t>H</m:t>
              </m:r>
            </m:e>
            <m:sub>
              <m:r>
                <w:rPr>
                  <w:rFonts w:ascii="Cambria Math" w:hAnsi="Cambria Math" w:cs="Arial"/>
                </w:rPr>
                <m:t>0</m:t>
              </m:r>
            </m:sub>
          </m:sSub>
          <m:r>
            <w:rPr>
              <w:rFonts w:ascii="Cambria Math" w:hAnsi="Cambria Math" w:cs="Arial"/>
            </w:rPr>
            <m:t>+γs          (3)</m:t>
          </m:r>
        </m:oMath>
      </m:oMathPara>
    </w:p>
    <w:p w14:paraId="0C273891" w14:textId="5853078A" w:rsidR="00010349" w:rsidRPr="00E76534" w:rsidRDefault="00010349" w:rsidP="00010349">
      <w:pPr>
        <w:pStyle w:val="Body"/>
        <w:spacing w:after="0"/>
        <w:rPr>
          <w:rFonts w:ascii="Arial" w:hAnsi="Arial" w:cs="Arial"/>
        </w:rPr>
      </w:pPr>
      <w:r w:rsidRPr="00E76534">
        <w:rPr>
          <w:rFonts w:ascii="Arial" w:hAnsi="Arial" w:cs="Arial"/>
        </w:rPr>
        <w:t>and it increases the return to accumulated human capital,  </w:t>
      </w:r>
      <m:oMath>
        <m:r>
          <w:rPr>
            <w:rFonts w:ascii="Cambria Math" w:hAnsi="Cambria Math" w:cs="Arial"/>
          </w:rPr>
          <m:t>β=β(s)</m:t>
        </m:r>
      </m:oMath>
      <w:r w:rsidRPr="00E76534">
        <w:rPr>
          <w:rFonts w:ascii="Arial" w:hAnsi="Arial" w:cs="Arial"/>
        </w:rPr>
        <w:t> with </w:t>
      </w:r>
      <m:oMath>
        <m:sSup>
          <m:sSupPr>
            <m:ctrlPr>
              <w:rPr>
                <w:rFonts w:ascii="Cambria Math" w:hAnsi="Cambria Math" w:cs="Arial"/>
              </w:rPr>
            </m:ctrlPr>
          </m:sSupPr>
          <m:e>
            <m:r>
              <w:rPr>
                <w:rFonts w:ascii="Cambria Math" w:hAnsi="Cambria Math" w:cs="Arial"/>
              </w:rPr>
              <m:t>β</m:t>
            </m:r>
          </m:e>
          <m:sup>
            <m:r>
              <m:rPr>
                <m:sty m:val="p"/>
              </m:rPr>
              <w:rPr>
                <w:rFonts w:ascii="Cambria Math" w:hAnsi="Cambria Math" w:cs="Arial"/>
              </w:rPr>
              <m:t>'</m:t>
            </m:r>
          </m:sup>
        </m:sSup>
        <m:r>
          <w:rPr>
            <w:rFonts w:ascii="Cambria Math" w:hAnsi="Cambria Math" w:cs="Arial"/>
          </w:rPr>
          <m:t>(s)&gt;0</m:t>
        </m:r>
      </m:oMath>
      <w:r w:rsidRPr="00E76534">
        <w:rPr>
          <w:rFonts w:ascii="Arial" w:hAnsi="Arial" w:cs="Arial"/>
        </w:rPr>
        <w:t xml:space="preserve">. Higher education therefore steepens the earnings profile and magnifies the opportunity cost of early career interruption (Ben-Porath, 1967; Heckman </w:t>
      </w:r>
      <w:r w:rsidRPr="00E76534">
        <w:rPr>
          <w:rFonts w:ascii="Arial" w:hAnsi="Arial" w:cs="Arial"/>
          <w:i/>
          <w:iCs/>
        </w:rPr>
        <w:t>et al</w:t>
      </w:r>
      <w:r w:rsidRPr="00E76534">
        <w:rPr>
          <w:rFonts w:ascii="Arial" w:hAnsi="Arial" w:cs="Arial"/>
        </w:rPr>
        <w:t>., 2006).</w:t>
      </w:r>
    </w:p>
    <w:p w14:paraId="0EB59D6A" w14:textId="77777777" w:rsidR="00901FCA" w:rsidRPr="00E76534" w:rsidRDefault="00901FCA" w:rsidP="00010349">
      <w:pPr>
        <w:pStyle w:val="Body"/>
        <w:spacing w:after="0"/>
        <w:rPr>
          <w:rFonts w:ascii="Arial" w:hAnsi="Arial" w:cs="Arial"/>
        </w:rPr>
      </w:pPr>
    </w:p>
    <w:p w14:paraId="57B1C94C" w14:textId="77777777" w:rsidR="00010349" w:rsidRPr="00E76534" w:rsidRDefault="00010349" w:rsidP="00010349">
      <w:pPr>
        <w:pStyle w:val="Body"/>
        <w:spacing w:after="0"/>
        <w:rPr>
          <w:rFonts w:ascii="Arial" w:hAnsi="Arial" w:cs="Arial"/>
        </w:rPr>
      </w:pPr>
      <w:r w:rsidRPr="00E76534">
        <w:rPr>
          <w:rFonts w:ascii="Arial" w:hAnsi="Arial" w:cs="Arial"/>
        </w:rPr>
        <w:t>The motherhood penalty is institutionally mediated and modeled as</w:t>
      </w:r>
    </w:p>
    <w:p w14:paraId="43C8E2C5" w14:textId="77777777" w:rsidR="00901FCA" w:rsidRPr="00E76534" w:rsidRDefault="00901FCA" w:rsidP="00010349">
      <w:pPr>
        <w:pStyle w:val="Body"/>
        <w:spacing w:after="0"/>
        <w:rPr>
          <w:rFonts w:ascii="Arial" w:hAnsi="Arial" w:cs="Arial"/>
        </w:rPr>
      </w:pPr>
    </w:p>
    <w:p w14:paraId="5A845268" w14:textId="28C88D90" w:rsidR="00010349" w:rsidRPr="00E76534" w:rsidRDefault="00010349" w:rsidP="00010349">
      <w:pPr>
        <w:pStyle w:val="Body"/>
        <w:rPr>
          <w:rFonts w:ascii="Arial" w:hAnsi="Arial" w:cs="Arial"/>
        </w:rPr>
      </w:pPr>
      <m:oMathPara>
        <m:oMath>
          <m:r>
            <m:rPr>
              <m:sty m:val="p"/>
            </m:rPr>
            <w:rPr>
              <w:rFonts w:ascii="Cambria Math" w:hAnsi="Cambria Math" w:cs="Arial"/>
            </w:rPr>
            <m:t>Δ</m:t>
          </m:r>
          <m:d>
            <m:dPr>
              <m:ctrlPr>
                <w:rPr>
                  <w:rFonts w:ascii="Cambria Math" w:hAnsi="Cambria Math" w:cs="Arial"/>
                  <w:i/>
                </w:rPr>
              </m:ctrlPr>
            </m:dPr>
            <m:e>
              <m:r>
                <w:rPr>
                  <w:rFonts w:ascii="Cambria Math" w:hAnsi="Cambria Math" w:cs="Arial"/>
                </w:rPr>
                <m:t>τ,t</m:t>
              </m:r>
            </m:e>
          </m:d>
          <m:r>
            <w:rPr>
              <w:rFonts w:ascii="Cambria Math" w:hAnsi="Cambria Math" w:cs="Arial"/>
            </w:rPr>
            <m:t>=</m:t>
          </m:r>
          <m:sSub>
            <m:sSubPr>
              <m:ctrlPr>
                <w:rPr>
                  <w:rFonts w:ascii="Cambria Math" w:hAnsi="Cambria Math" w:cs="Arial"/>
                </w:rPr>
              </m:ctrlPr>
            </m:sSubPr>
            <m:e>
              <m:r>
                <w:rPr>
                  <w:rFonts w:ascii="Cambria Math" w:hAnsi="Cambria Math" w:cs="Arial"/>
                </w:rPr>
                <m:t>ϕ</m:t>
              </m:r>
            </m:e>
            <m:sub>
              <m:r>
                <w:rPr>
                  <w:rFonts w:ascii="Cambria Math" w:hAnsi="Cambria Math" w:cs="Arial"/>
                </w:rPr>
                <m:t>0</m:t>
              </m:r>
            </m:sub>
          </m:sSub>
          <m:d>
            <m:dPr>
              <m:ctrlPr>
                <w:rPr>
                  <w:rFonts w:ascii="Cambria Math" w:hAnsi="Cambria Math" w:cs="Arial"/>
                  <w:i/>
                </w:rPr>
              </m:ctrlPr>
            </m:dPr>
            <m:e>
              <m:r>
                <w:rPr>
                  <w:rFonts w:ascii="Cambria Math" w:hAnsi="Cambria Math" w:cs="Arial"/>
                </w:rPr>
                <m:t>1-P</m:t>
              </m:r>
            </m:e>
          </m:d>
          <m:r>
            <m:rPr>
              <m:nor/>
            </m:rPr>
            <w:rPr>
              <w:rFonts w:ascii="Arial" w:hAnsi="Arial" w:cs="Arial"/>
            </w:rPr>
            <m:t> </m:t>
          </m:r>
          <m:r>
            <m:rPr>
              <m:sty m:val="p"/>
            </m:rPr>
            <w:rPr>
              <w:rFonts w:ascii="Cambria Math" w:hAnsi="Cambria Math" w:cs="Arial"/>
            </w:rPr>
            <m:t>Φ</m:t>
          </m:r>
          <m:d>
            <m:dPr>
              <m:ctrlPr>
                <w:rPr>
                  <w:rFonts w:ascii="Cambria Math" w:hAnsi="Cambria Math" w:cs="Arial"/>
                  <w:i/>
                </w:rPr>
              </m:ctrlPr>
            </m:dPr>
            <m:e>
              <m:r>
                <w:rPr>
                  <w:rFonts w:ascii="Cambria Math" w:hAnsi="Cambria Math" w:cs="Arial"/>
                </w:rPr>
                <m:t>E,</m:t>
              </m:r>
              <m:acc>
                <m:accPr>
                  <m:chr m:val="ˉ"/>
                  <m:ctrlPr>
                    <w:rPr>
                      <w:rFonts w:ascii="Cambria Math" w:hAnsi="Cambria Math" w:cs="Arial"/>
                    </w:rPr>
                  </m:ctrlPr>
                </m:accPr>
                <m:e>
                  <m:r>
                    <w:rPr>
                      <w:rFonts w:ascii="Cambria Math" w:hAnsi="Cambria Math" w:cs="Arial"/>
                    </w:rPr>
                    <m:t>f</m:t>
                  </m:r>
                </m:e>
              </m:acc>
            </m:e>
          </m:d>
          <m:r>
            <m:rPr>
              <m:nor/>
            </m:rPr>
            <w:rPr>
              <w:rFonts w:ascii="Arial" w:hAnsi="Arial" w:cs="Arial"/>
            </w:rPr>
            <m:t> </m:t>
          </m:r>
          <m:r>
            <m:rPr>
              <m:sty m:val="p"/>
            </m:rPr>
            <w:rPr>
              <w:rFonts w:ascii="Cambria Math" w:hAnsi="Cambria Math" w:cs="Arial"/>
            </w:rPr>
            <m:t>Λ</m:t>
          </m:r>
          <m:d>
            <m:dPr>
              <m:ctrlPr>
                <w:rPr>
                  <w:rFonts w:ascii="Cambria Math" w:hAnsi="Cambria Math" w:cs="Arial"/>
                  <w:i/>
                </w:rPr>
              </m:ctrlPr>
            </m:dPr>
            <m:e>
              <m:r>
                <w:rPr>
                  <w:rFonts w:ascii="Cambria Math" w:hAnsi="Cambria Math" w:cs="Arial"/>
                </w:rPr>
                <m:t>s,</m:t>
              </m:r>
              <m:acc>
                <m:accPr>
                  <m:chr m:val="ˉ"/>
                  <m:ctrlPr>
                    <w:rPr>
                      <w:rFonts w:ascii="Cambria Math" w:hAnsi="Cambria Math" w:cs="Arial"/>
                    </w:rPr>
                  </m:ctrlPr>
                </m:accPr>
                <m:e>
                  <m:r>
                    <w:rPr>
                      <w:rFonts w:ascii="Cambria Math" w:hAnsi="Cambria Math" w:cs="Arial"/>
                    </w:rPr>
                    <m:t>h</m:t>
                  </m:r>
                </m:e>
              </m:acc>
            </m:e>
          </m:d>
          <m:r>
            <m:rPr>
              <m:nor/>
            </m:rPr>
            <w:rPr>
              <w:rFonts w:ascii="Arial" w:hAnsi="Arial" w:cs="Arial"/>
            </w:rPr>
            <m:t> </m:t>
          </m:r>
          <m:r>
            <w:rPr>
              <w:rFonts w:ascii="Cambria Math" w:hAnsi="Cambria Math" w:cs="Arial"/>
            </w:rPr>
            <m:t>D</m:t>
          </m:r>
          <m:d>
            <m:dPr>
              <m:ctrlPr>
                <w:rPr>
                  <w:rFonts w:ascii="Cambria Math" w:hAnsi="Cambria Math" w:cs="Arial"/>
                  <w:i/>
                </w:rPr>
              </m:ctrlPr>
            </m:dPr>
            <m:e>
              <m:r>
                <w:rPr>
                  <w:rFonts w:ascii="Cambria Math" w:hAnsi="Cambria Math" w:cs="Arial"/>
                </w:rPr>
                <m:t>τ</m:t>
              </m:r>
            </m:e>
          </m:d>
          <m:r>
            <w:rPr>
              <w:rFonts w:ascii="Cambria Math" w:hAnsi="Cambria Math" w:cs="Arial"/>
            </w:rPr>
            <m:t xml:space="preserve">          (4)</m:t>
          </m:r>
          <m:r>
            <m:rPr>
              <m:sty m:val="p"/>
            </m:rPr>
            <w:rPr>
              <w:rFonts w:ascii="Cambria Math" w:hAnsi="Cambria Math" w:cs="Arial"/>
            </w:rPr>
            <w:br/>
          </m:r>
        </m:oMath>
      </m:oMathPara>
    </w:p>
    <w:p w14:paraId="215A4BE8" w14:textId="5811A63C" w:rsidR="00010349" w:rsidRPr="00E76534" w:rsidRDefault="00010349" w:rsidP="00010349">
      <w:pPr>
        <w:pStyle w:val="Body"/>
        <w:spacing w:after="0"/>
        <w:rPr>
          <w:rFonts w:ascii="Arial" w:hAnsi="Arial" w:cs="Arial"/>
        </w:rPr>
      </w:pPr>
      <w:r w:rsidRPr="00E76534">
        <w:rPr>
          <w:rFonts w:ascii="Arial" w:hAnsi="Arial" w:cs="Arial"/>
        </w:rPr>
        <w:t xml:space="preserve">where </w:t>
      </w:r>
      <m:oMath>
        <m:r>
          <w:rPr>
            <w:rFonts w:ascii="Cambria Math" w:hAnsi="Cambria Math" w:cs="Arial"/>
          </w:rPr>
          <m:t>P∈[0,1]</m:t>
        </m:r>
        <m:r>
          <m:rPr>
            <m:sty m:val="p"/>
          </m:rPr>
          <w:rPr>
            <w:rFonts w:ascii="Cambria Math" w:hAnsi="Cambria Math" w:cs="Arial"/>
          </w:rPr>
          <m:t> </m:t>
        </m:r>
      </m:oMath>
      <w:r w:rsidRPr="00E76534">
        <w:rPr>
          <w:rFonts w:ascii="Arial" w:hAnsi="Arial" w:cs="Arial"/>
        </w:rPr>
        <w:t xml:space="preserve"> indexes family policy generosity, </w:t>
      </w:r>
      <m:oMath>
        <m:r>
          <m:rPr>
            <m:sty m:val="p"/>
          </m:rPr>
          <w:rPr>
            <w:rFonts w:ascii="Cambria Math" w:hAnsi="Cambria Math" w:cs="Arial"/>
          </w:rPr>
          <m:t>Φ</m:t>
        </m:r>
        <m:r>
          <w:rPr>
            <w:rFonts w:ascii="Cambria Math" w:hAnsi="Cambria Math" w:cs="Arial"/>
          </w:rPr>
          <m:t>(E,</m:t>
        </m:r>
        <m:acc>
          <m:accPr>
            <m:chr m:val="ˉ"/>
            <m:ctrlPr>
              <w:rPr>
                <w:rFonts w:ascii="Cambria Math" w:hAnsi="Cambria Math" w:cs="Arial"/>
              </w:rPr>
            </m:ctrlPr>
          </m:accPr>
          <m:e>
            <m:r>
              <w:rPr>
                <w:rFonts w:ascii="Cambria Math" w:hAnsi="Cambria Math" w:cs="Arial"/>
              </w:rPr>
              <m:t>f</m:t>
            </m:r>
          </m:e>
        </m:acc>
        <m:r>
          <w:rPr>
            <w:rFonts w:ascii="Cambria Math" w:hAnsi="Cambria Math" w:cs="Arial"/>
          </w:rPr>
          <m:t>)</m:t>
        </m:r>
      </m:oMath>
      <w:r w:rsidRPr="00E76534">
        <w:rPr>
          <w:rFonts w:ascii="Arial" w:hAnsi="Arial" w:cs="Arial"/>
        </w:rPr>
        <w:t xml:space="preserve">  captures ideological and normative environments, </w:t>
      </w:r>
      <m:oMath>
        <m:r>
          <m:rPr>
            <m:sty m:val="p"/>
          </m:rPr>
          <w:rPr>
            <w:rFonts w:ascii="Cambria Math" w:hAnsi="Cambria Math" w:cs="Arial"/>
          </w:rPr>
          <m:t>Λ</m:t>
        </m:r>
        <m:d>
          <m:dPr>
            <m:ctrlPr>
              <w:rPr>
                <w:rFonts w:ascii="Cambria Math" w:hAnsi="Cambria Math" w:cs="Arial"/>
                <w:i/>
              </w:rPr>
            </m:ctrlPr>
          </m:dPr>
          <m:e>
            <m:r>
              <w:rPr>
                <w:rFonts w:ascii="Cambria Math" w:hAnsi="Cambria Math" w:cs="Arial"/>
              </w:rPr>
              <m:t>s,</m:t>
            </m:r>
            <m:acc>
              <m:accPr>
                <m:chr m:val="ˉ"/>
                <m:ctrlPr>
                  <w:rPr>
                    <w:rFonts w:ascii="Cambria Math" w:hAnsi="Cambria Math" w:cs="Arial"/>
                  </w:rPr>
                </m:ctrlPr>
              </m:accPr>
              <m:e>
                <m:r>
                  <w:rPr>
                    <w:rFonts w:ascii="Cambria Math" w:hAnsi="Cambria Math" w:cs="Arial"/>
                  </w:rPr>
                  <m:t>h</m:t>
                </m:r>
              </m:e>
            </m:acc>
          </m:e>
        </m:d>
      </m:oMath>
      <w:r w:rsidRPr="00E76534">
        <w:rPr>
          <w:rFonts w:ascii="Arial" w:hAnsi="Arial" w:cs="Arial"/>
        </w:rPr>
        <w:t xml:space="preserve"> reflects exposure to career-track penalties, and </w:t>
      </w:r>
      <m:oMath>
        <m:r>
          <w:rPr>
            <w:rFonts w:ascii="Cambria Math" w:hAnsi="Cambria Math" w:cs="Arial"/>
          </w:rPr>
          <m:t>D</m:t>
        </m:r>
        <m:d>
          <m:dPr>
            <m:ctrlPr>
              <w:rPr>
                <w:rFonts w:ascii="Cambria Math" w:hAnsi="Cambria Math" w:cs="Arial"/>
                <w:i/>
              </w:rPr>
            </m:ctrlPr>
          </m:dPr>
          <m:e>
            <m:r>
              <w:rPr>
                <w:rFonts w:ascii="Cambria Math" w:hAnsi="Cambria Math" w:cs="Arial"/>
              </w:rPr>
              <m:t>τ</m:t>
            </m:r>
          </m:e>
        </m:d>
      </m:oMath>
      <w:r w:rsidRPr="00E76534">
        <w:rPr>
          <w:rFonts w:ascii="Arial" w:hAnsi="Arial" w:cs="Arial"/>
        </w:rPr>
        <w:t xml:space="preserve"> governs the timing sensitivity of career interruptions (Akerlof &amp; Kranton, 2005).</w:t>
      </w:r>
    </w:p>
    <w:p w14:paraId="201EBAE1" w14:textId="36912299" w:rsidR="00010349" w:rsidRPr="00E76534" w:rsidRDefault="00010349" w:rsidP="00010349">
      <w:pPr>
        <w:pStyle w:val="Body"/>
        <w:spacing w:after="0"/>
        <w:rPr>
          <w:rFonts w:ascii="Arial" w:hAnsi="Arial" w:cs="Arial"/>
        </w:rPr>
      </w:pPr>
      <w:r w:rsidRPr="00E76534">
        <w:rPr>
          <w:rFonts w:ascii="Arial" w:hAnsi="Arial" w:cs="Arial"/>
        </w:rPr>
        <w:t xml:space="preserve">First birth generates family-related benefits </w:t>
      </w:r>
      <m:oMath>
        <m:r>
          <w:rPr>
            <w:rFonts w:ascii="Cambria Math" w:hAnsi="Cambria Math" w:cs="Arial"/>
          </w:rPr>
          <m:t>B(τ)</m:t>
        </m:r>
      </m:oMath>
      <w:r w:rsidRPr="00E76534">
        <w:rPr>
          <w:rFonts w:ascii="Arial" w:hAnsi="Arial" w:cs="Arial"/>
        </w:rPr>
        <w:t>, which are increasing in the length of the post-birth horizon, while delayed childbearing incurs biological and psychological costs</w:t>
      </w:r>
      <w:r w:rsidRPr="00E76534">
        <w:rPr>
          <w:rFonts w:ascii="Arial" w:hAnsi="Arial" w:cs="Arial"/>
          <w:i/>
        </w:rPr>
        <w:t xml:space="preserve"> </w:t>
      </w:r>
      <m:oMath>
        <m:r>
          <w:rPr>
            <w:rFonts w:ascii="Cambria Math" w:hAnsi="Cambria Math" w:cs="Arial"/>
          </w:rPr>
          <m:t>K(τ</m:t>
        </m:r>
      </m:oMath>
      <w:r w:rsidRPr="00E76534">
        <w:rPr>
          <w:rFonts w:ascii="Arial" w:hAnsi="Arial" w:cs="Arial"/>
        </w:rPr>
        <w:t>). Lifetime utility is given by</w:t>
      </w:r>
    </w:p>
    <w:p w14:paraId="648BEE47" w14:textId="77777777" w:rsidR="00901FCA" w:rsidRPr="00E76534" w:rsidRDefault="00901FCA" w:rsidP="00010349">
      <w:pPr>
        <w:pStyle w:val="Body"/>
        <w:spacing w:after="0"/>
        <w:rPr>
          <w:rFonts w:ascii="Arial" w:hAnsi="Arial" w:cs="Arial"/>
        </w:rPr>
      </w:pPr>
    </w:p>
    <w:p w14:paraId="55F41B09" w14:textId="418F1E82" w:rsidR="00010349" w:rsidRPr="00E76534" w:rsidRDefault="00010349" w:rsidP="00010349">
      <w:pPr>
        <w:pStyle w:val="Body"/>
        <w:rPr>
          <w:rFonts w:ascii="Arial" w:hAnsi="Arial" w:cs="Arial"/>
        </w:rPr>
      </w:pPr>
      <m:oMathPara>
        <m:oMath>
          <m:r>
            <w:rPr>
              <w:rFonts w:ascii="Cambria Math" w:hAnsi="Cambria Math" w:cs="Arial"/>
            </w:rPr>
            <m:t>U=∫u</m:t>
          </m:r>
          <m:d>
            <m:dPr>
              <m:ctrlPr>
                <w:rPr>
                  <w:rFonts w:ascii="Cambria Math" w:hAnsi="Cambria Math" w:cs="Arial"/>
                  <w:i/>
                </w:rPr>
              </m:ctrlPr>
            </m:dPr>
            <m:e>
              <m:r>
                <w:rPr>
                  <w:rFonts w:ascii="Cambria Math" w:hAnsi="Cambria Math" w:cs="Arial"/>
                </w:rPr>
                <m:t>c</m:t>
              </m:r>
              <m:d>
                <m:dPr>
                  <m:ctrlPr>
                    <w:rPr>
                      <w:rFonts w:ascii="Cambria Math" w:hAnsi="Cambria Math" w:cs="Arial"/>
                      <w:i/>
                    </w:rPr>
                  </m:ctrlPr>
                </m:dPr>
                <m:e>
                  <m:r>
                    <w:rPr>
                      <w:rFonts w:ascii="Cambria Math" w:hAnsi="Cambria Math" w:cs="Arial"/>
                    </w:rPr>
                    <m:t>t</m:t>
                  </m:r>
                </m:e>
              </m:d>
            </m:e>
          </m:d>
          <m:sSup>
            <m:sSupPr>
              <m:ctrlPr>
                <w:rPr>
                  <w:rFonts w:ascii="Cambria Math" w:hAnsi="Cambria Math" w:cs="Arial"/>
                </w:rPr>
              </m:ctrlPr>
            </m:sSupPr>
            <m:e>
              <m:r>
                <w:rPr>
                  <w:rFonts w:ascii="Cambria Math" w:hAnsi="Cambria Math" w:cs="Arial"/>
                </w:rPr>
                <m:t>e</m:t>
              </m:r>
            </m:e>
            <m:sup>
              <m:r>
                <w:rPr>
                  <w:rFonts w:ascii="Cambria Math" w:hAnsi="Cambria Math" w:cs="Arial"/>
                </w:rPr>
                <m:t>-ρt</m:t>
              </m:r>
            </m:sup>
          </m:sSup>
          <m:r>
            <w:rPr>
              <w:rFonts w:ascii="Cambria Math" w:hAnsi="Cambria Math" w:cs="Arial"/>
            </w:rPr>
            <m:t>dt+η</m:t>
          </m:r>
          <m:d>
            <m:dPr>
              <m:ctrlPr>
                <w:rPr>
                  <w:rFonts w:ascii="Cambria Math" w:hAnsi="Cambria Math" w:cs="Arial"/>
                  <w:i/>
                </w:rPr>
              </m:ctrlPr>
            </m:dPr>
            <m:e>
              <m:r>
                <w:rPr>
                  <w:rFonts w:ascii="Cambria Math" w:hAnsi="Cambria Math" w:cs="Arial"/>
                </w:rPr>
                <m:t>I,E</m:t>
              </m:r>
            </m:e>
          </m:d>
          <m:d>
            <m:dPr>
              <m:begChr m:val="["/>
              <m:endChr m:val="]"/>
              <m:ctrlPr>
                <w:rPr>
                  <w:rFonts w:ascii="Cambria Math" w:hAnsi="Cambria Math" w:cs="Arial"/>
                  <w:i/>
                </w:rPr>
              </m:ctrlPr>
            </m:dPr>
            <m:e>
              <m:r>
                <w:rPr>
                  <w:rFonts w:ascii="Cambria Math" w:hAnsi="Cambria Math" w:cs="Arial"/>
                </w:rPr>
                <m:t>v</m:t>
              </m:r>
              <m:d>
                <m:dPr>
                  <m:ctrlPr>
                    <w:rPr>
                      <w:rFonts w:ascii="Cambria Math" w:hAnsi="Cambria Math" w:cs="Arial"/>
                      <w:i/>
                    </w:rPr>
                  </m:ctrlPr>
                </m:dPr>
                <m:e>
                  <m:r>
                    <w:rPr>
                      <w:rFonts w:ascii="Cambria Math" w:hAnsi="Cambria Math" w:cs="Arial"/>
                    </w:rPr>
                    <m:t>B</m:t>
                  </m:r>
                  <m:d>
                    <m:dPr>
                      <m:ctrlPr>
                        <w:rPr>
                          <w:rFonts w:ascii="Cambria Math" w:hAnsi="Cambria Math" w:cs="Arial"/>
                          <w:i/>
                        </w:rPr>
                      </m:ctrlPr>
                    </m:dPr>
                    <m:e>
                      <m:r>
                        <w:rPr>
                          <w:rFonts w:ascii="Cambria Math" w:hAnsi="Cambria Math" w:cs="Arial"/>
                        </w:rPr>
                        <m:t>τ</m:t>
                      </m:r>
                    </m:e>
                  </m:d>
                </m:e>
              </m:d>
              <m:r>
                <w:rPr>
                  <w:rFonts w:ascii="Cambria Math" w:hAnsi="Cambria Math" w:cs="Arial"/>
                </w:rPr>
                <m:t>-K</m:t>
              </m:r>
              <m:d>
                <m:dPr>
                  <m:ctrlPr>
                    <w:rPr>
                      <w:rFonts w:ascii="Cambria Math" w:hAnsi="Cambria Math" w:cs="Arial"/>
                      <w:i/>
                    </w:rPr>
                  </m:ctrlPr>
                </m:dPr>
                <m:e>
                  <m:r>
                    <w:rPr>
                      <w:rFonts w:ascii="Cambria Math" w:hAnsi="Cambria Math" w:cs="Arial"/>
                    </w:rPr>
                    <m:t>τ</m:t>
                  </m:r>
                </m:e>
              </m:d>
            </m:e>
          </m:d>
          <m:r>
            <w:rPr>
              <w:rFonts w:ascii="Cambria Math" w:hAnsi="Cambria Math" w:cs="Arial"/>
            </w:rPr>
            <m:t>-χs-∫ξ</m:t>
          </m:r>
          <m:d>
            <m:dPr>
              <m:ctrlPr>
                <w:rPr>
                  <w:rFonts w:ascii="Cambria Math" w:hAnsi="Cambria Math" w:cs="Arial"/>
                  <w:i/>
                </w:rPr>
              </m:ctrlPr>
            </m:dPr>
            <m:e>
              <m:r>
                <w:rPr>
                  <w:rFonts w:ascii="Cambria Math" w:hAnsi="Cambria Math" w:cs="Arial"/>
                </w:rPr>
                <m:t>h</m:t>
              </m:r>
              <m:d>
                <m:dPr>
                  <m:ctrlPr>
                    <w:rPr>
                      <w:rFonts w:ascii="Cambria Math" w:hAnsi="Cambria Math" w:cs="Arial"/>
                      <w:i/>
                    </w:rPr>
                  </m:ctrlPr>
                </m:dPr>
                <m:e>
                  <m:r>
                    <w:rPr>
                      <w:rFonts w:ascii="Cambria Math" w:hAnsi="Cambria Math" w:cs="Arial"/>
                    </w:rPr>
                    <m:t>t</m:t>
                  </m:r>
                </m:e>
              </m:d>
            </m:e>
          </m:d>
          <m:r>
            <w:rPr>
              <w:rFonts w:ascii="Cambria Math" w:hAnsi="Cambria Math" w:cs="Arial"/>
            </w:rPr>
            <m:t>dt          (5)</m:t>
          </m:r>
          <m:r>
            <m:rPr>
              <m:sty m:val="p"/>
            </m:rPr>
            <w:rPr>
              <w:rFonts w:ascii="Cambria Math" w:hAnsi="Cambria Math" w:cs="Arial"/>
            </w:rPr>
            <w:br/>
          </m:r>
        </m:oMath>
      </m:oMathPara>
    </w:p>
    <w:p w14:paraId="10BE052F" w14:textId="0BEFA608" w:rsidR="00010349" w:rsidRPr="00E76534" w:rsidRDefault="00010349" w:rsidP="00010349">
      <w:pPr>
        <w:pStyle w:val="Body"/>
        <w:spacing w:after="0"/>
        <w:rPr>
          <w:rFonts w:ascii="Arial" w:hAnsi="Arial" w:cs="Arial"/>
        </w:rPr>
      </w:pPr>
      <w:r w:rsidRPr="00E76534">
        <w:rPr>
          <w:rFonts w:ascii="Arial" w:hAnsi="Arial" w:cs="Arial"/>
        </w:rPr>
        <w:t xml:space="preserve">Under standard regularity conditions, the optimal timing </w:t>
      </w:r>
      <m:oMath>
        <m:sSup>
          <m:sSupPr>
            <m:ctrlPr>
              <w:rPr>
                <w:rFonts w:ascii="Cambria Math" w:hAnsi="Cambria Math" w:cs="Arial"/>
                <w:i/>
              </w:rPr>
            </m:ctrlPr>
          </m:sSupPr>
          <m:e>
            <m:r>
              <w:rPr>
                <w:rFonts w:ascii="Cambria Math" w:hAnsi="Cambria Math" w:cs="Arial"/>
              </w:rPr>
              <m:t>τ</m:t>
            </m:r>
          </m:e>
          <m:sup>
            <m:r>
              <w:rPr>
                <w:rFonts w:ascii="Cambria Math" w:hAnsi="Cambria Math" w:cs="Arial"/>
              </w:rPr>
              <m:t>*</m:t>
            </m:r>
          </m:sup>
        </m:sSup>
      </m:oMath>
      <w:r w:rsidRPr="00E76534">
        <w:rPr>
          <w:rFonts w:ascii="Arial" w:hAnsi="Arial" w:cs="Arial"/>
        </w:rPr>
        <w:t xml:space="preserve"> satisfies a wedge condition equating the marginal family benefits of earlier childbirth to the marginal human-capital loss induced by motherhood penalties.</w:t>
      </w:r>
    </w:p>
    <w:p w14:paraId="2472A1D1" w14:textId="77777777" w:rsidR="00901FCA" w:rsidRPr="00E76534" w:rsidRDefault="00901FCA" w:rsidP="00010349">
      <w:pPr>
        <w:pStyle w:val="Body"/>
        <w:spacing w:after="0"/>
        <w:rPr>
          <w:rFonts w:ascii="Arial" w:hAnsi="Arial" w:cs="Arial"/>
        </w:rPr>
      </w:pPr>
    </w:p>
    <w:p w14:paraId="64D9988A" w14:textId="63F35D02" w:rsidR="00010349" w:rsidRPr="00E76534" w:rsidRDefault="00010349" w:rsidP="00010349">
      <w:pPr>
        <w:pStyle w:val="Body"/>
        <w:spacing w:after="0"/>
        <w:rPr>
          <w:rFonts w:ascii="Arial" w:hAnsi="Arial" w:cs="Arial"/>
        </w:rPr>
      </w:pPr>
      <w:r w:rsidRPr="00E76534">
        <w:rPr>
          <w:rFonts w:ascii="Arial" w:hAnsi="Arial" w:cs="Arial"/>
        </w:rPr>
        <w:t xml:space="preserve">Crucially, institutional environments differ in the magnitude of this wedge. In high-penalty environments—characterized by binding gender constraints, limited labor-market access, and weak policy protection—the optimal </w:t>
      </w:r>
      <m:oMath>
        <m:sSup>
          <m:sSupPr>
            <m:ctrlPr>
              <w:rPr>
                <w:rFonts w:ascii="Cambria Math" w:hAnsi="Cambria Math" w:cs="Arial"/>
                <w:i/>
              </w:rPr>
            </m:ctrlPr>
          </m:sSupPr>
          <m:e>
            <m:r>
              <w:rPr>
                <w:rFonts w:ascii="Cambria Math" w:hAnsi="Cambria Math" w:cs="Arial"/>
              </w:rPr>
              <m:t>τ</m:t>
            </m:r>
          </m:e>
          <m:sup>
            <m:r>
              <w:rPr>
                <w:rFonts w:ascii="Cambria Math" w:hAnsi="Cambria Math" w:cs="Arial"/>
              </w:rPr>
              <m:t>*</m:t>
            </m:r>
          </m:sup>
        </m:sSup>
      </m:oMath>
      <w:r w:rsidRPr="00E76534">
        <w:rPr>
          <w:rFonts w:ascii="Arial" w:hAnsi="Arial" w:cs="Arial"/>
        </w:rPr>
        <w:t xml:space="preserve">  for a substantial share of women lies near the lower bound</w:t>
      </w:r>
      <m:oMath>
        <m:limLow>
          <m:limLowPr>
            <m:ctrlPr>
              <w:rPr>
                <w:rFonts w:ascii="Cambria Math" w:hAnsi="Cambria Math" w:cs="Arial"/>
              </w:rPr>
            </m:ctrlPr>
          </m:limLowPr>
          <m:e>
            <m:r>
              <w:rPr>
                <w:rFonts w:ascii="Cambria Math" w:hAnsi="Cambria Math" w:cs="Arial"/>
              </w:rPr>
              <m:t xml:space="preserve"> τ</m:t>
            </m:r>
          </m:e>
          <m:lim>
            <m:r>
              <w:rPr>
                <w:rFonts w:ascii="Cambria Math" w:hAnsi="Cambria Math" w:cs="Arial"/>
              </w:rPr>
              <m:t>‾</m:t>
            </m:r>
          </m:lim>
        </m:limLow>
      </m:oMath>
      <w:r w:rsidRPr="00E76534">
        <w:rPr>
          <w:rFonts w:ascii="Arial" w:hAnsi="Arial" w:cs="Arial"/>
        </w:rPr>
        <w:t>. In contrast, in low-penalty environments, first birth is optimally delayed.</w:t>
      </w:r>
    </w:p>
    <w:p w14:paraId="0ABDD661" w14:textId="77777777" w:rsidR="00010349" w:rsidRPr="00E76534" w:rsidRDefault="00010349" w:rsidP="00010349">
      <w:pPr>
        <w:pStyle w:val="Body"/>
        <w:spacing w:after="0"/>
        <w:rPr>
          <w:rFonts w:ascii="Arial" w:hAnsi="Arial" w:cs="Arial"/>
        </w:rPr>
      </w:pPr>
      <w:r w:rsidRPr="00E76534">
        <w:rPr>
          <w:rFonts w:ascii="Arial" w:hAnsi="Arial" w:cs="Arial"/>
        </w:rPr>
        <w:t>The model predicts variation in the mass of women selecting very early fertility</w:t>
      </w:r>
      <w:r w:rsidRPr="00E76534">
        <w:rPr>
          <w:rFonts w:ascii="Arial" w:hAnsi="Arial" w:cs="Arial"/>
          <w:b/>
          <w:bCs/>
        </w:rPr>
        <w:t>,</w:t>
      </w:r>
      <w:r w:rsidRPr="00E76534">
        <w:rPr>
          <w:rFonts w:ascii="Arial" w:hAnsi="Arial" w:cs="Arial"/>
        </w:rPr>
        <w:t xml:space="preserve"> rather than uniform shifts in mean fertility timing. This feature aligns the theory with empirical measures that capture early childbearing outcomes.</w:t>
      </w:r>
    </w:p>
    <w:p w14:paraId="1099E1F9" w14:textId="77777777" w:rsidR="00901FCA" w:rsidRPr="00E76534" w:rsidRDefault="00901FCA" w:rsidP="00010349">
      <w:pPr>
        <w:pStyle w:val="Body"/>
        <w:spacing w:after="0"/>
        <w:rPr>
          <w:rFonts w:ascii="Arial" w:hAnsi="Arial" w:cs="Arial"/>
        </w:rPr>
      </w:pPr>
    </w:p>
    <w:p w14:paraId="2FD5FE76" w14:textId="3D124951" w:rsidR="00010349" w:rsidRPr="00E76534" w:rsidRDefault="00010349" w:rsidP="00010349">
      <w:pPr>
        <w:pStyle w:val="Body"/>
        <w:rPr>
          <w:rFonts w:ascii="Arial" w:hAnsi="Arial" w:cs="Arial"/>
        </w:rPr>
      </w:pPr>
      <w:r w:rsidRPr="00E76534">
        <w:rPr>
          <w:rFonts w:ascii="Arial" w:hAnsi="Arial" w:cs="Arial"/>
        </w:rPr>
        <w:lastRenderedPageBreak/>
        <w:t>First birth generates family-related benefits </w:t>
      </w:r>
      <m:oMath>
        <m:r>
          <w:rPr>
            <w:rFonts w:ascii="Cambria Math" w:hAnsi="Cambria Math" w:cs="Arial"/>
          </w:rPr>
          <m:t>B(τ)</m:t>
        </m:r>
      </m:oMath>
      <w:r w:rsidRPr="00E76534">
        <w:rPr>
          <w:rFonts w:ascii="Arial" w:hAnsi="Arial" w:cs="Arial"/>
        </w:rPr>
        <w:t>, which increase with the length of the post-birth horizon. Let</w:t>
      </w:r>
    </w:p>
    <w:p w14:paraId="3F8FC9B0" w14:textId="5C4D94A3" w:rsidR="00010349" w:rsidRPr="00E76534" w:rsidRDefault="00010349" w:rsidP="00010349">
      <w:pPr>
        <w:pStyle w:val="Body"/>
        <w:rPr>
          <w:rFonts w:ascii="Arial" w:hAnsi="Arial" w:cs="Arial"/>
        </w:rPr>
      </w:pPr>
      <m:oMathPara>
        <m:oMath>
          <m:r>
            <w:rPr>
              <w:rFonts w:ascii="Cambria Math" w:hAnsi="Cambria Math" w:cs="Arial"/>
            </w:rPr>
            <m:t>B</m:t>
          </m:r>
          <m:d>
            <m:dPr>
              <m:ctrlPr>
                <w:rPr>
                  <w:rFonts w:ascii="Cambria Math" w:hAnsi="Cambria Math" w:cs="Arial"/>
                  <w:i/>
                </w:rPr>
              </m:ctrlPr>
            </m:dPr>
            <m:e>
              <m:r>
                <w:rPr>
                  <w:rFonts w:ascii="Cambria Math" w:hAnsi="Cambria Math" w:cs="Arial"/>
                </w:rPr>
                <m:t>τ</m:t>
              </m:r>
            </m:e>
          </m:d>
          <m:r>
            <w:rPr>
              <w:rFonts w:ascii="Cambria Math" w:hAnsi="Cambria Math" w:cs="Arial"/>
            </w:rPr>
            <m:t>=</m:t>
          </m:r>
          <m:sSub>
            <m:sSubPr>
              <m:ctrlPr>
                <w:rPr>
                  <w:rFonts w:ascii="Cambria Math" w:hAnsi="Cambria Math" w:cs="Arial"/>
                </w:rPr>
              </m:ctrlPr>
            </m:sSubPr>
            <m:e>
              <m:r>
                <w:rPr>
                  <w:rFonts w:ascii="Cambria Math" w:hAnsi="Cambria Math" w:cs="Arial"/>
                </w:rPr>
                <m:t>b</m:t>
              </m:r>
            </m:e>
            <m:sub>
              <m:r>
                <w:rPr>
                  <w:rFonts w:ascii="Cambria Math" w:hAnsi="Cambria Math" w:cs="Arial"/>
                </w:rPr>
                <m:t>0</m:t>
              </m:r>
            </m:sub>
          </m:sSub>
          <m:r>
            <w:rPr>
              <w:rFonts w:ascii="Cambria Math" w:hAnsi="Cambria Math" w:cs="Arial"/>
            </w:rPr>
            <m:t>+</m:t>
          </m:r>
          <m:sSub>
            <m:sSubPr>
              <m:ctrlPr>
                <w:rPr>
                  <w:rFonts w:ascii="Cambria Math" w:hAnsi="Cambria Math" w:cs="Arial"/>
                </w:rPr>
              </m:ctrlPr>
            </m:sSubPr>
            <m:e>
              <m:r>
                <w:rPr>
                  <w:rFonts w:ascii="Cambria Math" w:hAnsi="Cambria Math" w:cs="Arial"/>
                </w:rPr>
                <m:t>b</m:t>
              </m:r>
            </m:e>
            <m:sub>
              <m:r>
                <w:rPr>
                  <w:rFonts w:ascii="Cambria Math" w:hAnsi="Cambria Math" w:cs="Arial"/>
                </w:rPr>
                <m:t>1</m:t>
              </m:r>
            </m:sub>
          </m:sSub>
          <m:d>
            <m:dPr>
              <m:ctrlPr>
                <w:rPr>
                  <w:rFonts w:ascii="Cambria Math" w:hAnsi="Cambria Math" w:cs="Arial"/>
                  <w:i/>
                </w:rPr>
              </m:ctrlPr>
            </m:dPr>
            <m:e>
              <m:acc>
                <m:accPr>
                  <m:chr m:val="ˉ"/>
                  <m:ctrlPr>
                    <w:rPr>
                      <w:rFonts w:ascii="Cambria Math" w:hAnsi="Cambria Math" w:cs="Arial"/>
                    </w:rPr>
                  </m:ctrlPr>
                </m:accPr>
                <m:e>
                  <m:r>
                    <w:rPr>
                      <w:rFonts w:ascii="Cambria Math" w:hAnsi="Cambria Math" w:cs="Arial"/>
                    </w:rPr>
                    <m:t>τ</m:t>
                  </m:r>
                </m:e>
              </m:acc>
              <m:r>
                <w:rPr>
                  <w:rFonts w:ascii="Cambria Math" w:hAnsi="Cambria Math" w:cs="Arial"/>
                </w:rPr>
                <m:t>-τ</m:t>
              </m:r>
            </m:e>
          </m:d>
          <m:r>
            <w:rPr>
              <w:rFonts w:ascii="Cambria Math" w:hAnsi="Cambria Math" w:cs="Arial"/>
            </w:rPr>
            <m:t xml:space="preserve">        (6)</m:t>
          </m:r>
          <m:r>
            <m:rPr>
              <m:sty m:val="p"/>
            </m:rPr>
            <w:rPr>
              <w:rFonts w:ascii="Cambria Math" w:hAnsi="Cambria Math" w:cs="Arial"/>
            </w:rPr>
            <w:br/>
          </m:r>
        </m:oMath>
      </m:oMathPara>
    </w:p>
    <w:p w14:paraId="0A393018" w14:textId="77777777" w:rsidR="00010349" w:rsidRPr="00E76534" w:rsidRDefault="00010349" w:rsidP="00010349">
      <w:pPr>
        <w:pStyle w:val="Body"/>
        <w:spacing w:after="0"/>
        <w:rPr>
          <w:rFonts w:ascii="Arial" w:hAnsi="Arial" w:cs="Arial"/>
        </w:rPr>
      </w:pPr>
      <w:r w:rsidRPr="00E76534">
        <w:rPr>
          <w:rFonts w:ascii="Arial" w:hAnsi="Arial" w:cs="Arial"/>
        </w:rPr>
        <w:t>so earlier births increase the duration of family-capital accumulation and intergenerational overlap. Delaying childbirth also entails biological and psychological costs,</w:t>
      </w:r>
    </w:p>
    <w:p w14:paraId="224686A9" w14:textId="77777777" w:rsidR="00901FCA" w:rsidRPr="00E76534" w:rsidRDefault="00901FCA" w:rsidP="00010349">
      <w:pPr>
        <w:pStyle w:val="Body"/>
        <w:spacing w:after="0"/>
        <w:rPr>
          <w:rFonts w:ascii="Arial" w:hAnsi="Arial" w:cs="Arial"/>
        </w:rPr>
      </w:pPr>
    </w:p>
    <w:p w14:paraId="4EF6C350" w14:textId="40305E2B" w:rsidR="00010349" w:rsidRPr="00E76534" w:rsidRDefault="00010349" w:rsidP="00010349">
      <w:pPr>
        <w:pStyle w:val="Body"/>
        <w:rPr>
          <w:rFonts w:ascii="Arial" w:hAnsi="Arial" w:cs="Arial"/>
        </w:rPr>
      </w:pPr>
      <m:oMathPara>
        <m:oMath>
          <m:r>
            <w:rPr>
              <w:rFonts w:ascii="Cambria Math" w:hAnsi="Cambria Math" w:cs="Arial"/>
            </w:rPr>
            <m:t>K</m:t>
          </m:r>
          <m:d>
            <m:dPr>
              <m:ctrlPr>
                <w:rPr>
                  <w:rFonts w:ascii="Cambria Math" w:hAnsi="Cambria Math" w:cs="Arial"/>
                  <w:i/>
                </w:rPr>
              </m:ctrlPr>
            </m:dPr>
            <m:e>
              <m:r>
                <w:rPr>
                  <w:rFonts w:ascii="Cambria Math" w:hAnsi="Cambria Math" w:cs="Arial"/>
                </w:rPr>
                <m:t>τ</m:t>
              </m:r>
            </m:e>
          </m:d>
          <m:r>
            <w:rPr>
              <w:rFonts w:ascii="Cambria Math" w:hAnsi="Cambria Math" w:cs="Arial"/>
            </w:rPr>
            <m:t>=κ</m:t>
          </m:r>
          <m:d>
            <m:dPr>
              <m:ctrlPr>
                <w:rPr>
                  <w:rFonts w:ascii="Cambria Math" w:hAnsi="Cambria Math" w:cs="Arial"/>
                  <w:i/>
                </w:rPr>
              </m:ctrlPr>
            </m:dPr>
            <m:e>
              <m:r>
                <w:rPr>
                  <w:rFonts w:ascii="Cambria Math" w:hAnsi="Cambria Math" w:cs="Arial"/>
                </w:rPr>
                <m:t>E</m:t>
              </m:r>
            </m:e>
          </m:d>
          <m:r>
            <w:rPr>
              <w:rFonts w:ascii="Cambria Math" w:hAnsi="Cambria Math" w:cs="Arial"/>
            </w:rPr>
            <m:t>g</m:t>
          </m:r>
          <m:d>
            <m:dPr>
              <m:ctrlPr>
                <w:rPr>
                  <w:rFonts w:ascii="Cambria Math" w:hAnsi="Cambria Math" w:cs="Arial"/>
                  <w:i/>
                </w:rPr>
              </m:ctrlPr>
            </m:dPr>
            <m:e>
              <m:r>
                <w:rPr>
                  <w:rFonts w:ascii="Cambria Math" w:hAnsi="Cambria Math" w:cs="Arial"/>
                </w:rPr>
                <m:t>τ</m:t>
              </m:r>
            </m:e>
          </m:d>
          <m:r>
            <w:rPr>
              <w:rFonts w:ascii="Cambria Math" w:hAnsi="Cambria Math" w:cs="Arial"/>
            </w:rPr>
            <m:t xml:space="preserve">          (7)</m:t>
          </m:r>
          <m:r>
            <m:rPr>
              <m:sty m:val="p"/>
            </m:rPr>
            <w:rPr>
              <w:rFonts w:ascii="Cambria Math" w:hAnsi="Cambria Math" w:cs="Arial"/>
            </w:rPr>
            <w:br/>
          </m:r>
        </m:oMath>
      </m:oMathPara>
    </w:p>
    <w:p w14:paraId="6BAFAF8C" w14:textId="6567CC9A" w:rsidR="00010349" w:rsidRPr="00E76534" w:rsidRDefault="00010349" w:rsidP="00010349">
      <w:pPr>
        <w:pStyle w:val="Body"/>
        <w:spacing w:after="0"/>
        <w:rPr>
          <w:rFonts w:ascii="Arial" w:hAnsi="Arial" w:cs="Arial"/>
        </w:rPr>
      </w:pPr>
      <w:r w:rsidRPr="00E76534">
        <w:rPr>
          <w:rFonts w:ascii="Arial" w:hAnsi="Arial" w:cs="Arial"/>
        </w:rPr>
        <w:t>where </w:t>
      </w:r>
      <m:oMath>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sup>
        </m:sSup>
        <m:r>
          <w:rPr>
            <w:rFonts w:ascii="Cambria Math" w:hAnsi="Cambria Math" w:cs="Arial"/>
          </w:rPr>
          <m:t>(τ)&gt;0</m:t>
        </m:r>
      </m:oMath>
      <w:r w:rsidRPr="00E76534">
        <w:rPr>
          <w:rFonts w:ascii="Arial" w:hAnsi="Arial" w:cs="Arial"/>
        </w:rPr>
        <w:t> and </w:t>
      </w:r>
      <m:oMath>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sup>
        </m:sSup>
        <m:r>
          <w:rPr>
            <w:rFonts w:ascii="Cambria Math" w:hAnsi="Cambria Math" w:cs="Arial"/>
          </w:rPr>
          <m:t>(τ)≥0</m:t>
        </m:r>
      </m:oMath>
      <w:r w:rsidRPr="00E76534">
        <w:rPr>
          <w:rFonts w:ascii="Arial" w:hAnsi="Arial" w:cs="Arial"/>
        </w:rPr>
        <w:t>. The parameter </w:t>
      </w:r>
      <m:oMath>
        <m:r>
          <w:rPr>
            <w:rFonts w:ascii="Cambria Math" w:hAnsi="Cambria Math" w:cs="Arial"/>
          </w:rPr>
          <m:t>κ(E)</m:t>
        </m:r>
      </m:oMath>
      <w:r w:rsidRPr="00E76534">
        <w:rPr>
          <w:rFonts w:ascii="Arial" w:hAnsi="Arial" w:cs="Arial"/>
        </w:rPr>
        <w:t> captures ideological environments: conservative settings impose higher perceived or socialized costs of delay.</w:t>
      </w:r>
    </w:p>
    <w:p w14:paraId="4DEE85BE" w14:textId="77777777" w:rsidR="00010349" w:rsidRPr="00E76534" w:rsidRDefault="00010349" w:rsidP="00010349">
      <w:pPr>
        <w:pStyle w:val="Body"/>
        <w:spacing w:after="0"/>
        <w:rPr>
          <w:rFonts w:ascii="Arial" w:hAnsi="Arial" w:cs="Arial"/>
        </w:rPr>
      </w:pPr>
      <w:r w:rsidRPr="00E76534">
        <w:rPr>
          <w:rFonts w:ascii="Arial" w:hAnsi="Arial" w:cs="Arial"/>
        </w:rPr>
        <w:t>Lifetime utility is given in reduced form by</w:t>
      </w:r>
    </w:p>
    <w:p w14:paraId="64B933BE" w14:textId="77777777" w:rsidR="00901FCA" w:rsidRPr="00E76534" w:rsidRDefault="00901FCA" w:rsidP="00010349">
      <w:pPr>
        <w:pStyle w:val="Body"/>
        <w:spacing w:after="0"/>
        <w:rPr>
          <w:rFonts w:ascii="Arial" w:hAnsi="Arial" w:cs="Arial"/>
        </w:rPr>
      </w:pPr>
    </w:p>
    <w:p w14:paraId="528DBBD7" w14:textId="1CD211F0" w:rsidR="00010349" w:rsidRPr="00E76534" w:rsidRDefault="00010349" w:rsidP="00010349">
      <w:pPr>
        <w:pStyle w:val="Body"/>
        <w:rPr>
          <w:rFonts w:ascii="Arial" w:hAnsi="Arial" w:cs="Arial"/>
        </w:rPr>
      </w:pPr>
      <m:oMathPara>
        <m:oMath>
          <m:r>
            <w:rPr>
              <w:rFonts w:ascii="Cambria Math" w:hAnsi="Cambria Math" w:cs="Arial"/>
            </w:rPr>
            <m:t>U=∫u</m:t>
          </m:r>
          <m:d>
            <m:dPr>
              <m:ctrlPr>
                <w:rPr>
                  <w:rFonts w:ascii="Cambria Math" w:hAnsi="Cambria Math" w:cs="Arial"/>
                  <w:i/>
                </w:rPr>
              </m:ctrlPr>
            </m:dPr>
            <m:e>
              <m:r>
                <w:rPr>
                  <w:rFonts w:ascii="Cambria Math" w:hAnsi="Cambria Math" w:cs="Arial"/>
                </w:rPr>
                <m:t>c</m:t>
              </m:r>
              <m:d>
                <m:dPr>
                  <m:ctrlPr>
                    <w:rPr>
                      <w:rFonts w:ascii="Cambria Math" w:hAnsi="Cambria Math" w:cs="Arial"/>
                      <w:i/>
                    </w:rPr>
                  </m:ctrlPr>
                </m:dPr>
                <m:e>
                  <m:r>
                    <w:rPr>
                      <w:rFonts w:ascii="Cambria Math" w:hAnsi="Cambria Math" w:cs="Arial"/>
                    </w:rPr>
                    <m:t>t</m:t>
                  </m:r>
                </m:e>
              </m:d>
            </m:e>
          </m:d>
          <m:sSup>
            <m:sSupPr>
              <m:ctrlPr>
                <w:rPr>
                  <w:rFonts w:ascii="Cambria Math" w:hAnsi="Cambria Math" w:cs="Arial"/>
                </w:rPr>
              </m:ctrlPr>
            </m:sSupPr>
            <m:e>
              <m:r>
                <w:rPr>
                  <w:rFonts w:ascii="Cambria Math" w:hAnsi="Cambria Math" w:cs="Arial"/>
                </w:rPr>
                <m:t>e</m:t>
              </m:r>
            </m:e>
            <m:sup>
              <m:r>
                <w:rPr>
                  <w:rFonts w:ascii="Cambria Math" w:hAnsi="Cambria Math" w:cs="Arial"/>
                </w:rPr>
                <m:t>-ρt</m:t>
              </m:r>
            </m:sup>
          </m:sSup>
          <m:r>
            <w:rPr>
              <w:rFonts w:ascii="Cambria Math" w:hAnsi="Cambria Math" w:cs="Arial"/>
            </w:rPr>
            <m:t>dt+η</m:t>
          </m:r>
          <m:d>
            <m:dPr>
              <m:ctrlPr>
                <w:rPr>
                  <w:rFonts w:ascii="Cambria Math" w:hAnsi="Cambria Math" w:cs="Arial"/>
                  <w:i/>
                </w:rPr>
              </m:ctrlPr>
            </m:dPr>
            <m:e>
              <m:r>
                <w:rPr>
                  <w:rFonts w:ascii="Cambria Math" w:hAnsi="Cambria Math" w:cs="Arial"/>
                </w:rPr>
                <m:t>I,E</m:t>
              </m:r>
            </m:e>
          </m:d>
          <m:r>
            <w:rPr>
              <w:rFonts w:ascii="Cambria Math" w:hAnsi="Cambria Math" w:cs="Arial"/>
            </w:rPr>
            <m:t>v</m:t>
          </m:r>
          <m:d>
            <m:dPr>
              <m:ctrlPr>
                <w:rPr>
                  <w:rFonts w:ascii="Cambria Math" w:hAnsi="Cambria Math" w:cs="Arial"/>
                  <w:i/>
                </w:rPr>
              </m:ctrlPr>
            </m:dPr>
            <m:e>
              <m:r>
                <w:rPr>
                  <w:rFonts w:ascii="Cambria Math" w:hAnsi="Cambria Math" w:cs="Arial"/>
                </w:rPr>
                <m:t>B</m:t>
              </m:r>
              <m:d>
                <m:dPr>
                  <m:ctrlPr>
                    <w:rPr>
                      <w:rFonts w:ascii="Cambria Math" w:hAnsi="Cambria Math" w:cs="Arial"/>
                      <w:i/>
                    </w:rPr>
                  </m:ctrlPr>
                </m:dPr>
                <m:e>
                  <m:r>
                    <w:rPr>
                      <w:rFonts w:ascii="Cambria Math" w:hAnsi="Cambria Math" w:cs="Arial"/>
                    </w:rPr>
                    <m:t>τ</m:t>
                  </m:r>
                </m:e>
              </m:d>
            </m:e>
          </m:d>
          <m:r>
            <w:rPr>
              <w:rFonts w:ascii="Cambria Math" w:hAnsi="Cambria Math" w:cs="Arial"/>
            </w:rPr>
            <m:t>-η</m:t>
          </m:r>
          <m:d>
            <m:dPr>
              <m:ctrlPr>
                <w:rPr>
                  <w:rFonts w:ascii="Cambria Math" w:hAnsi="Cambria Math" w:cs="Arial"/>
                  <w:i/>
                </w:rPr>
              </m:ctrlPr>
            </m:dPr>
            <m:e>
              <m:r>
                <w:rPr>
                  <w:rFonts w:ascii="Cambria Math" w:hAnsi="Cambria Math" w:cs="Arial"/>
                </w:rPr>
                <m:t>I,E</m:t>
              </m:r>
            </m:e>
          </m:d>
          <m:r>
            <w:rPr>
              <w:rFonts w:ascii="Cambria Math" w:hAnsi="Cambria Math" w:cs="Arial"/>
            </w:rPr>
            <m:t>K</m:t>
          </m:r>
          <m:d>
            <m:dPr>
              <m:ctrlPr>
                <w:rPr>
                  <w:rFonts w:ascii="Cambria Math" w:hAnsi="Cambria Math" w:cs="Arial"/>
                  <w:i/>
                </w:rPr>
              </m:ctrlPr>
            </m:dPr>
            <m:e>
              <m:r>
                <w:rPr>
                  <w:rFonts w:ascii="Cambria Math" w:hAnsi="Cambria Math" w:cs="Arial"/>
                </w:rPr>
                <m:t>τ</m:t>
              </m:r>
            </m:e>
          </m:d>
          <m:r>
            <w:rPr>
              <w:rFonts w:ascii="Cambria Math" w:hAnsi="Cambria Math" w:cs="Arial"/>
            </w:rPr>
            <m:t>-χs-∫ξ</m:t>
          </m:r>
          <m:d>
            <m:dPr>
              <m:ctrlPr>
                <w:rPr>
                  <w:rFonts w:ascii="Cambria Math" w:hAnsi="Cambria Math" w:cs="Arial"/>
                  <w:i/>
                </w:rPr>
              </m:ctrlPr>
            </m:dPr>
            <m:e>
              <m:r>
                <w:rPr>
                  <w:rFonts w:ascii="Cambria Math" w:hAnsi="Cambria Math" w:cs="Arial"/>
                </w:rPr>
                <m:t>h</m:t>
              </m:r>
              <m:d>
                <m:dPr>
                  <m:ctrlPr>
                    <w:rPr>
                      <w:rFonts w:ascii="Cambria Math" w:hAnsi="Cambria Math" w:cs="Arial"/>
                      <w:i/>
                    </w:rPr>
                  </m:ctrlPr>
                </m:dPr>
                <m:e>
                  <m:r>
                    <w:rPr>
                      <w:rFonts w:ascii="Cambria Math" w:hAnsi="Cambria Math" w:cs="Arial"/>
                    </w:rPr>
                    <m:t>t</m:t>
                  </m:r>
                </m:e>
              </m:d>
            </m:e>
          </m:d>
          <m:r>
            <w:rPr>
              <w:rFonts w:ascii="Cambria Math" w:hAnsi="Cambria Math" w:cs="Arial"/>
            </w:rPr>
            <m:t>dt         (8)</m:t>
          </m:r>
          <m:r>
            <m:rPr>
              <m:sty m:val="p"/>
            </m:rPr>
            <w:rPr>
              <w:rFonts w:ascii="Cambria Math" w:hAnsi="Cambria Math" w:cs="Arial"/>
            </w:rPr>
            <w:br/>
          </m:r>
        </m:oMath>
      </m:oMathPara>
    </w:p>
    <w:p w14:paraId="226BFD93" w14:textId="3FB9FB44" w:rsidR="00010349" w:rsidRPr="00E76534" w:rsidRDefault="00010349" w:rsidP="00010349">
      <w:pPr>
        <w:pStyle w:val="Body"/>
        <w:spacing w:after="0"/>
        <w:rPr>
          <w:rFonts w:ascii="Arial" w:hAnsi="Arial" w:cs="Arial"/>
        </w:rPr>
      </w:pPr>
      <w:r w:rsidRPr="00E76534">
        <w:rPr>
          <w:rFonts w:ascii="Arial" w:hAnsi="Arial" w:cs="Arial"/>
        </w:rPr>
        <w:t>where </w:t>
      </w:r>
      <m:oMath>
        <m:r>
          <w:rPr>
            <w:rFonts w:ascii="Cambria Math" w:hAnsi="Cambria Math" w:cs="Arial"/>
          </w:rPr>
          <m:t>u(⋅)</m:t>
        </m:r>
      </m:oMath>
      <w:r w:rsidRPr="00E76534">
        <w:rPr>
          <w:rFonts w:ascii="Arial" w:hAnsi="Arial" w:cs="Arial"/>
        </w:rPr>
        <w:t> is instantaneous utility from consumption, </w:t>
      </w:r>
      <m:oMath>
        <m:r>
          <w:rPr>
            <w:rFonts w:ascii="Cambria Math" w:hAnsi="Cambria Math" w:cs="Arial"/>
          </w:rPr>
          <m:t>ξ(⋅)</m:t>
        </m:r>
      </m:oMath>
      <w:r w:rsidRPr="00E76534">
        <w:rPr>
          <w:rFonts w:ascii="Arial" w:hAnsi="Arial" w:cs="Arial"/>
        </w:rPr>
        <w:t> captures the disutility of career attachment, and </w:t>
      </w:r>
      <m:oMath>
        <m:r>
          <w:rPr>
            <w:rFonts w:ascii="Cambria Math" w:hAnsi="Cambria Math" w:cs="Arial"/>
          </w:rPr>
          <m:t>η(I,E)</m:t>
        </m:r>
      </m:oMath>
      <w:r w:rsidRPr="00E76534">
        <w:rPr>
          <w:rFonts w:ascii="Arial" w:hAnsi="Arial" w:cs="Arial"/>
        </w:rPr>
        <w:t> weights family-related utility relative to consumption, depending on institutions and identity-linked norms (Akerlof &amp; Kranton, 2010).</w:t>
      </w:r>
    </w:p>
    <w:p w14:paraId="23EBBB68" w14:textId="77777777" w:rsidR="00010349" w:rsidRPr="00E76534" w:rsidRDefault="00010349" w:rsidP="00010349">
      <w:pPr>
        <w:pStyle w:val="Body"/>
        <w:spacing w:after="0"/>
        <w:rPr>
          <w:rFonts w:ascii="Arial" w:hAnsi="Arial" w:cs="Arial"/>
        </w:rPr>
      </w:pPr>
      <w:r w:rsidRPr="00E76534">
        <w:rPr>
          <w:rFonts w:ascii="Arial" w:hAnsi="Arial" w:cs="Arial"/>
        </w:rPr>
        <w:t>Under standard regularity conditions, the optimal timing of first birth satisfies a wedge condition equating the marginal family benefits of earlier childbirth to the marginal human-capital loss induced by motherhood penalties:</w:t>
      </w:r>
    </w:p>
    <w:p w14:paraId="1F115FEB" w14:textId="77777777" w:rsidR="00901FCA" w:rsidRPr="00E76534" w:rsidRDefault="00901FCA" w:rsidP="00010349">
      <w:pPr>
        <w:pStyle w:val="Body"/>
        <w:spacing w:after="0"/>
        <w:rPr>
          <w:rFonts w:ascii="Arial" w:hAnsi="Arial" w:cs="Arial"/>
        </w:rPr>
      </w:pPr>
    </w:p>
    <w:p w14:paraId="258157CE" w14:textId="744E42D9" w:rsidR="00010349" w:rsidRPr="00E76534" w:rsidRDefault="00010349" w:rsidP="00010349">
      <w:pPr>
        <w:pStyle w:val="Body"/>
        <w:rPr>
          <w:rFonts w:ascii="Arial" w:hAnsi="Arial" w:cs="Arial"/>
        </w:rPr>
      </w:pPr>
      <m:oMathPara>
        <m:oMath>
          <m:r>
            <w:rPr>
              <w:rFonts w:ascii="Cambria Math" w:hAnsi="Cambria Math" w:cs="Arial"/>
            </w:rPr>
            <m:t>η(I,E)</m:t>
          </m:r>
          <m:d>
            <m:dPr>
              <m:begChr m:val="["/>
              <m:endChr m:val="]"/>
              <m:ctrlPr>
                <w:rPr>
                  <w:rFonts w:ascii="Cambria Math" w:hAnsi="Cambria Math" w:cs="Arial"/>
                </w:rPr>
              </m:ctrlPr>
            </m:dPr>
            <m:e>
              <m:sSup>
                <m:sSupPr>
                  <m:ctrlPr>
                    <w:rPr>
                      <w:rFonts w:ascii="Cambria Math" w:hAnsi="Cambria Math" w:cs="Arial"/>
                    </w:rPr>
                  </m:ctrlPr>
                </m:sSupPr>
                <m:e>
                  <m:r>
                    <w:rPr>
                      <w:rFonts w:ascii="Cambria Math" w:hAnsi="Cambria Math" w:cs="Arial"/>
                    </w:rPr>
                    <m:t>v</m:t>
                  </m:r>
                </m:e>
                <m:sup>
                  <m:r>
                    <m:rPr>
                      <m:sty m:val="p"/>
                    </m:rPr>
                    <w:rPr>
                      <w:rFonts w:ascii="Cambria Math" w:hAnsi="Cambria Math" w:cs="Arial"/>
                    </w:rPr>
                    <m:t>'</m:t>
                  </m:r>
                </m:sup>
              </m:sSup>
              <m:r>
                <w:rPr>
                  <w:rFonts w:ascii="Cambria Math" w:hAnsi="Cambria Math" w:cs="Arial"/>
                </w:rPr>
                <m:t>(B(τ))</m:t>
              </m:r>
              <m:sSup>
                <m:sSupPr>
                  <m:ctrlPr>
                    <w:rPr>
                      <w:rFonts w:ascii="Cambria Math" w:hAnsi="Cambria Math" w:cs="Arial"/>
                    </w:rPr>
                  </m:ctrlPr>
                </m:sSupPr>
                <m:e>
                  <m:r>
                    <w:rPr>
                      <w:rFonts w:ascii="Cambria Math" w:hAnsi="Cambria Math" w:cs="Arial"/>
                    </w:rPr>
                    <m:t>B</m:t>
                  </m:r>
                </m:e>
                <m:sup>
                  <m:r>
                    <m:rPr>
                      <m:sty m:val="p"/>
                    </m:rPr>
                    <w:rPr>
                      <w:rFonts w:ascii="Cambria Math" w:hAnsi="Cambria Math" w:cs="Arial"/>
                    </w:rPr>
                    <m:t>'</m:t>
                  </m:r>
                </m:sup>
              </m:sSup>
              <m:r>
                <w:rPr>
                  <w:rFonts w:ascii="Cambria Math" w:hAnsi="Cambria Math" w:cs="Arial"/>
                </w:rPr>
                <m:t>(τ)-</m:t>
              </m:r>
              <m:sSup>
                <m:sSupPr>
                  <m:ctrlPr>
                    <w:rPr>
                      <w:rFonts w:ascii="Cambria Math" w:hAnsi="Cambria Math" w:cs="Arial"/>
                    </w:rPr>
                  </m:ctrlPr>
                </m:sSupPr>
                <m:e>
                  <m:r>
                    <w:rPr>
                      <w:rFonts w:ascii="Cambria Math" w:hAnsi="Cambria Math" w:cs="Arial"/>
                    </w:rPr>
                    <m:t>K</m:t>
                  </m:r>
                </m:e>
                <m:sup>
                  <m:r>
                    <m:rPr>
                      <m:sty m:val="p"/>
                    </m:rPr>
                    <w:rPr>
                      <w:rFonts w:ascii="Cambria Math" w:hAnsi="Cambria Math" w:cs="Arial"/>
                    </w:rPr>
                    <m:t>'</m:t>
                  </m:r>
                </m:sup>
              </m:sSup>
              <m:r>
                <w:rPr>
                  <w:rFonts w:ascii="Cambria Math" w:hAnsi="Cambria Math" w:cs="Arial"/>
                </w:rPr>
                <m:t>(τ)</m:t>
              </m:r>
            </m:e>
          </m:d>
          <m:r>
            <w:rPr>
              <w:rFonts w:ascii="Cambria Math" w:hAnsi="Cambria Math" w:cs="Arial"/>
            </w:rPr>
            <m:t>=</m:t>
          </m:r>
          <m:r>
            <m:rPr>
              <m:nor/>
            </m:rPr>
            <w:rPr>
              <w:rFonts w:ascii="Arial" w:hAnsi="Arial" w:cs="Arial"/>
            </w:rPr>
            <m:t>marginal career and earnings loss from earlier birth</m:t>
          </m:r>
          <m:r>
            <w:rPr>
              <w:rFonts w:ascii="Cambria Math" w:hAnsi="Cambria Math" w:cs="Arial"/>
            </w:rPr>
            <m:t>,</m:t>
          </m:r>
          <m:r>
            <m:rPr>
              <m:sty m:val="p"/>
            </m:rPr>
            <w:rPr>
              <w:rFonts w:ascii="Cambria Math" w:hAnsi="Cambria Math" w:cs="Arial"/>
            </w:rPr>
            <w:br/>
          </m:r>
        </m:oMath>
      </m:oMathPara>
    </w:p>
    <w:p w14:paraId="6E123733" w14:textId="63687B0E" w:rsidR="00010349" w:rsidRPr="00E76534" w:rsidRDefault="00010349" w:rsidP="00010349">
      <w:pPr>
        <w:pStyle w:val="Body"/>
        <w:spacing w:after="0"/>
        <w:rPr>
          <w:rFonts w:ascii="Arial" w:hAnsi="Arial" w:cs="Arial"/>
        </w:rPr>
      </w:pPr>
      <w:r w:rsidRPr="00E76534">
        <w:rPr>
          <w:rFonts w:ascii="Arial" w:hAnsi="Arial" w:cs="Arial"/>
        </w:rPr>
        <w:t>The right-hand side is proportional to the present discounted value of </w:t>
      </w:r>
      <m:oMath>
        <m:r>
          <m:rPr>
            <m:sty m:val="p"/>
          </m:rPr>
          <w:rPr>
            <w:rFonts w:ascii="Cambria Math" w:hAnsi="Cambria Math" w:cs="Arial"/>
          </w:rPr>
          <m:t>Δ</m:t>
        </m:r>
        <m:r>
          <w:rPr>
            <w:rFonts w:ascii="Cambria Math" w:hAnsi="Cambria Math" w:cs="Arial"/>
          </w:rPr>
          <m:t>(τ,t)</m:t>
        </m:r>
      </m:oMath>
      <w:r w:rsidRPr="00E76534">
        <w:rPr>
          <w:rFonts w:ascii="Arial" w:hAnsi="Arial" w:cs="Arial"/>
        </w:rPr>
        <w:t>. Fertility timing is therefore jointly determined by education, career attachment, family policy, and ideological norms through their effects on the opportunity cost of motherhood.</w:t>
      </w:r>
    </w:p>
    <w:p w14:paraId="7CD79642" w14:textId="77777777" w:rsidR="003D0019" w:rsidRPr="00E76534" w:rsidRDefault="003D0019" w:rsidP="00010349">
      <w:pPr>
        <w:pStyle w:val="Body"/>
        <w:spacing w:after="0"/>
        <w:rPr>
          <w:rFonts w:ascii="Arial" w:hAnsi="Arial" w:cs="Arial"/>
        </w:rPr>
      </w:pPr>
    </w:p>
    <w:p w14:paraId="4BDC96AA" w14:textId="2F8ECC00" w:rsidR="00010349" w:rsidRPr="00E76534" w:rsidRDefault="00010349" w:rsidP="00010349">
      <w:pPr>
        <w:pStyle w:val="Body"/>
        <w:spacing w:after="0"/>
        <w:rPr>
          <w:rFonts w:ascii="Arial" w:hAnsi="Arial" w:cs="Arial"/>
        </w:rPr>
      </w:pPr>
      <w:r w:rsidRPr="00E76534">
        <w:rPr>
          <w:rFonts w:ascii="Arial" w:hAnsi="Arial" w:cs="Arial"/>
        </w:rPr>
        <w:t>Crucially, institutional environments differ in the magnitude of this wedge. In high-penalty environments—characterized by binding gender constraints, limited labor-market access, and weak policy protection—the optimal </w:t>
      </w:r>
      <m:oMath>
        <m:sSup>
          <m:sSupPr>
            <m:ctrlPr>
              <w:rPr>
                <w:rFonts w:ascii="Cambria Math" w:hAnsi="Cambria Math" w:cs="Arial"/>
              </w:rPr>
            </m:ctrlPr>
          </m:sSupPr>
          <m:e>
            <m:r>
              <w:rPr>
                <w:rFonts w:ascii="Cambria Math" w:hAnsi="Cambria Math" w:cs="Arial"/>
              </w:rPr>
              <m:t>τ</m:t>
            </m:r>
          </m:e>
          <m:sup>
            <m:r>
              <w:rPr>
                <w:rFonts w:ascii="Cambria Math" w:hAnsi="Cambria Math" w:cs="Arial"/>
              </w:rPr>
              <m:t>*</m:t>
            </m:r>
          </m:sup>
        </m:sSup>
      </m:oMath>
      <w:r w:rsidRPr="00E76534">
        <w:rPr>
          <w:rFonts w:ascii="Arial" w:hAnsi="Arial" w:cs="Arial"/>
        </w:rPr>
        <w:t xml:space="preserve"> for a substantial share of women lies near the lower bound </w:t>
      </w:r>
      <m:oMath>
        <m:acc>
          <m:accPr>
            <m:chr m:val="ˉ"/>
            <m:ctrlPr>
              <w:rPr>
                <w:rFonts w:ascii="Cambria Math" w:hAnsi="Cambria Math" w:cs="Arial"/>
              </w:rPr>
            </m:ctrlPr>
          </m:accPr>
          <m:e>
            <m:r>
              <w:rPr>
                <w:rFonts w:ascii="Cambria Math" w:hAnsi="Cambria Math" w:cs="Arial"/>
              </w:rPr>
              <m:t>τ</m:t>
            </m:r>
          </m:e>
        </m:acc>
      </m:oMath>
      <w:r w:rsidRPr="00E76534">
        <w:rPr>
          <w:rFonts w:ascii="Arial" w:hAnsi="Arial" w:cs="Arial"/>
        </w:rPr>
        <w:t>. In contrast, low-penalty environments encourage delayed first birth. The model therefore predicts variation in the mass of women selecting very early fertility, rather than uniform shifts in mean fertility timing, aligning the framework with empirical measures of early childbearing outcomes.</w:t>
      </w:r>
    </w:p>
    <w:p w14:paraId="5DB0262D" w14:textId="544922B6" w:rsidR="003D0019" w:rsidRPr="00E76534" w:rsidRDefault="003D0019" w:rsidP="00010349">
      <w:pPr>
        <w:pStyle w:val="Body"/>
        <w:spacing w:after="0"/>
        <w:rPr>
          <w:rFonts w:ascii="Arial" w:hAnsi="Arial" w:cs="Arial"/>
        </w:rPr>
      </w:pPr>
    </w:p>
    <w:p w14:paraId="688CCA40" w14:textId="30195F35" w:rsidR="00010349" w:rsidRPr="00E76534" w:rsidRDefault="00010349" w:rsidP="00010349">
      <w:pPr>
        <w:pStyle w:val="Body"/>
        <w:spacing w:after="0"/>
        <w:rPr>
          <w:rFonts w:ascii="Arial" w:hAnsi="Arial" w:cs="Arial"/>
        </w:rPr>
      </w:pPr>
      <w:r w:rsidRPr="00E76534">
        <w:rPr>
          <w:rFonts w:ascii="Arial" w:hAnsi="Arial" w:cs="Arial"/>
        </w:rPr>
        <w:t>Higher education delays first birth by raising returns to human capital and by increasing exposure to interruption costs, implying </w:t>
      </w:r>
      <m:oMath>
        <m:r>
          <m:rPr>
            <m:sty m:val="p"/>
          </m:rPr>
          <w:rPr>
            <w:rFonts w:ascii="Cambria Math" w:hAnsi="Cambria Math" w:cs="Arial"/>
          </w:rPr>
          <m:t>∂</m:t>
        </m:r>
        <m:sSup>
          <m:sSupPr>
            <m:ctrlPr>
              <w:rPr>
                <w:rFonts w:ascii="Cambria Math" w:hAnsi="Cambria Math" w:cs="Arial"/>
              </w:rPr>
            </m:ctrlPr>
          </m:sSupPr>
          <m:e>
            <m:r>
              <w:rPr>
                <w:rFonts w:ascii="Cambria Math" w:hAnsi="Cambria Math" w:cs="Arial"/>
              </w:rPr>
              <m:t>τ</m:t>
            </m:r>
          </m:e>
          <m:sup>
            <m:r>
              <w:rPr>
                <w:rFonts w:ascii="Cambria Math" w:hAnsi="Cambria Math" w:cs="Arial"/>
              </w:rPr>
              <m:t>*</m:t>
            </m:r>
          </m:sup>
        </m:sSup>
        <m:r>
          <m:rPr>
            <m:sty m:val="p"/>
          </m:rPr>
          <w:rPr>
            <w:rFonts w:ascii="Cambria Math" w:hAnsi="Cambria Math" w:cs="Arial"/>
          </w:rPr>
          <m:t>/∂</m:t>
        </m:r>
        <m:r>
          <w:rPr>
            <w:rFonts w:ascii="Cambria Math" w:hAnsi="Cambria Math" w:cs="Arial"/>
          </w:rPr>
          <m:t>s&gt;0</m:t>
        </m:r>
      </m:oMath>
      <w:r w:rsidRPr="00E76534">
        <w:rPr>
          <w:rFonts w:ascii="Arial" w:hAnsi="Arial" w:cs="Arial"/>
        </w:rPr>
        <w:t>. Greater career attachment similarly delays childbirth, </w:t>
      </w:r>
      <m:oMath>
        <m:r>
          <m:rPr>
            <m:sty m:val="p"/>
          </m:rPr>
          <w:rPr>
            <w:rFonts w:ascii="Cambria Math" w:hAnsi="Cambria Math" w:cs="Arial"/>
          </w:rPr>
          <m:t>∂</m:t>
        </m:r>
        <m:sSup>
          <m:sSupPr>
            <m:ctrlPr>
              <w:rPr>
                <w:rFonts w:ascii="Cambria Math" w:hAnsi="Cambria Math" w:cs="Arial"/>
              </w:rPr>
            </m:ctrlPr>
          </m:sSupPr>
          <m:e>
            <m:r>
              <w:rPr>
                <w:rFonts w:ascii="Cambria Math" w:hAnsi="Cambria Math" w:cs="Arial"/>
              </w:rPr>
              <m:t>τ</m:t>
            </m:r>
          </m:e>
          <m:sup>
            <m:r>
              <w:rPr>
                <w:rFonts w:ascii="Cambria Math" w:hAnsi="Cambria Math" w:cs="Arial"/>
              </w:rPr>
              <m:t>*</m:t>
            </m:r>
          </m:sup>
        </m:sSup>
        <m:r>
          <m:rPr>
            <m:sty m:val="p"/>
          </m:rPr>
          <w:rPr>
            <w:rFonts w:ascii="Cambria Math" w:hAnsi="Cambria Math" w:cs="Arial"/>
          </w:rPr>
          <m:t>/∂</m:t>
        </m:r>
        <m:r>
          <w:rPr>
            <w:rFonts w:ascii="Cambria Math" w:hAnsi="Cambria Math" w:cs="Arial"/>
          </w:rPr>
          <m:t>h&gt;</m:t>
        </m:r>
        <m:r>
          <w:rPr>
            <w:rFonts w:ascii="Cambria Math" w:hAnsi="Cambria Math" w:cs="Arial"/>
          </w:rPr>
          <m:t>0</m:t>
        </m:r>
      </m:oMath>
      <w:r w:rsidRPr="00E76534">
        <w:rPr>
          <w:rFonts w:ascii="Arial" w:hAnsi="Arial" w:cs="Arial"/>
        </w:rPr>
        <w:t>, but this relationship is policy-conditional: generous family policy weakens the link between attachment and fertility timing, yielding </w:t>
      </w:r>
      <m:oMath>
        <m:sSup>
          <m:sSupPr>
            <m:ctrlPr>
              <w:rPr>
                <w:rFonts w:ascii="Cambria Math" w:hAnsi="Cambria Math" w:cs="Arial"/>
              </w:rPr>
            </m:ctrlPr>
          </m:sSupPr>
          <m:e>
            <m:r>
              <m:rPr>
                <m:sty m:val="p"/>
              </m:rPr>
              <w:rPr>
                <w:rFonts w:ascii="Cambria Math" w:hAnsi="Cambria Math" w:cs="Arial"/>
              </w:rPr>
              <m:t>∂</m:t>
            </m:r>
          </m:e>
          <m:sup>
            <m:r>
              <w:rPr>
                <w:rFonts w:ascii="Cambria Math" w:hAnsi="Cambria Math" w:cs="Arial"/>
              </w:rPr>
              <m:t>2</m:t>
            </m:r>
          </m:sup>
        </m:sSup>
        <m:sSup>
          <m:sSupPr>
            <m:ctrlPr>
              <w:rPr>
                <w:rFonts w:ascii="Cambria Math" w:hAnsi="Cambria Math" w:cs="Arial"/>
              </w:rPr>
            </m:ctrlPr>
          </m:sSupPr>
          <m:e>
            <m:r>
              <w:rPr>
                <w:rFonts w:ascii="Cambria Math" w:hAnsi="Cambria Math" w:cs="Arial"/>
              </w:rPr>
              <m:t>τ</m:t>
            </m:r>
          </m:e>
          <m:sup>
            <m:r>
              <w:rPr>
                <w:rFonts w:ascii="Cambria Math" w:hAnsi="Cambria Math" w:cs="Arial"/>
              </w:rPr>
              <m:t>*</m:t>
            </m:r>
          </m:sup>
        </m:sSup>
        <m:r>
          <m:rPr>
            <m:sty m:val="p"/>
          </m:rPr>
          <w:rPr>
            <w:rFonts w:ascii="Cambria Math" w:hAnsi="Cambria Math" w:cs="Arial"/>
          </w:rPr>
          <m:t>/∂</m:t>
        </m:r>
        <m:r>
          <w:rPr>
            <w:rFonts w:ascii="Cambria Math" w:hAnsi="Cambria Math" w:cs="Arial"/>
          </w:rPr>
          <m:t>h</m:t>
        </m:r>
        <m:r>
          <m:rPr>
            <m:sty m:val="p"/>
          </m:rPr>
          <w:rPr>
            <w:rFonts w:ascii="Cambria Math" w:hAnsi="Cambria Math" w:cs="Arial"/>
          </w:rPr>
          <m:t>∂</m:t>
        </m:r>
        <m:r>
          <w:rPr>
            <w:rFonts w:ascii="Cambria Math" w:hAnsi="Cambria Math" w:cs="Arial"/>
          </w:rPr>
          <m:t>P&lt;0</m:t>
        </m:r>
      </m:oMath>
      <w:r w:rsidRPr="00E76534">
        <w:rPr>
          <w:rFonts w:ascii="Arial" w:hAnsi="Arial" w:cs="Arial"/>
        </w:rPr>
        <w:t>. Finally, stronger family policy directly reduces the timing wedge, leading to earlier first birth, </w:t>
      </w:r>
      <m:oMath>
        <m:r>
          <m:rPr>
            <m:sty m:val="p"/>
          </m:rPr>
          <w:rPr>
            <w:rFonts w:ascii="Cambria Math" w:hAnsi="Cambria Math" w:cs="Arial"/>
          </w:rPr>
          <m:t>∂</m:t>
        </m:r>
        <m:sSup>
          <m:sSupPr>
            <m:ctrlPr>
              <w:rPr>
                <w:rFonts w:ascii="Cambria Math" w:hAnsi="Cambria Math" w:cs="Arial"/>
              </w:rPr>
            </m:ctrlPr>
          </m:sSupPr>
          <m:e>
            <m:r>
              <w:rPr>
                <w:rFonts w:ascii="Cambria Math" w:hAnsi="Cambria Math" w:cs="Arial"/>
              </w:rPr>
              <m:t>τ</m:t>
            </m:r>
          </m:e>
          <m:sup>
            <m:r>
              <w:rPr>
                <w:rFonts w:ascii="Cambria Math" w:hAnsi="Cambria Math" w:cs="Arial"/>
              </w:rPr>
              <m:t>*</m:t>
            </m:r>
          </m:sup>
        </m:sSup>
        <m:r>
          <m:rPr>
            <m:sty m:val="p"/>
          </m:rPr>
          <w:rPr>
            <w:rFonts w:ascii="Cambria Math" w:hAnsi="Cambria Math" w:cs="Arial"/>
          </w:rPr>
          <m:t>/∂</m:t>
        </m:r>
        <m:r>
          <w:rPr>
            <w:rFonts w:ascii="Cambria Math" w:hAnsi="Cambria Math" w:cs="Arial"/>
          </w:rPr>
          <m:t>P&lt;0</m:t>
        </m:r>
      </m:oMath>
      <w:r w:rsidRPr="00E76534">
        <w:rPr>
          <w:rFonts w:ascii="Arial" w:hAnsi="Arial" w:cs="Arial"/>
        </w:rPr>
        <w:t>, and higher post-birth labor supply through reduced depreciation (Lalive and Zweimüller, 2009).</w:t>
      </w:r>
    </w:p>
    <w:p w14:paraId="19455455" w14:textId="66909DEE" w:rsidR="003D0019" w:rsidRPr="00E76534" w:rsidRDefault="003D0019" w:rsidP="00010349">
      <w:pPr>
        <w:pStyle w:val="Body"/>
        <w:spacing w:after="0"/>
        <w:rPr>
          <w:rFonts w:ascii="Arial" w:hAnsi="Arial" w:cs="Arial"/>
        </w:rPr>
      </w:pPr>
    </w:p>
    <w:p w14:paraId="7C37F8ED" w14:textId="77777777" w:rsidR="00010349" w:rsidRPr="00E76534" w:rsidRDefault="00010349" w:rsidP="00010349">
      <w:pPr>
        <w:pStyle w:val="Body"/>
        <w:spacing w:after="0"/>
        <w:rPr>
          <w:rFonts w:ascii="Arial" w:hAnsi="Arial" w:cs="Arial"/>
        </w:rPr>
      </w:pPr>
      <w:r w:rsidRPr="00E76534">
        <w:rPr>
          <w:rFonts w:ascii="Arial" w:hAnsi="Arial" w:cs="Arial"/>
        </w:rPr>
        <w:t>The framework can be discretized into a two-period structure without altering its economic content by interpreting early fertility as a first-period birth probability, allowing education and policy to operate through the same penalty channel. This preserves tractability while retaining the core mechanisms.</w:t>
      </w:r>
    </w:p>
    <w:p w14:paraId="2FB8696B" w14:textId="77777777" w:rsidR="003D0019" w:rsidRPr="00E76534" w:rsidRDefault="003D0019" w:rsidP="00010349">
      <w:pPr>
        <w:pStyle w:val="Body"/>
        <w:spacing w:after="0"/>
        <w:rPr>
          <w:rFonts w:ascii="Arial" w:hAnsi="Arial" w:cs="Arial"/>
        </w:rPr>
      </w:pPr>
    </w:p>
    <w:p w14:paraId="0A5589B9" w14:textId="77777777" w:rsidR="00010349" w:rsidRPr="00E76534" w:rsidRDefault="00010349" w:rsidP="00010349">
      <w:pPr>
        <w:pStyle w:val="Body"/>
        <w:spacing w:after="0"/>
        <w:rPr>
          <w:rFonts w:ascii="Arial" w:hAnsi="Arial" w:cs="Arial"/>
        </w:rPr>
      </w:pPr>
      <w:r w:rsidRPr="00E76534">
        <w:rPr>
          <w:rFonts w:ascii="Arial" w:hAnsi="Arial" w:cs="Arial"/>
        </w:rPr>
        <w:t>Overall, the model delivers a unified theory in which education, career attachment, family policy, and ideology jointly determine fertility timing through their effects on the human-capital cost of motherhood. The approach highlights family policy as a lever that decouples career investment from fertility delay, generating testable implications for cross-country and within-country variation in first-birth timing.</w:t>
      </w:r>
    </w:p>
    <w:p w14:paraId="0C348CF0" w14:textId="77777777" w:rsidR="003D0019" w:rsidRPr="00E76534" w:rsidRDefault="003D0019" w:rsidP="00010349">
      <w:pPr>
        <w:pStyle w:val="Body"/>
        <w:spacing w:after="0"/>
        <w:rPr>
          <w:rFonts w:ascii="Arial" w:hAnsi="Arial" w:cs="Arial"/>
        </w:rPr>
      </w:pPr>
    </w:p>
    <w:p w14:paraId="0E9127CC" w14:textId="11296558" w:rsidR="00010349" w:rsidRPr="00E76534" w:rsidRDefault="00CE5B86" w:rsidP="00010349">
      <w:pPr>
        <w:pStyle w:val="Body"/>
        <w:spacing w:after="0"/>
        <w:rPr>
          <w:rFonts w:ascii="Arial" w:hAnsi="Arial" w:cs="Arial"/>
          <w:b/>
          <w:bCs/>
        </w:rPr>
      </w:pPr>
      <w:r w:rsidRPr="00E54E72">
        <w:rPr>
          <w:rFonts w:ascii="Arial" w:hAnsi="Arial" w:cs="Arial"/>
          <w:b/>
          <w:bCs/>
          <w:highlight w:val="cyan"/>
        </w:rPr>
        <w:t>2</w:t>
      </w:r>
      <w:r w:rsidR="00010349" w:rsidRPr="00E54E72">
        <w:rPr>
          <w:rFonts w:ascii="Arial" w:hAnsi="Arial" w:cs="Arial"/>
          <w:b/>
          <w:bCs/>
          <w:highlight w:val="cyan"/>
        </w:rPr>
        <w:t>.2</w:t>
      </w:r>
      <w:r w:rsidR="00010349" w:rsidRPr="00E76534">
        <w:rPr>
          <w:rFonts w:ascii="Arial" w:hAnsi="Arial" w:cs="Arial"/>
          <w:b/>
          <w:bCs/>
        </w:rPr>
        <w:t xml:space="preserve"> Empirical Interpretation of the Theory</w:t>
      </w:r>
    </w:p>
    <w:p w14:paraId="71B06950" w14:textId="77777777" w:rsidR="00010349" w:rsidRPr="00E76534" w:rsidRDefault="00010349" w:rsidP="00010349">
      <w:pPr>
        <w:pStyle w:val="Body"/>
        <w:spacing w:after="0"/>
        <w:rPr>
          <w:rFonts w:ascii="Arial" w:hAnsi="Arial" w:cs="Arial"/>
        </w:rPr>
      </w:pPr>
      <w:r w:rsidRPr="00E76534">
        <w:rPr>
          <w:rFonts w:ascii="Arial" w:hAnsi="Arial" w:cs="Arial"/>
        </w:rPr>
        <w:t>While fertility decisions are made at the household level, the empirical analysis operates at the country–year level and therefore requires an aggregate representation of the model’s predictions. The theoretical framework focuses on the probability that women select childbirth near the lower bound of the fertility-timing distribution, corresponding to very early entry into motherhood.</w:t>
      </w:r>
    </w:p>
    <w:p w14:paraId="58B83DAF" w14:textId="77777777" w:rsidR="003D0019" w:rsidRPr="00E76534" w:rsidRDefault="003D0019" w:rsidP="00010349">
      <w:pPr>
        <w:pStyle w:val="Body"/>
        <w:spacing w:after="0"/>
        <w:rPr>
          <w:rFonts w:ascii="Arial" w:hAnsi="Arial" w:cs="Arial"/>
          <w:b/>
          <w:bCs/>
        </w:rPr>
      </w:pPr>
    </w:p>
    <w:p w14:paraId="17C528B6" w14:textId="77777777" w:rsidR="00010349" w:rsidRPr="00E76534" w:rsidRDefault="00010349" w:rsidP="00010349">
      <w:pPr>
        <w:pStyle w:val="Body"/>
        <w:spacing w:after="0"/>
        <w:rPr>
          <w:rFonts w:ascii="Arial" w:hAnsi="Arial" w:cs="Arial"/>
        </w:rPr>
      </w:pPr>
      <w:r w:rsidRPr="00E76534">
        <w:rPr>
          <w:rFonts w:ascii="Arial" w:hAnsi="Arial" w:cs="Arial"/>
        </w:rPr>
        <w:t>Because complete country–year distributions of age at first birth are generally unavailable, the empirical analysis uses observed measures of very early first birth as proxies for the relative mass of women located in the extreme lower tail of the theoretical fertility-timing distribution, rather than as direct measures of fertility behavior itself.</w:t>
      </w:r>
    </w:p>
    <w:p w14:paraId="5BD79D5B" w14:textId="77777777" w:rsidR="003D0019" w:rsidRPr="00E76534" w:rsidRDefault="003D0019" w:rsidP="00010349">
      <w:pPr>
        <w:pStyle w:val="Body"/>
        <w:spacing w:after="0"/>
        <w:rPr>
          <w:rFonts w:ascii="Arial" w:hAnsi="Arial" w:cs="Arial"/>
        </w:rPr>
      </w:pPr>
    </w:p>
    <w:p w14:paraId="01B79155" w14:textId="77777777" w:rsidR="00010349" w:rsidRPr="00E76534" w:rsidRDefault="00010349" w:rsidP="00010349">
      <w:pPr>
        <w:pStyle w:val="Body"/>
        <w:spacing w:after="0"/>
        <w:rPr>
          <w:rFonts w:ascii="Arial" w:hAnsi="Arial" w:cs="Arial"/>
        </w:rPr>
      </w:pPr>
      <w:r w:rsidRPr="00E76534">
        <w:rPr>
          <w:rFonts w:ascii="Arial" w:hAnsi="Arial" w:cs="Arial"/>
        </w:rPr>
        <w:t>Accordingly, the empirical analysis interprets observed early first-birth outcomes as reduced-form indicators of the relative mass of women located in the lower tail of the theoretical fertility-timing distribution. The objective is therefore not to measure fertility behavior directly, but to capture variation in the incidence of very early transition into motherhood across institutional environments.</w:t>
      </w:r>
    </w:p>
    <w:p w14:paraId="072BD765" w14:textId="77777777" w:rsidR="003D0019" w:rsidRPr="00E76534" w:rsidRDefault="003D0019" w:rsidP="00010349">
      <w:pPr>
        <w:pStyle w:val="Body"/>
        <w:spacing w:after="0"/>
        <w:rPr>
          <w:rFonts w:ascii="Arial" w:hAnsi="Arial" w:cs="Arial"/>
        </w:rPr>
      </w:pPr>
    </w:p>
    <w:p w14:paraId="7A4F1ABB" w14:textId="77777777" w:rsidR="00010349" w:rsidRPr="00E76534" w:rsidRDefault="00010349" w:rsidP="00010349">
      <w:pPr>
        <w:pStyle w:val="Body"/>
        <w:spacing w:after="0"/>
        <w:rPr>
          <w:rFonts w:ascii="Arial" w:hAnsi="Arial" w:cs="Arial"/>
        </w:rPr>
      </w:pPr>
      <w:r w:rsidRPr="00E76534">
        <w:rPr>
          <w:rFonts w:ascii="Arial" w:hAnsi="Arial" w:cs="Arial"/>
        </w:rPr>
        <w:t>Under the model, environments characterized by high motherhood penalties, limited labor-market flexibility, weak family policy, or restrictive gender norms increase the likelihood that some women optimally choose early childbirth. By contrast, environments with stronger policy support and lower career interruption costs shift optimal fertility timing later in the life cycle.</w:t>
      </w:r>
    </w:p>
    <w:p w14:paraId="47C16242" w14:textId="77777777" w:rsidR="00010349" w:rsidRPr="00E76534" w:rsidRDefault="00010349" w:rsidP="00010349">
      <w:pPr>
        <w:pStyle w:val="Body"/>
        <w:spacing w:after="0"/>
        <w:rPr>
          <w:rFonts w:ascii="Arial" w:hAnsi="Arial" w:cs="Arial"/>
        </w:rPr>
      </w:pPr>
      <w:r w:rsidRPr="00E76534">
        <w:rPr>
          <w:rFonts w:ascii="Arial" w:hAnsi="Arial" w:cs="Arial"/>
        </w:rPr>
        <w:t>The empirical specifications therefore interpret cross-country and over-time variation in early first-birth outcomes as reduced-form manifestations of the timing wedge derived in Section 3.1.1. Educational attainment, labor-market attachment, family policy generosity, and ideological environments are treated as observable determinants of the opportunity cost of motherhood and therefore as determinants of fertility timing outcomes.</w:t>
      </w:r>
    </w:p>
    <w:p w14:paraId="21CEE33A" w14:textId="77777777" w:rsidR="003D0019" w:rsidRPr="00E76534" w:rsidRDefault="003D0019" w:rsidP="00010349">
      <w:pPr>
        <w:pStyle w:val="Body"/>
        <w:spacing w:after="0"/>
        <w:rPr>
          <w:rFonts w:ascii="Arial" w:hAnsi="Arial" w:cs="Arial"/>
        </w:rPr>
      </w:pPr>
    </w:p>
    <w:p w14:paraId="60E36527" w14:textId="52D072BF" w:rsidR="00010349" w:rsidRPr="00E76534" w:rsidRDefault="00010349" w:rsidP="00010349">
      <w:pPr>
        <w:pStyle w:val="Body"/>
        <w:spacing w:after="0"/>
        <w:rPr>
          <w:rFonts w:ascii="Arial" w:hAnsi="Arial" w:cs="Arial"/>
        </w:rPr>
      </w:pPr>
      <w:r w:rsidRPr="00E76534">
        <w:rPr>
          <w:rFonts w:ascii="Arial" w:hAnsi="Arial" w:cs="Arial"/>
        </w:rPr>
        <w:t>In the context of the model, early fertility outcomes correspond to realizations in which the optimal first-birth timing </w:t>
      </w:r>
      <m:oMath>
        <m:sSup>
          <m:sSupPr>
            <m:ctrlPr>
              <w:rPr>
                <w:rFonts w:ascii="Cambria Math" w:hAnsi="Cambria Math" w:cs="Arial"/>
              </w:rPr>
            </m:ctrlPr>
          </m:sSupPr>
          <m:e>
            <m:r>
              <w:rPr>
                <w:rFonts w:ascii="Cambria Math" w:hAnsi="Cambria Math" w:cs="Arial"/>
              </w:rPr>
              <m:t>τ</m:t>
            </m:r>
          </m:e>
          <m:sup>
            <m:r>
              <w:rPr>
                <w:rFonts w:ascii="Cambria Math" w:hAnsi="Cambria Math" w:cs="Arial"/>
              </w:rPr>
              <m:t>*</m:t>
            </m:r>
          </m:sup>
        </m:sSup>
      </m:oMath>
      <w:r w:rsidRPr="00E76534">
        <w:rPr>
          <w:rFonts w:ascii="Arial" w:hAnsi="Arial" w:cs="Arial"/>
        </w:rPr>
        <w:t> lies sufficiently close to the lower bound of the feasible fertility window. Country–year variation in first births therefore reflects changes in the share of women whose opportunity-cost wedge favors very early first birth, rather than shifts in average fertility timing across the entire population (Bernardi &amp; Klärner, 2014;</w:t>
      </w:r>
      <w:r w:rsidRPr="00E76534">
        <w:rPr>
          <w:rFonts w:ascii="Arial" w:hAnsi="Arial" w:cs="Arial"/>
          <w:b/>
          <w:bCs/>
        </w:rPr>
        <w:t xml:space="preserve"> </w:t>
      </w:r>
      <w:r w:rsidRPr="00E76534">
        <w:rPr>
          <w:rFonts w:ascii="Arial" w:hAnsi="Arial" w:cs="Arial"/>
        </w:rPr>
        <w:t>Kohler, 1997).</w:t>
      </w:r>
    </w:p>
    <w:p w14:paraId="7858940B" w14:textId="77777777" w:rsidR="003D0019" w:rsidRPr="00E76534" w:rsidRDefault="003D0019" w:rsidP="00010349">
      <w:pPr>
        <w:pStyle w:val="Body"/>
        <w:spacing w:after="0"/>
        <w:rPr>
          <w:rFonts w:ascii="Arial" w:hAnsi="Arial" w:cs="Arial"/>
        </w:rPr>
      </w:pPr>
    </w:p>
    <w:p w14:paraId="0EAC6795" w14:textId="48AB8D4D" w:rsidR="00010349" w:rsidRPr="00E76534" w:rsidRDefault="00010349" w:rsidP="00010349">
      <w:pPr>
        <w:pStyle w:val="Body"/>
        <w:spacing w:after="0"/>
        <w:rPr>
          <w:rFonts w:ascii="Arial" w:hAnsi="Arial" w:cs="Arial"/>
        </w:rPr>
      </w:pPr>
      <w:r w:rsidRPr="00E76534">
        <w:rPr>
          <w:rFonts w:ascii="Arial" w:hAnsi="Arial" w:cs="Arial"/>
        </w:rPr>
        <w:t>Gender inequality shapes this wedge by constraining educational attainment, limiting career attachment, and amplifying motherhood penalties. In highly unequal environments, early fertility is a rational response to institutional constraints, as the foregone returns to human capital accumulation are relatively small. Conversely, reductions in gender inequality raise the opportunity cost of early childbearing, shifting mass away from the lower tail of the fertility-timing distribution.</w:t>
      </w:r>
    </w:p>
    <w:p w14:paraId="1AAD81EC" w14:textId="77777777" w:rsidR="003D0019" w:rsidRPr="00E76534" w:rsidRDefault="003D0019" w:rsidP="00010349">
      <w:pPr>
        <w:pStyle w:val="Body"/>
        <w:spacing w:after="0"/>
        <w:rPr>
          <w:rFonts w:ascii="Arial" w:hAnsi="Arial" w:cs="Arial"/>
        </w:rPr>
      </w:pPr>
    </w:p>
    <w:p w14:paraId="070E6D83" w14:textId="460075A1" w:rsidR="00010349" w:rsidRPr="00E76534" w:rsidRDefault="00010349" w:rsidP="00010349">
      <w:pPr>
        <w:pStyle w:val="Body"/>
        <w:spacing w:after="0"/>
        <w:rPr>
          <w:rFonts w:ascii="Arial" w:hAnsi="Arial" w:cs="Arial"/>
        </w:rPr>
      </w:pPr>
      <w:r w:rsidRPr="00E76534">
        <w:rPr>
          <w:rFonts w:ascii="Arial" w:hAnsi="Arial" w:cs="Arial"/>
        </w:rPr>
        <w:t xml:space="preserve">Because institutional environments, social norms, and labor-market structures evolve slowly, fertility timing may exhibit persistence and regime dependence (Munshi and </w:t>
      </w:r>
      <w:proofErr w:type="spellStart"/>
      <w:r w:rsidRPr="00E76534">
        <w:rPr>
          <w:rFonts w:ascii="Arial" w:hAnsi="Arial" w:cs="Arial"/>
        </w:rPr>
        <w:t>Myaux</w:t>
      </w:r>
      <w:proofErr w:type="spellEnd"/>
      <w:r w:rsidRPr="00E76534">
        <w:rPr>
          <w:rFonts w:ascii="Arial" w:hAnsi="Arial" w:cs="Arial"/>
        </w:rPr>
        <w:t xml:space="preserve">, 2006). In particular, changes in gender inequality may have muted effects in highly unequal or highly egalitarian regimes, while exerting stronger influence in transitional environments. This </w:t>
      </w:r>
      <w:r w:rsidRPr="00E76534">
        <w:rPr>
          <w:rFonts w:ascii="Arial" w:hAnsi="Arial" w:cs="Arial"/>
        </w:rPr>
        <w:lastRenderedPageBreak/>
        <w:t>motivates an empirical strategy that allows for nonlinear responses and path dependence without requiring identification of individual-level fertility choices.</w:t>
      </w:r>
    </w:p>
    <w:p w14:paraId="1392E617" w14:textId="77777777" w:rsidR="003D0019" w:rsidRPr="00E76534" w:rsidRDefault="003D0019" w:rsidP="00010349">
      <w:pPr>
        <w:pStyle w:val="Body"/>
        <w:spacing w:after="0"/>
        <w:rPr>
          <w:rFonts w:ascii="Arial" w:hAnsi="Arial" w:cs="Arial"/>
        </w:rPr>
      </w:pPr>
    </w:p>
    <w:p w14:paraId="4F8BFEC6" w14:textId="198B6448" w:rsidR="00010349" w:rsidRPr="00E76534" w:rsidRDefault="00010349" w:rsidP="00010349">
      <w:pPr>
        <w:pStyle w:val="Body"/>
        <w:spacing w:after="0"/>
        <w:rPr>
          <w:rFonts w:ascii="Arial" w:hAnsi="Arial" w:cs="Arial"/>
        </w:rPr>
      </w:pPr>
      <w:r w:rsidRPr="00E76534">
        <w:rPr>
          <w:rFonts w:ascii="Arial" w:hAnsi="Arial" w:cs="Arial"/>
        </w:rPr>
        <w:t>The framework also allows for regime-dependent responses of fertility timing to institutional change. When gender inequality is either very high or very low, fertility behavior may be anchored by coordination equilibria sustained by social customs and shared expectations (Akerlof, 1980). In such environments, marginal institutional reforms generate limited behavioral responses. By contrast, in transitional regimes, small changes in institutional constraints can shift the opportunity-cost wedge sufficiently to induce large reallocations in the timing of first birth. This mechanism provides a theoretical rationale for the nonlinear empirical relationship documented below.</w:t>
      </w:r>
    </w:p>
    <w:p w14:paraId="4D466C1F" w14:textId="77777777" w:rsidR="003D0019" w:rsidRPr="00E76534" w:rsidRDefault="003D0019" w:rsidP="00010349">
      <w:pPr>
        <w:pStyle w:val="Body"/>
        <w:spacing w:after="0"/>
        <w:rPr>
          <w:rFonts w:ascii="Arial" w:hAnsi="Arial" w:cs="Arial"/>
          <w:b/>
          <w:bCs/>
          <w:sz w:val="22"/>
          <w:szCs w:val="22"/>
        </w:rPr>
      </w:pPr>
    </w:p>
    <w:p w14:paraId="48B9D702" w14:textId="2EDB7000" w:rsidR="00010349" w:rsidRPr="00E76534" w:rsidRDefault="00CE5B86" w:rsidP="00010349">
      <w:pPr>
        <w:pStyle w:val="Body"/>
        <w:spacing w:after="0"/>
        <w:rPr>
          <w:rFonts w:ascii="Arial" w:hAnsi="Arial" w:cs="Arial"/>
          <w:b/>
          <w:bCs/>
          <w:sz w:val="22"/>
          <w:szCs w:val="22"/>
        </w:rPr>
      </w:pPr>
      <w:r w:rsidRPr="00E54E72">
        <w:rPr>
          <w:rFonts w:ascii="Arial" w:hAnsi="Arial" w:cs="Arial"/>
          <w:b/>
          <w:bCs/>
          <w:sz w:val="22"/>
          <w:szCs w:val="22"/>
          <w:highlight w:val="cyan"/>
        </w:rPr>
        <w:t>2</w:t>
      </w:r>
      <w:r w:rsidR="00010349" w:rsidRPr="00E54E72">
        <w:rPr>
          <w:rFonts w:ascii="Arial" w:hAnsi="Arial" w:cs="Arial"/>
          <w:b/>
          <w:bCs/>
          <w:sz w:val="22"/>
          <w:szCs w:val="22"/>
          <w:highlight w:val="cyan"/>
        </w:rPr>
        <w:t>.</w:t>
      </w:r>
      <w:r w:rsidR="00E54E72" w:rsidRPr="00E54E72">
        <w:rPr>
          <w:rFonts w:ascii="Arial" w:hAnsi="Arial" w:cs="Arial"/>
          <w:b/>
          <w:bCs/>
          <w:sz w:val="22"/>
          <w:szCs w:val="22"/>
          <w:highlight w:val="cyan"/>
        </w:rPr>
        <w:t>3</w:t>
      </w:r>
      <w:r w:rsidR="00010349" w:rsidRPr="00E76534">
        <w:rPr>
          <w:rFonts w:ascii="Arial" w:hAnsi="Arial" w:cs="Arial"/>
          <w:b/>
          <w:bCs/>
          <w:sz w:val="22"/>
          <w:szCs w:val="22"/>
        </w:rPr>
        <w:t xml:space="preserve"> Empirical Framework</w:t>
      </w:r>
    </w:p>
    <w:p w14:paraId="1C7A42D8" w14:textId="77777777" w:rsidR="00010349" w:rsidRPr="00E76534" w:rsidRDefault="00010349" w:rsidP="00010349">
      <w:pPr>
        <w:pStyle w:val="Body"/>
        <w:spacing w:after="0"/>
        <w:rPr>
          <w:rFonts w:ascii="Arial" w:hAnsi="Arial" w:cs="Arial"/>
        </w:rPr>
      </w:pPr>
      <w:r w:rsidRPr="00E76534">
        <w:rPr>
          <w:rFonts w:ascii="Arial" w:hAnsi="Arial" w:cs="Arial"/>
        </w:rPr>
        <w:t>The relationship is likely nonlinear: fertility timing may exhibit persistence and coordination, with changes in gender inequality exerting stronger effects in transitional regimes than in highly unequal or highly egalitarian contexts. Figure 1 illustrates these regime-dependent associations.</w:t>
      </w:r>
    </w:p>
    <w:p w14:paraId="2689621B" w14:textId="77777777" w:rsidR="00F11AB9" w:rsidRPr="00E76534" w:rsidRDefault="00F11AB9" w:rsidP="00010349">
      <w:pPr>
        <w:pStyle w:val="Body"/>
        <w:spacing w:after="0"/>
        <w:rPr>
          <w:rFonts w:ascii="Arial" w:hAnsi="Arial" w:cs="Arial"/>
          <w:b/>
          <w:bCs/>
        </w:rPr>
      </w:pPr>
    </w:p>
    <w:p w14:paraId="2525323C" w14:textId="7FF69E4E" w:rsidR="00422E2F" w:rsidRDefault="00010349" w:rsidP="00010349">
      <w:pPr>
        <w:pStyle w:val="Body"/>
        <w:spacing w:after="0"/>
        <w:rPr>
          <w:rFonts w:ascii="Arial" w:hAnsi="Arial" w:cs="Arial"/>
        </w:rPr>
      </w:pPr>
      <w:r w:rsidRPr="00E76534">
        <w:rPr>
          <w:rFonts w:ascii="Arial" w:hAnsi="Arial" w:cs="Arial"/>
        </w:rPr>
        <w:t>Empirically, the paper adopts a reduced-form macro approach, exploiting within-country institutional variation over time to examine whether changes in gender inequality are systematically associated with shifts in fertility timing.</w:t>
      </w:r>
    </w:p>
    <w:p w14:paraId="07DB1C67" w14:textId="77777777" w:rsidR="00D25817" w:rsidRPr="00E76534" w:rsidRDefault="00D25817" w:rsidP="00010349">
      <w:pPr>
        <w:pStyle w:val="Body"/>
        <w:spacing w:after="0"/>
        <w:rPr>
          <w:rFonts w:ascii="Arial" w:hAnsi="Arial" w:cs="Arial"/>
        </w:rPr>
      </w:pPr>
    </w:p>
    <w:p w14:paraId="6712D2E4" w14:textId="77777777" w:rsidR="00422E2F" w:rsidRPr="00E76534" w:rsidRDefault="00422E2F" w:rsidP="00010349">
      <w:pPr>
        <w:pStyle w:val="Body"/>
        <w:spacing w:after="0"/>
        <w:rPr>
          <w:rFonts w:ascii="Arial" w:hAnsi="Arial" w:cs="Arial"/>
        </w:rPr>
      </w:pPr>
    </w:p>
    <w:p w14:paraId="25504664" w14:textId="5F631251" w:rsidR="00422E2F" w:rsidRPr="00E76534" w:rsidRDefault="00422E2F" w:rsidP="00010349">
      <w:pPr>
        <w:pStyle w:val="Body"/>
        <w:spacing w:after="0"/>
        <w:rPr>
          <w:rFonts w:ascii="Arial" w:hAnsi="Arial" w:cs="Arial"/>
        </w:rPr>
      </w:pPr>
      <w:r w:rsidRPr="00E76534">
        <w:rPr>
          <w:rFonts w:ascii="Arial" w:hAnsi="Arial" w:cs="Arial"/>
          <w:noProof/>
          <w14:ligatures w14:val="standardContextual"/>
        </w:rPr>
        <mc:AlternateContent>
          <mc:Choice Requires="wps">
            <w:drawing>
              <wp:anchor distT="0" distB="0" distL="114300" distR="114300" simplePos="0" relativeHeight="251666432" behindDoc="0" locked="0" layoutInCell="1" allowOverlap="1" wp14:anchorId="1C46F62B" wp14:editId="4B955DF4">
                <wp:simplePos x="0" y="0"/>
                <wp:positionH relativeFrom="column">
                  <wp:posOffset>3536769</wp:posOffset>
                </wp:positionH>
                <wp:positionV relativeFrom="paragraph">
                  <wp:posOffset>-181157</wp:posOffset>
                </wp:positionV>
                <wp:extent cx="1208405" cy="198783"/>
                <wp:effectExtent l="0" t="0" r="10795" b="17145"/>
                <wp:wrapNone/>
                <wp:docPr id="196388990" name="Text Box 11"/>
                <wp:cNvGraphicFramePr/>
                <a:graphic xmlns:a="http://schemas.openxmlformats.org/drawingml/2006/main">
                  <a:graphicData uri="http://schemas.microsoft.com/office/word/2010/wordprocessingShape">
                    <wps:wsp>
                      <wps:cNvSpPr txBox="1"/>
                      <wps:spPr>
                        <a:xfrm>
                          <a:off x="0" y="0"/>
                          <a:ext cx="1208405" cy="198783"/>
                        </a:xfrm>
                        <a:prstGeom prst="rect">
                          <a:avLst/>
                        </a:prstGeom>
                        <a:solidFill>
                          <a:schemeClr val="bg2"/>
                        </a:solidFill>
                        <a:ln w="6350">
                          <a:solidFill>
                            <a:prstClr val="black"/>
                          </a:solidFill>
                        </a:ln>
                      </wps:spPr>
                      <wps:txbx>
                        <w:txbxContent>
                          <w:p w14:paraId="17AFD71C" w14:textId="77777777" w:rsidR="00422E2F" w:rsidRPr="0070368E" w:rsidRDefault="00422E2F" w:rsidP="00422E2F">
                            <w:pPr>
                              <w:rPr>
                                <w:sz w:val="16"/>
                                <w:szCs w:val="16"/>
                              </w:rPr>
                            </w:pPr>
                            <w:r w:rsidRPr="0070368E">
                              <w:rPr>
                                <w:sz w:val="16"/>
                                <w:szCs w:val="16"/>
                              </w:rPr>
                              <w:t>Persistence &amp; 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6F62B" id="_x0000_t202" coordsize="21600,21600" o:spt="202" path="m,l,21600r21600,l21600,xe">
                <v:stroke joinstyle="miter"/>
                <v:path gradientshapeok="t" o:connecttype="rect"/>
              </v:shapetype>
              <v:shape id="Text Box 11" o:spid="_x0000_s1026" type="#_x0000_t202" style="position:absolute;left:0;text-align:left;margin-left:278.5pt;margin-top:-14.25pt;width:95.15pt;height:1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TwQNQIAAHwEAAAOAAAAZHJzL2Uyb0RvYy54bWysVE1v2zAMvQ/YfxB0X+ykSZsacYosRYYB&#10;RVsgHXpWZCk2JouapMTOfv0o2flou9Owi0yJ1BP5+OjZXVsrshfWVaBzOhyklAjNoaj0Nqc/XlZf&#10;ppQ4z3TBFGiR04Nw9G7++dOsMZkYQQmqEJYgiHZZY3Jaem+yJHG8FDVzAzBCo1OCrZnHrd0mhWUN&#10;otcqGaXpddKALYwFLpzD0/vOSecRX0rB/ZOUTniicoq5+bjauG7CmsxnLNtaZsqK92mwf8iiZpXG&#10;R09Q98wzsrPVB6i64hYcSD/gUCcgZcVFrAGrGabvqlmXzIhYC5LjzIkm9/9g+eN+bZ4t8e1XaLGB&#10;gZDGuMzhYainlbYOX8yUoB8pPJxoE60nPFwapdNxOqGEo294O72ZXgWY5HzbWOe/CahJMHJqsS2R&#10;LbZ/cL4LPYaExxyoqlhVSsVNkIJYKkv2DJu42Y568DdRSpMmp9dXkzQCv/EF6PN9xfjPjwiYrNKY&#10;87n2YPl20/aEbKA4IE8WOgk5w1cV4j4w55+ZRc0gNTgH/gkXqQCTgd6ipAT7+2/nIR5biV5KGtRg&#10;Tt2vHbOCEvVdY5Nvh+NxEG3cjCc3I9zYS8/m0qN39RKQoSFOnOHRDPFeHU1poX7FcVmEV9HFNMe3&#10;c+qP5tJ3k4HjxsViEYNQpob5B702PECHjgQ+X9pXZk3fT49KeISjWln2rq1dbLipYbHzIKvY80Bw&#10;x2rPO0o8qqYfxzBDl/sYdf5pzP8AAAD//wMAUEsDBBQABgAIAAAAIQBRjwVo5wAAAA4BAAAPAAAA&#10;ZHJzL2Rvd25yZXYueG1sTI/NT4NAEMXvJv4PmzHxYtqlCIKUpWn8uBhNI3rQ2xZGQPeD7G4p/veO&#10;J71M8jIz771fuZm1YhM6P1gjYLWMgKFpbDuYTsDry/0iB+aDNK1U1qCAb/SwqU5PSlm09miecapD&#10;x8jE+EIK6EMYC85906OWfmlHNLT7sE7LQNJ1vHXySOZa8TiKrriWg6GEXo5402PzVR+0AFvX2+np&#10;MVvdXbuLZPf+kOzU55sQ52fz7ZrGdg0s4Bz+PuCXgfpDRcX29mBaz5SANM0IKAhYxHkKjC6yJLsE&#10;thcQ58Crkv/HqH4AAAD//wMAUEsBAi0AFAAGAAgAAAAhALaDOJL+AAAA4QEAABMAAAAAAAAAAAAA&#10;AAAAAAAAAFtDb250ZW50X1R5cGVzXS54bWxQSwECLQAUAAYACAAAACEAOP0h/9YAAACUAQAACwAA&#10;AAAAAAAAAAAAAAAvAQAAX3JlbHMvLnJlbHNQSwECLQAUAAYACAAAACEA7NE8EDUCAAB8BAAADgAA&#10;AAAAAAAAAAAAAAAuAgAAZHJzL2Uyb0RvYy54bWxQSwECLQAUAAYACAAAACEAUY8FaOcAAAAOAQAA&#10;DwAAAAAAAAAAAAAAAACPBAAAZHJzL2Rvd25yZXYueG1sUEsFBgAAAAAEAAQA8wAAAKMFAAAAAA==&#10;" fillcolor="#eeece1 [3214]" strokeweight=".5pt">
                <v:textbox>
                  <w:txbxContent>
                    <w:p w14:paraId="17AFD71C" w14:textId="77777777" w:rsidR="00422E2F" w:rsidRPr="0070368E" w:rsidRDefault="00422E2F" w:rsidP="00422E2F">
                      <w:pPr>
                        <w:rPr>
                          <w:sz w:val="16"/>
                          <w:szCs w:val="16"/>
                        </w:rPr>
                      </w:pPr>
                      <w:r w:rsidRPr="0070368E">
                        <w:rPr>
                          <w:sz w:val="16"/>
                          <w:szCs w:val="16"/>
                        </w:rPr>
                        <w:t>Persistence &amp; Feedback</w:t>
                      </w:r>
                    </w:p>
                  </w:txbxContent>
                </v:textbox>
              </v:shape>
            </w:pict>
          </mc:Fallback>
        </mc:AlternateContent>
      </w:r>
      <w:r w:rsidRPr="00E76534">
        <w:rPr>
          <w:rFonts w:ascii="Arial" w:hAnsi="Arial" w:cs="Arial"/>
          <w:noProof/>
          <w14:ligatures w14:val="standardContextual"/>
        </w:rPr>
        <mc:AlternateContent>
          <mc:Choice Requires="wps">
            <w:drawing>
              <wp:anchor distT="0" distB="0" distL="114300" distR="114300" simplePos="0" relativeHeight="251664384" behindDoc="0" locked="0" layoutInCell="1" allowOverlap="1" wp14:anchorId="1D404D6F" wp14:editId="69AFDBD7">
                <wp:simplePos x="0" y="0"/>
                <wp:positionH relativeFrom="column">
                  <wp:posOffset>1747883</wp:posOffset>
                </wp:positionH>
                <wp:positionV relativeFrom="paragraph">
                  <wp:posOffset>92528</wp:posOffset>
                </wp:positionV>
                <wp:extent cx="2814320" cy="322580"/>
                <wp:effectExtent l="0" t="101600" r="843280" b="33020"/>
                <wp:wrapNone/>
                <wp:docPr id="814420328" name="Curved Connector 9"/>
                <wp:cNvGraphicFramePr/>
                <a:graphic xmlns:a="http://schemas.openxmlformats.org/drawingml/2006/main">
                  <a:graphicData uri="http://schemas.microsoft.com/office/word/2010/wordprocessingShape">
                    <wps:wsp>
                      <wps:cNvCnPr/>
                      <wps:spPr>
                        <a:xfrm flipH="1" flipV="1">
                          <a:off x="0" y="0"/>
                          <a:ext cx="2814320" cy="322580"/>
                        </a:xfrm>
                        <a:prstGeom prst="curvedConnector3">
                          <a:avLst>
                            <a:gd name="adj1" fmla="val -29059"/>
                          </a:avLst>
                        </a:prstGeom>
                        <a:ln w="50800">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795948D"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9" o:spid="_x0000_s1026" type="#_x0000_t38" style="position:absolute;margin-left:137.65pt;margin-top:7.3pt;width:221.6pt;height:25.4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ltO+QEAADQEAAAOAAAAZHJzL2Uyb0RvYy54bWysU8mO2zAMvRfoPwi6T+w4TZEJ4swh6XIo&#10;2kG3u0aiYhXaIGni+O9LyY6nmAIFWvQiUCLfI/lI7e4uRpMzhKicbelyUVMCljuh7Kml376+vdlQ&#10;EhOzgmlnoaUDRHq3f/li1/stNK5zWkAgSGLjtvct7VLy26qKvAPD4sJ5sOiULhiW8BpOlQisR3aj&#10;q6auX1e9C8IHxyFGfD2OTrov/FICT5+kjJCIbinWlsoZyvmQz2q/Y9tTYL5TfCqD/UMVhimLSWeq&#10;I0uMPAb1G5VRPLjoZFpwZyonpeJQesBulvWzbr50zEPpBcWJfpYp/j9a/vF8sPcBZeh93EZ/H3IX&#10;FxkMkVr59zhTWqzv2co+rJlcioDDLCBcEuH42GyWr1YN6szRt2qa9aYoXI2MGe1DTO/AGZKNlvLH&#10;cAZxcNbipFxYlQzs/CGmIqYglhncGiZ+5DKMxtmcmSY3zW29vs3DQ+opHK0recZqS/qWrutNXRfS&#10;7Duy2BHEtzQO8ejSOP3ElH5jBUmDx1QpKGZPGiZybTHHkzTFSoOGMcVnkEQJbHyUpmwtHHQYkzDO&#10;wablzITRGSaV1jNwLO6PwCk+Q6Fs9N+AZ0TJ7GyawUZZF4o0z7Kny7VkOcZfFRj7zhI8ODGUpSnS&#10;4GqWQUzfKO/+r/cCf/rs+58AAAD//wMAUEsDBBQABgAIAAAAIQB2kbbc4gAAAA4BAAAPAAAAZHJz&#10;L2Rvd25yZXYueG1sTE9NT4NAEL2b+B82Y+LNLq18VMrSKErSq7UmPS4wBSI7S9hti//e8aSXl0ze&#10;m/eRbWcziAtOrrekYLkIQCDVtumpVXD4KB/WIJzX1OjBEir4Rgfb/PYm02ljr/SOl71vBZuQS7WC&#10;zvsxldLVHRrtFnZEYu5kJ6M9n1Mrm0lf2dwMchUEsTS6J07o9IhFh/XX/mwUnMri8DK/lQnKqn4K&#10;g6LcHY+fSt3fza8bhucNCI+z//uA3w3cH3IuVtkzNU4MClZJ9MhSJsIYBAuS5ToCUSmIoxBknsn/&#10;M/IfAAAA//8DAFBLAQItABQABgAIAAAAIQC2gziS/gAAAOEBAAATAAAAAAAAAAAAAAAAAAAAAABb&#10;Q29udGVudF9UeXBlc10ueG1sUEsBAi0AFAAGAAgAAAAhADj9If/WAAAAlAEAAAsAAAAAAAAAAAAA&#10;AAAALwEAAF9yZWxzLy5yZWxzUEsBAi0AFAAGAAgAAAAhAMRCW075AQAANAQAAA4AAAAAAAAAAAAA&#10;AAAALgIAAGRycy9lMm9Eb2MueG1sUEsBAi0AFAAGAAgAAAAhAHaRttziAAAADgEAAA8AAAAAAAAA&#10;AAAAAAAAUwQAAGRycy9kb3ducmV2LnhtbFBLBQYAAAAABAAEAPMAAABiBQAAAAA=&#10;" adj="-6277" strokecolor="#4579b8 [3044]" strokeweight="4pt">
                <v:stroke dashstyle="1 1" endarrow="block"/>
              </v:shape>
            </w:pict>
          </mc:Fallback>
        </mc:AlternateContent>
      </w:r>
      <w:r w:rsidRPr="00E76534">
        <w:rPr>
          <w:rFonts w:ascii="Arial" w:hAnsi="Arial" w:cs="Arial"/>
          <w:noProof/>
          <w14:ligatures w14:val="standardContextual"/>
        </w:rPr>
        <mc:AlternateContent>
          <mc:Choice Requires="wps">
            <w:drawing>
              <wp:anchor distT="0" distB="0" distL="114300" distR="114300" simplePos="0" relativeHeight="251659264" behindDoc="0" locked="0" layoutInCell="1" allowOverlap="1" wp14:anchorId="5BBC6D0C" wp14:editId="2F35E2F7">
                <wp:simplePos x="0" y="0"/>
                <wp:positionH relativeFrom="column">
                  <wp:posOffset>36376</wp:posOffset>
                </wp:positionH>
                <wp:positionV relativeFrom="paragraph">
                  <wp:posOffset>16147</wp:posOffset>
                </wp:positionV>
                <wp:extent cx="1701165" cy="1454923"/>
                <wp:effectExtent l="0" t="0" r="13335" b="18415"/>
                <wp:wrapNone/>
                <wp:docPr id="1205963885" name="Rectangle 1"/>
                <wp:cNvGraphicFramePr/>
                <a:graphic xmlns:a="http://schemas.openxmlformats.org/drawingml/2006/main">
                  <a:graphicData uri="http://schemas.microsoft.com/office/word/2010/wordprocessingShape">
                    <wps:wsp>
                      <wps:cNvSpPr/>
                      <wps:spPr>
                        <a:xfrm>
                          <a:off x="0" y="0"/>
                          <a:ext cx="1701165" cy="1454923"/>
                        </a:xfrm>
                        <a:prstGeom prst="rect">
                          <a:avLst/>
                        </a:prstGeom>
                        <a:solidFill>
                          <a:schemeClr val="accent4">
                            <a:lumMod val="20000"/>
                            <a:lumOff val="80000"/>
                          </a:schemeClr>
                        </a:solidFill>
                        <a:ln>
                          <a:solidFill>
                            <a:schemeClr val="tx2">
                              <a:lumMod val="90000"/>
                              <a:lumOff val="10000"/>
                            </a:schemeClr>
                          </a:solidFill>
                        </a:ln>
                      </wps:spPr>
                      <wps:style>
                        <a:lnRef idx="2">
                          <a:schemeClr val="accent4"/>
                        </a:lnRef>
                        <a:fillRef idx="1">
                          <a:schemeClr val="lt1"/>
                        </a:fillRef>
                        <a:effectRef idx="0">
                          <a:schemeClr val="accent4"/>
                        </a:effectRef>
                        <a:fontRef idx="minor">
                          <a:schemeClr val="dk1"/>
                        </a:fontRef>
                      </wps:style>
                      <wps:txbx>
                        <w:txbxContent>
                          <w:p w14:paraId="4F77F711" w14:textId="77777777" w:rsidR="00422E2F" w:rsidRPr="000F61EE" w:rsidRDefault="00422E2F" w:rsidP="00422E2F">
                            <w:pPr>
                              <w:rPr>
                                <w:b/>
                                <w:bCs/>
                                <w:sz w:val="16"/>
                                <w:szCs w:val="16"/>
                              </w:rPr>
                            </w:pPr>
                            <w:r w:rsidRPr="000F61EE">
                              <w:rPr>
                                <w:b/>
                                <w:bCs/>
                                <w:sz w:val="16"/>
                                <w:szCs w:val="16"/>
                              </w:rPr>
                              <w:t>Gender Institutional Environment</w:t>
                            </w:r>
                          </w:p>
                          <w:p w14:paraId="484E3518" w14:textId="77777777" w:rsidR="00422E2F" w:rsidRDefault="00422E2F" w:rsidP="00422E2F">
                            <w:pPr>
                              <w:rPr>
                                <w:sz w:val="16"/>
                                <w:szCs w:val="16"/>
                              </w:rPr>
                            </w:pPr>
                          </w:p>
                          <w:p w14:paraId="7B57C576" w14:textId="77777777" w:rsidR="00422E2F" w:rsidRDefault="00422E2F" w:rsidP="00422E2F">
                            <w:pPr>
                              <w:rPr>
                                <w:sz w:val="16"/>
                                <w:szCs w:val="16"/>
                              </w:rPr>
                            </w:pPr>
                            <w:r w:rsidRPr="000F61EE">
                              <w:rPr>
                                <w:sz w:val="16"/>
                                <w:szCs w:val="16"/>
                              </w:rPr>
                              <w:t>Gender Inequality Index (GII)</w:t>
                            </w:r>
                          </w:p>
                          <w:p w14:paraId="713F47B6" w14:textId="77777777" w:rsidR="00422E2F" w:rsidRDefault="00422E2F" w:rsidP="00422E2F">
                            <w:pPr>
                              <w:rPr>
                                <w:sz w:val="16"/>
                                <w:szCs w:val="16"/>
                              </w:rPr>
                            </w:pPr>
                            <w:r>
                              <w:rPr>
                                <w:sz w:val="16"/>
                                <w:szCs w:val="16"/>
                              </w:rPr>
                              <w:t>1. Reproductive Health</w:t>
                            </w:r>
                          </w:p>
                          <w:p w14:paraId="23AEF719" w14:textId="77777777" w:rsidR="00422E2F" w:rsidRDefault="00422E2F" w:rsidP="00422E2F">
                            <w:pPr>
                              <w:rPr>
                                <w:sz w:val="16"/>
                                <w:szCs w:val="16"/>
                              </w:rPr>
                            </w:pPr>
                            <w:r>
                              <w:rPr>
                                <w:sz w:val="16"/>
                                <w:szCs w:val="16"/>
                              </w:rPr>
                              <w:t>2. Empowerment</w:t>
                            </w:r>
                          </w:p>
                          <w:p w14:paraId="0A4A35CE" w14:textId="77777777" w:rsidR="00422E2F" w:rsidRDefault="00422E2F" w:rsidP="00422E2F">
                            <w:pPr>
                              <w:rPr>
                                <w:sz w:val="16"/>
                                <w:szCs w:val="16"/>
                              </w:rPr>
                            </w:pPr>
                            <w:r>
                              <w:rPr>
                                <w:sz w:val="16"/>
                                <w:szCs w:val="16"/>
                              </w:rPr>
                              <w:t>3. Labor-Market Participation</w:t>
                            </w:r>
                          </w:p>
                          <w:p w14:paraId="5BFECA65" w14:textId="77777777" w:rsidR="00422E2F" w:rsidRDefault="00422E2F" w:rsidP="00422E2F">
                            <w:pPr>
                              <w:rPr>
                                <w:sz w:val="16"/>
                                <w:szCs w:val="16"/>
                              </w:rPr>
                            </w:pPr>
                          </w:p>
                          <w:p w14:paraId="58A7651F" w14:textId="77777777" w:rsidR="00422E2F" w:rsidRDefault="00422E2F" w:rsidP="00422E2F">
                            <w:pPr>
                              <w:rPr>
                                <w:sz w:val="16"/>
                                <w:szCs w:val="16"/>
                              </w:rPr>
                            </w:pPr>
                            <w:r>
                              <w:rPr>
                                <w:sz w:val="16"/>
                                <w:szCs w:val="16"/>
                              </w:rPr>
                              <w:t>Gender Development Index (GDI)</w:t>
                            </w:r>
                          </w:p>
                          <w:p w14:paraId="28DF4DB3" w14:textId="77777777" w:rsidR="00422E2F" w:rsidRDefault="00422E2F" w:rsidP="00422E2F">
                            <w:pPr>
                              <w:rPr>
                                <w:sz w:val="16"/>
                                <w:szCs w:val="16"/>
                              </w:rPr>
                            </w:pPr>
                            <w:r>
                              <w:rPr>
                                <w:sz w:val="16"/>
                                <w:szCs w:val="16"/>
                              </w:rPr>
                              <w:t>1. Education</w:t>
                            </w:r>
                          </w:p>
                          <w:p w14:paraId="19B49409" w14:textId="77777777" w:rsidR="00422E2F" w:rsidRDefault="00422E2F" w:rsidP="00422E2F">
                            <w:pPr>
                              <w:rPr>
                                <w:sz w:val="16"/>
                                <w:szCs w:val="16"/>
                              </w:rPr>
                            </w:pPr>
                            <w:r>
                              <w:rPr>
                                <w:sz w:val="16"/>
                                <w:szCs w:val="16"/>
                              </w:rPr>
                              <w:t>2. Health</w:t>
                            </w:r>
                          </w:p>
                          <w:p w14:paraId="3F9FE61A" w14:textId="77777777" w:rsidR="00422E2F" w:rsidRPr="000F61EE" w:rsidRDefault="00422E2F" w:rsidP="00422E2F">
                            <w:pPr>
                              <w:rPr>
                                <w:sz w:val="16"/>
                                <w:szCs w:val="16"/>
                              </w:rPr>
                            </w:pPr>
                            <w:r>
                              <w:rPr>
                                <w:sz w:val="16"/>
                                <w:szCs w:val="16"/>
                              </w:rPr>
                              <w:t>3. Income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C6D0C" id="Rectangle 1" o:spid="_x0000_s1027" style="position:absolute;left:0;text-align:left;margin-left:2.85pt;margin-top:1.25pt;width:133.95pt;height:1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5KDoAIAAOwFAAAOAAAAZHJzL2Uyb0RvYy54bWysVMlu2zAQvRfoPxC8N5JcZxMsB0aCFAXS&#10;JGhS5ExTZCyU4rAkbcn9+gypxU5itEDRi8RZ38wjZ2YXba3IRlhXgS5odpRSIjSHstLPBf3xeP3p&#10;jBLnmS6ZAi0KuhWOXsw/fpg1JhcTWIEqhSWYRLu8MQVdeW/yJHF8JWrmjsAIjUYJtmYeRfuclJY1&#10;mL1WySRNT5IGbGkscOEcaq86I53H/FIK7u+kdMITVVCszcevjd9l+CbzGcufLTOrivdlsH+oomaV&#10;RtAx1RXzjKxt9S5VXXELDqQ/4lAnIGXFRewBu8nSN908rJgRsRckx5mRJvf/0vLbzYO5t0hDY1zu&#10;8Bi6aKWtwx/rI20kazuSJVpPOCqz0zTLTo4p4WjLpsfT88nnQGeyCzfW+S8CahIOBbV4G5Ektrlx&#10;vnMdXAKaA1WV15VSUQgvQFwqSzYM745xLrSfxnC1rr9B2enxDaT9LaIa77pTnw1qrCa+pZAp1vYK&#10;ROm/4fp28g7zfEjO8n3MbFD/CRNtATTZsR1PfqtEKEXp70KSqkR+O9yx+Nc0dORF7xAmkbQxMIsF&#10;vwlUPusvp/cNYSIOyBiYHgociO8Qx4iICtqPwXWlwR5KUP4ckTv/ofuu59C+b5ctNo3PKNQYNEso&#10;t/eWWOgG1hl+XeEbumHO3zOLE4qzjFvH3+FHKmgKCv2JkhXY34f0wR8HB62UNDjxBXW/1swKStRX&#10;jSN1nk2nYUVEYXp8OkHB7luW+xa9ri8BH2aG+83weAz+Xg1HaaF+wuW0CKhoYpojdkG5t4Nw6btN&#10;hOuNi8UiuuFaMMzf6AfDQ/LAc5iRx/aJWdMPkscZvIVhO7D8zTx1viFSw2LtQVZx2Ha89jeAKyWO&#10;RL/+ws7al6PXbknPXwAAAP//AwBQSwMEFAAGAAgAAAAhAJLZMpHgAAAADAEAAA8AAABkcnMvZG93&#10;bnJldi54bWxMT01Pg0AQvZv4HzZj4s0upQEMZWnqV4yHHkQSPS7sCER2lrDbFv+940kvk5m8N++j&#10;2C12FCec/eBIwXoVgUBqnRmoU1C/Pd3cgvBBk9GjI1TwjR525eVFoXPjzvSKpyp0gkXI51pBH8KU&#10;S+nbHq32KzchMfbpZqsDn3MnzazPLG5HGUdRKq0eiB16PeF9j+1XdbQKGold9XKXJPXH4T0b9s+1&#10;dMOjUtdXy8OWx34LIuAS/j7gtwPnh5KDNe5IxotRQZIxUUGcgGA0zjYpiIaXzToFWRbyf4nyBwAA&#10;//8DAFBLAQItABQABgAIAAAAIQC2gziS/gAAAOEBAAATAAAAAAAAAAAAAAAAAAAAAABbQ29udGVu&#10;dF9UeXBlc10ueG1sUEsBAi0AFAAGAAgAAAAhADj9If/WAAAAlAEAAAsAAAAAAAAAAAAAAAAALwEA&#10;AF9yZWxzLy5yZWxzUEsBAi0AFAAGAAgAAAAhAHIzkoOgAgAA7AUAAA4AAAAAAAAAAAAAAAAALgIA&#10;AGRycy9lMm9Eb2MueG1sUEsBAi0AFAAGAAgAAAAhAJLZMpHgAAAADAEAAA8AAAAAAAAAAAAAAAAA&#10;+gQAAGRycy9kb3ducmV2LnhtbFBLBQYAAAAABAAEAPMAAAAHBgAAAAA=&#10;" fillcolor="#e5dfec [663]" strokecolor="#265999 [2911]" strokeweight="2pt">
                <v:textbox>
                  <w:txbxContent>
                    <w:p w14:paraId="4F77F711" w14:textId="77777777" w:rsidR="00422E2F" w:rsidRPr="000F61EE" w:rsidRDefault="00422E2F" w:rsidP="00422E2F">
                      <w:pPr>
                        <w:rPr>
                          <w:b/>
                          <w:bCs/>
                          <w:sz w:val="16"/>
                          <w:szCs w:val="16"/>
                        </w:rPr>
                      </w:pPr>
                      <w:r w:rsidRPr="000F61EE">
                        <w:rPr>
                          <w:b/>
                          <w:bCs/>
                          <w:sz w:val="16"/>
                          <w:szCs w:val="16"/>
                        </w:rPr>
                        <w:t>Gender Institutional Environment</w:t>
                      </w:r>
                    </w:p>
                    <w:p w14:paraId="484E3518" w14:textId="77777777" w:rsidR="00422E2F" w:rsidRDefault="00422E2F" w:rsidP="00422E2F">
                      <w:pPr>
                        <w:rPr>
                          <w:sz w:val="16"/>
                          <w:szCs w:val="16"/>
                        </w:rPr>
                      </w:pPr>
                    </w:p>
                    <w:p w14:paraId="7B57C576" w14:textId="77777777" w:rsidR="00422E2F" w:rsidRDefault="00422E2F" w:rsidP="00422E2F">
                      <w:pPr>
                        <w:rPr>
                          <w:sz w:val="16"/>
                          <w:szCs w:val="16"/>
                        </w:rPr>
                      </w:pPr>
                      <w:r w:rsidRPr="000F61EE">
                        <w:rPr>
                          <w:sz w:val="16"/>
                          <w:szCs w:val="16"/>
                        </w:rPr>
                        <w:t>Gender Inequality Index (GII)</w:t>
                      </w:r>
                    </w:p>
                    <w:p w14:paraId="713F47B6" w14:textId="77777777" w:rsidR="00422E2F" w:rsidRDefault="00422E2F" w:rsidP="00422E2F">
                      <w:pPr>
                        <w:rPr>
                          <w:sz w:val="16"/>
                          <w:szCs w:val="16"/>
                        </w:rPr>
                      </w:pPr>
                      <w:r>
                        <w:rPr>
                          <w:sz w:val="16"/>
                          <w:szCs w:val="16"/>
                        </w:rPr>
                        <w:t>1. Reproductive Health</w:t>
                      </w:r>
                    </w:p>
                    <w:p w14:paraId="23AEF719" w14:textId="77777777" w:rsidR="00422E2F" w:rsidRDefault="00422E2F" w:rsidP="00422E2F">
                      <w:pPr>
                        <w:rPr>
                          <w:sz w:val="16"/>
                          <w:szCs w:val="16"/>
                        </w:rPr>
                      </w:pPr>
                      <w:r>
                        <w:rPr>
                          <w:sz w:val="16"/>
                          <w:szCs w:val="16"/>
                        </w:rPr>
                        <w:t>2. Empowerment</w:t>
                      </w:r>
                    </w:p>
                    <w:p w14:paraId="0A4A35CE" w14:textId="77777777" w:rsidR="00422E2F" w:rsidRDefault="00422E2F" w:rsidP="00422E2F">
                      <w:pPr>
                        <w:rPr>
                          <w:sz w:val="16"/>
                          <w:szCs w:val="16"/>
                        </w:rPr>
                      </w:pPr>
                      <w:r>
                        <w:rPr>
                          <w:sz w:val="16"/>
                          <w:szCs w:val="16"/>
                        </w:rPr>
                        <w:t>3. Labor-Market Participation</w:t>
                      </w:r>
                    </w:p>
                    <w:p w14:paraId="5BFECA65" w14:textId="77777777" w:rsidR="00422E2F" w:rsidRDefault="00422E2F" w:rsidP="00422E2F">
                      <w:pPr>
                        <w:rPr>
                          <w:sz w:val="16"/>
                          <w:szCs w:val="16"/>
                        </w:rPr>
                      </w:pPr>
                    </w:p>
                    <w:p w14:paraId="58A7651F" w14:textId="77777777" w:rsidR="00422E2F" w:rsidRDefault="00422E2F" w:rsidP="00422E2F">
                      <w:pPr>
                        <w:rPr>
                          <w:sz w:val="16"/>
                          <w:szCs w:val="16"/>
                        </w:rPr>
                      </w:pPr>
                      <w:r>
                        <w:rPr>
                          <w:sz w:val="16"/>
                          <w:szCs w:val="16"/>
                        </w:rPr>
                        <w:t>Gender Development Index (GDI)</w:t>
                      </w:r>
                    </w:p>
                    <w:p w14:paraId="28DF4DB3" w14:textId="77777777" w:rsidR="00422E2F" w:rsidRDefault="00422E2F" w:rsidP="00422E2F">
                      <w:pPr>
                        <w:rPr>
                          <w:sz w:val="16"/>
                          <w:szCs w:val="16"/>
                        </w:rPr>
                      </w:pPr>
                      <w:r>
                        <w:rPr>
                          <w:sz w:val="16"/>
                          <w:szCs w:val="16"/>
                        </w:rPr>
                        <w:t>1. Education</w:t>
                      </w:r>
                    </w:p>
                    <w:p w14:paraId="19B49409" w14:textId="77777777" w:rsidR="00422E2F" w:rsidRDefault="00422E2F" w:rsidP="00422E2F">
                      <w:pPr>
                        <w:rPr>
                          <w:sz w:val="16"/>
                          <w:szCs w:val="16"/>
                        </w:rPr>
                      </w:pPr>
                      <w:r>
                        <w:rPr>
                          <w:sz w:val="16"/>
                          <w:szCs w:val="16"/>
                        </w:rPr>
                        <w:t>2. Health</w:t>
                      </w:r>
                    </w:p>
                    <w:p w14:paraId="3F9FE61A" w14:textId="77777777" w:rsidR="00422E2F" w:rsidRPr="000F61EE" w:rsidRDefault="00422E2F" w:rsidP="00422E2F">
                      <w:pPr>
                        <w:rPr>
                          <w:sz w:val="16"/>
                          <w:szCs w:val="16"/>
                        </w:rPr>
                      </w:pPr>
                      <w:r>
                        <w:rPr>
                          <w:sz w:val="16"/>
                          <w:szCs w:val="16"/>
                        </w:rPr>
                        <w:t>3. Income</w:t>
                      </w:r>
                    </w:p>
                  </w:txbxContent>
                </v:textbox>
              </v:rect>
            </w:pict>
          </mc:Fallback>
        </mc:AlternateContent>
      </w:r>
    </w:p>
    <w:p w14:paraId="3DE7A2CA" w14:textId="4BDAD975" w:rsidR="00422E2F" w:rsidRPr="00E76534" w:rsidRDefault="00422E2F" w:rsidP="00010349">
      <w:pPr>
        <w:pStyle w:val="Body"/>
        <w:spacing w:after="0"/>
        <w:rPr>
          <w:rFonts w:ascii="Arial" w:hAnsi="Arial" w:cs="Arial"/>
        </w:rPr>
      </w:pPr>
    </w:p>
    <w:p w14:paraId="1E5924EC" w14:textId="74D11396" w:rsidR="00422E2F" w:rsidRPr="00E76534" w:rsidRDefault="00422E2F" w:rsidP="00010349">
      <w:pPr>
        <w:pStyle w:val="Body"/>
        <w:spacing w:after="0"/>
        <w:rPr>
          <w:rFonts w:ascii="Arial" w:hAnsi="Arial" w:cs="Arial"/>
        </w:rPr>
      </w:pPr>
      <w:r w:rsidRPr="00E76534">
        <w:rPr>
          <w:rFonts w:ascii="Arial" w:hAnsi="Arial" w:cs="Arial"/>
          <w:noProof/>
          <w14:ligatures w14:val="standardContextual"/>
        </w:rPr>
        <mc:AlternateContent>
          <mc:Choice Requires="wps">
            <w:drawing>
              <wp:anchor distT="0" distB="0" distL="114300" distR="114300" simplePos="0" relativeHeight="251661312" behindDoc="0" locked="0" layoutInCell="1" allowOverlap="1" wp14:anchorId="44F18EE3" wp14:editId="406C68EC">
                <wp:simplePos x="0" y="0"/>
                <wp:positionH relativeFrom="column">
                  <wp:posOffset>4076337</wp:posOffset>
                </wp:positionH>
                <wp:positionV relativeFrom="paragraph">
                  <wp:posOffset>133078</wp:posOffset>
                </wp:positionV>
                <wp:extent cx="1463040" cy="643890"/>
                <wp:effectExtent l="0" t="0" r="10160" b="16510"/>
                <wp:wrapNone/>
                <wp:docPr id="713827718" name="Rectangle 3"/>
                <wp:cNvGraphicFramePr/>
                <a:graphic xmlns:a="http://schemas.openxmlformats.org/drawingml/2006/main">
                  <a:graphicData uri="http://schemas.microsoft.com/office/word/2010/wordprocessingShape">
                    <wps:wsp>
                      <wps:cNvSpPr/>
                      <wps:spPr>
                        <a:xfrm>
                          <a:off x="0" y="0"/>
                          <a:ext cx="1463040" cy="643890"/>
                        </a:xfrm>
                        <a:prstGeom prst="rect">
                          <a:avLst/>
                        </a:prstGeom>
                        <a:solidFill>
                          <a:schemeClr val="accent2">
                            <a:lumMod val="20000"/>
                            <a:lumOff val="80000"/>
                          </a:schemeClr>
                        </a:solidFill>
                      </wps:spPr>
                      <wps:style>
                        <a:lnRef idx="2">
                          <a:schemeClr val="accent2">
                            <a:shade val="15000"/>
                          </a:schemeClr>
                        </a:lnRef>
                        <a:fillRef idx="1">
                          <a:schemeClr val="accent2"/>
                        </a:fillRef>
                        <a:effectRef idx="0">
                          <a:schemeClr val="accent2"/>
                        </a:effectRef>
                        <a:fontRef idx="minor">
                          <a:schemeClr val="lt1"/>
                        </a:fontRef>
                      </wps:style>
                      <wps:txbx>
                        <w:txbxContent>
                          <w:p w14:paraId="3046BB9E" w14:textId="77777777" w:rsidR="00422E2F" w:rsidRDefault="00422E2F" w:rsidP="00422E2F">
                            <w:pPr>
                              <w:jc w:val="center"/>
                              <w:rPr>
                                <w:b/>
                                <w:bCs/>
                                <w:color w:val="000000" w:themeColor="text1"/>
                                <w:sz w:val="16"/>
                                <w:szCs w:val="16"/>
                              </w:rPr>
                            </w:pPr>
                            <w:r w:rsidRPr="00941B85">
                              <w:rPr>
                                <w:b/>
                                <w:bCs/>
                                <w:color w:val="000000" w:themeColor="text1"/>
                                <w:sz w:val="16"/>
                                <w:szCs w:val="16"/>
                              </w:rPr>
                              <w:t>Fertility Timing Outcomes</w:t>
                            </w:r>
                          </w:p>
                          <w:p w14:paraId="24986754" w14:textId="77777777" w:rsidR="00422E2F" w:rsidRPr="00941B85" w:rsidRDefault="00422E2F" w:rsidP="00422E2F">
                            <w:pPr>
                              <w:jc w:val="center"/>
                              <w:rPr>
                                <w:b/>
                                <w:bCs/>
                                <w:color w:val="000000" w:themeColor="text1"/>
                                <w:sz w:val="16"/>
                                <w:szCs w:val="16"/>
                              </w:rPr>
                            </w:pPr>
                          </w:p>
                          <w:p w14:paraId="05C0CD92" w14:textId="77777777" w:rsidR="00422E2F" w:rsidRPr="00941B85" w:rsidRDefault="00422E2F" w:rsidP="00422E2F">
                            <w:pPr>
                              <w:rPr>
                                <w:color w:val="000000" w:themeColor="text1"/>
                                <w:sz w:val="16"/>
                                <w:szCs w:val="16"/>
                              </w:rPr>
                            </w:pPr>
                            <w:r>
                              <w:rPr>
                                <w:color w:val="000000" w:themeColor="text1"/>
                                <w:sz w:val="16"/>
                                <w:szCs w:val="16"/>
                              </w:rPr>
                              <w:t xml:space="preserve">  </w:t>
                            </w:r>
                            <w:r w:rsidRPr="00941B85">
                              <w:rPr>
                                <w:color w:val="000000" w:themeColor="text1"/>
                                <w:sz w:val="16"/>
                                <w:szCs w:val="16"/>
                              </w:rPr>
                              <w:t>Early Childbearing</w:t>
                            </w:r>
                          </w:p>
                          <w:p w14:paraId="509B1B87" w14:textId="77777777" w:rsidR="00422E2F" w:rsidRPr="00941B85" w:rsidRDefault="00422E2F" w:rsidP="00422E2F">
                            <w:pPr>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18EE3" id="Rectangle 3" o:spid="_x0000_s1028" style="position:absolute;left:0;text-align:left;margin-left:320.95pt;margin-top:10.5pt;width:115.2pt;height:5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IDwjgIAAJcFAAAOAAAAZHJzL2Uyb0RvYy54bWysVN9P2zAQfp+0/8Hy+0hSCisVKaqKmCYx&#10;QIOJZ9exG0uOz7PdJt1fv7OThgqYJk17Sc734zvf57u7vOoaTXbCeQWmpMVJTokwHCplNiX98XTz&#10;aUaJD8xUTIMRJd0LT68WHz9ctnYuJlCDroQjCGL8vLUlrUOw8yzzvBYN8ydghUGjBNewgEe3ySrH&#10;WkRvdDbJ8/OsBVdZB1x4j9rr3kgXCV9KwcO9lF4EokuKdwvp69J3Hb/Z4pLNN47ZWvHhGuwfbtEw&#10;ZTDpCHXNAiNbp95ANYo78CDDCYcmAykVF6kGrKbIX1XzWDMrUi1IjrcjTf7/wfK73aN9cEhDa/3c&#10;oxir6KRr4h/vR7pE1n4kS3SBcFQW0/PTfIqccrSdT09nF4nN7CXaOh++CGhIFErq8DESR2x36wNm&#10;RNeDS0zmQavqRmmdDrEBxEo7smP4dIxzYcIkhett8w2qXo8tkA+PiGp86l49O6gxRWqliJQSHiXJ&#10;XipOUthrEVNr811IoiqssU84Iry9i69ZJXp1cTZc5U3OBBiRJRY3YhepmD9g9+wM/jFUpF4eg/O/&#10;B48RKTOYMAY3yoB7D0CHIg4EFiB7f5SPqIli6NYdchOpGXpmDdX+wREH/Wx5y28Uvvct8+GBORwm&#10;bBFcEOEeP1JDW1IYJEpqcL/e00d/7HG0UtLicJbU/9wyJyjRXw12/0UxjZ0X0mF69nmCB3dsWR9b&#10;zLZZATZRgavI8iRG/6APonTQPOMeWcasaGKGY+6S8uAOh1XolwZuIi6Wy+SGE2xZuDWPlkfwyHPs&#10;56fumTk7NH3AcbmDwyCz+ave731jpIHlNoBUaTAi0z2vwwvg9Kd3GTZVXC/H5+T1sk8XvwEAAP//&#10;AwBQSwMEFAAGAAgAAAAhAMRjL23iAAAADwEAAA8AAABkcnMvZG93bnJldi54bWxMj81OwzAQhO9I&#10;vIO1SNyoE1NKSeNUiL97W4Q4OvESR43XIXbbwNOznOCy0mq/mZ0p15PvxRHH2AXSkM8yEEhNsB21&#10;Gl53z1dLEDEZsqYPhBq+MMK6Oj8rTWHDiTZ43KZWsAnFwmhwKQ2FlLFx6E2chQGJbx9h9CbxOrbS&#10;jubE5r6XKssW0puO+IMzAz44bPbbg9fwlqH5/N7Z2r1PN+2Teun2A3VaX15Mjyse9ysQCaf0p4Df&#10;DpwfKg5WhwPZKHoNi3l+x6gGlXMxBpa36hpEzaRSc5BVKf/3qH4AAAD//wMAUEsBAi0AFAAGAAgA&#10;AAAhALaDOJL+AAAA4QEAABMAAAAAAAAAAAAAAAAAAAAAAFtDb250ZW50X1R5cGVzXS54bWxQSwEC&#10;LQAUAAYACAAAACEAOP0h/9YAAACUAQAACwAAAAAAAAAAAAAAAAAvAQAAX3JlbHMvLnJlbHNQSwEC&#10;LQAUAAYACAAAACEAb9SA8I4CAACXBQAADgAAAAAAAAAAAAAAAAAuAgAAZHJzL2Uyb0RvYy54bWxQ&#10;SwECLQAUAAYACAAAACEAxGMvbeIAAAAPAQAADwAAAAAAAAAAAAAAAADoBAAAZHJzL2Rvd25yZXYu&#10;eG1sUEsFBgAAAAAEAAQA8wAAAPcFAAAAAA==&#10;" fillcolor="#f2dbdb [661]" strokecolor="#1d0a0a [485]" strokeweight="2pt">
                <v:textbox>
                  <w:txbxContent>
                    <w:p w14:paraId="3046BB9E" w14:textId="77777777" w:rsidR="00422E2F" w:rsidRDefault="00422E2F" w:rsidP="00422E2F">
                      <w:pPr>
                        <w:jc w:val="center"/>
                        <w:rPr>
                          <w:b/>
                          <w:bCs/>
                          <w:color w:val="000000" w:themeColor="text1"/>
                          <w:sz w:val="16"/>
                          <w:szCs w:val="16"/>
                        </w:rPr>
                      </w:pPr>
                      <w:r w:rsidRPr="00941B85">
                        <w:rPr>
                          <w:b/>
                          <w:bCs/>
                          <w:color w:val="000000" w:themeColor="text1"/>
                          <w:sz w:val="16"/>
                          <w:szCs w:val="16"/>
                        </w:rPr>
                        <w:t>Fertility Timing Outcomes</w:t>
                      </w:r>
                    </w:p>
                    <w:p w14:paraId="24986754" w14:textId="77777777" w:rsidR="00422E2F" w:rsidRPr="00941B85" w:rsidRDefault="00422E2F" w:rsidP="00422E2F">
                      <w:pPr>
                        <w:jc w:val="center"/>
                        <w:rPr>
                          <w:b/>
                          <w:bCs/>
                          <w:color w:val="000000" w:themeColor="text1"/>
                          <w:sz w:val="16"/>
                          <w:szCs w:val="16"/>
                        </w:rPr>
                      </w:pPr>
                    </w:p>
                    <w:p w14:paraId="05C0CD92" w14:textId="77777777" w:rsidR="00422E2F" w:rsidRPr="00941B85" w:rsidRDefault="00422E2F" w:rsidP="00422E2F">
                      <w:pPr>
                        <w:rPr>
                          <w:color w:val="000000" w:themeColor="text1"/>
                          <w:sz w:val="16"/>
                          <w:szCs w:val="16"/>
                        </w:rPr>
                      </w:pPr>
                      <w:r>
                        <w:rPr>
                          <w:color w:val="000000" w:themeColor="text1"/>
                          <w:sz w:val="16"/>
                          <w:szCs w:val="16"/>
                        </w:rPr>
                        <w:t xml:space="preserve">  </w:t>
                      </w:r>
                      <w:r w:rsidRPr="00941B85">
                        <w:rPr>
                          <w:color w:val="000000" w:themeColor="text1"/>
                          <w:sz w:val="16"/>
                          <w:szCs w:val="16"/>
                        </w:rPr>
                        <w:t>Early Childbearing</w:t>
                      </w:r>
                    </w:p>
                    <w:p w14:paraId="509B1B87" w14:textId="77777777" w:rsidR="00422E2F" w:rsidRPr="00941B85" w:rsidRDefault="00422E2F" w:rsidP="00422E2F">
                      <w:pPr>
                        <w:rPr>
                          <w:color w:val="000000" w:themeColor="text1"/>
                          <w:sz w:val="16"/>
                          <w:szCs w:val="16"/>
                        </w:rPr>
                      </w:pPr>
                    </w:p>
                  </w:txbxContent>
                </v:textbox>
              </v:rect>
            </w:pict>
          </mc:Fallback>
        </mc:AlternateContent>
      </w:r>
      <w:r w:rsidRPr="00E76534">
        <w:rPr>
          <w:rFonts w:ascii="Arial" w:hAnsi="Arial" w:cs="Arial"/>
          <w:noProof/>
          <w14:ligatures w14:val="standardContextual"/>
        </w:rPr>
        <mc:AlternateContent>
          <mc:Choice Requires="wps">
            <w:drawing>
              <wp:anchor distT="0" distB="0" distL="114300" distR="114300" simplePos="0" relativeHeight="251660288" behindDoc="0" locked="0" layoutInCell="1" allowOverlap="1" wp14:anchorId="73330424" wp14:editId="70FD5A2F">
                <wp:simplePos x="0" y="0"/>
                <wp:positionH relativeFrom="column">
                  <wp:posOffset>2089785</wp:posOffset>
                </wp:positionH>
                <wp:positionV relativeFrom="paragraph">
                  <wp:posOffset>6350</wp:posOffset>
                </wp:positionV>
                <wp:extent cx="1661795" cy="922020"/>
                <wp:effectExtent l="0" t="0" r="14605" b="17780"/>
                <wp:wrapNone/>
                <wp:docPr id="1301175110" name="Rectangle 2"/>
                <wp:cNvGraphicFramePr/>
                <a:graphic xmlns:a="http://schemas.openxmlformats.org/drawingml/2006/main">
                  <a:graphicData uri="http://schemas.microsoft.com/office/word/2010/wordprocessingShape">
                    <wps:wsp>
                      <wps:cNvSpPr/>
                      <wps:spPr>
                        <a:xfrm>
                          <a:off x="0" y="0"/>
                          <a:ext cx="1661795" cy="922020"/>
                        </a:xfrm>
                        <a:prstGeom prst="rect">
                          <a:avLst/>
                        </a:prstGeom>
                        <a:solidFill>
                          <a:schemeClr val="accent6">
                            <a:lumMod val="20000"/>
                            <a:lumOff val="80000"/>
                          </a:schemeClr>
                        </a:solidFill>
                      </wps:spPr>
                      <wps:style>
                        <a:lnRef idx="1">
                          <a:schemeClr val="accent6"/>
                        </a:lnRef>
                        <a:fillRef idx="2">
                          <a:schemeClr val="accent6"/>
                        </a:fillRef>
                        <a:effectRef idx="1">
                          <a:schemeClr val="accent6"/>
                        </a:effectRef>
                        <a:fontRef idx="minor">
                          <a:schemeClr val="dk1"/>
                        </a:fontRef>
                      </wps:style>
                      <wps:txbx>
                        <w:txbxContent>
                          <w:p w14:paraId="56E28B2C" w14:textId="77777777" w:rsidR="00422E2F" w:rsidRDefault="00422E2F" w:rsidP="00422E2F">
                            <w:pPr>
                              <w:jc w:val="center"/>
                              <w:rPr>
                                <w:b/>
                                <w:bCs/>
                                <w:sz w:val="16"/>
                                <w:szCs w:val="16"/>
                              </w:rPr>
                            </w:pPr>
                            <w:r w:rsidRPr="00941B85">
                              <w:rPr>
                                <w:b/>
                                <w:bCs/>
                                <w:sz w:val="16"/>
                                <w:szCs w:val="16"/>
                              </w:rPr>
                              <w:t>Fertility Timing Incendivities</w:t>
                            </w:r>
                          </w:p>
                          <w:p w14:paraId="4C02056E" w14:textId="77777777" w:rsidR="00422E2F" w:rsidRDefault="00422E2F" w:rsidP="00422E2F">
                            <w:pPr>
                              <w:jc w:val="center"/>
                              <w:rPr>
                                <w:b/>
                                <w:bCs/>
                                <w:sz w:val="16"/>
                                <w:szCs w:val="16"/>
                              </w:rPr>
                            </w:pPr>
                          </w:p>
                          <w:p w14:paraId="04971CC3" w14:textId="77777777" w:rsidR="00422E2F" w:rsidRPr="00941B85" w:rsidRDefault="00422E2F" w:rsidP="00422E2F">
                            <w:pPr>
                              <w:rPr>
                                <w:sz w:val="16"/>
                                <w:szCs w:val="16"/>
                              </w:rPr>
                            </w:pPr>
                            <w:r w:rsidRPr="00941B85">
                              <w:rPr>
                                <w:sz w:val="16"/>
                                <w:szCs w:val="16"/>
                              </w:rPr>
                              <w:t>1. Opportunity Cost of Early Fertility</w:t>
                            </w:r>
                          </w:p>
                          <w:p w14:paraId="3437297A" w14:textId="77777777" w:rsidR="00422E2F" w:rsidRPr="00941B85" w:rsidRDefault="00422E2F" w:rsidP="00422E2F">
                            <w:pPr>
                              <w:rPr>
                                <w:sz w:val="16"/>
                                <w:szCs w:val="16"/>
                              </w:rPr>
                            </w:pPr>
                            <w:r w:rsidRPr="00941B85">
                              <w:rPr>
                                <w:sz w:val="16"/>
                                <w:szCs w:val="16"/>
                              </w:rPr>
                              <w:t>2. Returns to Education &amp; Work</w:t>
                            </w:r>
                          </w:p>
                          <w:p w14:paraId="433EEF7B" w14:textId="77777777" w:rsidR="00422E2F" w:rsidRPr="00941B85" w:rsidRDefault="00422E2F" w:rsidP="00422E2F">
                            <w:pPr>
                              <w:rPr>
                                <w:sz w:val="16"/>
                                <w:szCs w:val="16"/>
                              </w:rPr>
                            </w:pPr>
                            <w:r w:rsidRPr="00941B85">
                              <w:rPr>
                                <w:sz w:val="16"/>
                                <w:szCs w:val="16"/>
                              </w:rPr>
                              <w:t>3.Constraits of Life-Cycle Choice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30424" id="Rectangle 2" o:spid="_x0000_s1029" style="position:absolute;left:0;text-align:left;margin-left:164.55pt;margin-top:.5pt;width:130.85pt;height:7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kfPfgIAAHQFAAAOAAAAZHJzL2Uyb0RvYy54bWysVN1P2zAQf5+0/8Hy+0jTQYGKFFUgpkkM&#10;qsHEs+vY1Jrt82y3SffXc3bStGNIm6a9JOf7/vjdXVy2RpON8EGBrWh5NKJEWA61ss8V/fZ48+GM&#10;khCZrZkGKyq6FYFezt6/u2jcVIxhBboWnqATG6aNq+gqRjctisBXwrBwBE5YFErwhkV8+uei9qxB&#10;70YX49FoUjTga+eBixCQe90J6Sz7l1LweC9lEJHoimJuMX99/i7Tt5hdsOmzZ26leJ8G+4csDFMW&#10;gw6urllkZO3Vb66M4h4CyHjEwRQgpeIi14DVlKNX1TysmBO5FmxOcEObwv9zy+82D27hsQ2NC9OA&#10;ZKqild6kP+ZH2tys7dAs0UbCkVlOJuXp+QklHGXn4/FonLtZ7K2dD/GTAEMSUVGPw8g9YpvbEDEi&#10;qu5UUrAAWtU3Suv8SAAQV9qTDcPRMc6FjZNsrtfmC9QdHyEw6oeIbBx1xz7bsTFEhlLylAMeBCn2&#10;FWcqbrVIobX9KiRRdaoxBxw8/JpLV0HWTmYSMx8Mx3827PWTqchAHYz/IupgkSODjYOxURb8W9Hr&#10;72VCO3ZEdvpIH9SdyNguWyy8oh+TZuIsod4uPPHQLU5w/EbhMG9ZiAvmcVNwp3D74z1+pIamotBT&#10;lKzA/3yLn/QRwCilpMHNq2j4sWZeUKI/W4T2eXl8nFY1P45PThFXxB9KlocSuzZXgAgp8c44nsmk&#10;H/WOlB7MEx6JeYqKImY5xq4oj373uIrdRcAzw8V8ntVwPR2Lt/bB8R0OElgf2yfmXY/oiLtwB7st&#10;ZdNXwO5004QszNcRpMqo3/e1nwCudp5Lf4bS7Th8Z639sZy9AAAA//8DAFBLAwQUAAYACAAAACEA&#10;AeOE1eQAAAAOAQAADwAAAGRycy9kb3ducmV2LnhtbEyPQUvDQBCF74L/YRnBi9hN0xraNJtSLEUQ&#10;ijRW8DjNrkkwOxuy2zb5944nvQw83syb92XrwbbiYnrfOFIwnUQgDJVON1QpOL7vHhcgfEDS2Doy&#10;CkbjYZ3f3mSYanelg7kUoRIcQj5FBXUIXSqlL2tj0U9cZ4i9L9dbDCz7SuoerxxuWxlHUSItNsQf&#10;auzMc23K7+JsFTzga/F5SDb9h8Zx3L7sZm/zPSl1fzdsVzw2KxDBDOHvAn4ZuD/kXOzkzqS9aBXM&#10;4uWUV9lgLvaflhHznFjPkxhknsn/GPkPAAAA//8DAFBLAQItABQABgAIAAAAIQC2gziS/gAAAOEB&#10;AAATAAAAAAAAAAAAAAAAAAAAAABbQ29udGVudF9UeXBlc10ueG1sUEsBAi0AFAAGAAgAAAAhADj9&#10;If/WAAAAlAEAAAsAAAAAAAAAAAAAAAAALwEAAF9yZWxzLy5yZWxzUEsBAi0AFAAGAAgAAAAhAMze&#10;R89+AgAAdAUAAA4AAAAAAAAAAAAAAAAALgIAAGRycy9lMm9Eb2MueG1sUEsBAi0AFAAGAAgAAAAh&#10;AAHjhNXkAAAADgEAAA8AAAAAAAAAAAAAAAAA2AQAAGRycy9kb3ducmV2LnhtbFBLBQYAAAAABAAE&#10;APMAAADpBQAAAAA=&#10;" fillcolor="#fde9d9 [665]" strokecolor="#f68c36 [3049]">
                <v:shadow on="t" color="black" opacity="24903f" origin=",.5" offset="0,.55556mm"/>
                <v:textbox>
                  <w:txbxContent>
                    <w:p w14:paraId="56E28B2C" w14:textId="77777777" w:rsidR="00422E2F" w:rsidRDefault="00422E2F" w:rsidP="00422E2F">
                      <w:pPr>
                        <w:jc w:val="center"/>
                        <w:rPr>
                          <w:b/>
                          <w:bCs/>
                          <w:sz w:val="16"/>
                          <w:szCs w:val="16"/>
                        </w:rPr>
                      </w:pPr>
                      <w:r w:rsidRPr="00941B85">
                        <w:rPr>
                          <w:b/>
                          <w:bCs/>
                          <w:sz w:val="16"/>
                          <w:szCs w:val="16"/>
                        </w:rPr>
                        <w:t>Fertility Timing Incendivities</w:t>
                      </w:r>
                    </w:p>
                    <w:p w14:paraId="4C02056E" w14:textId="77777777" w:rsidR="00422E2F" w:rsidRDefault="00422E2F" w:rsidP="00422E2F">
                      <w:pPr>
                        <w:jc w:val="center"/>
                        <w:rPr>
                          <w:b/>
                          <w:bCs/>
                          <w:sz w:val="16"/>
                          <w:szCs w:val="16"/>
                        </w:rPr>
                      </w:pPr>
                    </w:p>
                    <w:p w14:paraId="04971CC3" w14:textId="77777777" w:rsidR="00422E2F" w:rsidRPr="00941B85" w:rsidRDefault="00422E2F" w:rsidP="00422E2F">
                      <w:pPr>
                        <w:rPr>
                          <w:sz w:val="16"/>
                          <w:szCs w:val="16"/>
                        </w:rPr>
                      </w:pPr>
                      <w:r w:rsidRPr="00941B85">
                        <w:rPr>
                          <w:sz w:val="16"/>
                          <w:szCs w:val="16"/>
                        </w:rPr>
                        <w:t>1. Opportunity Cost of Early Fertility</w:t>
                      </w:r>
                    </w:p>
                    <w:p w14:paraId="3437297A" w14:textId="77777777" w:rsidR="00422E2F" w:rsidRPr="00941B85" w:rsidRDefault="00422E2F" w:rsidP="00422E2F">
                      <w:pPr>
                        <w:rPr>
                          <w:sz w:val="16"/>
                          <w:szCs w:val="16"/>
                        </w:rPr>
                      </w:pPr>
                      <w:r w:rsidRPr="00941B85">
                        <w:rPr>
                          <w:sz w:val="16"/>
                          <w:szCs w:val="16"/>
                        </w:rPr>
                        <w:t>2. Returns to Education &amp; Work</w:t>
                      </w:r>
                    </w:p>
                    <w:p w14:paraId="433EEF7B" w14:textId="77777777" w:rsidR="00422E2F" w:rsidRPr="00941B85" w:rsidRDefault="00422E2F" w:rsidP="00422E2F">
                      <w:pPr>
                        <w:rPr>
                          <w:sz w:val="16"/>
                          <w:szCs w:val="16"/>
                        </w:rPr>
                      </w:pPr>
                      <w:r w:rsidRPr="00941B85">
                        <w:rPr>
                          <w:sz w:val="16"/>
                          <w:szCs w:val="16"/>
                        </w:rPr>
                        <w:t>3.Constraits of Life-Cycle Choice</w:t>
                      </w:r>
                    </w:p>
                  </w:txbxContent>
                </v:textbox>
              </v:rect>
            </w:pict>
          </mc:Fallback>
        </mc:AlternateContent>
      </w:r>
    </w:p>
    <w:p w14:paraId="1F4DF8AA" w14:textId="1D969C9B" w:rsidR="00422E2F" w:rsidRPr="00E76534" w:rsidRDefault="00422E2F" w:rsidP="00010349">
      <w:pPr>
        <w:pStyle w:val="Body"/>
        <w:spacing w:after="0"/>
        <w:rPr>
          <w:rFonts w:ascii="Arial" w:hAnsi="Arial" w:cs="Arial"/>
        </w:rPr>
      </w:pPr>
    </w:p>
    <w:p w14:paraId="5EA1541B" w14:textId="2BA72400" w:rsidR="00422E2F" w:rsidRPr="00E76534" w:rsidRDefault="00422E2F" w:rsidP="00010349">
      <w:pPr>
        <w:pStyle w:val="Body"/>
        <w:spacing w:after="0"/>
        <w:rPr>
          <w:rFonts w:ascii="Arial" w:hAnsi="Arial" w:cs="Arial"/>
        </w:rPr>
      </w:pPr>
      <w:r w:rsidRPr="00E76534">
        <w:rPr>
          <w:rFonts w:ascii="Arial" w:hAnsi="Arial" w:cs="Arial"/>
          <w:noProof/>
          <w14:ligatures w14:val="standardContextual"/>
        </w:rPr>
        <mc:AlternateContent>
          <mc:Choice Requires="wps">
            <w:drawing>
              <wp:anchor distT="0" distB="0" distL="114300" distR="114300" simplePos="0" relativeHeight="251663360" behindDoc="0" locked="0" layoutInCell="1" allowOverlap="1" wp14:anchorId="2AC51889" wp14:editId="198F5895">
                <wp:simplePos x="0" y="0"/>
                <wp:positionH relativeFrom="column">
                  <wp:posOffset>3751580</wp:posOffset>
                </wp:positionH>
                <wp:positionV relativeFrom="paragraph">
                  <wp:posOffset>126274</wp:posOffset>
                </wp:positionV>
                <wp:extent cx="326004" cy="109966"/>
                <wp:effectExtent l="0" t="12700" r="29845" b="29845"/>
                <wp:wrapNone/>
                <wp:docPr id="1435584749" name="Right Arrow 7"/>
                <wp:cNvGraphicFramePr/>
                <a:graphic xmlns:a="http://schemas.openxmlformats.org/drawingml/2006/main">
                  <a:graphicData uri="http://schemas.microsoft.com/office/word/2010/wordprocessingShape">
                    <wps:wsp>
                      <wps:cNvSpPr/>
                      <wps:spPr>
                        <a:xfrm>
                          <a:off x="0" y="0"/>
                          <a:ext cx="326004" cy="109966"/>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183FC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26" type="#_x0000_t13" style="position:absolute;margin-left:295.4pt;margin-top:9.95pt;width:25.65pt;height: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bnhYQIAABgFAAAOAAAAZHJzL2Uyb0RvYy54bWysVMFu2zAMvQ/YPwi6r7azNFuDOEXQosOA&#10;oi3WDj0rshQbkEWNUuJkXz9KdpyiLXYYdpElkXwknx+1uNy3hu0U+gZsyYuznDNlJVSN3ZT859PN&#10;p6+c+SBsJQxYVfKD8vxy+fHDonNzNYEaTKWQEYj1886VvA7BzbPMy1q1wp+BU5aMGrAVgY64ySoU&#10;HaG3Jpvk+SzrACuHIJX3dHvdG/ky4WutZLjX2qvATMmptpBWTOs6rtlyIeYbFK5u5FCG+IcqWtFY&#10;SjpCXYsg2BabN1BtIxE86HAmoc1A60aq1AN1U+SvunmshVOpFyLHu5Em//9g5d3u0T0g0dA5P/e0&#10;jV3sNbbxS/WxfSLrMJKl9oFJuvw8meX5lDNJpiK/uJjNIpnZKdihD98UtCxuSo7Npg4rROgSUWJ3&#10;60MfcHSk6FMRaRcORsU6jP2hNGsqSjtJ0Ukf6sog2wn6s0JKZUPRm2pRqf66OM/z9IupqjEi1ZgA&#10;I7JujBmxB4CovbfYfa2DfwxVSV5jcP63wvrgMSJlBhvG4LaxgO8BGOpqyNz7H0nqqYksraE6PCBD&#10;6MXtnbxpiPFb4cODQFIz6Z4mNNzTog10JYdhx1kN+Pu9++hPIiMrZx1NR8n9r61AxZn5bkl+F8V0&#10;GscpHabnXyZ0wJeW9UuL3bZXQL+poLfAybSN/sEctxqhfaZBXsWsZBJWUu6Sy4DHw1Xop5aeAqlW&#10;q+RGI+REuLWPTkbwyGrU0tP+WaAbZBdIr3dwnCQxf6W73jdGWlhtA+gmifLE68A3jV8SzvBUxPl+&#10;eU5epwdt+QcAAP//AwBQSwMEFAAGAAgAAAAhAIAcJS7jAAAADgEAAA8AAABkcnMvZG93bnJldi54&#10;bWxMj81OwzAQhO9IvIO1SNyoEwOFpHEqBEK9UKm0Fb268ZJE+CeynTa8PcsJLiutZnb2m2o5WcNO&#10;GGLvnYR8lgFD13jdu1bCfvd68wgsJuW0Mt6hhG+MsKwvLypVan9273jappZRiIulktClNJScx6ZD&#10;q+LMD+hI+/TBqkRraLkO6kzh1nCRZXNuVe/oQ6cGfO6w+dqOVoLZTCPi28cqrsRGhUMS6/wgpLy+&#10;ml4WNJ4WwBJO6e8CfjsQP9QEdvSj05EZCfdFRvyJhKIARob5nciBHSXcPgjgdcX/16h/AAAA//8D&#10;AFBLAQItABQABgAIAAAAIQC2gziS/gAAAOEBAAATAAAAAAAAAAAAAAAAAAAAAABbQ29udGVudF9U&#10;eXBlc10ueG1sUEsBAi0AFAAGAAgAAAAhADj9If/WAAAAlAEAAAsAAAAAAAAAAAAAAAAALwEAAF9y&#10;ZWxzLy5yZWxzUEsBAi0AFAAGAAgAAAAhAPOZueFhAgAAGAUAAA4AAAAAAAAAAAAAAAAALgIAAGRy&#10;cy9lMm9Eb2MueG1sUEsBAi0AFAAGAAgAAAAhAIAcJS7jAAAADgEAAA8AAAAAAAAAAAAAAAAAuwQA&#10;AGRycy9kb3ducmV2LnhtbFBLBQYAAAAABAAEAPMAAADLBQAAAAA=&#10;" adj="17957" fillcolor="#4f81bd [3204]" strokecolor="#0a121c [484]" strokeweight="2pt"/>
            </w:pict>
          </mc:Fallback>
        </mc:AlternateContent>
      </w:r>
      <w:r w:rsidRPr="00E76534">
        <w:rPr>
          <w:rFonts w:ascii="Arial" w:hAnsi="Arial" w:cs="Arial"/>
          <w:noProof/>
          <w14:ligatures w14:val="standardContextual"/>
        </w:rPr>
        <mc:AlternateContent>
          <mc:Choice Requires="wps">
            <w:drawing>
              <wp:anchor distT="0" distB="0" distL="114300" distR="114300" simplePos="0" relativeHeight="251662336" behindDoc="0" locked="0" layoutInCell="1" allowOverlap="1" wp14:anchorId="69B7EC20" wp14:editId="737CA11F">
                <wp:simplePos x="0" y="0"/>
                <wp:positionH relativeFrom="column">
                  <wp:posOffset>1748065</wp:posOffset>
                </wp:positionH>
                <wp:positionV relativeFrom="paragraph">
                  <wp:posOffset>131082</wp:posOffset>
                </wp:positionV>
                <wp:extent cx="341630" cy="126283"/>
                <wp:effectExtent l="0" t="12700" r="26670" b="26670"/>
                <wp:wrapNone/>
                <wp:docPr id="1451021004" name="Right Arrow 7"/>
                <wp:cNvGraphicFramePr/>
                <a:graphic xmlns:a="http://schemas.openxmlformats.org/drawingml/2006/main">
                  <a:graphicData uri="http://schemas.microsoft.com/office/word/2010/wordprocessingShape">
                    <wps:wsp>
                      <wps:cNvSpPr/>
                      <wps:spPr>
                        <a:xfrm flipV="1">
                          <a:off x="0" y="0"/>
                          <a:ext cx="341630" cy="126283"/>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045C5" id="Right Arrow 7" o:spid="_x0000_s1026" type="#_x0000_t13" style="position:absolute;margin-left:137.65pt;margin-top:10.3pt;width:26.9pt;height:9.9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x2aaAIAACIFAAAOAAAAZHJzL2Uyb0RvYy54bWysVMFOGzEQvVfqP1i+l92EQGnEBkUgqkoI&#10;okLL2XjtrCWvxx072aRf37F3syBAPVS9WGPPzPPM8xufX+xay7YKgwFX8clRyZlyEmrj1hX/8XD9&#10;6YyzEIWrhQWnKr5XgV8sPn447/xcTaEBWytkBOLCvPMVb2L086IIslGtCEfglSOnBmxFpC2uixpF&#10;R+itLaZleVp0gLVHkCoEOr3qnXyR8bVWMt5pHVRktuJUW8wr5vUprcXiXMzXKHxj5FCG+IcqWmEc&#10;XTpCXYko2AbNG6jWSIQAOh5JaAvQ2kiVe6BuJuWrbu4b4VXuhcgJfqQp/D9Yebu99yskGjof5oHM&#10;1MVOY8u0Nf4nvWnuiyplu0zbfqRN7SKTdHg8m5weE7mSXJPp6fTsONFa9DAJzmOIXxW0LBkVR7Nu&#10;4hIRugwttjch9gmHQMp+LidbcW9VgrLuu9LM1HTtNGdnpahLi2wr6I2FlMrFvubQiFr1x5OTssyP&#10;TVWNGbnGDJiQtbF2xB4AkgrfYve1DvEpVWWhjcnl3wrrk8eMfDO4OCa3xgG+B2Cpq+HmPv5AUk9N&#10;YukJ6v0KGUIv8+DltSHGb0SIK4Gka3okmtV4R4u20FUcBouzBvD3e+cpnuRGXs46mpOKh18bgYoz&#10;+82REL9MZrM0WHkzO/k8pQ2+9Dy99LhNewn0TBP6FbzMZoqP9mBqhPaRRnqZbiWXcJLurriMeNhc&#10;xn5+6VOQarnMYTRMXsQbd+/lQbFJSw+7R4F+kF0kvd7CYabE/JXu+tj0Hg6WmwjaZFE+8zrwTYOY&#10;hTN8GmnSX+5z1PPXtvgDAAD//wMAUEsDBBQABgAIAAAAIQA6S5H85QAAAA4BAAAPAAAAZHJzL2Rv&#10;d25yZXYueG1sTE/fS8MwEH4X/B/CCb65ZO06tWs6RJGBiuAUZW9pE9ticylJ1nX+9Z5P+nLc8X33&#10;/SjWk+3ZaHzoHEqYzwQwg7XTHTYS3l7vL66AhahQq96hkXA0Adbl6Umhcu0O+GLGbWwYiWDIlYQ2&#10;xiHnPNStsSrM3GCQsE/nrYp0+oZrrw4kbnueCLHkVnVIDq0azG1r6q/t3kqwY/P4nW4eNs/V05D5&#10;40e2W7zvpDw/m+5WNG5WwKKZ4t8H/Hag/FBSsMrtUQfWS0gus5SotIglMCKkyfUcWCVhITLgZcH/&#10;1yh/AAAA//8DAFBLAQItABQABgAIAAAAIQC2gziS/gAAAOEBAAATAAAAAAAAAAAAAAAAAAAAAABb&#10;Q29udGVudF9UeXBlc10ueG1sUEsBAi0AFAAGAAgAAAAhADj9If/WAAAAlAEAAAsAAAAAAAAAAAAA&#10;AAAALwEAAF9yZWxzLy5yZWxzUEsBAi0AFAAGAAgAAAAhANmLHZpoAgAAIgUAAA4AAAAAAAAAAAAA&#10;AAAALgIAAGRycy9lMm9Eb2MueG1sUEsBAi0AFAAGAAgAAAAhADpLkfzlAAAADgEAAA8AAAAAAAAA&#10;AAAAAAAAwgQAAGRycy9kb3ducmV2LnhtbFBLBQYAAAAABAAEAPMAAADUBQAAAAA=&#10;" adj="17608" fillcolor="#4f81bd [3204]" strokecolor="#0a121c [484]" strokeweight="2pt"/>
            </w:pict>
          </mc:Fallback>
        </mc:AlternateContent>
      </w:r>
    </w:p>
    <w:p w14:paraId="24C910E9" w14:textId="3FD9C577" w:rsidR="00422E2F" w:rsidRPr="00E76534" w:rsidRDefault="00422E2F" w:rsidP="00010349">
      <w:pPr>
        <w:pStyle w:val="Body"/>
        <w:spacing w:after="0"/>
        <w:rPr>
          <w:rFonts w:ascii="Arial" w:hAnsi="Arial" w:cs="Arial"/>
        </w:rPr>
      </w:pPr>
    </w:p>
    <w:p w14:paraId="3E27371A" w14:textId="4FF0BCB4" w:rsidR="00422E2F" w:rsidRPr="00E76534" w:rsidRDefault="00422E2F" w:rsidP="00010349">
      <w:pPr>
        <w:pStyle w:val="Body"/>
        <w:spacing w:after="0"/>
        <w:rPr>
          <w:rFonts w:ascii="Arial" w:hAnsi="Arial" w:cs="Arial"/>
        </w:rPr>
      </w:pPr>
    </w:p>
    <w:p w14:paraId="760059E7" w14:textId="176EBD8D" w:rsidR="00422E2F" w:rsidRPr="00E76534" w:rsidRDefault="00422E2F" w:rsidP="00010349">
      <w:pPr>
        <w:pStyle w:val="Body"/>
        <w:spacing w:after="0"/>
        <w:rPr>
          <w:rFonts w:ascii="Arial" w:hAnsi="Arial" w:cs="Arial"/>
        </w:rPr>
      </w:pPr>
      <w:r w:rsidRPr="00E76534">
        <w:rPr>
          <w:rFonts w:ascii="Arial" w:hAnsi="Arial" w:cs="Arial"/>
          <w:noProof/>
          <w14:ligatures w14:val="standardContextual"/>
        </w:rPr>
        <mc:AlternateContent>
          <mc:Choice Requires="wps">
            <w:drawing>
              <wp:anchor distT="0" distB="0" distL="114300" distR="114300" simplePos="0" relativeHeight="251665408" behindDoc="0" locked="0" layoutInCell="1" allowOverlap="1" wp14:anchorId="327F0361" wp14:editId="233C5B32">
                <wp:simplePos x="0" y="0"/>
                <wp:positionH relativeFrom="column">
                  <wp:posOffset>1742985</wp:posOffset>
                </wp:positionH>
                <wp:positionV relativeFrom="paragraph">
                  <wp:posOffset>100602</wp:posOffset>
                </wp:positionV>
                <wp:extent cx="2893805" cy="251350"/>
                <wp:effectExtent l="0" t="101600" r="751205" b="28575"/>
                <wp:wrapNone/>
                <wp:docPr id="167667578" name="Curved Connector 10"/>
                <wp:cNvGraphicFramePr/>
                <a:graphic xmlns:a="http://schemas.openxmlformats.org/drawingml/2006/main">
                  <a:graphicData uri="http://schemas.microsoft.com/office/word/2010/wordprocessingShape">
                    <wps:wsp>
                      <wps:cNvCnPr/>
                      <wps:spPr>
                        <a:xfrm flipV="1">
                          <a:off x="0" y="0"/>
                          <a:ext cx="2893805" cy="251350"/>
                        </a:xfrm>
                        <a:prstGeom prst="curvedConnector3">
                          <a:avLst>
                            <a:gd name="adj1" fmla="val 125079"/>
                          </a:avLst>
                        </a:prstGeom>
                        <a:ln w="53975">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D8A4AE" id="Curved Connector 10" o:spid="_x0000_s1026" type="#_x0000_t38" style="position:absolute;margin-left:137.25pt;margin-top:7.9pt;width:227.85pt;height:19.8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u9x9QEAACoEAAAOAAAAZHJzL2Uyb0RvYy54bWysU02P0zAQvSPxHyzfaZJWYdtq0z20wAXB&#10;igXuXnvcGPlLtrdp/j1jp80iQEggLpbt8Xtv5s349u5sNDlBiMrZjjaLmhKw3Alljx398vntqzUl&#10;MTErmHYWOjpCpHe7ly9uB7+FpeudFhAIkti4HXxH+5T8tqoi78GwuHAeLAalC4YlPIZjJQIbkN3o&#10;alnXr6vBBeGD4xAj3h6mIN0VfimBp49SRkhEdxRzS2UNZX3Ma7W7ZdtjYL5X/JIG+4csDFMWRWeq&#10;A0uMPAX1C5VRPLjoZFpwZyonpeJQasBqmvqnah565qHUguZEP9sU/x8t/3Da2/uANgw+bqO/D7mK&#10;swyGSK38V+xpqQszJedi2zjbBudEOF4u15vVum4p4Rhbts2qLb5WE0/m8yGmd+AMyZuO8qdwArF3&#10;1mJ/XFgVBXZ6H1OxUBDLDM4KE98aSqTR2JET06RZtvXNJrcMqS/PcXclz1htydDRdrW5aQtpjh1Y&#10;7AniOxrHeHBp6nliSr+xgqTRo1QKitmjhgu5tqjxbEjZpVHDJPEJJFECC5+sKbMKex0mEcY52NTM&#10;TPg6w6TSegbWJbk/Ai/vMxTKHP8NeEYUZWfTDDbKuvA79XS+piyn91cHprqzBY9OjGVUijU4kKUR&#10;l8+TJ/7Hc4E/f/HddwAAAP//AwBQSwMEFAAGAAgAAAAhAN9WxP3jAAAADgEAAA8AAABkcnMvZG93&#10;bnJldi54bWxMj0FPg0AQhe8m/ofNmHiziwiilKWxGkk9eLDifcuOQMrOEnbbor/e8aSXSSbvzZv3&#10;FavZDuKIk+8dKbheRCCQGmd6ahXU789XdyB80GT04AgVfKGHVXl+VujcuBO94XEbWsEh5HOtoAth&#10;zKX0TYdW+4UbkVj7dJPVgdeplWbSJw63g4yj6FZa3RN/6PSIjx02++3BKlhHe/ORVfN3UofXal2/&#10;JNV9tlHq8mJ+WvJ4WIIIOIe/C/hl4P5QcrGdO5DxYlAQZ0nKVhZS5mBDdhPFIHYK0jQBWRbyP0b5&#10;AwAA//8DAFBLAQItABQABgAIAAAAIQC2gziS/gAAAOEBAAATAAAAAAAAAAAAAAAAAAAAAABbQ29u&#10;dGVudF9UeXBlc10ueG1sUEsBAi0AFAAGAAgAAAAhADj9If/WAAAAlAEAAAsAAAAAAAAAAAAAAAAA&#10;LwEAAF9yZWxzLy5yZWxzUEsBAi0AFAAGAAgAAAAhAG8q73H1AQAAKgQAAA4AAAAAAAAAAAAAAAAA&#10;LgIAAGRycy9lMm9Eb2MueG1sUEsBAi0AFAAGAAgAAAAhAN9WxP3jAAAADgEAAA8AAAAAAAAAAAAA&#10;AAAATwQAAGRycy9kb3ducmV2LnhtbFBLBQYAAAAABAAEAPMAAABfBQAAAAA=&#10;" adj="27017" strokecolor="#4579b8 [3044]" strokeweight="4.25pt">
                <v:stroke dashstyle="1 1" endarrow="block"/>
              </v:shape>
            </w:pict>
          </mc:Fallback>
        </mc:AlternateContent>
      </w:r>
    </w:p>
    <w:p w14:paraId="0F5CE595" w14:textId="1486E12E" w:rsidR="00422E2F" w:rsidRPr="00E76534" w:rsidRDefault="00422E2F" w:rsidP="00010349">
      <w:pPr>
        <w:pStyle w:val="Body"/>
        <w:spacing w:after="0"/>
        <w:rPr>
          <w:rFonts w:ascii="Arial" w:hAnsi="Arial" w:cs="Arial"/>
        </w:rPr>
      </w:pPr>
    </w:p>
    <w:p w14:paraId="6A59ECD5" w14:textId="04A87EC0" w:rsidR="00422E2F" w:rsidRPr="00E76534" w:rsidRDefault="00422E2F" w:rsidP="00010349">
      <w:pPr>
        <w:pStyle w:val="Body"/>
        <w:spacing w:after="0"/>
        <w:rPr>
          <w:rFonts w:ascii="Arial" w:hAnsi="Arial" w:cs="Arial"/>
        </w:rPr>
      </w:pPr>
    </w:p>
    <w:p w14:paraId="271C05C7" w14:textId="4F133FE6" w:rsidR="00422E2F" w:rsidRPr="00E76534" w:rsidRDefault="00422E2F" w:rsidP="00010349">
      <w:pPr>
        <w:pStyle w:val="Body"/>
        <w:spacing w:after="0"/>
        <w:rPr>
          <w:rFonts w:ascii="Arial" w:hAnsi="Arial" w:cs="Arial"/>
        </w:rPr>
      </w:pPr>
      <w:r w:rsidRPr="00E76534">
        <w:rPr>
          <w:rFonts w:ascii="Arial" w:hAnsi="Arial" w:cs="Arial"/>
          <w:noProof/>
          <w14:ligatures w14:val="standardContextual"/>
        </w:rPr>
        <mc:AlternateContent>
          <mc:Choice Requires="wps">
            <w:drawing>
              <wp:anchor distT="0" distB="0" distL="114300" distR="114300" simplePos="0" relativeHeight="251667456" behindDoc="0" locked="0" layoutInCell="1" allowOverlap="1" wp14:anchorId="6A6AC128" wp14:editId="3D5563F3">
                <wp:simplePos x="0" y="0"/>
                <wp:positionH relativeFrom="column">
                  <wp:posOffset>3580855</wp:posOffset>
                </wp:positionH>
                <wp:positionV relativeFrom="paragraph">
                  <wp:posOffset>2812</wp:posOffset>
                </wp:positionV>
                <wp:extent cx="1208405" cy="238125"/>
                <wp:effectExtent l="0" t="0" r="10795" b="15875"/>
                <wp:wrapNone/>
                <wp:docPr id="215424566" name="Text Box 11"/>
                <wp:cNvGraphicFramePr/>
                <a:graphic xmlns:a="http://schemas.openxmlformats.org/drawingml/2006/main">
                  <a:graphicData uri="http://schemas.microsoft.com/office/word/2010/wordprocessingShape">
                    <wps:wsp>
                      <wps:cNvSpPr txBox="1"/>
                      <wps:spPr>
                        <a:xfrm>
                          <a:off x="0" y="0"/>
                          <a:ext cx="1208405" cy="238125"/>
                        </a:xfrm>
                        <a:prstGeom prst="rect">
                          <a:avLst/>
                        </a:prstGeom>
                        <a:solidFill>
                          <a:schemeClr val="bg2"/>
                        </a:solidFill>
                        <a:ln w="6350">
                          <a:solidFill>
                            <a:prstClr val="black"/>
                          </a:solidFill>
                        </a:ln>
                      </wps:spPr>
                      <wps:txbx>
                        <w:txbxContent>
                          <w:p w14:paraId="44FADE85" w14:textId="77777777" w:rsidR="00422E2F" w:rsidRPr="0070368E" w:rsidRDefault="00422E2F" w:rsidP="00422E2F">
                            <w:pPr>
                              <w:rPr>
                                <w:sz w:val="16"/>
                                <w:szCs w:val="16"/>
                              </w:rPr>
                            </w:pPr>
                            <w:r w:rsidRPr="0070368E">
                              <w:rPr>
                                <w:sz w:val="16"/>
                                <w:szCs w:val="16"/>
                              </w:rPr>
                              <w:t>Persistence &amp; 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AC128" id="_x0000_s1030" type="#_x0000_t202" style="position:absolute;left:0;text-align:left;margin-left:281.95pt;margin-top:.2pt;width:95.1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hRKOQIAAIMEAAAOAAAAZHJzL2Uyb0RvYy54bWysVE1v2zAMvQ/YfxB0X+y4SZcZcYosRYYB&#10;QVsgHXpWZDkWJouapMTOfv0oOV9tdxp2kSmReiIfHz296xpF9sI6Cbqgw0FKidAcSqm3Bf3xvPw0&#10;ocR5pkumQIuCHoSjd7OPH6atyUUGNahSWIIg2uWtKWjtvcmTxPFaNMwNwAiNzgpswzxu7TYpLWsR&#10;vVFJlqa3SQu2NBa4cA5P73snnUX8qhLcP1aVE56ogmJuPq42rpuwJrMpy7eWmVryYxrsH7JomNT4&#10;6BnqnnlGdla+g2okt+Cg8gMOTQJVJbmINWA1w/RNNeuaGRFrQXKcOdPk/h8sf9ivzZMlvvsKHTYw&#10;ENIalzs8DPV0lW3CFzMl6EcKD2faROcJD5eydDJKx5Rw9GU3k2E2DjDJ5baxzn8T0JBgFNRiWyJb&#10;bL9yvg89hYTHHChZLqVScROkIBbKkj3DJm622RH8VZTSpC3o7c04jcCvfAH6cl8x/vM9AiarNOZ8&#10;qT1Yvtt0RJYFHZ142UB5QLos9Epyhi8lwq+Y80/MonSQIRwH/4hLpQBzgqNFSQ3299/OQzx2FL2U&#10;tCjFgrpfO2YFJeq7xl5/GY5GQbtxMxp/znBjrz2ba4/eNQtAooY4eIZHM8R7dTIrC80LTs08vIou&#10;pjm+XVB/Mhe+HxCcOi7m8xiEajXMr/Ta8AAdGhNofe5emDXHtnoUxAOcRMvyN93tY8NNDfOdh0rG&#10;1geee1aP9KPSo3iOUxlG6Xofoy7/jtkfAAAA//8DAFBLAwQUAAYACAAAACEAtqJYm+QAAAAMAQAA&#10;DwAAAGRycy9kb3ducmV2LnhtbExPy07DMBC8I/EP1iJxQa3TNm1Imk1V8bhUoKqBA9zc2CSBeB3Z&#10;bhr+HnOCy0qjeexMvhl1xwZlXWsIYTaNgCmqjGypRnh9eZzcAnNekBSdIYXwrRxsisuLXGTSnOmg&#10;htLXLISQywRC432fce6qRmnhpqZXFLgPY7XwAdqaSyvOIVx3fB5FK65FS+FDI3p116jqqzxpBFOW&#10;2+H5KZk9pPYm3r/v4n33+YZ4fTXer8PZroF5Nfo/B/xuCP2hCMWO5kTSsQ5huVqkQYoQAwt0sozn&#10;wI4IiyQFXuT8/4jiBwAA//8DAFBLAQItABQABgAIAAAAIQC2gziS/gAAAOEBAAATAAAAAAAAAAAA&#10;AAAAAAAAAABbQ29udGVudF9UeXBlc10ueG1sUEsBAi0AFAAGAAgAAAAhADj9If/WAAAAlAEAAAsA&#10;AAAAAAAAAAAAAAAALwEAAF9yZWxzLy5yZWxzUEsBAi0AFAAGAAgAAAAhADkWFEo5AgAAgwQAAA4A&#10;AAAAAAAAAAAAAAAALgIAAGRycy9lMm9Eb2MueG1sUEsBAi0AFAAGAAgAAAAhALaiWJvkAAAADAEA&#10;AA8AAAAAAAAAAAAAAAAAkwQAAGRycy9kb3ducmV2LnhtbFBLBQYAAAAABAAEAPMAAACkBQAAAAA=&#10;" fillcolor="#eeece1 [3214]" strokeweight=".5pt">
                <v:textbox>
                  <w:txbxContent>
                    <w:p w14:paraId="44FADE85" w14:textId="77777777" w:rsidR="00422E2F" w:rsidRPr="0070368E" w:rsidRDefault="00422E2F" w:rsidP="00422E2F">
                      <w:pPr>
                        <w:rPr>
                          <w:sz w:val="16"/>
                          <w:szCs w:val="16"/>
                        </w:rPr>
                      </w:pPr>
                      <w:r w:rsidRPr="0070368E">
                        <w:rPr>
                          <w:sz w:val="16"/>
                          <w:szCs w:val="16"/>
                        </w:rPr>
                        <w:t>Persistence &amp; Feedback</w:t>
                      </w:r>
                    </w:p>
                  </w:txbxContent>
                </v:textbox>
              </v:shape>
            </w:pict>
          </mc:Fallback>
        </mc:AlternateContent>
      </w:r>
    </w:p>
    <w:p w14:paraId="45B3E672" w14:textId="68FE9350" w:rsidR="00422E2F" w:rsidRPr="00E76534" w:rsidRDefault="00422E2F" w:rsidP="00010349">
      <w:pPr>
        <w:pStyle w:val="Body"/>
        <w:spacing w:after="0"/>
        <w:rPr>
          <w:rFonts w:ascii="Arial" w:hAnsi="Arial" w:cs="Arial"/>
        </w:rPr>
      </w:pPr>
    </w:p>
    <w:p w14:paraId="5D8C8C5E" w14:textId="5186B0FB" w:rsidR="00422E2F" w:rsidRPr="00E76534" w:rsidRDefault="00422E2F" w:rsidP="00010349">
      <w:pPr>
        <w:pStyle w:val="Body"/>
        <w:spacing w:after="0"/>
        <w:rPr>
          <w:rFonts w:ascii="Arial" w:hAnsi="Arial" w:cs="Arial"/>
        </w:rPr>
      </w:pPr>
    </w:p>
    <w:p w14:paraId="52477648" w14:textId="77777777" w:rsidR="00422E2F" w:rsidRDefault="00422E2F" w:rsidP="00422E2F">
      <w:pPr>
        <w:pStyle w:val="Body"/>
        <w:spacing w:after="0"/>
        <w:rPr>
          <w:rFonts w:ascii="Arial" w:hAnsi="Arial" w:cs="Arial"/>
          <w:b/>
          <w:bCs/>
        </w:rPr>
      </w:pPr>
      <w:r w:rsidRPr="00E76534">
        <w:rPr>
          <w:rFonts w:ascii="Arial" w:hAnsi="Arial" w:cs="Arial"/>
          <w:b/>
          <w:bCs/>
        </w:rPr>
        <w:t>Figure 1. Regime-Dependent Association Between Gender Inequality and Early Childbearing</w:t>
      </w:r>
    </w:p>
    <w:p w14:paraId="244474CC" w14:textId="77777777" w:rsidR="00D25817" w:rsidRDefault="00D25817" w:rsidP="00422E2F">
      <w:pPr>
        <w:pStyle w:val="Body"/>
        <w:spacing w:after="0"/>
        <w:rPr>
          <w:rFonts w:ascii="Arial" w:hAnsi="Arial" w:cs="Arial"/>
          <w:b/>
          <w:bCs/>
        </w:rPr>
      </w:pPr>
    </w:p>
    <w:p w14:paraId="412C94AD" w14:textId="17FF8BE0" w:rsidR="00D25817" w:rsidRPr="00AB0478" w:rsidRDefault="00D25817" w:rsidP="00422E2F">
      <w:pPr>
        <w:pStyle w:val="Body"/>
        <w:spacing w:after="0"/>
        <w:rPr>
          <w:rFonts w:ascii="Arial" w:hAnsi="Arial" w:cs="Arial"/>
          <w:i/>
          <w:iCs/>
          <w:sz w:val="18"/>
          <w:szCs w:val="18"/>
        </w:rPr>
      </w:pPr>
      <w:r w:rsidRPr="00AB0478">
        <w:rPr>
          <w:rFonts w:ascii="Arial" w:hAnsi="Arial" w:cs="Arial"/>
          <w:i/>
          <w:iCs/>
          <w:sz w:val="18"/>
          <w:szCs w:val="18"/>
          <w:highlight w:val="cyan"/>
        </w:rPr>
        <w:t>Note: The figure illustrates the conceptual mechanism linking institutional gender inequality to fertility timing outcomes. Gender inequality influences reproductive health, empowerment, labor-market participation, and educational opportunity, which together shape the opportunity cost of early childbearing. These institutional constraints affect fertility timing incentives and contribute to variation in early childbearing outcomes. The framework also incorporates persistence and feedback effects arising from slow-moving institutional and social norms.</w:t>
      </w:r>
    </w:p>
    <w:p w14:paraId="14D1C61F" w14:textId="77777777" w:rsidR="00422E2F" w:rsidRPr="00E76534" w:rsidRDefault="00422E2F" w:rsidP="00422E2F">
      <w:pPr>
        <w:pStyle w:val="Body"/>
        <w:spacing w:after="0"/>
        <w:rPr>
          <w:rFonts w:ascii="Arial" w:hAnsi="Arial" w:cs="Arial"/>
          <w:b/>
          <w:bCs/>
        </w:rPr>
      </w:pPr>
    </w:p>
    <w:p w14:paraId="1A9197A7" w14:textId="33704A1F" w:rsidR="00422E2F" w:rsidRPr="00E76534" w:rsidRDefault="00CE5B86" w:rsidP="00422E2F">
      <w:pPr>
        <w:pStyle w:val="Body"/>
        <w:spacing w:after="0"/>
        <w:rPr>
          <w:rFonts w:ascii="Arial" w:hAnsi="Arial" w:cs="Arial"/>
          <w:b/>
          <w:bCs/>
          <w:sz w:val="22"/>
          <w:szCs w:val="22"/>
        </w:rPr>
      </w:pPr>
      <w:r w:rsidRPr="00E54E72">
        <w:rPr>
          <w:rFonts w:ascii="Arial" w:hAnsi="Arial" w:cs="Arial"/>
          <w:b/>
          <w:bCs/>
          <w:sz w:val="22"/>
          <w:szCs w:val="22"/>
          <w:highlight w:val="cyan"/>
        </w:rPr>
        <w:t>2</w:t>
      </w:r>
      <w:r w:rsidR="00422E2F" w:rsidRPr="00E54E72">
        <w:rPr>
          <w:rFonts w:ascii="Arial" w:hAnsi="Arial" w:cs="Arial"/>
          <w:b/>
          <w:bCs/>
          <w:sz w:val="22"/>
          <w:szCs w:val="22"/>
          <w:highlight w:val="cyan"/>
        </w:rPr>
        <w:t>.</w:t>
      </w:r>
      <w:r w:rsidR="00E54E72" w:rsidRPr="00E54E72">
        <w:rPr>
          <w:rFonts w:ascii="Arial" w:hAnsi="Arial" w:cs="Arial"/>
          <w:b/>
          <w:bCs/>
          <w:sz w:val="22"/>
          <w:szCs w:val="22"/>
          <w:highlight w:val="cyan"/>
        </w:rPr>
        <w:t>4</w:t>
      </w:r>
      <w:r w:rsidR="00422E2F" w:rsidRPr="00E76534">
        <w:rPr>
          <w:rFonts w:ascii="Arial" w:hAnsi="Arial" w:cs="Arial"/>
          <w:b/>
          <w:bCs/>
          <w:sz w:val="22"/>
          <w:szCs w:val="22"/>
        </w:rPr>
        <w:t xml:space="preserve"> Data</w:t>
      </w:r>
    </w:p>
    <w:p w14:paraId="5E739FEF" w14:textId="77777777" w:rsidR="00422E2F" w:rsidRPr="00E76534" w:rsidRDefault="00422E2F" w:rsidP="00422E2F">
      <w:pPr>
        <w:pStyle w:val="Body"/>
        <w:spacing w:after="0"/>
        <w:rPr>
          <w:rFonts w:ascii="Arial" w:hAnsi="Arial" w:cs="Arial"/>
        </w:rPr>
      </w:pPr>
      <w:r w:rsidRPr="00E76534">
        <w:rPr>
          <w:rFonts w:ascii="Arial" w:hAnsi="Arial" w:cs="Arial"/>
        </w:rPr>
        <w:t>The analysis uses a strongly balanced country–year panel of 100 countries</w:t>
      </w:r>
      <w:r w:rsidRPr="00E76534">
        <w:rPr>
          <w:rFonts w:ascii="Arial" w:hAnsi="Arial" w:cs="Arial"/>
          <w:vertAlign w:val="superscript"/>
        </w:rPr>
        <w:footnoteReference w:id="1"/>
      </w:r>
      <w:r w:rsidRPr="00E76534">
        <w:rPr>
          <w:rFonts w:ascii="Arial" w:hAnsi="Arial" w:cs="Arial"/>
        </w:rPr>
        <w:t> observed annually from 1990 to 2023</w:t>
      </w:r>
      <w:r w:rsidRPr="00E76534">
        <w:rPr>
          <w:rFonts w:ascii="Arial" w:hAnsi="Arial" w:cs="Arial"/>
          <w:b/>
          <w:bCs/>
        </w:rPr>
        <w:t>,</w:t>
      </w:r>
      <w:r w:rsidRPr="00E76534">
        <w:rPr>
          <w:rFonts w:ascii="Arial" w:hAnsi="Arial" w:cs="Arial"/>
        </w:rPr>
        <w:t xml:space="preserve"> yielding 3,400 observations (reduced to 3,300 when including one-year lags). Identification exploits within-country variation over time.</w:t>
      </w:r>
    </w:p>
    <w:p w14:paraId="14CB6B7E" w14:textId="77777777" w:rsidR="00422E2F" w:rsidRPr="00E76534" w:rsidRDefault="00422E2F" w:rsidP="00422E2F">
      <w:pPr>
        <w:pStyle w:val="Body"/>
        <w:spacing w:after="0"/>
        <w:rPr>
          <w:rFonts w:ascii="Arial" w:hAnsi="Arial" w:cs="Arial"/>
        </w:rPr>
      </w:pPr>
      <w:r w:rsidRPr="00E76534">
        <w:rPr>
          <w:rFonts w:ascii="Arial" w:hAnsi="Arial" w:cs="Arial"/>
        </w:rPr>
        <w:lastRenderedPageBreak/>
        <w:t>Because complete cross-national distributions of age at first birth are unavailable, fertility timing is proxied by first births at young ages, capturing mass in the lower tail of the timing distribution. Data are drawn from the World Bank’s </w:t>
      </w:r>
      <w:r w:rsidRPr="00E76534">
        <w:rPr>
          <w:rFonts w:ascii="Arial" w:hAnsi="Arial" w:cs="Arial"/>
          <w:i/>
          <w:iCs/>
        </w:rPr>
        <w:t>World Development Indicators</w:t>
      </w:r>
      <w:r w:rsidRPr="00E76534">
        <w:rPr>
          <w:rFonts w:ascii="Arial" w:hAnsi="Arial" w:cs="Arial"/>
        </w:rPr>
        <w:t>. To reduce skewness while retaining zeros, the dependent variable is transformed as</w:t>
      </w:r>
    </w:p>
    <w:p w14:paraId="6311A4E0" w14:textId="77777777" w:rsidR="00D264B7" w:rsidRPr="00E76534" w:rsidRDefault="00D264B7" w:rsidP="00422E2F">
      <w:pPr>
        <w:pStyle w:val="Body"/>
        <w:spacing w:after="0"/>
        <w:rPr>
          <w:rFonts w:ascii="Arial" w:hAnsi="Arial" w:cs="Arial"/>
        </w:rPr>
      </w:pPr>
    </w:p>
    <w:p w14:paraId="5AE7882E" w14:textId="072A50A4" w:rsidR="00422E2F" w:rsidRPr="00E76534" w:rsidRDefault="00000000" w:rsidP="00422E2F">
      <w:pPr>
        <w:pStyle w:val="Body"/>
        <w:rPr>
          <w:rFonts w:ascii="Arial" w:hAnsi="Arial" w:cs="Arial"/>
        </w:rPr>
      </w:pPr>
      <m:oMathPara>
        <m:oMath>
          <m:m>
            <m:mPr>
              <m:plcHide m:val="1"/>
              <m:mcs>
                <m:mc>
                  <m:mcPr>
                    <m:count m:val="4"/>
                    <m:mcJc m:val="center"/>
                  </m:mcPr>
                </m:mc>
              </m:mcs>
              <m:ctrlPr>
                <w:rPr>
                  <w:rFonts w:ascii="Cambria Math" w:hAnsi="Cambria Math" w:cs="Arial"/>
                </w:rPr>
              </m:ctrlPr>
            </m:mPr>
            <m:mr>
              <m:e/>
              <m:e>
                <m:sSub>
                  <m:sSubPr>
                    <m:ctrlPr>
                      <w:rPr>
                        <w:rFonts w:ascii="Cambria Math" w:hAnsi="Cambria Math" w:cs="Arial"/>
                      </w:rPr>
                    </m:ctrlPr>
                  </m:sSubPr>
                  <m:e>
                    <m:r>
                      <w:rPr>
                        <w:rFonts w:ascii="Cambria Math" w:hAnsi="Cambria Math" w:cs="Arial"/>
                      </w:rPr>
                      <m:t>y</m:t>
                    </m:r>
                  </m:e>
                  <m:sub>
                    <m:r>
                      <w:rPr>
                        <w:rFonts w:ascii="Cambria Math" w:hAnsi="Cambria Math" w:cs="Arial"/>
                      </w:rPr>
                      <m:t>ct</m:t>
                    </m:r>
                  </m:sub>
                </m:sSub>
                <m:r>
                  <w:rPr>
                    <w:rFonts w:ascii="Cambria Math" w:hAnsi="Cambria Math" w:cs="Arial"/>
                  </w:rPr>
                  <m:t>=</m:t>
                </m:r>
                <m:r>
                  <m:rPr>
                    <m:sty m:val="p"/>
                  </m:rPr>
                  <w:rPr>
                    <w:rFonts w:ascii="Cambria Math" w:hAnsi="Cambria Math" w:cs="Arial"/>
                  </w:rPr>
                  <m:t>ln</m:t>
                </m:r>
                <m:r>
                  <w:rPr>
                    <w:rFonts w:ascii="Cambria Math" w:hAnsi="Cambria Math" w:cs="Arial"/>
                  </w:rPr>
                  <m:t>⁡(</m:t>
                </m:r>
                <m:sSub>
                  <m:sSubPr>
                    <m:ctrlPr>
                      <w:rPr>
                        <w:rFonts w:ascii="Cambria Math" w:hAnsi="Cambria Math" w:cs="Arial"/>
                      </w:rPr>
                    </m:ctrlPr>
                  </m:sSubPr>
                  <m:e>
                    <m:r>
                      <m:rPr>
                        <m:nor/>
                      </m:rPr>
                      <w:rPr>
                        <w:rFonts w:ascii="Arial" w:hAnsi="Arial" w:cs="Arial"/>
                      </w:rPr>
                      <m:t>BR</m:t>
                    </m:r>
                  </m:e>
                  <m:sub>
                    <m:r>
                      <w:rPr>
                        <w:rFonts w:ascii="Cambria Math" w:hAnsi="Cambria Math" w:cs="Arial"/>
                      </w:rPr>
                      <m:t>ct</m:t>
                    </m:r>
                  </m:sub>
                </m:sSub>
                <m:r>
                  <w:rPr>
                    <w:rFonts w:ascii="Cambria Math" w:hAnsi="Cambria Math" w:cs="Arial"/>
                  </w:rPr>
                  <m:t>+1)</m:t>
                </m:r>
              </m:e>
              <m:e/>
              <m:e>
                <m:r>
                  <m:rPr>
                    <m:nor/>
                  </m:rPr>
                  <w:rPr>
                    <w:rFonts w:ascii="Arial" w:hAnsi="Arial" w:cs="Arial"/>
                  </w:rPr>
                  <m:t>(9)</m:t>
                </m:r>
              </m:e>
            </m:mr>
          </m:m>
          <m:r>
            <m:rPr>
              <m:sty m:val="p"/>
            </m:rPr>
            <w:rPr>
              <w:rFonts w:ascii="Cambria Math" w:hAnsi="Cambria Math" w:cs="Arial"/>
            </w:rPr>
            <w:br/>
          </m:r>
        </m:oMath>
      </m:oMathPara>
    </w:p>
    <w:p w14:paraId="7F602A85" w14:textId="77777777" w:rsidR="00422E2F" w:rsidRPr="00E76534" w:rsidRDefault="00422E2F" w:rsidP="00422E2F">
      <w:pPr>
        <w:pStyle w:val="Body"/>
        <w:spacing w:after="0"/>
        <w:rPr>
          <w:rFonts w:ascii="Arial" w:hAnsi="Arial" w:cs="Arial"/>
        </w:rPr>
      </w:pPr>
      <w:proofErr w:type="gramStart"/>
      <w:r w:rsidRPr="00E76534">
        <w:rPr>
          <w:rFonts w:ascii="Arial" w:hAnsi="Arial" w:cs="Arial"/>
        </w:rPr>
        <w:t>so</w:t>
      </w:r>
      <w:proofErr w:type="gramEnd"/>
      <w:r w:rsidRPr="00E76534">
        <w:rPr>
          <w:rFonts w:ascii="Arial" w:hAnsi="Arial" w:cs="Arial"/>
        </w:rPr>
        <w:t xml:space="preserve"> coefficients are interpreted as reduced-form semi-elasticities.</w:t>
      </w:r>
    </w:p>
    <w:p w14:paraId="274C1A0B" w14:textId="77777777" w:rsidR="00422E2F" w:rsidRPr="00E76534" w:rsidRDefault="00422E2F" w:rsidP="00422E2F">
      <w:pPr>
        <w:pStyle w:val="Body"/>
        <w:spacing w:after="0"/>
        <w:rPr>
          <w:rFonts w:ascii="Arial" w:hAnsi="Arial" w:cs="Arial"/>
        </w:rPr>
      </w:pPr>
      <w:r w:rsidRPr="00E76534">
        <w:rPr>
          <w:rFonts w:ascii="Arial" w:hAnsi="Arial" w:cs="Arial"/>
        </w:rPr>
        <w:t xml:space="preserve">The primary explanatory variables measure gendered institutional environments using United Nations Development </w:t>
      </w:r>
      <w:proofErr w:type="spellStart"/>
      <w:r w:rsidRPr="00E76534">
        <w:rPr>
          <w:rFonts w:ascii="Arial" w:hAnsi="Arial" w:cs="Arial"/>
        </w:rPr>
        <w:t>Programme</w:t>
      </w:r>
      <w:proofErr w:type="spellEnd"/>
      <w:r w:rsidRPr="00E76534">
        <w:rPr>
          <w:rFonts w:ascii="Arial" w:hAnsi="Arial" w:cs="Arial"/>
        </w:rPr>
        <w:t xml:space="preserve"> (UNDP) indices. The Gender Inequality Index (GII)</w:t>
      </w:r>
      <w:r w:rsidRPr="00E76534">
        <w:rPr>
          <w:rFonts w:ascii="Arial" w:hAnsi="Arial" w:cs="Arial"/>
          <w:b/>
          <w:bCs/>
        </w:rPr>
        <w:t>—</w:t>
      </w:r>
      <w:r w:rsidRPr="00E76534">
        <w:rPr>
          <w:rFonts w:ascii="Arial" w:hAnsi="Arial" w:cs="Arial"/>
        </w:rPr>
        <w:t>rescaled to range from 0 to 1</w:t>
      </w:r>
      <w:r w:rsidRPr="00E76534">
        <w:rPr>
          <w:rFonts w:ascii="Arial" w:hAnsi="Arial" w:cs="Arial"/>
          <w:b/>
          <w:bCs/>
        </w:rPr>
        <w:t xml:space="preserve">, </w:t>
      </w:r>
      <w:r w:rsidRPr="00E76534">
        <w:rPr>
          <w:rFonts w:ascii="Arial" w:hAnsi="Arial" w:cs="Arial"/>
        </w:rPr>
        <w:t>with higher values indicating greater inequality—captures structural constraints in reproductive health, empowerment, and labor-market participation. The Gender Development Index (GDI) measures gender parity in health, education, and income. While related, the GII reflects binding institutional constraints, whereas the GDI captures capability gaps.</w:t>
      </w:r>
    </w:p>
    <w:p w14:paraId="32CF8D3E" w14:textId="77777777" w:rsidR="00D264B7" w:rsidRPr="00E76534" w:rsidRDefault="00D264B7" w:rsidP="00422E2F">
      <w:pPr>
        <w:pStyle w:val="Body"/>
        <w:spacing w:after="0"/>
        <w:rPr>
          <w:rFonts w:ascii="Arial" w:hAnsi="Arial" w:cs="Arial"/>
        </w:rPr>
      </w:pPr>
    </w:p>
    <w:p w14:paraId="2D8FD6DD" w14:textId="77777777" w:rsidR="00422E2F" w:rsidRPr="00E76534" w:rsidRDefault="00422E2F" w:rsidP="00422E2F">
      <w:pPr>
        <w:pStyle w:val="Body"/>
        <w:spacing w:after="0"/>
        <w:rPr>
          <w:rFonts w:ascii="Arial" w:hAnsi="Arial" w:cs="Arial"/>
        </w:rPr>
      </w:pPr>
      <w:r w:rsidRPr="00E76534">
        <w:rPr>
          <w:rFonts w:ascii="Arial" w:hAnsi="Arial" w:cs="Arial"/>
        </w:rPr>
        <w:t>Although GDI includes education-related dimensions through gender parity in schooling, it differs conceptually from the schooling variable used in the analysis. GDI captures gender equality in human-development outcomes, whereas schooling measures the overall level of educational attainment associated with human-capital accumulation. Including both variables allows the analysis to distinguish institutional gender equality from aggregate human-capital levels. Within the framework of the paper, gender inequality affects fertility timing through institutional constraints that shape women’s opportunities and reproductive autonomy, while schooling captures the human-capital environment influencing the opportunity cost of early childbearing. Higher educational attainment is associated with greater incentives for labor-market attachment and delayed fertility timing, whereas stronger institutional gender inequality is associated with earlier fertility timing through reduced educational and career opportunities for women.</w:t>
      </w:r>
    </w:p>
    <w:p w14:paraId="0E1A87B5" w14:textId="77777777" w:rsidR="00D264B7" w:rsidRPr="00E76534" w:rsidRDefault="00D264B7" w:rsidP="00422E2F">
      <w:pPr>
        <w:pStyle w:val="Body"/>
        <w:spacing w:after="0"/>
        <w:rPr>
          <w:rFonts w:ascii="Arial" w:hAnsi="Arial" w:cs="Arial"/>
        </w:rPr>
      </w:pPr>
    </w:p>
    <w:p w14:paraId="02329EFA" w14:textId="77777777" w:rsidR="00422E2F" w:rsidRPr="00E76534" w:rsidRDefault="00422E2F" w:rsidP="00422E2F">
      <w:pPr>
        <w:pStyle w:val="Body"/>
        <w:spacing w:after="0"/>
        <w:rPr>
          <w:rFonts w:ascii="Arial" w:hAnsi="Arial" w:cs="Arial"/>
        </w:rPr>
      </w:pPr>
      <w:r w:rsidRPr="00E76534">
        <w:rPr>
          <w:rFonts w:ascii="Arial" w:hAnsi="Arial" w:cs="Arial"/>
        </w:rPr>
        <w:t>The analysis additionally controls for a time-varying education variable (schooling) from UNESCO data disseminated by the World Bank. All specifications include country and year fixed effects, and standard errors are clustered at the country level to account for serial correlation and heteroskedasticity.</w:t>
      </w:r>
    </w:p>
    <w:p w14:paraId="4F72AB5C" w14:textId="77777777" w:rsidR="00D264B7" w:rsidRPr="00E76534" w:rsidRDefault="00D264B7" w:rsidP="00422E2F">
      <w:pPr>
        <w:pStyle w:val="Body"/>
        <w:spacing w:after="0"/>
        <w:rPr>
          <w:rFonts w:ascii="Arial" w:hAnsi="Arial" w:cs="Arial"/>
        </w:rPr>
      </w:pPr>
    </w:p>
    <w:p w14:paraId="6B098342" w14:textId="77777777" w:rsidR="00422E2F" w:rsidRPr="00E76534" w:rsidRDefault="00422E2F" w:rsidP="00422E2F">
      <w:pPr>
        <w:pStyle w:val="Body"/>
        <w:spacing w:after="0"/>
        <w:rPr>
          <w:rFonts w:ascii="Arial" w:hAnsi="Arial" w:cs="Arial"/>
        </w:rPr>
      </w:pPr>
      <w:r w:rsidRPr="00E76534">
        <w:rPr>
          <w:rFonts w:ascii="Arial" w:hAnsi="Arial" w:cs="Arial"/>
        </w:rPr>
        <w:t>All specifications include country fixed effects and year fixed effects. Standard errors are clustered at the country level to account for serial correlation and heteroskedasticity.</w:t>
      </w:r>
    </w:p>
    <w:p w14:paraId="3861E390" w14:textId="77777777" w:rsidR="00D264B7" w:rsidRPr="00E76534" w:rsidRDefault="00D264B7" w:rsidP="00422E2F">
      <w:pPr>
        <w:pStyle w:val="Body"/>
        <w:spacing w:after="0"/>
        <w:rPr>
          <w:rFonts w:ascii="Arial" w:hAnsi="Arial" w:cs="Arial"/>
        </w:rPr>
      </w:pPr>
    </w:p>
    <w:p w14:paraId="66FD5BC9" w14:textId="09C42C1A" w:rsidR="00422E2F" w:rsidRPr="00E76534" w:rsidRDefault="00CE5B86" w:rsidP="00422E2F">
      <w:pPr>
        <w:pStyle w:val="Body"/>
        <w:spacing w:after="0"/>
        <w:rPr>
          <w:rFonts w:ascii="Arial" w:hAnsi="Arial" w:cs="Arial"/>
          <w:b/>
          <w:bCs/>
          <w:sz w:val="22"/>
          <w:szCs w:val="22"/>
        </w:rPr>
      </w:pPr>
      <w:r w:rsidRPr="00E54E72">
        <w:rPr>
          <w:rFonts w:ascii="Arial" w:hAnsi="Arial" w:cs="Arial"/>
          <w:b/>
          <w:bCs/>
          <w:sz w:val="22"/>
          <w:szCs w:val="22"/>
          <w:highlight w:val="cyan"/>
        </w:rPr>
        <w:t>2</w:t>
      </w:r>
      <w:r w:rsidR="00422E2F" w:rsidRPr="00E54E72">
        <w:rPr>
          <w:rFonts w:ascii="Arial" w:hAnsi="Arial" w:cs="Arial"/>
          <w:b/>
          <w:bCs/>
          <w:sz w:val="22"/>
          <w:szCs w:val="22"/>
          <w:highlight w:val="cyan"/>
        </w:rPr>
        <w:t>.</w:t>
      </w:r>
      <w:r w:rsidR="00E54E72" w:rsidRPr="00E54E72">
        <w:rPr>
          <w:rFonts w:ascii="Arial" w:hAnsi="Arial" w:cs="Arial"/>
          <w:b/>
          <w:bCs/>
          <w:sz w:val="22"/>
          <w:szCs w:val="22"/>
          <w:highlight w:val="cyan"/>
        </w:rPr>
        <w:t>5</w:t>
      </w:r>
      <w:r w:rsidR="00422E2F" w:rsidRPr="00E76534">
        <w:rPr>
          <w:rFonts w:ascii="Arial" w:hAnsi="Arial" w:cs="Arial"/>
          <w:b/>
          <w:bCs/>
          <w:sz w:val="22"/>
          <w:szCs w:val="22"/>
        </w:rPr>
        <w:t xml:space="preserve"> Empirical Strategy</w:t>
      </w:r>
    </w:p>
    <w:p w14:paraId="20B71280" w14:textId="45C1E8C2" w:rsidR="00422E2F" w:rsidRPr="00E76534" w:rsidRDefault="00422E2F" w:rsidP="00422E2F">
      <w:pPr>
        <w:pStyle w:val="Body"/>
        <w:spacing w:after="0"/>
        <w:rPr>
          <w:rFonts w:ascii="Arial" w:hAnsi="Arial" w:cs="Arial"/>
        </w:rPr>
      </w:pPr>
      <w:r w:rsidRPr="00E76534">
        <w:rPr>
          <w:rFonts w:ascii="Arial" w:hAnsi="Arial" w:cs="Arial"/>
        </w:rPr>
        <w:t>The empirical analysis estimates a series of reduced-form panel specifications designed to examine the relationship between gendered institutional environments and fertility timing. The baseline specification is a two-way fixed-effects model of the form</w:t>
      </w:r>
    </w:p>
    <w:p w14:paraId="0AABBF2A" w14:textId="77777777" w:rsidR="00D264B7" w:rsidRPr="00E76534" w:rsidRDefault="00D264B7" w:rsidP="00422E2F">
      <w:pPr>
        <w:pStyle w:val="Body"/>
        <w:spacing w:after="0"/>
        <w:rPr>
          <w:rFonts w:ascii="Arial" w:hAnsi="Arial" w:cs="Arial"/>
        </w:rPr>
      </w:pPr>
    </w:p>
    <w:p w14:paraId="2A4D823B" w14:textId="641B7073" w:rsidR="00422E2F" w:rsidRPr="00E76534" w:rsidRDefault="00000000" w:rsidP="00422E2F">
      <w:pPr>
        <w:pStyle w:val="Body"/>
        <w:rPr>
          <w:rFonts w:ascii="Arial" w:hAnsi="Arial" w:cs="Arial"/>
        </w:rPr>
      </w:pPr>
      <m:oMathPara>
        <m:oMath>
          <m:sSub>
            <m:sSubPr>
              <m:ctrlPr>
                <w:rPr>
                  <w:rFonts w:ascii="Cambria Math" w:hAnsi="Cambria Math" w:cs="Arial"/>
                </w:rPr>
              </m:ctrlPr>
            </m:sSubPr>
            <m:e>
              <m:r>
                <w:rPr>
                  <w:rFonts w:ascii="Cambria Math" w:hAnsi="Cambria Math" w:cs="Arial"/>
                </w:rPr>
                <m:t>y</m:t>
              </m:r>
            </m:e>
            <m:sub>
              <m:r>
                <w:rPr>
                  <w:rFonts w:ascii="Cambria Math" w:hAnsi="Cambria Math" w:cs="Arial"/>
                </w:rPr>
                <m:t>ct</m:t>
              </m:r>
            </m:sub>
          </m:sSub>
          <m:r>
            <w:rPr>
              <w:rFonts w:ascii="Cambria Math" w:hAnsi="Cambria Math" w:cs="Arial"/>
            </w:rPr>
            <m:t>=α+</m:t>
          </m:r>
          <m:sSub>
            <m:sSubPr>
              <m:ctrlPr>
                <w:rPr>
                  <w:rFonts w:ascii="Cambria Math" w:hAnsi="Cambria Math" w:cs="Arial"/>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rPr>
              </m:ctrlPr>
            </m:sSubPr>
            <m:e>
              <m:r>
                <m:rPr>
                  <m:nor/>
                </m:rPr>
                <w:rPr>
                  <w:rFonts w:ascii="Arial" w:hAnsi="Arial" w:cs="Arial"/>
                </w:rPr>
                <m:t>GII</m:t>
              </m:r>
            </m:e>
            <m:sub>
              <m:r>
                <w:rPr>
                  <w:rFonts w:ascii="Cambria Math" w:hAnsi="Cambria Math" w:cs="Arial"/>
                </w:rPr>
                <m:t>ct</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2</m:t>
              </m:r>
            </m:sub>
          </m:sSub>
          <m:sSub>
            <m:sSubPr>
              <m:ctrlPr>
                <w:rPr>
                  <w:rFonts w:ascii="Cambria Math" w:hAnsi="Cambria Math" w:cs="Arial"/>
                </w:rPr>
              </m:ctrlPr>
            </m:sSubPr>
            <m:e>
              <m:r>
                <m:rPr>
                  <m:nor/>
                </m:rPr>
                <w:rPr>
                  <w:rFonts w:ascii="Arial" w:hAnsi="Arial" w:cs="Arial"/>
                </w:rPr>
                <m:t>GDI</m:t>
              </m:r>
            </m:e>
            <m:sub>
              <m:r>
                <w:rPr>
                  <w:rFonts w:ascii="Cambria Math" w:hAnsi="Cambria Math" w:cs="Arial"/>
                </w:rPr>
                <m:t>ct</m:t>
              </m:r>
            </m:sub>
          </m:sSub>
          <m:r>
            <w:rPr>
              <w:rFonts w:ascii="Cambria Math" w:hAnsi="Cambria Math" w:cs="Arial"/>
            </w:rPr>
            <m:t>+γ</m:t>
          </m:r>
          <m:sSub>
            <m:sSubPr>
              <m:ctrlPr>
                <w:rPr>
                  <w:rFonts w:ascii="Cambria Math" w:hAnsi="Cambria Math" w:cs="Arial"/>
                </w:rPr>
              </m:ctrlPr>
            </m:sSubPr>
            <m:e>
              <m:r>
                <m:rPr>
                  <m:nor/>
                </m:rPr>
                <w:rPr>
                  <w:rFonts w:ascii="Arial" w:hAnsi="Arial" w:cs="Arial"/>
                </w:rPr>
                <m:t>Schooling</m:t>
              </m:r>
            </m:e>
            <m:sub>
              <m:r>
                <w:rPr>
                  <w:rFonts w:ascii="Cambria Math" w:hAnsi="Cambria Math" w:cs="Arial"/>
                </w:rPr>
                <m:t>ct</m:t>
              </m:r>
            </m:sub>
          </m:sSub>
          <m:r>
            <w:rPr>
              <w:rFonts w:ascii="Cambria Math" w:hAnsi="Cambria Math" w:cs="Arial"/>
            </w:rPr>
            <m:t>+</m:t>
          </m:r>
          <m:sSub>
            <m:sSubPr>
              <m:ctrlPr>
                <w:rPr>
                  <w:rFonts w:ascii="Cambria Math" w:hAnsi="Cambria Math" w:cs="Arial"/>
                </w:rPr>
              </m:ctrlPr>
            </m:sSubPr>
            <m:e>
              <m:r>
                <w:rPr>
                  <w:rFonts w:ascii="Cambria Math" w:hAnsi="Cambria Math" w:cs="Arial"/>
                </w:rPr>
                <m:t>μ</m:t>
              </m:r>
            </m:e>
            <m:sub>
              <m:r>
                <w:rPr>
                  <w:rFonts w:ascii="Cambria Math" w:hAnsi="Cambria Math" w:cs="Arial"/>
                </w:rPr>
                <m:t>c</m:t>
              </m:r>
            </m:sub>
          </m:sSub>
          <m:r>
            <w:rPr>
              <w:rFonts w:ascii="Cambria Math" w:hAnsi="Cambria Math" w:cs="Arial"/>
            </w:rPr>
            <m:t>+</m:t>
          </m:r>
          <m:sSub>
            <m:sSubPr>
              <m:ctrlPr>
                <w:rPr>
                  <w:rFonts w:ascii="Cambria Math" w:hAnsi="Cambria Math" w:cs="Arial"/>
                </w:rPr>
              </m:ctrlPr>
            </m:sSubPr>
            <m:e>
              <m:r>
                <w:rPr>
                  <w:rFonts w:ascii="Cambria Math" w:hAnsi="Cambria Math" w:cs="Arial"/>
                </w:rPr>
                <m:t>τ</m:t>
              </m:r>
            </m:e>
            <m:sub>
              <m:r>
                <w:rPr>
                  <w:rFonts w:ascii="Cambria Math" w:hAnsi="Cambria Math" w:cs="Arial"/>
                </w:rPr>
                <m:t>t</m:t>
              </m:r>
            </m:sub>
          </m:sSub>
          <m:r>
            <w:rPr>
              <w:rFonts w:ascii="Cambria Math" w:hAnsi="Cambria Math" w:cs="Arial"/>
            </w:rPr>
            <m:t>+</m:t>
          </m:r>
          <m:sSub>
            <m:sSubPr>
              <m:ctrlPr>
                <w:rPr>
                  <w:rFonts w:ascii="Cambria Math" w:hAnsi="Cambria Math" w:cs="Arial"/>
                </w:rPr>
              </m:ctrlPr>
            </m:sSubPr>
            <m:e>
              <m:r>
                <w:rPr>
                  <w:rFonts w:ascii="Cambria Math" w:hAnsi="Cambria Math" w:cs="Arial"/>
                </w:rPr>
                <m:t>ε</m:t>
              </m:r>
            </m:e>
            <m:sub>
              <m:r>
                <w:rPr>
                  <w:rFonts w:ascii="Cambria Math" w:hAnsi="Cambria Math" w:cs="Arial"/>
                </w:rPr>
                <m:t>ct</m:t>
              </m:r>
            </m:sub>
          </m:sSub>
          <m:r>
            <w:rPr>
              <w:rFonts w:ascii="Cambria Math" w:hAnsi="Cambria Math" w:cs="Arial"/>
            </w:rPr>
            <m:t xml:space="preserve">          (10)</m:t>
          </m:r>
          <m:r>
            <m:rPr>
              <m:sty m:val="p"/>
            </m:rPr>
            <w:rPr>
              <w:rFonts w:ascii="Cambria Math" w:hAnsi="Cambria Math" w:cs="Arial"/>
            </w:rPr>
            <w:br/>
          </m:r>
        </m:oMath>
      </m:oMathPara>
    </w:p>
    <w:p w14:paraId="7A89E114" w14:textId="4940D58E" w:rsidR="00422E2F" w:rsidRPr="00E76534" w:rsidRDefault="00422E2F" w:rsidP="00422E2F">
      <w:pPr>
        <w:pStyle w:val="Body"/>
        <w:spacing w:after="0"/>
        <w:rPr>
          <w:rFonts w:ascii="Arial" w:hAnsi="Arial" w:cs="Arial"/>
        </w:rPr>
      </w:pPr>
      <w:r w:rsidRPr="00E76534">
        <w:rPr>
          <w:rFonts w:ascii="Arial" w:hAnsi="Arial" w:cs="Arial"/>
        </w:rPr>
        <w:lastRenderedPageBreak/>
        <w:t>where </w:t>
      </w:r>
      <m:oMath>
        <m:sSub>
          <m:sSubPr>
            <m:ctrlPr>
              <w:rPr>
                <w:rFonts w:ascii="Cambria Math" w:hAnsi="Cambria Math" w:cs="Arial"/>
              </w:rPr>
            </m:ctrlPr>
          </m:sSubPr>
          <m:e>
            <m:r>
              <w:rPr>
                <w:rFonts w:ascii="Cambria Math" w:hAnsi="Cambria Math" w:cs="Arial"/>
              </w:rPr>
              <m:t>y</m:t>
            </m:r>
          </m:e>
          <m:sub>
            <m:r>
              <w:rPr>
                <w:rFonts w:ascii="Cambria Math" w:hAnsi="Cambria Math" w:cs="Arial"/>
              </w:rPr>
              <m:t>ct</m:t>
            </m:r>
          </m:sub>
        </m:sSub>
      </m:oMath>
      <w:r w:rsidRPr="00E76534">
        <w:rPr>
          <w:rFonts w:ascii="Arial" w:hAnsi="Arial" w:cs="Arial"/>
        </w:rPr>
        <w:t> denotes fertility timing in country </w:t>
      </w:r>
      <m:oMath>
        <m:r>
          <w:rPr>
            <w:rFonts w:ascii="Cambria Math" w:hAnsi="Cambria Math" w:cs="Arial"/>
          </w:rPr>
          <m:t>c</m:t>
        </m:r>
      </m:oMath>
      <w:r w:rsidRPr="00E76534">
        <w:rPr>
          <w:rFonts w:ascii="Arial" w:hAnsi="Arial" w:cs="Arial"/>
        </w:rPr>
        <w:t> and year </w:t>
      </w:r>
      <m:oMath>
        <m:r>
          <w:rPr>
            <w:rFonts w:ascii="Cambria Math" w:hAnsi="Cambria Math" w:cs="Arial"/>
          </w:rPr>
          <m:t>t</m:t>
        </m:r>
      </m:oMath>
      <w:r w:rsidRPr="00E76534">
        <w:rPr>
          <w:rFonts w:ascii="Arial" w:hAnsi="Arial" w:cs="Arial"/>
        </w:rPr>
        <w:t>, </w:t>
      </w:r>
      <m:oMath>
        <m:sSub>
          <m:sSubPr>
            <m:ctrlPr>
              <w:rPr>
                <w:rFonts w:ascii="Cambria Math" w:hAnsi="Cambria Math" w:cs="Arial"/>
              </w:rPr>
            </m:ctrlPr>
          </m:sSubPr>
          <m:e>
            <m:r>
              <w:rPr>
                <w:rFonts w:ascii="Cambria Math" w:hAnsi="Cambria Math" w:cs="Arial"/>
              </w:rPr>
              <m:t>μ</m:t>
            </m:r>
          </m:e>
          <m:sub>
            <m:r>
              <w:rPr>
                <w:rFonts w:ascii="Cambria Math" w:hAnsi="Cambria Math" w:cs="Arial"/>
              </w:rPr>
              <m:t>c</m:t>
            </m:r>
          </m:sub>
        </m:sSub>
      </m:oMath>
      <w:r w:rsidRPr="00E76534">
        <w:rPr>
          <w:rFonts w:ascii="Arial" w:hAnsi="Arial" w:cs="Arial"/>
        </w:rPr>
        <w:t> are country fixed effects that absorb time-invariant heterogeneity such as cultural norms, legal origins, and historical legacies, and </w:t>
      </w:r>
      <m:oMath>
        <m:sSub>
          <m:sSubPr>
            <m:ctrlPr>
              <w:rPr>
                <w:rFonts w:ascii="Cambria Math" w:hAnsi="Cambria Math" w:cs="Arial"/>
              </w:rPr>
            </m:ctrlPr>
          </m:sSubPr>
          <m:e>
            <m:r>
              <w:rPr>
                <w:rFonts w:ascii="Cambria Math" w:hAnsi="Cambria Math" w:cs="Arial"/>
              </w:rPr>
              <m:t>τ</m:t>
            </m:r>
          </m:e>
          <m:sub>
            <m:r>
              <w:rPr>
                <w:rFonts w:ascii="Cambria Math" w:hAnsi="Cambria Math" w:cs="Arial"/>
              </w:rPr>
              <m:t>t</m:t>
            </m:r>
          </m:sub>
        </m:sSub>
      </m:oMath>
      <w:r w:rsidRPr="00E76534">
        <w:rPr>
          <w:rFonts w:ascii="Arial" w:hAnsi="Arial" w:cs="Arial"/>
        </w:rPr>
        <w:t> are year fixed effects that capture global shocks and secular trends common across countries. Identification in this specification comes from within-country changes in gender inequality, gender development, and educational attainment over time, net of common global trends. Standard errors are clustered at the country level throughout to account for serial correlation and heteroskedasticity.</w:t>
      </w:r>
    </w:p>
    <w:p w14:paraId="7335495B" w14:textId="77777777" w:rsidR="00D264B7" w:rsidRPr="00E76534" w:rsidRDefault="00D264B7" w:rsidP="00422E2F">
      <w:pPr>
        <w:pStyle w:val="Body"/>
        <w:spacing w:after="0"/>
        <w:rPr>
          <w:rFonts w:ascii="Arial" w:hAnsi="Arial" w:cs="Arial"/>
        </w:rPr>
      </w:pPr>
    </w:p>
    <w:p w14:paraId="168CBFB1" w14:textId="77777777" w:rsidR="00422E2F" w:rsidRPr="00E76534" w:rsidRDefault="00422E2F" w:rsidP="00422E2F">
      <w:pPr>
        <w:pStyle w:val="Body"/>
        <w:spacing w:after="0"/>
        <w:rPr>
          <w:rFonts w:ascii="Arial" w:hAnsi="Arial" w:cs="Arial"/>
        </w:rPr>
      </w:pPr>
      <w:r w:rsidRPr="00E76534">
        <w:rPr>
          <w:rFonts w:ascii="Arial" w:hAnsi="Arial" w:cs="Arial"/>
        </w:rPr>
        <w:t>A central concern in cross-national fertility research is simultaneity and reverse causality, as fertility outcomes may themselves influence gender institutions through political, economic, or social channels. To mitigate this concern, the analysis estimates specifications in which gender inequality, gender development, and the education control are lagged by one period:</w:t>
      </w:r>
    </w:p>
    <w:p w14:paraId="756E16D4" w14:textId="77777777" w:rsidR="00D264B7" w:rsidRPr="00E76534" w:rsidRDefault="00D264B7" w:rsidP="00422E2F">
      <w:pPr>
        <w:pStyle w:val="Body"/>
        <w:spacing w:after="0"/>
        <w:rPr>
          <w:rFonts w:ascii="Arial" w:hAnsi="Arial" w:cs="Arial"/>
        </w:rPr>
      </w:pPr>
    </w:p>
    <w:p w14:paraId="30A2B3B5" w14:textId="4C29E66C" w:rsidR="00422E2F" w:rsidRPr="00E76534" w:rsidRDefault="00000000" w:rsidP="00422E2F">
      <w:pPr>
        <w:pStyle w:val="Body"/>
        <w:rPr>
          <w:rFonts w:ascii="Arial" w:hAnsi="Arial" w:cs="Arial"/>
        </w:rPr>
      </w:pPr>
      <m:oMathPara>
        <m:oMath>
          <m:sSub>
            <m:sSubPr>
              <m:ctrlPr>
                <w:rPr>
                  <w:rFonts w:ascii="Cambria Math" w:hAnsi="Cambria Math" w:cs="Arial"/>
                </w:rPr>
              </m:ctrlPr>
            </m:sSubPr>
            <m:e>
              <m:r>
                <w:rPr>
                  <w:rFonts w:ascii="Cambria Math" w:hAnsi="Cambria Math" w:cs="Arial"/>
                </w:rPr>
                <m:t>y</m:t>
              </m:r>
            </m:e>
            <m:sub>
              <m:r>
                <w:rPr>
                  <w:rFonts w:ascii="Cambria Math" w:hAnsi="Cambria Math" w:cs="Arial"/>
                </w:rPr>
                <m:t>ct</m:t>
              </m:r>
            </m:sub>
          </m:sSub>
          <m:r>
            <w:rPr>
              <w:rFonts w:ascii="Cambria Math" w:hAnsi="Cambria Math" w:cs="Arial"/>
            </w:rPr>
            <m:t>=α+</m:t>
          </m:r>
          <m:sSub>
            <m:sSubPr>
              <m:ctrlPr>
                <w:rPr>
                  <w:rFonts w:ascii="Cambria Math" w:hAnsi="Cambria Math" w:cs="Arial"/>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rPr>
              </m:ctrlPr>
            </m:sSubPr>
            <m:e>
              <m:r>
                <m:rPr>
                  <m:nor/>
                </m:rPr>
                <w:rPr>
                  <w:rFonts w:ascii="Arial" w:hAnsi="Arial" w:cs="Arial"/>
                </w:rPr>
                <m:t>GII</m:t>
              </m:r>
            </m:e>
            <m:sub>
              <m:r>
                <w:rPr>
                  <w:rFonts w:ascii="Cambria Math" w:hAnsi="Cambria Math" w:cs="Arial"/>
                </w:rPr>
                <m:t>c,t-1</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2</m:t>
              </m:r>
            </m:sub>
          </m:sSub>
          <m:sSub>
            <m:sSubPr>
              <m:ctrlPr>
                <w:rPr>
                  <w:rFonts w:ascii="Cambria Math" w:hAnsi="Cambria Math" w:cs="Arial"/>
                </w:rPr>
              </m:ctrlPr>
            </m:sSubPr>
            <m:e>
              <m:r>
                <m:rPr>
                  <m:nor/>
                </m:rPr>
                <w:rPr>
                  <w:rFonts w:ascii="Arial" w:hAnsi="Arial" w:cs="Arial"/>
                </w:rPr>
                <m:t>GDI</m:t>
              </m:r>
            </m:e>
            <m:sub>
              <m:r>
                <w:rPr>
                  <w:rFonts w:ascii="Cambria Math" w:hAnsi="Cambria Math" w:cs="Arial"/>
                </w:rPr>
                <m:t>c,t-1</m:t>
              </m:r>
            </m:sub>
          </m:sSub>
          <m:r>
            <w:rPr>
              <w:rFonts w:ascii="Cambria Math" w:hAnsi="Cambria Math" w:cs="Arial"/>
            </w:rPr>
            <m:t>+γ</m:t>
          </m:r>
          <m:sSub>
            <m:sSubPr>
              <m:ctrlPr>
                <w:rPr>
                  <w:rFonts w:ascii="Cambria Math" w:hAnsi="Cambria Math" w:cs="Arial"/>
                </w:rPr>
              </m:ctrlPr>
            </m:sSubPr>
            <m:e>
              <m:r>
                <m:rPr>
                  <m:nor/>
                </m:rPr>
                <w:rPr>
                  <w:rFonts w:ascii="Arial" w:hAnsi="Arial" w:cs="Arial"/>
                </w:rPr>
                <m:t>Schooling</m:t>
              </m:r>
            </m:e>
            <m:sub>
              <m:r>
                <w:rPr>
                  <w:rFonts w:ascii="Cambria Math" w:hAnsi="Cambria Math" w:cs="Arial"/>
                </w:rPr>
                <m:t>c,t-1</m:t>
              </m:r>
            </m:sub>
          </m:sSub>
          <m:r>
            <w:rPr>
              <w:rFonts w:ascii="Cambria Math" w:hAnsi="Cambria Math" w:cs="Arial"/>
            </w:rPr>
            <m:t>+</m:t>
          </m:r>
          <m:sSub>
            <m:sSubPr>
              <m:ctrlPr>
                <w:rPr>
                  <w:rFonts w:ascii="Cambria Math" w:hAnsi="Cambria Math" w:cs="Arial"/>
                </w:rPr>
              </m:ctrlPr>
            </m:sSubPr>
            <m:e>
              <m:r>
                <w:rPr>
                  <w:rFonts w:ascii="Cambria Math" w:hAnsi="Cambria Math" w:cs="Arial"/>
                </w:rPr>
                <m:t>μ</m:t>
              </m:r>
            </m:e>
            <m:sub>
              <m:r>
                <w:rPr>
                  <w:rFonts w:ascii="Cambria Math" w:hAnsi="Cambria Math" w:cs="Arial"/>
                </w:rPr>
                <m:t>c</m:t>
              </m:r>
            </m:sub>
          </m:sSub>
          <m:r>
            <w:rPr>
              <w:rFonts w:ascii="Cambria Math" w:hAnsi="Cambria Math" w:cs="Arial"/>
            </w:rPr>
            <m:t>+</m:t>
          </m:r>
          <m:sSub>
            <m:sSubPr>
              <m:ctrlPr>
                <w:rPr>
                  <w:rFonts w:ascii="Cambria Math" w:hAnsi="Cambria Math" w:cs="Arial"/>
                </w:rPr>
              </m:ctrlPr>
            </m:sSubPr>
            <m:e>
              <m:r>
                <w:rPr>
                  <w:rFonts w:ascii="Cambria Math" w:hAnsi="Cambria Math" w:cs="Arial"/>
                </w:rPr>
                <m:t>τ</m:t>
              </m:r>
            </m:e>
            <m:sub>
              <m:r>
                <w:rPr>
                  <w:rFonts w:ascii="Cambria Math" w:hAnsi="Cambria Math" w:cs="Arial"/>
                </w:rPr>
                <m:t>t</m:t>
              </m:r>
            </m:sub>
          </m:sSub>
          <m:r>
            <w:rPr>
              <w:rFonts w:ascii="Cambria Math" w:hAnsi="Cambria Math" w:cs="Arial"/>
            </w:rPr>
            <m:t>+</m:t>
          </m:r>
          <m:sSub>
            <m:sSubPr>
              <m:ctrlPr>
                <w:rPr>
                  <w:rFonts w:ascii="Cambria Math" w:hAnsi="Cambria Math" w:cs="Arial"/>
                </w:rPr>
              </m:ctrlPr>
            </m:sSubPr>
            <m:e>
              <m:r>
                <w:rPr>
                  <w:rFonts w:ascii="Cambria Math" w:hAnsi="Cambria Math" w:cs="Arial"/>
                </w:rPr>
                <m:t>ε</m:t>
              </m:r>
            </m:e>
            <m:sub>
              <m:r>
                <w:rPr>
                  <w:rFonts w:ascii="Cambria Math" w:hAnsi="Cambria Math" w:cs="Arial"/>
                </w:rPr>
                <m:t>ct</m:t>
              </m:r>
            </m:sub>
          </m:sSub>
          <m:r>
            <w:rPr>
              <w:rFonts w:ascii="Cambria Math" w:hAnsi="Cambria Math" w:cs="Arial"/>
            </w:rPr>
            <m:t xml:space="preserve">          (11)</m:t>
          </m:r>
          <m:r>
            <m:rPr>
              <m:sty m:val="p"/>
            </m:rPr>
            <w:rPr>
              <w:rFonts w:ascii="Cambria Math" w:hAnsi="Cambria Math" w:cs="Arial"/>
            </w:rPr>
            <w:br/>
          </m:r>
        </m:oMath>
      </m:oMathPara>
    </w:p>
    <w:p w14:paraId="6CD4E864" w14:textId="77777777" w:rsidR="00422E2F" w:rsidRPr="00E76534" w:rsidRDefault="00422E2F" w:rsidP="00422E2F">
      <w:pPr>
        <w:pStyle w:val="Body"/>
        <w:spacing w:after="0"/>
        <w:rPr>
          <w:rFonts w:ascii="Arial" w:hAnsi="Arial" w:cs="Arial"/>
        </w:rPr>
      </w:pPr>
      <w:r w:rsidRPr="00E76534">
        <w:rPr>
          <w:rFonts w:ascii="Arial" w:hAnsi="Arial" w:cs="Arial"/>
        </w:rPr>
        <w:t>By relating current fertility timing to past institutional conditions, this specification strengthens the interpretation that changes in gender institutions precede changes in fertility behavior, though it does not fully eliminate endogeneity concerns.</w:t>
      </w:r>
    </w:p>
    <w:p w14:paraId="10C361FC" w14:textId="77777777" w:rsidR="00D264B7" w:rsidRPr="00E76534" w:rsidRDefault="00D264B7" w:rsidP="00422E2F">
      <w:pPr>
        <w:pStyle w:val="Body"/>
        <w:spacing w:after="0"/>
        <w:rPr>
          <w:rFonts w:ascii="Arial" w:hAnsi="Arial" w:cs="Arial"/>
        </w:rPr>
      </w:pPr>
    </w:p>
    <w:p w14:paraId="3EE422AA" w14:textId="77777777" w:rsidR="00422E2F" w:rsidRPr="00E76534" w:rsidRDefault="00422E2F" w:rsidP="00422E2F">
      <w:pPr>
        <w:pStyle w:val="Body"/>
        <w:spacing w:after="0"/>
        <w:rPr>
          <w:rFonts w:ascii="Arial" w:hAnsi="Arial" w:cs="Arial"/>
        </w:rPr>
      </w:pPr>
      <w:r w:rsidRPr="00E76534">
        <w:rPr>
          <w:rFonts w:ascii="Arial" w:hAnsi="Arial" w:cs="Arial"/>
        </w:rPr>
        <w:t>The conceptual framework also allows for nonlinear responses of fertility timing to institutional change. In particular, fertility behavior may respond differently to changes in gender inequality across institutional regimes. To examine this possibility, the analysis augments the baseline specification with a quadratic term in gender inequality:</w:t>
      </w:r>
    </w:p>
    <w:p w14:paraId="3FA04D3D" w14:textId="77777777" w:rsidR="00D264B7" w:rsidRPr="00E76534" w:rsidRDefault="00D264B7" w:rsidP="00422E2F">
      <w:pPr>
        <w:pStyle w:val="Body"/>
        <w:spacing w:after="0"/>
        <w:rPr>
          <w:rFonts w:ascii="Arial" w:hAnsi="Arial" w:cs="Arial"/>
        </w:rPr>
      </w:pPr>
    </w:p>
    <w:p w14:paraId="5112A19C" w14:textId="18462A7B" w:rsidR="00422E2F" w:rsidRPr="00E76534" w:rsidRDefault="00000000" w:rsidP="00422E2F">
      <w:pPr>
        <w:pStyle w:val="Body"/>
        <w:rPr>
          <w:rFonts w:ascii="Arial" w:hAnsi="Arial" w:cs="Arial"/>
        </w:rPr>
      </w:pPr>
      <m:oMathPara>
        <m:oMath>
          <m:sSub>
            <m:sSubPr>
              <m:ctrlPr>
                <w:rPr>
                  <w:rFonts w:ascii="Cambria Math" w:hAnsi="Cambria Math" w:cs="Arial"/>
                </w:rPr>
              </m:ctrlPr>
            </m:sSubPr>
            <m:e>
              <m:r>
                <w:rPr>
                  <w:rFonts w:ascii="Cambria Math" w:hAnsi="Cambria Math" w:cs="Arial"/>
                </w:rPr>
                <m:t>y</m:t>
              </m:r>
            </m:e>
            <m:sub>
              <m:r>
                <w:rPr>
                  <w:rFonts w:ascii="Cambria Math" w:hAnsi="Cambria Math" w:cs="Arial"/>
                </w:rPr>
                <m:t>ct</m:t>
              </m:r>
            </m:sub>
          </m:sSub>
          <m:r>
            <w:rPr>
              <w:rFonts w:ascii="Cambria Math" w:hAnsi="Cambria Math" w:cs="Arial"/>
            </w:rPr>
            <m:t>=α+</m:t>
          </m:r>
          <m:sSub>
            <m:sSubPr>
              <m:ctrlPr>
                <w:rPr>
                  <w:rFonts w:ascii="Cambria Math" w:hAnsi="Cambria Math" w:cs="Arial"/>
                </w:rPr>
              </m:ctrlPr>
            </m:sSubPr>
            <m:e>
              <m:r>
                <w:rPr>
                  <w:rFonts w:ascii="Cambria Math" w:hAnsi="Cambria Math" w:cs="Arial"/>
                </w:rPr>
                <m:t>θ</m:t>
              </m:r>
            </m:e>
            <m:sub>
              <m:r>
                <w:rPr>
                  <w:rFonts w:ascii="Cambria Math" w:hAnsi="Cambria Math" w:cs="Arial"/>
                </w:rPr>
                <m:t>1</m:t>
              </m:r>
            </m:sub>
          </m:sSub>
          <m:sSub>
            <m:sSubPr>
              <m:ctrlPr>
                <w:rPr>
                  <w:rFonts w:ascii="Cambria Math" w:hAnsi="Cambria Math" w:cs="Arial"/>
                </w:rPr>
              </m:ctrlPr>
            </m:sSubPr>
            <m:e>
              <m:r>
                <m:rPr>
                  <m:nor/>
                </m:rPr>
                <w:rPr>
                  <w:rFonts w:ascii="Arial" w:hAnsi="Arial" w:cs="Arial"/>
                </w:rPr>
                <m:t>GII</m:t>
              </m:r>
            </m:e>
            <m:sub>
              <m:r>
                <w:rPr>
                  <w:rFonts w:ascii="Cambria Math" w:hAnsi="Cambria Math" w:cs="Arial"/>
                </w:rPr>
                <m:t>ct</m:t>
              </m:r>
            </m:sub>
          </m:sSub>
          <m:r>
            <w:rPr>
              <w:rFonts w:ascii="Cambria Math" w:hAnsi="Cambria Math" w:cs="Arial"/>
            </w:rPr>
            <m:t>+</m:t>
          </m:r>
          <m:sSub>
            <m:sSubPr>
              <m:ctrlPr>
                <w:rPr>
                  <w:rFonts w:ascii="Cambria Math" w:hAnsi="Cambria Math" w:cs="Arial"/>
                </w:rPr>
              </m:ctrlPr>
            </m:sSubPr>
            <m:e>
              <m:r>
                <w:rPr>
                  <w:rFonts w:ascii="Cambria Math" w:hAnsi="Cambria Math" w:cs="Arial"/>
                </w:rPr>
                <m:t>θ</m:t>
              </m:r>
            </m:e>
            <m:sub>
              <m:r>
                <w:rPr>
                  <w:rFonts w:ascii="Cambria Math" w:hAnsi="Cambria Math" w:cs="Arial"/>
                </w:rPr>
                <m:t>2</m:t>
              </m:r>
            </m:sub>
          </m:sSub>
          <m:sSubSup>
            <m:sSubSupPr>
              <m:ctrlPr>
                <w:rPr>
                  <w:rFonts w:ascii="Cambria Math" w:hAnsi="Cambria Math" w:cs="Arial"/>
                </w:rPr>
              </m:ctrlPr>
            </m:sSubSupPr>
            <m:e>
              <m:r>
                <m:rPr>
                  <m:nor/>
                </m:rPr>
                <w:rPr>
                  <w:rFonts w:ascii="Arial" w:hAnsi="Arial" w:cs="Arial"/>
                </w:rPr>
                <m:t>GII</m:t>
              </m:r>
            </m:e>
            <m:sub>
              <m:r>
                <w:rPr>
                  <w:rFonts w:ascii="Cambria Math" w:hAnsi="Cambria Math" w:cs="Arial"/>
                </w:rPr>
                <m:t>ct</m:t>
              </m:r>
            </m:sub>
            <m:sup>
              <m:r>
                <w:rPr>
                  <w:rFonts w:ascii="Cambria Math" w:hAnsi="Cambria Math" w:cs="Arial"/>
                </w:rPr>
                <m:t>2</m:t>
              </m:r>
            </m:sup>
          </m:sSubSup>
          <m:r>
            <w:rPr>
              <w:rFonts w:ascii="Cambria Math" w:hAnsi="Cambria Math" w:cs="Arial"/>
            </w:rPr>
            <m:t>+γ</m:t>
          </m:r>
          <m:sSub>
            <m:sSubPr>
              <m:ctrlPr>
                <w:rPr>
                  <w:rFonts w:ascii="Cambria Math" w:hAnsi="Cambria Math" w:cs="Arial"/>
                </w:rPr>
              </m:ctrlPr>
            </m:sSubPr>
            <m:e>
              <m:r>
                <m:rPr>
                  <m:nor/>
                </m:rPr>
                <w:rPr>
                  <w:rFonts w:ascii="Arial" w:hAnsi="Arial" w:cs="Arial"/>
                </w:rPr>
                <m:t>Schooling</m:t>
              </m:r>
            </m:e>
            <m:sub>
              <m:r>
                <w:rPr>
                  <w:rFonts w:ascii="Cambria Math" w:hAnsi="Cambria Math" w:cs="Arial"/>
                </w:rPr>
                <m:t>ct</m:t>
              </m:r>
            </m:sub>
          </m:sSub>
          <m:r>
            <w:rPr>
              <w:rFonts w:ascii="Cambria Math" w:hAnsi="Cambria Math" w:cs="Arial"/>
            </w:rPr>
            <m:t>+</m:t>
          </m:r>
          <m:sSub>
            <m:sSubPr>
              <m:ctrlPr>
                <w:rPr>
                  <w:rFonts w:ascii="Cambria Math" w:hAnsi="Cambria Math" w:cs="Arial"/>
                </w:rPr>
              </m:ctrlPr>
            </m:sSubPr>
            <m:e>
              <m:r>
                <w:rPr>
                  <w:rFonts w:ascii="Cambria Math" w:hAnsi="Cambria Math" w:cs="Arial"/>
                </w:rPr>
                <m:t>μ</m:t>
              </m:r>
            </m:e>
            <m:sub>
              <m:r>
                <w:rPr>
                  <w:rFonts w:ascii="Cambria Math" w:hAnsi="Cambria Math" w:cs="Arial"/>
                </w:rPr>
                <m:t>c</m:t>
              </m:r>
            </m:sub>
          </m:sSub>
          <m:r>
            <w:rPr>
              <w:rFonts w:ascii="Cambria Math" w:hAnsi="Cambria Math" w:cs="Arial"/>
            </w:rPr>
            <m:t>+</m:t>
          </m:r>
          <m:sSub>
            <m:sSubPr>
              <m:ctrlPr>
                <w:rPr>
                  <w:rFonts w:ascii="Cambria Math" w:hAnsi="Cambria Math" w:cs="Arial"/>
                </w:rPr>
              </m:ctrlPr>
            </m:sSubPr>
            <m:e>
              <m:r>
                <w:rPr>
                  <w:rFonts w:ascii="Cambria Math" w:hAnsi="Cambria Math" w:cs="Arial"/>
                </w:rPr>
                <m:t>τ</m:t>
              </m:r>
            </m:e>
            <m:sub>
              <m:r>
                <w:rPr>
                  <w:rFonts w:ascii="Cambria Math" w:hAnsi="Cambria Math" w:cs="Arial"/>
                </w:rPr>
                <m:t>t</m:t>
              </m:r>
            </m:sub>
          </m:sSub>
          <m:r>
            <w:rPr>
              <w:rFonts w:ascii="Cambria Math" w:hAnsi="Cambria Math" w:cs="Arial"/>
            </w:rPr>
            <m:t>+</m:t>
          </m:r>
          <m:sSub>
            <m:sSubPr>
              <m:ctrlPr>
                <w:rPr>
                  <w:rFonts w:ascii="Cambria Math" w:hAnsi="Cambria Math" w:cs="Arial"/>
                </w:rPr>
              </m:ctrlPr>
            </m:sSubPr>
            <m:e>
              <m:r>
                <w:rPr>
                  <w:rFonts w:ascii="Cambria Math" w:hAnsi="Cambria Math" w:cs="Arial"/>
                </w:rPr>
                <m:t>ε</m:t>
              </m:r>
            </m:e>
            <m:sub>
              <m:r>
                <w:rPr>
                  <w:rFonts w:ascii="Cambria Math" w:hAnsi="Cambria Math" w:cs="Arial"/>
                </w:rPr>
                <m:t>ct</m:t>
              </m:r>
            </m:sub>
          </m:sSub>
          <m:r>
            <m:rPr>
              <m:sty m:val="p"/>
            </m:rPr>
            <w:rPr>
              <w:rFonts w:ascii="Cambria Math" w:hAnsi="Cambria Math" w:cs="Arial"/>
            </w:rPr>
            <m:t xml:space="preserve">          (12)</m:t>
          </m:r>
          <m:r>
            <m:rPr>
              <m:sty m:val="p"/>
            </m:rPr>
            <w:rPr>
              <w:rFonts w:ascii="Cambria Math" w:hAnsi="Cambria Math" w:cs="Arial"/>
            </w:rPr>
            <w:br/>
          </m:r>
        </m:oMath>
      </m:oMathPara>
    </w:p>
    <w:p w14:paraId="52CEACF2" w14:textId="39091ABB" w:rsidR="00422E2F" w:rsidRPr="00E76534" w:rsidRDefault="00422E2F" w:rsidP="00422E2F">
      <w:pPr>
        <w:pStyle w:val="Body"/>
        <w:spacing w:after="0"/>
        <w:rPr>
          <w:rFonts w:ascii="Arial" w:hAnsi="Arial" w:cs="Arial"/>
        </w:rPr>
      </w:pPr>
      <w:r w:rsidRPr="00E76534">
        <w:rPr>
          <w:rFonts w:ascii="Arial" w:hAnsi="Arial" w:cs="Arial"/>
        </w:rPr>
        <w:t>In this specification, the marginal effect of gender inequality on fertility timing is given by </w:t>
      </w:r>
      <m:oMath>
        <m:sSub>
          <m:sSubPr>
            <m:ctrlPr>
              <w:rPr>
                <w:rFonts w:ascii="Cambria Math" w:hAnsi="Cambria Math" w:cs="Arial"/>
              </w:rPr>
            </m:ctrlPr>
          </m:sSubPr>
          <m:e>
            <m:r>
              <w:rPr>
                <w:rFonts w:ascii="Cambria Math" w:hAnsi="Cambria Math" w:cs="Arial"/>
              </w:rPr>
              <m:t>θ</m:t>
            </m:r>
          </m:e>
          <m:sub>
            <m:r>
              <w:rPr>
                <w:rFonts w:ascii="Cambria Math" w:hAnsi="Cambria Math" w:cs="Arial"/>
              </w:rPr>
              <m:t>1</m:t>
            </m:r>
          </m:sub>
        </m:sSub>
        <m:r>
          <w:rPr>
            <w:rFonts w:ascii="Cambria Math" w:hAnsi="Cambria Math" w:cs="Arial"/>
          </w:rPr>
          <m:t>+2</m:t>
        </m:r>
        <m:sSub>
          <m:sSubPr>
            <m:ctrlPr>
              <w:rPr>
                <w:rFonts w:ascii="Cambria Math" w:hAnsi="Cambria Math" w:cs="Arial"/>
              </w:rPr>
            </m:ctrlPr>
          </m:sSubPr>
          <m:e>
            <m:r>
              <w:rPr>
                <w:rFonts w:ascii="Cambria Math" w:hAnsi="Cambria Math" w:cs="Arial"/>
              </w:rPr>
              <m:t>θ</m:t>
            </m:r>
          </m:e>
          <m:sub>
            <m:r>
              <w:rPr>
                <w:rFonts w:ascii="Cambria Math" w:hAnsi="Cambria Math" w:cs="Arial"/>
              </w:rPr>
              <m:t>2</m:t>
            </m:r>
          </m:sub>
        </m:sSub>
        <m:sSub>
          <m:sSubPr>
            <m:ctrlPr>
              <w:rPr>
                <w:rFonts w:ascii="Cambria Math" w:hAnsi="Cambria Math" w:cs="Arial"/>
              </w:rPr>
            </m:ctrlPr>
          </m:sSubPr>
          <m:e>
            <m:r>
              <m:rPr>
                <m:nor/>
              </m:rPr>
              <w:rPr>
                <w:rFonts w:ascii="Arial" w:hAnsi="Arial" w:cs="Arial"/>
              </w:rPr>
              <m:t>GII</m:t>
            </m:r>
          </m:e>
          <m:sub>
            <m:r>
              <w:rPr>
                <w:rFonts w:ascii="Cambria Math" w:hAnsi="Cambria Math" w:cs="Arial"/>
              </w:rPr>
              <m:t>ct</m:t>
            </m:r>
          </m:sub>
        </m:sSub>
      </m:oMath>
      <w:r w:rsidRPr="00E76534">
        <w:rPr>
          <w:rFonts w:ascii="Arial" w:hAnsi="Arial" w:cs="Arial"/>
        </w:rPr>
        <w:t>, and the implied turning point occurs at </w:t>
      </w:r>
      <m:oMath>
        <m:sSup>
          <m:sSupPr>
            <m:ctrlPr>
              <w:rPr>
                <w:rFonts w:ascii="Cambria Math" w:hAnsi="Cambria Math" w:cs="Arial"/>
              </w:rPr>
            </m:ctrlPr>
          </m:sSupPr>
          <m:e>
            <m:r>
              <m:rPr>
                <m:nor/>
              </m:rPr>
              <w:rPr>
                <w:rFonts w:ascii="Arial" w:hAnsi="Arial" w:cs="Arial"/>
              </w:rPr>
              <m:t>GII</m:t>
            </m:r>
          </m:e>
          <m:sup>
            <m:r>
              <w:rPr>
                <w:rFonts w:ascii="Cambria Math" w:hAnsi="Cambria Math" w:cs="Arial"/>
              </w:rPr>
              <m:t>*</m:t>
            </m:r>
          </m:sup>
        </m:sSup>
        <m:r>
          <w:rPr>
            <w:rFonts w:ascii="Cambria Math" w:hAnsi="Cambria Math" w:cs="Arial"/>
          </w:rPr>
          <m:t>=-</m:t>
        </m:r>
        <m:sSub>
          <m:sSubPr>
            <m:ctrlPr>
              <w:rPr>
                <w:rFonts w:ascii="Cambria Math" w:hAnsi="Cambria Math" w:cs="Arial"/>
              </w:rPr>
            </m:ctrlPr>
          </m:sSubPr>
          <m:e>
            <m:r>
              <w:rPr>
                <w:rFonts w:ascii="Cambria Math" w:hAnsi="Cambria Math" w:cs="Arial"/>
              </w:rPr>
              <m:t>θ</m:t>
            </m:r>
          </m:e>
          <m:sub>
            <m:r>
              <w:rPr>
                <w:rFonts w:ascii="Cambria Math" w:hAnsi="Cambria Math" w:cs="Arial"/>
              </w:rPr>
              <m:t>1</m:t>
            </m:r>
          </m:sub>
        </m:sSub>
        <m:r>
          <m:rPr>
            <m:sty m:val="p"/>
          </m:rPr>
          <w:rPr>
            <w:rFonts w:ascii="Cambria Math" w:hAnsi="Cambria Math" w:cs="Arial"/>
          </w:rPr>
          <m:t>/</m:t>
        </m:r>
        <m:r>
          <w:rPr>
            <w:rFonts w:ascii="Cambria Math" w:hAnsi="Cambria Math" w:cs="Arial"/>
          </w:rPr>
          <m:t>(2</m:t>
        </m:r>
        <m:sSub>
          <m:sSubPr>
            <m:ctrlPr>
              <w:rPr>
                <w:rFonts w:ascii="Cambria Math" w:hAnsi="Cambria Math" w:cs="Arial"/>
              </w:rPr>
            </m:ctrlPr>
          </m:sSubPr>
          <m:e>
            <m:r>
              <w:rPr>
                <w:rFonts w:ascii="Cambria Math" w:hAnsi="Cambria Math" w:cs="Arial"/>
              </w:rPr>
              <m:t>θ</m:t>
            </m:r>
          </m:e>
          <m:sub>
            <m:r>
              <w:rPr>
                <w:rFonts w:ascii="Cambria Math" w:hAnsi="Cambria Math" w:cs="Arial"/>
              </w:rPr>
              <m:t>2</m:t>
            </m:r>
          </m:sub>
        </m:sSub>
        <m:r>
          <w:rPr>
            <w:rFonts w:ascii="Cambria Math" w:hAnsi="Cambria Math" w:cs="Arial"/>
          </w:rPr>
          <m:t>)</m:t>
        </m:r>
      </m:oMath>
      <w:r w:rsidRPr="00E76534">
        <w:rPr>
          <w:rFonts w:ascii="Arial" w:hAnsi="Arial" w:cs="Arial"/>
        </w:rPr>
        <w:t>. Evidence of statistically significant curvature is interpreted as consistent with regime-dependent institutional effects and coordination frictions emphasized in the theoretical framework.</w:t>
      </w:r>
    </w:p>
    <w:p w14:paraId="2E7C5E96" w14:textId="77777777" w:rsidR="00D264B7" w:rsidRPr="00E76534" w:rsidRDefault="00D264B7" w:rsidP="00422E2F">
      <w:pPr>
        <w:pStyle w:val="Body"/>
        <w:spacing w:after="0"/>
        <w:rPr>
          <w:rFonts w:ascii="Arial" w:hAnsi="Arial" w:cs="Arial"/>
        </w:rPr>
      </w:pPr>
    </w:p>
    <w:p w14:paraId="5DCDA07F" w14:textId="77777777" w:rsidR="00422E2F" w:rsidRPr="00E76534" w:rsidRDefault="00422E2F" w:rsidP="00422E2F">
      <w:pPr>
        <w:pStyle w:val="Body"/>
        <w:spacing w:after="0"/>
        <w:rPr>
          <w:rFonts w:ascii="Arial" w:hAnsi="Arial" w:cs="Arial"/>
        </w:rPr>
      </w:pPr>
      <w:r w:rsidRPr="00E76534">
        <w:rPr>
          <w:rFonts w:ascii="Arial" w:hAnsi="Arial" w:cs="Arial"/>
        </w:rPr>
        <w:t>Finally, to assess persistence and path dependence in fertility timing, the analysis estimates a dynamic fixed-effects specification that includes a lagged dependent variable:</w:t>
      </w:r>
    </w:p>
    <w:p w14:paraId="115D5124" w14:textId="77777777" w:rsidR="00D264B7" w:rsidRPr="00E76534" w:rsidRDefault="00D264B7" w:rsidP="00422E2F">
      <w:pPr>
        <w:pStyle w:val="Body"/>
        <w:spacing w:after="0"/>
        <w:rPr>
          <w:rFonts w:ascii="Arial" w:hAnsi="Arial" w:cs="Arial"/>
        </w:rPr>
      </w:pPr>
    </w:p>
    <w:p w14:paraId="34930726" w14:textId="5F93CA08" w:rsidR="00422E2F" w:rsidRPr="00E76534" w:rsidRDefault="00000000" w:rsidP="00422E2F">
      <w:pPr>
        <w:pStyle w:val="Body"/>
        <w:rPr>
          <w:rFonts w:ascii="Arial" w:hAnsi="Arial" w:cs="Arial"/>
        </w:rPr>
      </w:pPr>
      <m:oMathPara>
        <m:oMath>
          <m:sSub>
            <m:sSubPr>
              <m:ctrlPr>
                <w:rPr>
                  <w:rFonts w:ascii="Cambria Math" w:hAnsi="Cambria Math" w:cs="Arial"/>
                </w:rPr>
              </m:ctrlPr>
            </m:sSubPr>
            <m:e>
              <m:r>
                <w:rPr>
                  <w:rFonts w:ascii="Cambria Math" w:hAnsi="Cambria Math" w:cs="Arial"/>
                </w:rPr>
                <m:t>y</m:t>
              </m:r>
            </m:e>
            <m:sub>
              <m:r>
                <w:rPr>
                  <w:rFonts w:ascii="Cambria Math" w:hAnsi="Cambria Math" w:cs="Arial"/>
                </w:rPr>
                <m:t>ct</m:t>
              </m:r>
            </m:sub>
          </m:sSub>
          <m:r>
            <w:rPr>
              <w:rFonts w:ascii="Cambria Math" w:hAnsi="Cambria Math" w:cs="Arial"/>
            </w:rPr>
            <m:t>=α+ρ</m:t>
          </m:r>
          <m:sSub>
            <m:sSubPr>
              <m:ctrlPr>
                <w:rPr>
                  <w:rFonts w:ascii="Cambria Math" w:hAnsi="Cambria Math" w:cs="Arial"/>
                </w:rPr>
              </m:ctrlPr>
            </m:sSubPr>
            <m:e>
              <m:r>
                <w:rPr>
                  <w:rFonts w:ascii="Cambria Math" w:hAnsi="Cambria Math" w:cs="Arial"/>
                </w:rPr>
                <m:t>y</m:t>
              </m:r>
            </m:e>
            <m:sub>
              <m:r>
                <w:rPr>
                  <w:rFonts w:ascii="Cambria Math" w:hAnsi="Cambria Math" w:cs="Arial"/>
                </w:rPr>
                <m:t>c,t-1</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rPr>
              </m:ctrlPr>
            </m:sSubPr>
            <m:e>
              <m:r>
                <m:rPr>
                  <m:nor/>
                </m:rPr>
                <w:rPr>
                  <w:rFonts w:ascii="Arial" w:hAnsi="Arial" w:cs="Arial"/>
                </w:rPr>
                <m:t>GII</m:t>
              </m:r>
            </m:e>
            <m:sub>
              <m:r>
                <w:rPr>
                  <w:rFonts w:ascii="Cambria Math" w:hAnsi="Cambria Math" w:cs="Arial"/>
                </w:rPr>
                <m:t>ct</m:t>
              </m:r>
            </m:sub>
          </m:sSub>
          <m:r>
            <w:rPr>
              <w:rFonts w:ascii="Cambria Math" w:hAnsi="Cambria Math" w:cs="Arial"/>
            </w:rPr>
            <m:t>+γ</m:t>
          </m:r>
          <m:sSub>
            <m:sSubPr>
              <m:ctrlPr>
                <w:rPr>
                  <w:rFonts w:ascii="Cambria Math" w:hAnsi="Cambria Math" w:cs="Arial"/>
                </w:rPr>
              </m:ctrlPr>
            </m:sSubPr>
            <m:e>
              <m:r>
                <m:rPr>
                  <m:nor/>
                </m:rPr>
                <w:rPr>
                  <w:rFonts w:ascii="Arial" w:hAnsi="Arial" w:cs="Arial"/>
                </w:rPr>
                <m:t>Schooling</m:t>
              </m:r>
            </m:e>
            <m:sub>
              <m:r>
                <w:rPr>
                  <w:rFonts w:ascii="Cambria Math" w:hAnsi="Cambria Math" w:cs="Arial"/>
                </w:rPr>
                <m:t>ct</m:t>
              </m:r>
            </m:sub>
          </m:sSub>
          <m:r>
            <w:rPr>
              <w:rFonts w:ascii="Cambria Math" w:hAnsi="Cambria Math" w:cs="Arial"/>
            </w:rPr>
            <m:t>+</m:t>
          </m:r>
          <m:sSub>
            <m:sSubPr>
              <m:ctrlPr>
                <w:rPr>
                  <w:rFonts w:ascii="Cambria Math" w:hAnsi="Cambria Math" w:cs="Arial"/>
                </w:rPr>
              </m:ctrlPr>
            </m:sSubPr>
            <m:e>
              <m:r>
                <w:rPr>
                  <w:rFonts w:ascii="Cambria Math" w:hAnsi="Cambria Math" w:cs="Arial"/>
                </w:rPr>
                <m:t>μ</m:t>
              </m:r>
            </m:e>
            <m:sub>
              <m:r>
                <w:rPr>
                  <w:rFonts w:ascii="Cambria Math" w:hAnsi="Cambria Math" w:cs="Arial"/>
                </w:rPr>
                <m:t>c</m:t>
              </m:r>
            </m:sub>
          </m:sSub>
          <m:r>
            <w:rPr>
              <w:rFonts w:ascii="Cambria Math" w:hAnsi="Cambria Math" w:cs="Arial"/>
            </w:rPr>
            <m:t>+</m:t>
          </m:r>
          <m:sSub>
            <m:sSubPr>
              <m:ctrlPr>
                <w:rPr>
                  <w:rFonts w:ascii="Cambria Math" w:hAnsi="Cambria Math" w:cs="Arial"/>
                </w:rPr>
              </m:ctrlPr>
            </m:sSubPr>
            <m:e>
              <m:r>
                <w:rPr>
                  <w:rFonts w:ascii="Cambria Math" w:hAnsi="Cambria Math" w:cs="Arial"/>
                </w:rPr>
                <m:t>τ</m:t>
              </m:r>
            </m:e>
            <m:sub>
              <m:r>
                <w:rPr>
                  <w:rFonts w:ascii="Cambria Math" w:hAnsi="Cambria Math" w:cs="Arial"/>
                </w:rPr>
                <m:t>t</m:t>
              </m:r>
            </m:sub>
          </m:sSub>
          <m:r>
            <w:rPr>
              <w:rFonts w:ascii="Cambria Math" w:hAnsi="Cambria Math" w:cs="Arial"/>
            </w:rPr>
            <m:t>+</m:t>
          </m:r>
          <m:sSub>
            <m:sSubPr>
              <m:ctrlPr>
                <w:rPr>
                  <w:rFonts w:ascii="Cambria Math" w:hAnsi="Cambria Math" w:cs="Arial"/>
                </w:rPr>
              </m:ctrlPr>
            </m:sSubPr>
            <m:e>
              <m:r>
                <w:rPr>
                  <w:rFonts w:ascii="Cambria Math" w:hAnsi="Cambria Math" w:cs="Arial"/>
                </w:rPr>
                <m:t>ε</m:t>
              </m:r>
            </m:e>
            <m:sub>
              <m:r>
                <w:rPr>
                  <w:rFonts w:ascii="Cambria Math" w:hAnsi="Cambria Math" w:cs="Arial"/>
                </w:rPr>
                <m:t>ct</m:t>
              </m:r>
            </m:sub>
          </m:sSub>
          <m:r>
            <m:rPr>
              <m:sty m:val="p"/>
            </m:rPr>
            <w:rPr>
              <w:rFonts w:ascii="Cambria Math" w:hAnsi="Cambria Math" w:cs="Arial"/>
            </w:rPr>
            <m:t xml:space="preserve">          (13)</m:t>
          </m:r>
          <m:r>
            <m:rPr>
              <m:sty m:val="p"/>
            </m:rPr>
            <w:rPr>
              <w:rFonts w:ascii="Cambria Math" w:hAnsi="Cambria Math" w:cs="Arial"/>
            </w:rPr>
            <w:br/>
          </m:r>
        </m:oMath>
      </m:oMathPara>
    </w:p>
    <w:p w14:paraId="0785FC93" w14:textId="79A5D468" w:rsidR="00422E2F" w:rsidRPr="00E76534" w:rsidRDefault="00422E2F" w:rsidP="00422E2F">
      <w:pPr>
        <w:pStyle w:val="Body"/>
        <w:spacing w:after="0"/>
        <w:rPr>
          <w:rFonts w:ascii="Arial" w:hAnsi="Arial" w:cs="Arial"/>
        </w:rPr>
      </w:pPr>
      <w:r w:rsidRPr="00E76534">
        <w:rPr>
          <w:rFonts w:ascii="Arial" w:hAnsi="Arial" w:cs="Arial"/>
        </w:rPr>
        <w:t>A positive and statistically significant coefficient on the lagged outcome indicates persistence in fertility timing, consistent with slow-moving institutional change and intergenerational transmission of fertility norms. Given that including a lagged dependent variable in a fixed-effects model can introduce Nickell bias when the time dimension is short, this specification is interpreted cautiously. With </w:t>
      </w:r>
      <m:oMath>
        <m:r>
          <w:rPr>
            <w:rFonts w:ascii="Cambria Math" w:hAnsi="Cambria Math" w:cs="Arial"/>
          </w:rPr>
          <m:t>T=34</m:t>
        </m:r>
      </m:oMath>
      <w:r w:rsidRPr="00E76534">
        <w:rPr>
          <w:rFonts w:ascii="Arial" w:hAnsi="Arial" w:cs="Arial"/>
        </w:rPr>
        <w:t>, the bias is mitigated but not eliminated, and the results are therefore viewed as descriptive evidence on persistence rather than as causal estimates.</w:t>
      </w:r>
    </w:p>
    <w:p w14:paraId="5A4F7672" w14:textId="755D71C6" w:rsidR="00422E2F" w:rsidRPr="00E76534" w:rsidRDefault="00422E2F" w:rsidP="00010349">
      <w:pPr>
        <w:pStyle w:val="Body"/>
        <w:spacing w:after="0"/>
        <w:rPr>
          <w:rFonts w:ascii="Arial" w:hAnsi="Arial" w:cs="Arial"/>
        </w:rPr>
      </w:pPr>
    </w:p>
    <w:p w14:paraId="0217EDED" w14:textId="74468138" w:rsidR="001B5C19" w:rsidRPr="00E76534" w:rsidRDefault="00CE5B86" w:rsidP="001B5C19">
      <w:pPr>
        <w:pStyle w:val="Body"/>
        <w:spacing w:after="0"/>
        <w:rPr>
          <w:rFonts w:ascii="Arial" w:hAnsi="Arial" w:cs="Arial"/>
          <w:b/>
          <w:bCs/>
          <w:sz w:val="22"/>
          <w:szCs w:val="22"/>
        </w:rPr>
      </w:pPr>
      <w:r w:rsidRPr="00E76534">
        <w:rPr>
          <w:rFonts w:ascii="Arial" w:hAnsi="Arial" w:cs="Arial"/>
          <w:b/>
          <w:bCs/>
          <w:sz w:val="22"/>
          <w:szCs w:val="22"/>
        </w:rPr>
        <w:t>3</w:t>
      </w:r>
      <w:r w:rsidR="001B5C19" w:rsidRPr="00E76534">
        <w:rPr>
          <w:rFonts w:ascii="Arial" w:hAnsi="Arial" w:cs="Arial"/>
          <w:b/>
          <w:bCs/>
          <w:sz w:val="22"/>
          <w:szCs w:val="22"/>
        </w:rPr>
        <w:t>. Results</w:t>
      </w:r>
    </w:p>
    <w:p w14:paraId="41868E8B" w14:textId="77777777" w:rsidR="00CE5B86" w:rsidRPr="00E76534" w:rsidRDefault="00CE5B86" w:rsidP="001B5C19">
      <w:pPr>
        <w:pStyle w:val="Body"/>
        <w:spacing w:after="0"/>
        <w:rPr>
          <w:rFonts w:ascii="Arial" w:hAnsi="Arial" w:cs="Arial"/>
          <w:b/>
          <w:bCs/>
          <w:sz w:val="22"/>
          <w:szCs w:val="22"/>
        </w:rPr>
      </w:pPr>
    </w:p>
    <w:p w14:paraId="68A7B54F" w14:textId="0677EB32" w:rsidR="00CE5B86" w:rsidRPr="00E76534" w:rsidRDefault="00CE5B86" w:rsidP="001B5C19">
      <w:pPr>
        <w:pStyle w:val="Body"/>
        <w:spacing w:after="0"/>
        <w:rPr>
          <w:rFonts w:ascii="Arial" w:hAnsi="Arial" w:cs="Arial"/>
          <w:b/>
          <w:bCs/>
          <w:sz w:val="22"/>
          <w:szCs w:val="22"/>
        </w:rPr>
      </w:pPr>
      <w:r w:rsidRPr="00E76534">
        <w:rPr>
          <w:rFonts w:ascii="Arial" w:hAnsi="Arial" w:cs="Arial"/>
          <w:b/>
          <w:bCs/>
          <w:sz w:val="22"/>
          <w:szCs w:val="22"/>
        </w:rPr>
        <w:t>3.1 Results</w:t>
      </w:r>
    </w:p>
    <w:p w14:paraId="4CF72208" w14:textId="24A41E21" w:rsidR="00422E2F" w:rsidRPr="00E76534" w:rsidRDefault="001B5C19" w:rsidP="001B5C19">
      <w:pPr>
        <w:pStyle w:val="Body"/>
        <w:spacing w:after="0"/>
        <w:rPr>
          <w:rFonts w:ascii="Arial" w:hAnsi="Arial" w:cs="Arial"/>
          <w:color w:val="000000"/>
        </w:rPr>
      </w:pPr>
      <w:r w:rsidRPr="00E76534">
        <w:rPr>
          <w:rFonts w:ascii="Arial" w:hAnsi="Arial" w:cs="Arial"/>
        </w:rPr>
        <w:t xml:space="preserve">Table 1 reports fixed-effects estimates of the relationship between gender inequality and fertility timing. Across specifications, the results consistently indicate that higher gender </w:t>
      </w:r>
      <w:r w:rsidRPr="00E76534">
        <w:rPr>
          <w:rFonts w:ascii="Arial" w:hAnsi="Arial" w:cs="Arial"/>
          <w:color w:val="000000"/>
        </w:rPr>
        <w:t>inequality is associated with earlier fertility timing within countries.</w:t>
      </w:r>
    </w:p>
    <w:p w14:paraId="263573AB" w14:textId="77777777" w:rsidR="001B5C19" w:rsidRPr="00E76534" w:rsidRDefault="001B5C19" w:rsidP="001B5C19">
      <w:pPr>
        <w:pStyle w:val="Body"/>
        <w:spacing w:after="0"/>
        <w:rPr>
          <w:rFonts w:ascii="Arial" w:hAnsi="Arial" w:cs="Arial"/>
          <w:color w:val="000000"/>
        </w:rPr>
      </w:pPr>
    </w:p>
    <w:p w14:paraId="38DE9CD3" w14:textId="77777777" w:rsidR="001B5C19" w:rsidRPr="00E76534" w:rsidRDefault="001B5C19" w:rsidP="001B5C19">
      <w:pPr>
        <w:pStyle w:val="Heading2"/>
        <w:rPr>
          <w:rFonts w:ascii="Arial" w:hAnsi="Arial" w:cs="Arial"/>
          <w:b/>
          <w:bCs/>
          <w:color w:val="000000"/>
          <w:sz w:val="20"/>
          <w:szCs w:val="20"/>
        </w:rPr>
      </w:pPr>
      <w:r w:rsidRPr="00E76534">
        <w:rPr>
          <w:rFonts w:ascii="Arial" w:hAnsi="Arial" w:cs="Arial"/>
          <w:b/>
          <w:bCs/>
          <w:color w:val="000000"/>
          <w:sz w:val="20"/>
          <w:szCs w:val="20"/>
        </w:rPr>
        <w:t>Table 1. Gender Inequality and Childbearing</w:t>
      </w:r>
    </w:p>
    <w:p w14:paraId="7D6105AB" w14:textId="77777777" w:rsidR="001B5C19" w:rsidRPr="00E76534" w:rsidRDefault="001B5C19" w:rsidP="001B5C19">
      <w:pPr>
        <w:pStyle w:val="Body"/>
        <w:spacing w:after="0"/>
        <w:rPr>
          <w:rFonts w:ascii="Arial" w:hAnsi="Arial" w:cs="Arial"/>
        </w:rPr>
      </w:pPr>
    </w:p>
    <w:p w14:paraId="7727F655" w14:textId="77777777" w:rsidR="00D25817" w:rsidRDefault="00D25817" w:rsidP="001B5C19">
      <w:pPr>
        <w:pStyle w:val="Body"/>
        <w:spacing w:after="0"/>
        <w:rPr>
          <w:rFonts w:ascii="Arial" w:hAnsi="Arial" w:cs="Arial"/>
          <w:b/>
          <w:bCs/>
          <w:i/>
          <w:iCs/>
          <w:sz w:val="18"/>
          <w:szCs w:val="18"/>
          <w:highlight w:val="cyan"/>
        </w:rPr>
      </w:pPr>
    </w:p>
    <w:p w14:paraId="5A7C3428" w14:textId="77777777" w:rsidR="00D25817" w:rsidRDefault="00D25817" w:rsidP="001B5C19">
      <w:pPr>
        <w:pStyle w:val="Body"/>
        <w:spacing w:after="0"/>
        <w:rPr>
          <w:rFonts w:ascii="Arial" w:hAnsi="Arial" w:cs="Arial"/>
          <w:b/>
          <w:bCs/>
          <w:i/>
          <w:iCs/>
          <w:sz w:val="18"/>
          <w:szCs w:val="18"/>
          <w:highlight w:val="cyan"/>
        </w:rPr>
      </w:pPr>
    </w:p>
    <w:p w14:paraId="480EAD1F" w14:textId="77777777" w:rsidR="00D25817" w:rsidRDefault="00D25817" w:rsidP="001B5C19">
      <w:pPr>
        <w:pStyle w:val="Body"/>
        <w:spacing w:after="0"/>
        <w:rPr>
          <w:rFonts w:ascii="Arial" w:hAnsi="Arial" w:cs="Arial"/>
          <w:b/>
          <w:bCs/>
          <w:i/>
          <w:iCs/>
          <w:sz w:val="18"/>
          <w:szCs w:val="18"/>
          <w:highlight w:val="cyan"/>
        </w:rPr>
      </w:pPr>
    </w:p>
    <w:p w14:paraId="0650C5F0" w14:textId="77777777" w:rsidR="00D25817" w:rsidRDefault="00D25817" w:rsidP="001B5C19">
      <w:pPr>
        <w:pStyle w:val="Body"/>
        <w:spacing w:after="0"/>
        <w:rPr>
          <w:rFonts w:ascii="Arial" w:hAnsi="Arial" w:cs="Arial"/>
          <w:b/>
          <w:bCs/>
          <w:i/>
          <w:iCs/>
          <w:sz w:val="18"/>
          <w:szCs w:val="18"/>
          <w:highlight w:val="cyan"/>
        </w:rPr>
      </w:pPr>
    </w:p>
    <w:p w14:paraId="49026260" w14:textId="77777777" w:rsidR="00D25817" w:rsidRDefault="00D25817" w:rsidP="001B5C19">
      <w:pPr>
        <w:pStyle w:val="Body"/>
        <w:spacing w:after="0"/>
        <w:rPr>
          <w:rFonts w:ascii="Arial" w:hAnsi="Arial" w:cs="Arial"/>
          <w:b/>
          <w:bCs/>
          <w:i/>
          <w:iCs/>
          <w:sz w:val="18"/>
          <w:szCs w:val="18"/>
          <w:highlight w:val="cyan"/>
        </w:rPr>
      </w:pPr>
    </w:p>
    <w:tbl>
      <w:tblPr>
        <w:tblpPr w:leftFromText="180" w:rightFromText="180" w:vertAnchor="page" w:horzAnchor="margin" w:tblpY="1430"/>
        <w:tblW w:w="8183" w:type="dxa"/>
        <w:tblLook w:val="04A0" w:firstRow="1" w:lastRow="0" w:firstColumn="1" w:lastColumn="0" w:noHBand="0" w:noVBand="1"/>
      </w:tblPr>
      <w:tblGrid>
        <w:gridCol w:w="1395"/>
        <w:gridCol w:w="221"/>
        <w:gridCol w:w="859"/>
        <w:gridCol w:w="1074"/>
        <w:gridCol w:w="1074"/>
        <w:gridCol w:w="1074"/>
        <w:gridCol w:w="1192"/>
        <w:gridCol w:w="1294"/>
      </w:tblGrid>
      <w:tr w:rsidR="00D25817" w:rsidRPr="00E76534" w14:paraId="2EAA4FE1" w14:textId="77777777" w:rsidTr="00D25817">
        <w:trPr>
          <w:trHeight w:val="138"/>
        </w:trPr>
        <w:tc>
          <w:tcPr>
            <w:tcW w:w="1616" w:type="dxa"/>
            <w:gridSpan w:val="2"/>
            <w:tcBorders>
              <w:top w:val="nil"/>
              <w:left w:val="nil"/>
              <w:bottom w:val="double" w:sz="6" w:space="0" w:color="auto"/>
              <w:right w:val="nil"/>
            </w:tcBorders>
            <w:noWrap/>
            <w:vAlign w:val="center"/>
            <w:hideMark/>
          </w:tcPr>
          <w:p w14:paraId="164809A9"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Variables</w:t>
            </w:r>
          </w:p>
        </w:tc>
        <w:tc>
          <w:tcPr>
            <w:tcW w:w="859" w:type="dxa"/>
            <w:tcBorders>
              <w:top w:val="nil"/>
              <w:left w:val="nil"/>
              <w:bottom w:val="double" w:sz="6" w:space="0" w:color="auto"/>
              <w:right w:val="nil"/>
            </w:tcBorders>
            <w:noWrap/>
            <w:vAlign w:val="center"/>
            <w:hideMark/>
          </w:tcPr>
          <w:p w14:paraId="64A7438D"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(1)</w:t>
            </w:r>
          </w:p>
        </w:tc>
        <w:tc>
          <w:tcPr>
            <w:tcW w:w="1074" w:type="dxa"/>
            <w:tcBorders>
              <w:top w:val="nil"/>
              <w:left w:val="nil"/>
              <w:bottom w:val="double" w:sz="6" w:space="0" w:color="auto"/>
              <w:right w:val="nil"/>
            </w:tcBorders>
            <w:noWrap/>
            <w:vAlign w:val="center"/>
            <w:hideMark/>
          </w:tcPr>
          <w:p w14:paraId="7FD76A09"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(2)</w:t>
            </w:r>
          </w:p>
        </w:tc>
        <w:tc>
          <w:tcPr>
            <w:tcW w:w="1074" w:type="dxa"/>
            <w:tcBorders>
              <w:top w:val="nil"/>
              <w:left w:val="nil"/>
              <w:bottom w:val="double" w:sz="6" w:space="0" w:color="auto"/>
              <w:right w:val="nil"/>
            </w:tcBorders>
            <w:noWrap/>
            <w:vAlign w:val="center"/>
            <w:hideMark/>
          </w:tcPr>
          <w:p w14:paraId="060BD81B"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(3)</w:t>
            </w:r>
          </w:p>
        </w:tc>
        <w:tc>
          <w:tcPr>
            <w:tcW w:w="1074" w:type="dxa"/>
            <w:tcBorders>
              <w:top w:val="nil"/>
              <w:left w:val="nil"/>
              <w:bottom w:val="double" w:sz="6" w:space="0" w:color="auto"/>
              <w:right w:val="nil"/>
            </w:tcBorders>
            <w:noWrap/>
            <w:vAlign w:val="center"/>
            <w:hideMark/>
          </w:tcPr>
          <w:p w14:paraId="0F6E2874"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(4)</w:t>
            </w:r>
          </w:p>
        </w:tc>
        <w:tc>
          <w:tcPr>
            <w:tcW w:w="1192" w:type="dxa"/>
            <w:tcBorders>
              <w:top w:val="nil"/>
              <w:left w:val="nil"/>
              <w:bottom w:val="double" w:sz="6" w:space="0" w:color="auto"/>
              <w:right w:val="nil"/>
            </w:tcBorders>
            <w:noWrap/>
            <w:vAlign w:val="center"/>
            <w:hideMark/>
          </w:tcPr>
          <w:p w14:paraId="101296CD"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(5)</w:t>
            </w:r>
          </w:p>
        </w:tc>
        <w:tc>
          <w:tcPr>
            <w:tcW w:w="1294" w:type="dxa"/>
            <w:tcBorders>
              <w:top w:val="nil"/>
              <w:left w:val="nil"/>
              <w:bottom w:val="double" w:sz="6" w:space="0" w:color="auto"/>
              <w:right w:val="nil"/>
            </w:tcBorders>
            <w:noWrap/>
            <w:vAlign w:val="center"/>
            <w:hideMark/>
          </w:tcPr>
          <w:p w14:paraId="342FF3D7"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(6)</w:t>
            </w:r>
          </w:p>
        </w:tc>
      </w:tr>
      <w:tr w:rsidR="00D25817" w:rsidRPr="00E76534" w14:paraId="7EFFBA8E" w14:textId="77777777" w:rsidTr="00D25817">
        <w:trPr>
          <w:trHeight w:val="138"/>
        </w:trPr>
        <w:tc>
          <w:tcPr>
            <w:tcW w:w="1395" w:type="dxa"/>
            <w:tcBorders>
              <w:top w:val="nil"/>
              <w:left w:val="nil"/>
              <w:bottom w:val="nil"/>
              <w:right w:val="nil"/>
            </w:tcBorders>
            <w:noWrap/>
            <w:vAlign w:val="center"/>
            <w:hideMark/>
          </w:tcPr>
          <w:p w14:paraId="56C73D3C"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GII</w:t>
            </w:r>
          </w:p>
        </w:tc>
        <w:tc>
          <w:tcPr>
            <w:tcW w:w="1080" w:type="dxa"/>
            <w:gridSpan w:val="2"/>
            <w:tcBorders>
              <w:top w:val="nil"/>
              <w:left w:val="nil"/>
              <w:bottom w:val="nil"/>
              <w:right w:val="nil"/>
            </w:tcBorders>
            <w:noWrap/>
            <w:vAlign w:val="center"/>
            <w:hideMark/>
          </w:tcPr>
          <w:p w14:paraId="3485001D"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0.0126**</w:t>
            </w:r>
          </w:p>
          <w:p w14:paraId="6D621FCA"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(0.0057)</w:t>
            </w:r>
          </w:p>
        </w:tc>
        <w:tc>
          <w:tcPr>
            <w:tcW w:w="1074" w:type="dxa"/>
            <w:tcBorders>
              <w:top w:val="nil"/>
              <w:left w:val="nil"/>
              <w:bottom w:val="nil"/>
              <w:right w:val="nil"/>
            </w:tcBorders>
            <w:noWrap/>
            <w:vAlign w:val="center"/>
            <w:hideMark/>
          </w:tcPr>
          <w:p w14:paraId="686A7E9E"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0.0125**</w:t>
            </w:r>
          </w:p>
          <w:p w14:paraId="5888655D"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(0.0057)</w:t>
            </w:r>
          </w:p>
        </w:tc>
        <w:tc>
          <w:tcPr>
            <w:tcW w:w="1074" w:type="dxa"/>
            <w:tcBorders>
              <w:top w:val="nil"/>
              <w:left w:val="nil"/>
              <w:bottom w:val="nil"/>
              <w:right w:val="nil"/>
            </w:tcBorders>
            <w:noWrap/>
            <w:vAlign w:val="center"/>
            <w:hideMark/>
          </w:tcPr>
          <w:p w14:paraId="03A58531"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0.0121**</w:t>
            </w:r>
          </w:p>
          <w:p w14:paraId="7FF36B8F"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(0.0057)</w:t>
            </w:r>
          </w:p>
        </w:tc>
        <w:tc>
          <w:tcPr>
            <w:tcW w:w="1074" w:type="dxa"/>
            <w:tcBorders>
              <w:top w:val="nil"/>
              <w:left w:val="nil"/>
              <w:bottom w:val="nil"/>
              <w:right w:val="nil"/>
            </w:tcBorders>
            <w:noWrap/>
            <w:vAlign w:val="center"/>
            <w:hideMark/>
          </w:tcPr>
          <w:p w14:paraId="38724715" w14:textId="77777777" w:rsidR="00D25817" w:rsidRPr="00E76534" w:rsidRDefault="00D25817" w:rsidP="00D25817">
            <w:pPr>
              <w:jc w:val="center"/>
              <w:rPr>
                <w:rFonts w:ascii="Arial" w:eastAsia="Yu Gothic" w:hAnsi="Arial" w:cs="Arial"/>
                <w:color w:val="000000"/>
              </w:rPr>
            </w:pPr>
          </w:p>
        </w:tc>
        <w:tc>
          <w:tcPr>
            <w:tcW w:w="1192" w:type="dxa"/>
            <w:tcBorders>
              <w:top w:val="nil"/>
              <w:left w:val="nil"/>
              <w:bottom w:val="nil"/>
              <w:right w:val="nil"/>
            </w:tcBorders>
            <w:noWrap/>
            <w:vAlign w:val="center"/>
            <w:hideMark/>
          </w:tcPr>
          <w:p w14:paraId="131DCD51"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−0.0428***</w:t>
            </w:r>
          </w:p>
          <w:p w14:paraId="795A6A59"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(0.0100)</w:t>
            </w:r>
          </w:p>
        </w:tc>
        <w:tc>
          <w:tcPr>
            <w:tcW w:w="1294" w:type="dxa"/>
            <w:tcBorders>
              <w:top w:val="nil"/>
              <w:left w:val="nil"/>
              <w:bottom w:val="nil"/>
              <w:right w:val="nil"/>
            </w:tcBorders>
            <w:noWrap/>
            <w:vAlign w:val="center"/>
            <w:hideMark/>
          </w:tcPr>
          <w:p w14:paraId="1CAED4F1"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−0.00116***</w:t>
            </w:r>
          </w:p>
          <w:p w14:paraId="7A2BD7B9"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(0.00037)</w:t>
            </w:r>
          </w:p>
        </w:tc>
      </w:tr>
      <w:tr w:rsidR="00D25817" w:rsidRPr="00E76534" w14:paraId="5F4380DA" w14:textId="77777777" w:rsidTr="00D25817">
        <w:trPr>
          <w:trHeight w:val="133"/>
        </w:trPr>
        <w:tc>
          <w:tcPr>
            <w:tcW w:w="1395" w:type="dxa"/>
            <w:tcBorders>
              <w:top w:val="nil"/>
              <w:left w:val="nil"/>
              <w:bottom w:val="nil"/>
              <w:right w:val="nil"/>
            </w:tcBorders>
            <w:noWrap/>
            <w:vAlign w:val="center"/>
            <w:hideMark/>
          </w:tcPr>
          <w:p w14:paraId="33A4DE6F"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GII²</w:t>
            </w:r>
          </w:p>
        </w:tc>
        <w:tc>
          <w:tcPr>
            <w:tcW w:w="1080" w:type="dxa"/>
            <w:gridSpan w:val="2"/>
            <w:tcBorders>
              <w:top w:val="nil"/>
              <w:left w:val="nil"/>
              <w:bottom w:val="nil"/>
              <w:right w:val="nil"/>
            </w:tcBorders>
            <w:noWrap/>
            <w:vAlign w:val="center"/>
            <w:hideMark/>
          </w:tcPr>
          <w:p w14:paraId="56F6241C" w14:textId="77777777" w:rsidR="00D25817" w:rsidRPr="00E76534" w:rsidRDefault="00D25817" w:rsidP="00D25817">
            <w:pPr>
              <w:jc w:val="center"/>
              <w:rPr>
                <w:rFonts w:ascii="Arial" w:eastAsia="Yu Gothic" w:hAnsi="Arial" w:cs="Arial"/>
                <w:color w:val="000000"/>
              </w:rPr>
            </w:pPr>
          </w:p>
        </w:tc>
        <w:tc>
          <w:tcPr>
            <w:tcW w:w="1074" w:type="dxa"/>
            <w:tcBorders>
              <w:top w:val="nil"/>
              <w:left w:val="nil"/>
              <w:bottom w:val="nil"/>
              <w:right w:val="nil"/>
            </w:tcBorders>
            <w:noWrap/>
            <w:vAlign w:val="center"/>
            <w:hideMark/>
          </w:tcPr>
          <w:p w14:paraId="3BD43391" w14:textId="77777777" w:rsidR="00D25817" w:rsidRPr="00E76534" w:rsidRDefault="00D25817" w:rsidP="00D25817">
            <w:pPr>
              <w:jc w:val="center"/>
              <w:rPr>
                <w:rFonts w:ascii="Arial" w:hAnsi="Arial" w:cs="Arial"/>
              </w:rPr>
            </w:pPr>
          </w:p>
        </w:tc>
        <w:tc>
          <w:tcPr>
            <w:tcW w:w="1074" w:type="dxa"/>
            <w:tcBorders>
              <w:top w:val="nil"/>
              <w:left w:val="nil"/>
              <w:bottom w:val="nil"/>
              <w:right w:val="nil"/>
            </w:tcBorders>
            <w:noWrap/>
            <w:vAlign w:val="center"/>
            <w:hideMark/>
          </w:tcPr>
          <w:p w14:paraId="56CB2302" w14:textId="77777777" w:rsidR="00D25817" w:rsidRPr="00E76534" w:rsidRDefault="00D25817" w:rsidP="00D25817">
            <w:pPr>
              <w:jc w:val="center"/>
              <w:rPr>
                <w:rFonts w:ascii="Arial" w:hAnsi="Arial" w:cs="Arial"/>
              </w:rPr>
            </w:pPr>
          </w:p>
        </w:tc>
        <w:tc>
          <w:tcPr>
            <w:tcW w:w="1074" w:type="dxa"/>
            <w:tcBorders>
              <w:top w:val="nil"/>
              <w:left w:val="nil"/>
              <w:bottom w:val="nil"/>
              <w:right w:val="nil"/>
            </w:tcBorders>
            <w:noWrap/>
            <w:vAlign w:val="center"/>
            <w:hideMark/>
          </w:tcPr>
          <w:p w14:paraId="4A0ADBB1" w14:textId="77777777" w:rsidR="00D25817" w:rsidRPr="00E76534" w:rsidRDefault="00D25817" w:rsidP="00D25817">
            <w:pPr>
              <w:jc w:val="center"/>
              <w:rPr>
                <w:rFonts w:ascii="Arial" w:hAnsi="Arial" w:cs="Arial"/>
              </w:rPr>
            </w:pPr>
          </w:p>
        </w:tc>
        <w:tc>
          <w:tcPr>
            <w:tcW w:w="1192" w:type="dxa"/>
            <w:tcBorders>
              <w:top w:val="nil"/>
              <w:left w:val="nil"/>
              <w:bottom w:val="nil"/>
              <w:right w:val="nil"/>
            </w:tcBorders>
            <w:noWrap/>
            <w:vAlign w:val="center"/>
            <w:hideMark/>
          </w:tcPr>
          <w:p w14:paraId="1D9AF895"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0.00028***</w:t>
            </w:r>
          </w:p>
          <w:p w14:paraId="5D3F3974"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(0.00005)</w:t>
            </w:r>
          </w:p>
        </w:tc>
        <w:tc>
          <w:tcPr>
            <w:tcW w:w="1294" w:type="dxa"/>
            <w:tcBorders>
              <w:top w:val="nil"/>
              <w:left w:val="nil"/>
              <w:bottom w:val="nil"/>
              <w:right w:val="nil"/>
            </w:tcBorders>
            <w:noWrap/>
            <w:vAlign w:val="center"/>
            <w:hideMark/>
          </w:tcPr>
          <w:p w14:paraId="5D8C025D" w14:textId="77777777" w:rsidR="00D25817" w:rsidRPr="00E76534" w:rsidRDefault="00D25817" w:rsidP="00D25817">
            <w:pPr>
              <w:jc w:val="center"/>
              <w:rPr>
                <w:rFonts w:ascii="Arial" w:eastAsia="Yu Gothic" w:hAnsi="Arial" w:cs="Arial"/>
                <w:color w:val="000000"/>
              </w:rPr>
            </w:pPr>
          </w:p>
        </w:tc>
      </w:tr>
      <w:tr w:rsidR="00D25817" w:rsidRPr="00E76534" w14:paraId="6B4E08F0" w14:textId="77777777" w:rsidTr="00D25817">
        <w:trPr>
          <w:trHeight w:val="133"/>
        </w:trPr>
        <w:tc>
          <w:tcPr>
            <w:tcW w:w="1395" w:type="dxa"/>
            <w:tcBorders>
              <w:top w:val="nil"/>
              <w:left w:val="nil"/>
              <w:bottom w:val="nil"/>
              <w:right w:val="nil"/>
            </w:tcBorders>
            <w:noWrap/>
            <w:vAlign w:val="center"/>
            <w:hideMark/>
          </w:tcPr>
          <w:p w14:paraId="3BB30795"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GDI</w:t>
            </w:r>
          </w:p>
        </w:tc>
        <w:tc>
          <w:tcPr>
            <w:tcW w:w="1080" w:type="dxa"/>
            <w:gridSpan w:val="2"/>
            <w:tcBorders>
              <w:top w:val="nil"/>
              <w:left w:val="nil"/>
              <w:bottom w:val="nil"/>
              <w:right w:val="nil"/>
            </w:tcBorders>
            <w:noWrap/>
            <w:vAlign w:val="center"/>
            <w:hideMark/>
          </w:tcPr>
          <w:p w14:paraId="5E36B78B"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−0.006</w:t>
            </w:r>
          </w:p>
          <w:p w14:paraId="742C3638"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(0.051)</w:t>
            </w:r>
          </w:p>
        </w:tc>
        <w:tc>
          <w:tcPr>
            <w:tcW w:w="1074" w:type="dxa"/>
            <w:tcBorders>
              <w:top w:val="nil"/>
              <w:left w:val="nil"/>
              <w:bottom w:val="nil"/>
              <w:right w:val="nil"/>
            </w:tcBorders>
            <w:noWrap/>
            <w:vAlign w:val="center"/>
            <w:hideMark/>
          </w:tcPr>
          <w:p w14:paraId="5F2903AB"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−0.024</w:t>
            </w:r>
          </w:p>
          <w:p w14:paraId="437EA497"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(0.049)</w:t>
            </w:r>
          </w:p>
        </w:tc>
        <w:tc>
          <w:tcPr>
            <w:tcW w:w="1074" w:type="dxa"/>
            <w:tcBorders>
              <w:top w:val="nil"/>
              <w:left w:val="nil"/>
              <w:bottom w:val="nil"/>
              <w:right w:val="nil"/>
            </w:tcBorders>
            <w:noWrap/>
            <w:vAlign w:val="center"/>
            <w:hideMark/>
          </w:tcPr>
          <w:p w14:paraId="6C7D1D27"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−0.024</w:t>
            </w:r>
          </w:p>
          <w:p w14:paraId="16D45B61"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(0.049)</w:t>
            </w:r>
          </w:p>
        </w:tc>
        <w:tc>
          <w:tcPr>
            <w:tcW w:w="1074" w:type="dxa"/>
            <w:tcBorders>
              <w:top w:val="nil"/>
              <w:left w:val="nil"/>
              <w:bottom w:val="nil"/>
              <w:right w:val="nil"/>
            </w:tcBorders>
            <w:noWrap/>
            <w:vAlign w:val="center"/>
            <w:hideMark/>
          </w:tcPr>
          <w:p w14:paraId="6BC2559A" w14:textId="77777777" w:rsidR="00D25817" w:rsidRPr="00E76534" w:rsidRDefault="00D25817" w:rsidP="00D25817">
            <w:pPr>
              <w:jc w:val="center"/>
              <w:rPr>
                <w:rFonts w:ascii="Arial" w:eastAsia="Yu Gothic" w:hAnsi="Arial" w:cs="Arial"/>
                <w:color w:val="000000"/>
              </w:rPr>
            </w:pPr>
          </w:p>
        </w:tc>
        <w:tc>
          <w:tcPr>
            <w:tcW w:w="1192" w:type="dxa"/>
            <w:tcBorders>
              <w:top w:val="nil"/>
              <w:left w:val="nil"/>
              <w:bottom w:val="nil"/>
              <w:right w:val="nil"/>
            </w:tcBorders>
            <w:noWrap/>
            <w:vAlign w:val="center"/>
            <w:hideMark/>
          </w:tcPr>
          <w:p w14:paraId="195AEC15" w14:textId="77777777" w:rsidR="00D25817" w:rsidRPr="00E76534" w:rsidRDefault="00D25817" w:rsidP="00D25817">
            <w:pPr>
              <w:jc w:val="center"/>
              <w:rPr>
                <w:rFonts w:ascii="Arial" w:hAnsi="Arial" w:cs="Arial"/>
              </w:rPr>
            </w:pPr>
          </w:p>
        </w:tc>
        <w:tc>
          <w:tcPr>
            <w:tcW w:w="1294" w:type="dxa"/>
            <w:tcBorders>
              <w:top w:val="nil"/>
              <w:left w:val="nil"/>
              <w:bottom w:val="nil"/>
              <w:right w:val="nil"/>
            </w:tcBorders>
            <w:noWrap/>
            <w:vAlign w:val="center"/>
            <w:hideMark/>
          </w:tcPr>
          <w:p w14:paraId="501FB420" w14:textId="77777777" w:rsidR="00D25817" w:rsidRPr="00E76534" w:rsidRDefault="00D25817" w:rsidP="00D25817">
            <w:pPr>
              <w:jc w:val="center"/>
              <w:rPr>
                <w:rFonts w:ascii="Arial" w:hAnsi="Arial" w:cs="Arial"/>
              </w:rPr>
            </w:pPr>
          </w:p>
        </w:tc>
      </w:tr>
      <w:tr w:rsidR="00D25817" w:rsidRPr="00E76534" w14:paraId="5B0CDB20" w14:textId="77777777" w:rsidTr="00D25817">
        <w:trPr>
          <w:trHeight w:val="133"/>
        </w:trPr>
        <w:tc>
          <w:tcPr>
            <w:tcW w:w="1395" w:type="dxa"/>
            <w:tcBorders>
              <w:top w:val="nil"/>
              <w:left w:val="nil"/>
              <w:bottom w:val="nil"/>
              <w:right w:val="nil"/>
            </w:tcBorders>
            <w:noWrap/>
            <w:vAlign w:val="center"/>
            <w:hideMark/>
          </w:tcPr>
          <w:p w14:paraId="2BB9CCCF"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Schooling</w:t>
            </w:r>
          </w:p>
        </w:tc>
        <w:tc>
          <w:tcPr>
            <w:tcW w:w="1080" w:type="dxa"/>
            <w:gridSpan w:val="2"/>
            <w:tcBorders>
              <w:top w:val="nil"/>
              <w:left w:val="nil"/>
              <w:bottom w:val="nil"/>
              <w:right w:val="nil"/>
            </w:tcBorders>
            <w:noWrap/>
            <w:vAlign w:val="center"/>
            <w:hideMark/>
          </w:tcPr>
          <w:p w14:paraId="11F2F127" w14:textId="77777777" w:rsidR="00D25817" w:rsidRPr="00E76534" w:rsidRDefault="00D25817" w:rsidP="00D25817">
            <w:pPr>
              <w:jc w:val="center"/>
              <w:rPr>
                <w:rFonts w:ascii="Arial" w:eastAsia="Yu Gothic" w:hAnsi="Arial" w:cs="Arial"/>
                <w:color w:val="000000"/>
              </w:rPr>
            </w:pPr>
          </w:p>
        </w:tc>
        <w:tc>
          <w:tcPr>
            <w:tcW w:w="1074" w:type="dxa"/>
            <w:tcBorders>
              <w:top w:val="nil"/>
              <w:left w:val="nil"/>
              <w:bottom w:val="nil"/>
              <w:right w:val="nil"/>
            </w:tcBorders>
            <w:noWrap/>
            <w:vAlign w:val="center"/>
            <w:hideMark/>
          </w:tcPr>
          <w:p w14:paraId="301A1161"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0.206**</w:t>
            </w:r>
          </w:p>
          <w:p w14:paraId="73197028"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(0.103)</w:t>
            </w:r>
          </w:p>
        </w:tc>
        <w:tc>
          <w:tcPr>
            <w:tcW w:w="1074" w:type="dxa"/>
            <w:tcBorders>
              <w:top w:val="nil"/>
              <w:left w:val="nil"/>
              <w:bottom w:val="nil"/>
              <w:right w:val="nil"/>
            </w:tcBorders>
            <w:noWrap/>
            <w:vAlign w:val="center"/>
            <w:hideMark/>
          </w:tcPr>
          <w:p w14:paraId="31F09808"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0.206**</w:t>
            </w:r>
          </w:p>
          <w:p w14:paraId="76053B27"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(0.103)</w:t>
            </w:r>
          </w:p>
        </w:tc>
        <w:tc>
          <w:tcPr>
            <w:tcW w:w="1074" w:type="dxa"/>
            <w:tcBorders>
              <w:top w:val="nil"/>
              <w:left w:val="nil"/>
              <w:bottom w:val="nil"/>
              <w:right w:val="nil"/>
            </w:tcBorders>
            <w:noWrap/>
            <w:vAlign w:val="center"/>
            <w:hideMark/>
          </w:tcPr>
          <w:p w14:paraId="41BB359D" w14:textId="77777777" w:rsidR="00D25817" w:rsidRPr="00E76534" w:rsidRDefault="00D25817" w:rsidP="00D25817">
            <w:pPr>
              <w:jc w:val="center"/>
              <w:rPr>
                <w:rFonts w:ascii="Arial" w:eastAsia="Yu Gothic" w:hAnsi="Arial" w:cs="Arial"/>
                <w:color w:val="000000"/>
              </w:rPr>
            </w:pPr>
          </w:p>
        </w:tc>
        <w:tc>
          <w:tcPr>
            <w:tcW w:w="1192" w:type="dxa"/>
            <w:tcBorders>
              <w:top w:val="nil"/>
              <w:left w:val="nil"/>
              <w:bottom w:val="nil"/>
              <w:right w:val="nil"/>
            </w:tcBorders>
            <w:noWrap/>
            <w:vAlign w:val="center"/>
            <w:hideMark/>
          </w:tcPr>
          <w:p w14:paraId="460497D5"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0.103</w:t>
            </w:r>
          </w:p>
          <w:p w14:paraId="3941B161"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(0.096)</w:t>
            </w:r>
          </w:p>
        </w:tc>
        <w:tc>
          <w:tcPr>
            <w:tcW w:w="1294" w:type="dxa"/>
            <w:tcBorders>
              <w:top w:val="nil"/>
              <w:left w:val="nil"/>
              <w:bottom w:val="nil"/>
              <w:right w:val="nil"/>
            </w:tcBorders>
            <w:noWrap/>
            <w:vAlign w:val="center"/>
            <w:hideMark/>
          </w:tcPr>
          <w:p w14:paraId="283E9867"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0.008</w:t>
            </w:r>
          </w:p>
          <w:p w14:paraId="046969CF"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(0.005)</w:t>
            </w:r>
          </w:p>
        </w:tc>
      </w:tr>
      <w:tr w:rsidR="00D25817" w:rsidRPr="00E76534" w14:paraId="510321FC" w14:textId="77777777" w:rsidTr="00D25817">
        <w:trPr>
          <w:trHeight w:val="133"/>
        </w:trPr>
        <w:tc>
          <w:tcPr>
            <w:tcW w:w="1395" w:type="dxa"/>
            <w:tcBorders>
              <w:top w:val="nil"/>
              <w:left w:val="nil"/>
              <w:bottom w:val="nil"/>
              <w:right w:val="nil"/>
            </w:tcBorders>
            <w:noWrap/>
            <w:vAlign w:val="center"/>
            <w:hideMark/>
          </w:tcPr>
          <w:p w14:paraId="173F4BEB"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L1. GII</w:t>
            </w:r>
          </w:p>
        </w:tc>
        <w:tc>
          <w:tcPr>
            <w:tcW w:w="1080" w:type="dxa"/>
            <w:gridSpan w:val="2"/>
            <w:tcBorders>
              <w:top w:val="nil"/>
              <w:left w:val="nil"/>
              <w:bottom w:val="nil"/>
              <w:right w:val="nil"/>
            </w:tcBorders>
            <w:noWrap/>
            <w:vAlign w:val="center"/>
            <w:hideMark/>
          </w:tcPr>
          <w:p w14:paraId="7250426C" w14:textId="77777777" w:rsidR="00D25817" w:rsidRPr="00E76534" w:rsidRDefault="00D25817" w:rsidP="00D25817">
            <w:pPr>
              <w:jc w:val="center"/>
              <w:rPr>
                <w:rFonts w:ascii="Arial" w:eastAsia="Yu Gothic" w:hAnsi="Arial" w:cs="Arial"/>
                <w:color w:val="000000"/>
              </w:rPr>
            </w:pPr>
          </w:p>
        </w:tc>
        <w:tc>
          <w:tcPr>
            <w:tcW w:w="1074" w:type="dxa"/>
            <w:tcBorders>
              <w:top w:val="nil"/>
              <w:left w:val="nil"/>
              <w:bottom w:val="nil"/>
              <w:right w:val="nil"/>
            </w:tcBorders>
            <w:noWrap/>
            <w:vAlign w:val="center"/>
            <w:hideMark/>
          </w:tcPr>
          <w:p w14:paraId="0C111117" w14:textId="77777777" w:rsidR="00D25817" w:rsidRPr="00E76534" w:rsidRDefault="00D25817" w:rsidP="00D25817">
            <w:pPr>
              <w:jc w:val="center"/>
              <w:rPr>
                <w:rFonts w:ascii="Arial" w:hAnsi="Arial" w:cs="Arial"/>
              </w:rPr>
            </w:pPr>
          </w:p>
        </w:tc>
        <w:tc>
          <w:tcPr>
            <w:tcW w:w="1074" w:type="dxa"/>
            <w:tcBorders>
              <w:top w:val="nil"/>
              <w:left w:val="nil"/>
              <w:bottom w:val="nil"/>
              <w:right w:val="nil"/>
            </w:tcBorders>
            <w:noWrap/>
            <w:vAlign w:val="center"/>
            <w:hideMark/>
          </w:tcPr>
          <w:p w14:paraId="05C94965" w14:textId="77777777" w:rsidR="00D25817" w:rsidRPr="00E76534" w:rsidRDefault="00D25817" w:rsidP="00D25817">
            <w:pPr>
              <w:jc w:val="center"/>
              <w:rPr>
                <w:rFonts w:ascii="Arial" w:hAnsi="Arial" w:cs="Arial"/>
              </w:rPr>
            </w:pPr>
          </w:p>
        </w:tc>
        <w:tc>
          <w:tcPr>
            <w:tcW w:w="1074" w:type="dxa"/>
            <w:tcBorders>
              <w:top w:val="nil"/>
              <w:left w:val="nil"/>
              <w:bottom w:val="nil"/>
              <w:right w:val="nil"/>
            </w:tcBorders>
            <w:noWrap/>
            <w:vAlign w:val="center"/>
            <w:hideMark/>
          </w:tcPr>
          <w:p w14:paraId="16115759"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0.0108*</w:t>
            </w:r>
          </w:p>
          <w:p w14:paraId="3250B8E4"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(0.0056)</w:t>
            </w:r>
          </w:p>
        </w:tc>
        <w:tc>
          <w:tcPr>
            <w:tcW w:w="1192" w:type="dxa"/>
            <w:tcBorders>
              <w:top w:val="nil"/>
              <w:left w:val="nil"/>
              <w:bottom w:val="nil"/>
              <w:right w:val="nil"/>
            </w:tcBorders>
            <w:noWrap/>
            <w:vAlign w:val="center"/>
            <w:hideMark/>
          </w:tcPr>
          <w:p w14:paraId="5DD1C836" w14:textId="77777777" w:rsidR="00D25817" w:rsidRPr="00E76534" w:rsidRDefault="00D25817" w:rsidP="00D25817">
            <w:pPr>
              <w:jc w:val="center"/>
              <w:rPr>
                <w:rFonts w:ascii="Arial" w:eastAsia="Yu Gothic" w:hAnsi="Arial" w:cs="Arial"/>
                <w:color w:val="000000"/>
              </w:rPr>
            </w:pPr>
          </w:p>
        </w:tc>
        <w:tc>
          <w:tcPr>
            <w:tcW w:w="1294" w:type="dxa"/>
            <w:tcBorders>
              <w:top w:val="nil"/>
              <w:left w:val="nil"/>
              <w:bottom w:val="nil"/>
              <w:right w:val="nil"/>
            </w:tcBorders>
            <w:noWrap/>
            <w:vAlign w:val="center"/>
            <w:hideMark/>
          </w:tcPr>
          <w:p w14:paraId="53FAA119" w14:textId="77777777" w:rsidR="00D25817" w:rsidRPr="00E76534" w:rsidRDefault="00D25817" w:rsidP="00D25817">
            <w:pPr>
              <w:jc w:val="center"/>
              <w:rPr>
                <w:rFonts w:ascii="Arial" w:hAnsi="Arial" w:cs="Arial"/>
              </w:rPr>
            </w:pPr>
          </w:p>
        </w:tc>
      </w:tr>
      <w:tr w:rsidR="00D25817" w:rsidRPr="00E76534" w14:paraId="2A649451" w14:textId="77777777" w:rsidTr="00D25817">
        <w:trPr>
          <w:trHeight w:val="133"/>
        </w:trPr>
        <w:tc>
          <w:tcPr>
            <w:tcW w:w="1395" w:type="dxa"/>
            <w:tcBorders>
              <w:top w:val="nil"/>
              <w:left w:val="nil"/>
              <w:bottom w:val="nil"/>
              <w:right w:val="nil"/>
            </w:tcBorders>
            <w:noWrap/>
            <w:vAlign w:val="center"/>
            <w:hideMark/>
          </w:tcPr>
          <w:p w14:paraId="003B9B97"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L1. GDI</w:t>
            </w:r>
          </w:p>
        </w:tc>
        <w:tc>
          <w:tcPr>
            <w:tcW w:w="1080" w:type="dxa"/>
            <w:gridSpan w:val="2"/>
            <w:tcBorders>
              <w:top w:val="nil"/>
              <w:left w:val="nil"/>
              <w:bottom w:val="nil"/>
              <w:right w:val="nil"/>
            </w:tcBorders>
            <w:noWrap/>
            <w:vAlign w:val="center"/>
            <w:hideMark/>
          </w:tcPr>
          <w:p w14:paraId="09CC9792" w14:textId="77777777" w:rsidR="00D25817" w:rsidRPr="00E76534" w:rsidRDefault="00D25817" w:rsidP="00D25817">
            <w:pPr>
              <w:jc w:val="center"/>
              <w:rPr>
                <w:rFonts w:ascii="Arial" w:eastAsia="Yu Gothic" w:hAnsi="Arial" w:cs="Arial"/>
                <w:color w:val="000000"/>
              </w:rPr>
            </w:pPr>
          </w:p>
        </w:tc>
        <w:tc>
          <w:tcPr>
            <w:tcW w:w="1074" w:type="dxa"/>
            <w:tcBorders>
              <w:top w:val="nil"/>
              <w:left w:val="nil"/>
              <w:bottom w:val="nil"/>
              <w:right w:val="nil"/>
            </w:tcBorders>
            <w:noWrap/>
            <w:vAlign w:val="center"/>
            <w:hideMark/>
          </w:tcPr>
          <w:p w14:paraId="08DF79DC" w14:textId="77777777" w:rsidR="00D25817" w:rsidRPr="00E76534" w:rsidRDefault="00D25817" w:rsidP="00D25817">
            <w:pPr>
              <w:jc w:val="center"/>
              <w:rPr>
                <w:rFonts w:ascii="Arial" w:hAnsi="Arial" w:cs="Arial"/>
              </w:rPr>
            </w:pPr>
          </w:p>
        </w:tc>
        <w:tc>
          <w:tcPr>
            <w:tcW w:w="1074" w:type="dxa"/>
            <w:tcBorders>
              <w:top w:val="nil"/>
              <w:left w:val="nil"/>
              <w:bottom w:val="nil"/>
              <w:right w:val="nil"/>
            </w:tcBorders>
            <w:noWrap/>
            <w:vAlign w:val="center"/>
            <w:hideMark/>
          </w:tcPr>
          <w:p w14:paraId="0052A929" w14:textId="77777777" w:rsidR="00D25817" w:rsidRPr="00E76534" w:rsidRDefault="00D25817" w:rsidP="00D25817">
            <w:pPr>
              <w:jc w:val="center"/>
              <w:rPr>
                <w:rFonts w:ascii="Arial" w:hAnsi="Arial" w:cs="Arial"/>
              </w:rPr>
            </w:pPr>
          </w:p>
        </w:tc>
        <w:tc>
          <w:tcPr>
            <w:tcW w:w="1074" w:type="dxa"/>
            <w:tcBorders>
              <w:top w:val="nil"/>
              <w:left w:val="nil"/>
              <w:bottom w:val="nil"/>
              <w:right w:val="nil"/>
            </w:tcBorders>
            <w:noWrap/>
            <w:vAlign w:val="center"/>
            <w:hideMark/>
          </w:tcPr>
          <w:p w14:paraId="7E302F9C"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−0.020</w:t>
            </w:r>
          </w:p>
          <w:p w14:paraId="199F62EF"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(0.047)</w:t>
            </w:r>
          </w:p>
        </w:tc>
        <w:tc>
          <w:tcPr>
            <w:tcW w:w="1192" w:type="dxa"/>
            <w:tcBorders>
              <w:top w:val="nil"/>
              <w:left w:val="nil"/>
              <w:bottom w:val="nil"/>
              <w:right w:val="nil"/>
            </w:tcBorders>
            <w:noWrap/>
            <w:vAlign w:val="center"/>
            <w:hideMark/>
          </w:tcPr>
          <w:p w14:paraId="12A339BA" w14:textId="77777777" w:rsidR="00D25817" w:rsidRPr="00E76534" w:rsidRDefault="00D25817" w:rsidP="00D25817">
            <w:pPr>
              <w:jc w:val="center"/>
              <w:rPr>
                <w:rFonts w:ascii="Arial" w:eastAsia="Yu Gothic" w:hAnsi="Arial" w:cs="Arial"/>
                <w:color w:val="000000"/>
              </w:rPr>
            </w:pPr>
          </w:p>
        </w:tc>
        <w:tc>
          <w:tcPr>
            <w:tcW w:w="1294" w:type="dxa"/>
            <w:tcBorders>
              <w:top w:val="nil"/>
              <w:left w:val="nil"/>
              <w:bottom w:val="nil"/>
              <w:right w:val="nil"/>
            </w:tcBorders>
            <w:noWrap/>
            <w:vAlign w:val="center"/>
            <w:hideMark/>
          </w:tcPr>
          <w:p w14:paraId="1AEA5250" w14:textId="77777777" w:rsidR="00D25817" w:rsidRPr="00E76534" w:rsidRDefault="00D25817" w:rsidP="00D25817">
            <w:pPr>
              <w:jc w:val="center"/>
              <w:rPr>
                <w:rFonts w:ascii="Arial" w:hAnsi="Arial" w:cs="Arial"/>
              </w:rPr>
            </w:pPr>
          </w:p>
        </w:tc>
      </w:tr>
      <w:tr w:rsidR="00D25817" w:rsidRPr="00E76534" w14:paraId="19D07DA1" w14:textId="77777777" w:rsidTr="00D25817">
        <w:trPr>
          <w:trHeight w:val="133"/>
        </w:trPr>
        <w:tc>
          <w:tcPr>
            <w:tcW w:w="1395" w:type="dxa"/>
            <w:tcBorders>
              <w:top w:val="nil"/>
              <w:left w:val="nil"/>
              <w:bottom w:val="nil"/>
              <w:right w:val="nil"/>
            </w:tcBorders>
            <w:noWrap/>
            <w:vAlign w:val="center"/>
            <w:hideMark/>
          </w:tcPr>
          <w:p w14:paraId="6F9AA550"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L1. Schooling</w:t>
            </w:r>
          </w:p>
        </w:tc>
        <w:tc>
          <w:tcPr>
            <w:tcW w:w="1080" w:type="dxa"/>
            <w:gridSpan w:val="2"/>
            <w:tcBorders>
              <w:top w:val="nil"/>
              <w:left w:val="nil"/>
              <w:bottom w:val="nil"/>
              <w:right w:val="nil"/>
            </w:tcBorders>
            <w:noWrap/>
            <w:vAlign w:val="center"/>
            <w:hideMark/>
          </w:tcPr>
          <w:p w14:paraId="1AC4EF9E" w14:textId="77777777" w:rsidR="00D25817" w:rsidRPr="00E76534" w:rsidRDefault="00D25817" w:rsidP="00D25817">
            <w:pPr>
              <w:jc w:val="center"/>
              <w:rPr>
                <w:rFonts w:ascii="Arial" w:eastAsia="Yu Gothic" w:hAnsi="Arial" w:cs="Arial"/>
                <w:color w:val="000000"/>
              </w:rPr>
            </w:pPr>
          </w:p>
        </w:tc>
        <w:tc>
          <w:tcPr>
            <w:tcW w:w="1074" w:type="dxa"/>
            <w:tcBorders>
              <w:top w:val="nil"/>
              <w:left w:val="nil"/>
              <w:bottom w:val="nil"/>
              <w:right w:val="nil"/>
            </w:tcBorders>
            <w:noWrap/>
            <w:vAlign w:val="center"/>
            <w:hideMark/>
          </w:tcPr>
          <w:p w14:paraId="10293620" w14:textId="77777777" w:rsidR="00D25817" w:rsidRPr="00E76534" w:rsidRDefault="00D25817" w:rsidP="00D25817">
            <w:pPr>
              <w:jc w:val="center"/>
              <w:rPr>
                <w:rFonts w:ascii="Arial" w:hAnsi="Arial" w:cs="Arial"/>
              </w:rPr>
            </w:pPr>
          </w:p>
        </w:tc>
        <w:tc>
          <w:tcPr>
            <w:tcW w:w="1074" w:type="dxa"/>
            <w:tcBorders>
              <w:top w:val="nil"/>
              <w:left w:val="nil"/>
              <w:bottom w:val="nil"/>
              <w:right w:val="nil"/>
            </w:tcBorders>
            <w:noWrap/>
            <w:vAlign w:val="center"/>
            <w:hideMark/>
          </w:tcPr>
          <w:p w14:paraId="180E262B" w14:textId="77777777" w:rsidR="00D25817" w:rsidRPr="00E76534" w:rsidRDefault="00D25817" w:rsidP="00D25817">
            <w:pPr>
              <w:jc w:val="center"/>
              <w:rPr>
                <w:rFonts w:ascii="Arial" w:hAnsi="Arial" w:cs="Arial"/>
              </w:rPr>
            </w:pPr>
          </w:p>
        </w:tc>
        <w:tc>
          <w:tcPr>
            <w:tcW w:w="1074" w:type="dxa"/>
            <w:tcBorders>
              <w:top w:val="nil"/>
              <w:left w:val="nil"/>
              <w:bottom w:val="nil"/>
              <w:right w:val="nil"/>
            </w:tcBorders>
            <w:noWrap/>
            <w:vAlign w:val="center"/>
            <w:hideMark/>
          </w:tcPr>
          <w:p w14:paraId="71DB1077"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0.224**</w:t>
            </w:r>
          </w:p>
          <w:p w14:paraId="7C13A50E"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(0.102)</w:t>
            </w:r>
          </w:p>
        </w:tc>
        <w:tc>
          <w:tcPr>
            <w:tcW w:w="1192" w:type="dxa"/>
            <w:tcBorders>
              <w:top w:val="nil"/>
              <w:left w:val="nil"/>
              <w:bottom w:val="nil"/>
              <w:right w:val="nil"/>
            </w:tcBorders>
            <w:noWrap/>
            <w:vAlign w:val="center"/>
            <w:hideMark/>
          </w:tcPr>
          <w:p w14:paraId="18B005A5" w14:textId="77777777" w:rsidR="00D25817" w:rsidRPr="00E76534" w:rsidRDefault="00D25817" w:rsidP="00D25817">
            <w:pPr>
              <w:jc w:val="center"/>
              <w:rPr>
                <w:rFonts w:ascii="Arial" w:eastAsia="Yu Gothic" w:hAnsi="Arial" w:cs="Arial"/>
                <w:color w:val="000000"/>
              </w:rPr>
            </w:pPr>
          </w:p>
        </w:tc>
        <w:tc>
          <w:tcPr>
            <w:tcW w:w="1294" w:type="dxa"/>
            <w:tcBorders>
              <w:top w:val="nil"/>
              <w:left w:val="nil"/>
              <w:bottom w:val="nil"/>
              <w:right w:val="nil"/>
            </w:tcBorders>
            <w:noWrap/>
            <w:vAlign w:val="center"/>
            <w:hideMark/>
          </w:tcPr>
          <w:p w14:paraId="33D552A6" w14:textId="77777777" w:rsidR="00D25817" w:rsidRPr="00E76534" w:rsidRDefault="00D25817" w:rsidP="00D25817">
            <w:pPr>
              <w:jc w:val="center"/>
              <w:rPr>
                <w:rFonts w:ascii="Arial" w:hAnsi="Arial" w:cs="Arial"/>
              </w:rPr>
            </w:pPr>
          </w:p>
        </w:tc>
      </w:tr>
      <w:tr w:rsidR="00D25817" w:rsidRPr="00E76534" w14:paraId="6E0C3540" w14:textId="77777777" w:rsidTr="00D25817">
        <w:trPr>
          <w:trHeight w:val="133"/>
        </w:trPr>
        <w:tc>
          <w:tcPr>
            <w:tcW w:w="1395" w:type="dxa"/>
            <w:tcBorders>
              <w:top w:val="nil"/>
              <w:left w:val="nil"/>
              <w:bottom w:val="single" w:sz="4" w:space="0" w:color="auto"/>
              <w:right w:val="nil"/>
            </w:tcBorders>
            <w:noWrap/>
            <w:vAlign w:val="center"/>
            <w:hideMark/>
          </w:tcPr>
          <w:p w14:paraId="6E703C5D"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L1. Childbearing</w:t>
            </w:r>
          </w:p>
        </w:tc>
        <w:tc>
          <w:tcPr>
            <w:tcW w:w="1080" w:type="dxa"/>
            <w:gridSpan w:val="2"/>
            <w:tcBorders>
              <w:top w:val="nil"/>
              <w:left w:val="nil"/>
              <w:bottom w:val="single" w:sz="4" w:space="0" w:color="auto"/>
              <w:right w:val="nil"/>
            </w:tcBorders>
            <w:noWrap/>
            <w:vAlign w:val="center"/>
            <w:hideMark/>
          </w:tcPr>
          <w:p w14:paraId="62C8A26F"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 xml:space="preserve">　</w:t>
            </w:r>
          </w:p>
        </w:tc>
        <w:tc>
          <w:tcPr>
            <w:tcW w:w="1074" w:type="dxa"/>
            <w:tcBorders>
              <w:top w:val="nil"/>
              <w:left w:val="nil"/>
              <w:bottom w:val="single" w:sz="4" w:space="0" w:color="auto"/>
              <w:right w:val="nil"/>
            </w:tcBorders>
            <w:noWrap/>
            <w:vAlign w:val="center"/>
            <w:hideMark/>
          </w:tcPr>
          <w:p w14:paraId="460C76AF"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 xml:space="preserve">　</w:t>
            </w:r>
          </w:p>
        </w:tc>
        <w:tc>
          <w:tcPr>
            <w:tcW w:w="1074" w:type="dxa"/>
            <w:tcBorders>
              <w:top w:val="nil"/>
              <w:left w:val="nil"/>
              <w:bottom w:val="single" w:sz="4" w:space="0" w:color="auto"/>
              <w:right w:val="nil"/>
            </w:tcBorders>
            <w:noWrap/>
            <w:vAlign w:val="center"/>
            <w:hideMark/>
          </w:tcPr>
          <w:p w14:paraId="6731E2CD"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 xml:space="preserve">　</w:t>
            </w:r>
          </w:p>
        </w:tc>
        <w:tc>
          <w:tcPr>
            <w:tcW w:w="1074" w:type="dxa"/>
            <w:tcBorders>
              <w:top w:val="nil"/>
              <w:left w:val="nil"/>
              <w:bottom w:val="single" w:sz="4" w:space="0" w:color="auto"/>
              <w:right w:val="nil"/>
            </w:tcBorders>
            <w:noWrap/>
            <w:vAlign w:val="center"/>
            <w:hideMark/>
          </w:tcPr>
          <w:p w14:paraId="7FD6BA65"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 xml:space="preserve">　</w:t>
            </w:r>
          </w:p>
        </w:tc>
        <w:tc>
          <w:tcPr>
            <w:tcW w:w="1192" w:type="dxa"/>
            <w:tcBorders>
              <w:top w:val="nil"/>
              <w:left w:val="nil"/>
              <w:bottom w:val="single" w:sz="4" w:space="0" w:color="auto"/>
              <w:right w:val="nil"/>
            </w:tcBorders>
            <w:noWrap/>
            <w:vAlign w:val="center"/>
            <w:hideMark/>
          </w:tcPr>
          <w:p w14:paraId="6BB9B26B"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 xml:space="preserve">　</w:t>
            </w:r>
          </w:p>
        </w:tc>
        <w:tc>
          <w:tcPr>
            <w:tcW w:w="1294" w:type="dxa"/>
            <w:tcBorders>
              <w:top w:val="nil"/>
              <w:left w:val="nil"/>
              <w:bottom w:val="single" w:sz="4" w:space="0" w:color="auto"/>
              <w:right w:val="nil"/>
            </w:tcBorders>
            <w:noWrap/>
            <w:vAlign w:val="center"/>
            <w:hideMark/>
          </w:tcPr>
          <w:p w14:paraId="4DFEAB21"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0.981***</w:t>
            </w:r>
          </w:p>
          <w:p w14:paraId="3DF7FF5C"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(0.004)</w:t>
            </w:r>
          </w:p>
        </w:tc>
      </w:tr>
      <w:tr w:rsidR="00D25817" w:rsidRPr="00E76534" w14:paraId="6A0B789B" w14:textId="77777777" w:rsidTr="00D25817">
        <w:trPr>
          <w:trHeight w:val="133"/>
        </w:trPr>
        <w:tc>
          <w:tcPr>
            <w:tcW w:w="1395" w:type="dxa"/>
            <w:tcBorders>
              <w:top w:val="nil"/>
              <w:left w:val="nil"/>
              <w:bottom w:val="nil"/>
              <w:right w:val="nil"/>
            </w:tcBorders>
            <w:noWrap/>
            <w:vAlign w:val="center"/>
            <w:hideMark/>
          </w:tcPr>
          <w:p w14:paraId="6563C75E"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Year Fixed Effects</w:t>
            </w:r>
          </w:p>
        </w:tc>
        <w:tc>
          <w:tcPr>
            <w:tcW w:w="1080" w:type="dxa"/>
            <w:gridSpan w:val="2"/>
            <w:tcBorders>
              <w:top w:val="nil"/>
              <w:left w:val="nil"/>
              <w:bottom w:val="nil"/>
              <w:right w:val="nil"/>
            </w:tcBorders>
            <w:noWrap/>
            <w:vAlign w:val="center"/>
            <w:hideMark/>
          </w:tcPr>
          <w:p w14:paraId="3FE44960"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Yes</w:t>
            </w:r>
          </w:p>
        </w:tc>
        <w:tc>
          <w:tcPr>
            <w:tcW w:w="1074" w:type="dxa"/>
            <w:tcBorders>
              <w:top w:val="nil"/>
              <w:left w:val="nil"/>
              <w:bottom w:val="nil"/>
              <w:right w:val="nil"/>
            </w:tcBorders>
            <w:noWrap/>
            <w:vAlign w:val="center"/>
            <w:hideMark/>
          </w:tcPr>
          <w:p w14:paraId="33DFB4C1"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Yes</w:t>
            </w:r>
          </w:p>
        </w:tc>
        <w:tc>
          <w:tcPr>
            <w:tcW w:w="1074" w:type="dxa"/>
            <w:tcBorders>
              <w:top w:val="nil"/>
              <w:left w:val="nil"/>
              <w:bottom w:val="nil"/>
              <w:right w:val="nil"/>
            </w:tcBorders>
            <w:noWrap/>
            <w:vAlign w:val="center"/>
            <w:hideMark/>
          </w:tcPr>
          <w:p w14:paraId="28261187"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Yes</w:t>
            </w:r>
          </w:p>
        </w:tc>
        <w:tc>
          <w:tcPr>
            <w:tcW w:w="1074" w:type="dxa"/>
            <w:tcBorders>
              <w:top w:val="nil"/>
              <w:left w:val="nil"/>
              <w:bottom w:val="nil"/>
              <w:right w:val="nil"/>
            </w:tcBorders>
            <w:noWrap/>
            <w:vAlign w:val="center"/>
            <w:hideMark/>
          </w:tcPr>
          <w:p w14:paraId="577B3179"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Yes</w:t>
            </w:r>
          </w:p>
        </w:tc>
        <w:tc>
          <w:tcPr>
            <w:tcW w:w="1192" w:type="dxa"/>
            <w:tcBorders>
              <w:top w:val="nil"/>
              <w:left w:val="nil"/>
              <w:bottom w:val="nil"/>
              <w:right w:val="nil"/>
            </w:tcBorders>
            <w:noWrap/>
            <w:vAlign w:val="center"/>
            <w:hideMark/>
          </w:tcPr>
          <w:p w14:paraId="2C25C919"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Yes</w:t>
            </w:r>
          </w:p>
        </w:tc>
        <w:tc>
          <w:tcPr>
            <w:tcW w:w="1294" w:type="dxa"/>
            <w:tcBorders>
              <w:top w:val="nil"/>
              <w:left w:val="nil"/>
              <w:bottom w:val="nil"/>
              <w:right w:val="nil"/>
            </w:tcBorders>
            <w:noWrap/>
            <w:vAlign w:val="center"/>
            <w:hideMark/>
          </w:tcPr>
          <w:p w14:paraId="40A08B44"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Yes</w:t>
            </w:r>
          </w:p>
        </w:tc>
      </w:tr>
      <w:tr w:rsidR="00D25817" w:rsidRPr="00E76534" w14:paraId="0349BE27" w14:textId="77777777" w:rsidTr="00D25817">
        <w:trPr>
          <w:trHeight w:val="133"/>
        </w:trPr>
        <w:tc>
          <w:tcPr>
            <w:tcW w:w="1395" w:type="dxa"/>
            <w:tcBorders>
              <w:top w:val="nil"/>
              <w:left w:val="nil"/>
              <w:bottom w:val="nil"/>
              <w:right w:val="nil"/>
            </w:tcBorders>
            <w:noWrap/>
            <w:vAlign w:val="center"/>
            <w:hideMark/>
          </w:tcPr>
          <w:p w14:paraId="551EC865"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Constant</w:t>
            </w:r>
          </w:p>
        </w:tc>
        <w:tc>
          <w:tcPr>
            <w:tcW w:w="1080" w:type="dxa"/>
            <w:gridSpan w:val="2"/>
            <w:tcBorders>
              <w:top w:val="nil"/>
              <w:left w:val="nil"/>
              <w:bottom w:val="nil"/>
              <w:right w:val="nil"/>
            </w:tcBorders>
            <w:noWrap/>
            <w:vAlign w:val="center"/>
            <w:hideMark/>
          </w:tcPr>
          <w:p w14:paraId="18FAAEB9"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27.502***</w:t>
            </w:r>
          </w:p>
          <w:p w14:paraId="640DB57D"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(0.424)</w:t>
            </w:r>
          </w:p>
        </w:tc>
        <w:tc>
          <w:tcPr>
            <w:tcW w:w="1074" w:type="dxa"/>
            <w:tcBorders>
              <w:top w:val="nil"/>
              <w:left w:val="nil"/>
              <w:bottom w:val="nil"/>
              <w:right w:val="nil"/>
            </w:tcBorders>
            <w:noWrap/>
            <w:vAlign w:val="center"/>
            <w:hideMark/>
          </w:tcPr>
          <w:p w14:paraId="7CF864C8"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27.567***</w:t>
            </w:r>
          </w:p>
          <w:p w14:paraId="603F4DD5"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(0.726)</w:t>
            </w:r>
          </w:p>
        </w:tc>
        <w:tc>
          <w:tcPr>
            <w:tcW w:w="1074" w:type="dxa"/>
            <w:tcBorders>
              <w:top w:val="nil"/>
              <w:left w:val="nil"/>
              <w:bottom w:val="nil"/>
              <w:right w:val="nil"/>
            </w:tcBorders>
            <w:noWrap/>
            <w:vAlign w:val="center"/>
            <w:hideMark/>
          </w:tcPr>
          <w:p w14:paraId="7799C3E9"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26.503***</w:t>
            </w:r>
          </w:p>
          <w:p w14:paraId="60FDB22F"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(0.960)</w:t>
            </w:r>
          </w:p>
        </w:tc>
        <w:tc>
          <w:tcPr>
            <w:tcW w:w="1074" w:type="dxa"/>
            <w:tcBorders>
              <w:top w:val="nil"/>
              <w:left w:val="nil"/>
              <w:bottom w:val="nil"/>
              <w:right w:val="nil"/>
            </w:tcBorders>
            <w:noWrap/>
            <w:vAlign w:val="center"/>
            <w:hideMark/>
          </w:tcPr>
          <w:p w14:paraId="7FA9AE88"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26.440***</w:t>
            </w:r>
          </w:p>
          <w:p w14:paraId="2B99821B"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(0.942)</w:t>
            </w:r>
          </w:p>
        </w:tc>
        <w:tc>
          <w:tcPr>
            <w:tcW w:w="1192" w:type="dxa"/>
            <w:tcBorders>
              <w:top w:val="nil"/>
              <w:left w:val="nil"/>
              <w:bottom w:val="nil"/>
              <w:right w:val="nil"/>
            </w:tcBorders>
            <w:noWrap/>
            <w:vAlign w:val="center"/>
            <w:hideMark/>
          </w:tcPr>
          <w:p w14:paraId="3B211276"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28.654***</w:t>
            </w:r>
          </w:p>
          <w:p w14:paraId="7ECE0BBC"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(0.750)</w:t>
            </w:r>
          </w:p>
        </w:tc>
        <w:tc>
          <w:tcPr>
            <w:tcW w:w="1294" w:type="dxa"/>
            <w:tcBorders>
              <w:top w:val="nil"/>
              <w:left w:val="nil"/>
              <w:bottom w:val="nil"/>
              <w:right w:val="nil"/>
            </w:tcBorders>
            <w:noWrap/>
            <w:vAlign w:val="center"/>
            <w:hideMark/>
          </w:tcPr>
          <w:p w14:paraId="41A52774"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0.568***</w:t>
            </w:r>
          </w:p>
          <w:p w14:paraId="77E7663A"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(0.119)</w:t>
            </w:r>
          </w:p>
        </w:tc>
      </w:tr>
      <w:tr w:rsidR="00D25817" w:rsidRPr="00E76534" w14:paraId="1755E4C3" w14:textId="77777777" w:rsidTr="00D25817">
        <w:trPr>
          <w:trHeight w:val="133"/>
        </w:trPr>
        <w:tc>
          <w:tcPr>
            <w:tcW w:w="1395" w:type="dxa"/>
            <w:tcBorders>
              <w:top w:val="nil"/>
              <w:left w:val="nil"/>
              <w:bottom w:val="nil"/>
              <w:right w:val="nil"/>
            </w:tcBorders>
            <w:noWrap/>
            <w:vAlign w:val="center"/>
            <w:hideMark/>
          </w:tcPr>
          <w:p w14:paraId="3F10940B"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Observations</w:t>
            </w:r>
          </w:p>
        </w:tc>
        <w:tc>
          <w:tcPr>
            <w:tcW w:w="1080" w:type="dxa"/>
            <w:gridSpan w:val="2"/>
            <w:tcBorders>
              <w:top w:val="nil"/>
              <w:left w:val="nil"/>
              <w:bottom w:val="nil"/>
              <w:right w:val="nil"/>
            </w:tcBorders>
            <w:noWrap/>
            <w:vAlign w:val="center"/>
            <w:hideMark/>
          </w:tcPr>
          <w:p w14:paraId="7A0C3479"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3,400</w:t>
            </w:r>
          </w:p>
        </w:tc>
        <w:tc>
          <w:tcPr>
            <w:tcW w:w="1074" w:type="dxa"/>
            <w:tcBorders>
              <w:top w:val="nil"/>
              <w:left w:val="nil"/>
              <w:bottom w:val="nil"/>
              <w:right w:val="nil"/>
            </w:tcBorders>
            <w:noWrap/>
            <w:vAlign w:val="center"/>
            <w:hideMark/>
          </w:tcPr>
          <w:p w14:paraId="41460BEE"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3,400</w:t>
            </w:r>
          </w:p>
        </w:tc>
        <w:tc>
          <w:tcPr>
            <w:tcW w:w="1074" w:type="dxa"/>
            <w:tcBorders>
              <w:top w:val="nil"/>
              <w:left w:val="nil"/>
              <w:bottom w:val="nil"/>
              <w:right w:val="nil"/>
            </w:tcBorders>
            <w:noWrap/>
            <w:vAlign w:val="center"/>
            <w:hideMark/>
          </w:tcPr>
          <w:p w14:paraId="37447A9C"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3,400</w:t>
            </w:r>
          </w:p>
        </w:tc>
        <w:tc>
          <w:tcPr>
            <w:tcW w:w="1074" w:type="dxa"/>
            <w:tcBorders>
              <w:top w:val="nil"/>
              <w:left w:val="nil"/>
              <w:bottom w:val="nil"/>
              <w:right w:val="nil"/>
            </w:tcBorders>
            <w:noWrap/>
            <w:vAlign w:val="center"/>
            <w:hideMark/>
          </w:tcPr>
          <w:p w14:paraId="592081A5"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3,300</w:t>
            </w:r>
          </w:p>
        </w:tc>
        <w:tc>
          <w:tcPr>
            <w:tcW w:w="1192" w:type="dxa"/>
            <w:tcBorders>
              <w:top w:val="nil"/>
              <w:left w:val="nil"/>
              <w:bottom w:val="nil"/>
              <w:right w:val="nil"/>
            </w:tcBorders>
            <w:noWrap/>
            <w:vAlign w:val="center"/>
            <w:hideMark/>
          </w:tcPr>
          <w:p w14:paraId="4F1A8203"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3,400</w:t>
            </w:r>
          </w:p>
        </w:tc>
        <w:tc>
          <w:tcPr>
            <w:tcW w:w="1294" w:type="dxa"/>
            <w:tcBorders>
              <w:top w:val="nil"/>
              <w:left w:val="nil"/>
              <w:bottom w:val="nil"/>
              <w:right w:val="nil"/>
            </w:tcBorders>
            <w:noWrap/>
            <w:vAlign w:val="center"/>
            <w:hideMark/>
          </w:tcPr>
          <w:p w14:paraId="46FA9C95"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3,300</w:t>
            </w:r>
          </w:p>
        </w:tc>
      </w:tr>
      <w:tr w:rsidR="00D25817" w:rsidRPr="00E76534" w14:paraId="7FFE165F" w14:textId="77777777" w:rsidTr="00D25817">
        <w:trPr>
          <w:trHeight w:val="133"/>
        </w:trPr>
        <w:tc>
          <w:tcPr>
            <w:tcW w:w="1395" w:type="dxa"/>
            <w:tcBorders>
              <w:top w:val="nil"/>
              <w:left w:val="nil"/>
              <w:bottom w:val="nil"/>
              <w:right w:val="nil"/>
            </w:tcBorders>
            <w:noWrap/>
            <w:vAlign w:val="center"/>
            <w:hideMark/>
          </w:tcPr>
          <w:p w14:paraId="5535BE24"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Within R²</w:t>
            </w:r>
          </w:p>
        </w:tc>
        <w:tc>
          <w:tcPr>
            <w:tcW w:w="1080" w:type="dxa"/>
            <w:gridSpan w:val="2"/>
            <w:tcBorders>
              <w:top w:val="nil"/>
              <w:left w:val="nil"/>
              <w:bottom w:val="nil"/>
              <w:right w:val="nil"/>
            </w:tcBorders>
            <w:noWrap/>
            <w:vAlign w:val="center"/>
            <w:hideMark/>
          </w:tcPr>
          <w:p w14:paraId="09CC58DA"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0.2846</w:t>
            </w:r>
          </w:p>
        </w:tc>
        <w:tc>
          <w:tcPr>
            <w:tcW w:w="1074" w:type="dxa"/>
            <w:tcBorders>
              <w:top w:val="nil"/>
              <w:left w:val="nil"/>
              <w:bottom w:val="nil"/>
              <w:right w:val="nil"/>
            </w:tcBorders>
            <w:noWrap/>
            <w:vAlign w:val="center"/>
            <w:hideMark/>
          </w:tcPr>
          <w:p w14:paraId="7F795AA4"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0.2847</w:t>
            </w:r>
          </w:p>
        </w:tc>
        <w:tc>
          <w:tcPr>
            <w:tcW w:w="1074" w:type="dxa"/>
            <w:tcBorders>
              <w:top w:val="nil"/>
              <w:left w:val="nil"/>
              <w:bottom w:val="nil"/>
              <w:right w:val="nil"/>
            </w:tcBorders>
            <w:noWrap/>
            <w:vAlign w:val="center"/>
            <w:hideMark/>
          </w:tcPr>
          <w:p w14:paraId="6D972F4D"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0.3014</w:t>
            </w:r>
          </w:p>
        </w:tc>
        <w:tc>
          <w:tcPr>
            <w:tcW w:w="1074" w:type="dxa"/>
            <w:tcBorders>
              <w:top w:val="nil"/>
              <w:left w:val="nil"/>
              <w:bottom w:val="nil"/>
              <w:right w:val="nil"/>
            </w:tcBorders>
            <w:noWrap/>
            <w:vAlign w:val="center"/>
            <w:hideMark/>
          </w:tcPr>
          <w:p w14:paraId="5BFE8233"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0.306</w:t>
            </w:r>
          </w:p>
        </w:tc>
        <w:tc>
          <w:tcPr>
            <w:tcW w:w="1192" w:type="dxa"/>
            <w:tcBorders>
              <w:top w:val="nil"/>
              <w:left w:val="nil"/>
              <w:bottom w:val="nil"/>
              <w:right w:val="nil"/>
            </w:tcBorders>
            <w:noWrap/>
            <w:vAlign w:val="center"/>
            <w:hideMark/>
          </w:tcPr>
          <w:p w14:paraId="4DD5C7A7"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0.4066</w:t>
            </w:r>
          </w:p>
        </w:tc>
        <w:tc>
          <w:tcPr>
            <w:tcW w:w="1294" w:type="dxa"/>
            <w:tcBorders>
              <w:top w:val="nil"/>
              <w:left w:val="nil"/>
              <w:bottom w:val="nil"/>
              <w:right w:val="nil"/>
            </w:tcBorders>
            <w:noWrap/>
            <w:vAlign w:val="center"/>
            <w:hideMark/>
          </w:tcPr>
          <w:p w14:paraId="1D592571"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0.9898</w:t>
            </w:r>
          </w:p>
        </w:tc>
      </w:tr>
    </w:tbl>
    <w:p w14:paraId="32397BA3" w14:textId="77777777" w:rsidR="00D25817" w:rsidRDefault="00D25817" w:rsidP="001B5C19">
      <w:pPr>
        <w:pStyle w:val="Body"/>
        <w:spacing w:after="0"/>
        <w:rPr>
          <w:rFonts w:ascii="Arial" w:hAnsi="Arial" w:cs="Arial"/>
          <w:b/>
          <w:bCs/>
          <w:i/>
          <w:iCs/>
          <w:sz w:val="18"/>
          <w:szCs w:val="18"/>
          <w:highlight w:val="cyan"/>
        </w:rPr>
      </w:pPr>
    </w:p>
    <w:p w14:paraId="5E238FAE" w14:textId="7B84D703" w:rsidR="00D25817" w:rsidRDefault="001B5C19" w:rsidP="001B5C19">
      <w:pPr>
        <w:pStyle w:val="Body"/>
        <w:spacing w:after="0"/>
        <w:rPr>
          <w:rFonts w:ascii="Arial" w:hAnsi="Arial" w:cs="Arial"/>
          <w:i/>
          <w:iCs/>
          <w:sz w:val="18"/>
          <w:szCs w:val="18"/>
        </w:rPr>
      </w:pPr>
      <w:r w:rsidRPr="00D25817">
        <w:rPr>
          <w:rFonts w:ascii="Arial" w:hAnsi="Arial" w:cs="Arial"/>
          <w:b/>
          <w:bCs/>
          <w:i/>
          <w:iCs/>
          <w:sz w:val="18"/>
          <w:szCs w:val="18"/>
          <w:highlight w:val="cyan"/>
        </w:rPr>
        <w:t>Notes:</w:t>
      </w:r>
      <w:r w:rsidRPr="00D25817">
        <w:rPr>
          <w:rFonts w:ascii="Arial" w:hAnsi="Arial" w:cs="Arial"/>
          <w:i/>
          <w:iCs/>
          <w:sz w:val="18"/>
          <w:szCs w:val="18"/>
          <w:highlight w:val="cyan"/>
        </w:rPr>
        <w:t xml:space="preserve">  </w:t>
      </w:r>
      <w:r w:rsidR="00D25817" w:rsidRPr="00D25817">
        <w:rPr>
          <w:rFonts w:ascii="Arial" w:hAnsi="Arial" w:cs="Arial"/>
          <w:i/>
          <w:iCs/>
          <w:sz w:val="18"/>
          <w:szCs w:val="18"/>
          <w:highlight w:val="cyan"/>
        </w:rPr>
        <w:t>Dependent variable is the transformed measure of early childbearing, interpreted as a proxy for fertility timing outcomes. All specifications include country and year fixed effects. Standard errors clustered at the country level are reported in parentheses. Columns (1)</w:t>
      </w:r>
      <w:proofErr w:type="gramStart"/>
      <w:r w:rsidR="00D25817" w:rsidRPr="00D25817">
        <w:rPr>
          <w:rFonts w:ascii="Arial" w:hAnsi="Arial" w:cs="Arial"/>
          <w:i/>
          <w:iCs/>
          <w:sz w:val="18"/>
          <w:szCs w:val="18"/>
          <w:highlight w:val="cyan"/>
        </w:rPr>
        <w:t>–(</w:t>
      </w:r>
      <w:proofErr w:type="gramEnd"/>
      <w:r w:rsidR="00D25817" w:rsidRPr="00D25817">
        <w:rPr>
          <w:rFonts w:ascii="Arial" w:hAnsi="Arial" w:cs="Arial"/>
          <w:i/>
          <w:iCs/>
          <w:sz w:val="18"/>
          <w:szCs w:val="18"/>
          <w:highlight w:val="cyan"/>
        </w:rPr>
        <w:t>3) report contemporaneous fixed-effects specifications. Column (4) reports one-period lagged institutional variables to mitigate simultaneity concerns. Column (5) includes a quadratic specification for the Gender Inequality Index (GII) to test for nonlinear institutional effects. Column (6) presents a dynamic fixed-effects specification including the lagged dependent variable to assess persistence in fertility timing outcomes. Statistical significance is denoted by * p &lt; 0.10, ** p &lt; 0.05, and *** p &lt; 0.01.</w:t>
      </w:r>
    </w:p>
    <w:p w14:paraId="43BB45EA" w14:textId="45B2A728" w:rsidR="00422E2F" w:rsidRPr="00E76534" w:rsidRDefault="00422E2F" w:rsidP="00010349">
      <w:pPr>
        <w:pStyle w:val="Body"/>
        <w:spacing w:after="0"/>
        <w:rPr>
          <w:rFonts w:ascii="Arial" w:hAnsi="Arial" w:cs="Arial"/>
        </w:rPr>
      </w:pPr>
    </w:p>
    <w:p w14:paraId="7510918A" w14:textId="06A1DAA2" w:rsidR="001B5C19" w:rsidRPr="00E76534" w:rsidRDefault="001B5C19" w:rsidP="001B5C19">
      <w:pPr>
        <w:pStyle w:val="Body"/>
        <w:spacing w:after="0"/>
        <w:rPr>
          <w:rFonts w:ascii="Arial" w:hAnsi="Arial" w:cs="Arial"/>
        </w:rPr>
      </w:pPr>
      <w:r w:rsidRPr="00E76534">
        <w:rPr>
          <w:rFonts w:ascii="Arial" w:hAnsi="Arial" w:cs="Arial"/>
        </w:rPr>
        <w:t xml:space="preserve">Column (1) presents the baseline specification, which includes the Gender Inequality Index (GII) and year fixed effects. The estimated coefficient on GII is 0.0126 </w:t>
      </w:r>
      <m:oMath>
        <m:d>
          <m:dPr>
            <m:ctrlPr>
              <w:rPr>
                <w:rFonts w:ascii="Cambria Math" w:hAnsi="Cambria Math" w:cs="Arial"/>
                <w:i/>
              </w:rPr>
            </m:ctrlPr>
          </m:dPr>
          <m:e>
            <m:r>
              <w:rPr>
                <w:rFonts w:ascii="Cambria Math" w:hAnsi="Cambria Math" w:cs="Arial"/>
              </w:rPr>
              <m:t>standard error 0.0057</m:t>
            </m:r>
          </m:e>
        </m:d>
      </m:oMath>
      <w:r w:rsidRPr="00E76534">
        <w:rPr>
          <w:rFonts w:ascii="Arial" w:hAnsi="Arial" w:cs="Arial"/>
        </w:rPr>
        <w:t>, statistically significant at the 5% level because the dependent variable is transformed as </w:t>
      </w:r>
      <m:oMath>
        <m:r>
          <m:rPr>
            <m:sty m:val="p"/>
          </m:rPr>
          <w:rPr>
            <w:rFonts w:ascii="Cambria Math" w:hAnsi="Cambria Math" w:cs="Arial"/>
          </w:rPr>
          <m:t>ln</m:t>
        </m:r>
        <m:r>
          <w:rPr>
            <w:rFonts w:ascii="Cambria Math" w:hAnsi="Cambria Math" w:cs="Arial"/>
          </w:rPr>
          <m:t>⁡(</m:t>
        </m:r>
        <m:r>
          <m:rPr>
            <m:nor/>
          </m:rPr>
          <w:rPr>
            <w:rFonts w:ascii="Arial" w:hAnsi="Arial" w:cs="Arial"/>
          </w:rPr>
          <m:t>BR</m:t>
        </m:r>
        <m:r>
          <w:rPr>
            <w:rFonts w:ascii="Cambria Math" w:hAnsi="Cambria Math" w:cs="Arial"/>
          </w:rPr>
          <m:t>+1)</m:t>
        </m:r>
      </m:oMath>
      <w:r w:rsidRPr="00E76534">
        <w:rPr>
          <w:rFonts w:ascii="Arial" w:hAnsi="Arial" w:cs="Arial"/>
        </w:rPr>
        <w:t>, effects are reported in log points rather than converted to percentage changes, since the </w:t>
      </w:r>
      <m:oMath>
        <m:r>
          <w:rPr>
            <w:rFonts w:ascii="Cambria Math" w:hAnsi="Cambria Math" w:cs="Arial"/>
          </w:rPr>
          <m:t>+1</m:t>
        </m:r>
      </m:oMath>
      <w:r w:rsidRPr="00E76534">
        <w:rPr>
          <w:rFonts w:ascii="Arial" w:hAnsi="Arial" w:cs="Arial"/>
        </w:rPr>
        <w:t> transformation makes percent interpretations depend on the level of </w:t>
      </w:r>
      <m:oMath>
        <m:r>
          <m:rPr>
            <m:nor/>
          </m:rPr>
          <w:rPr>
            <w:rFonts w:ascii="Arial" w:hAnsi="Arial" w:cs="Arial"/>
          </w:rPr>
          <m:t>BR</m:t>
        </m:r>
      </m:oMath>
      <w:r w:rsidRPr="00E76534">
        <w:rPr>
          <w:rFonts w:ascii="Arial" w:hAnsi="Arial" w:cs="Arial"/>
        </w:rPr>
        <w:t>. Year fixed effects are jointly significant in all specifications, indicating strong global trends in fertility timing that are absorbed by the model.</w:t>
      </w:r>
    </w:p>
    <w:p w14:paraId="55FDE954" w14:textId="77777777" w:rsidR="001B5C19" w:rsidRPr="00E76534" w:rsidRDefault="001B5C19" w:rsidP="001B5C19">
      <w:pPr>
        <w:pStyle w:val="Body"/>
        <w:spacing w:after="0"/>
        <w:rPr>
          <w:rFonts w:ascii="Arial" w:hAnsi="Arial" w:cs="Arial"/>
        </w:rPr>
      </w:pPr>
    </w:p>
    <w:p w14:paraId="17AC471B" w14:textId="77777777" w:rsidR="001B5C19" w:rsidRPr="00E76534" w:rsidRDefault="001B5C19" w:rsidP="001B5C19">
      <w:pPr>
        <w:pStyle w:val="Body"/>
        <w:spacing w:after="0"/>
        <w:rPr>
          <w:rFonts w:ascii="Arial" w:hAnsi="Arial" w:cs="Arial"/>
        </w:rPr>
      </w:pPr>
      <w:r w:rsidRPr="00E76534">
        <w:rPr>
          <w:rFonts w:ascii="Arial" w:hAnsi="Arial" w:cs="Arial"/>
        </w:rPr>
        <w:t xml:space="preserve">Column (2) augments the baseline specification by adding the Gender Development Index (GDI). The coefficient on GII remains virtually unchanged in magnitude and statistical significance, while the coefficient on GDI is small and statistically indistinguishable from zero. This pattern persists in column (3), which further controls for schooling. The stability of the GII coefficient suggests that the estimated relationship is not driven by correlated changes in </w:t>
      </w:r>
      <w:r w:rsidRPr="00E76534">
        <w:rPr>
          <w:rFonts w:ascii="Arial" w:hAnsi="Arial" w:cs="Arial"/>
        </w:rPr>
        <w:lastRenderedPageBreak/>
        <w:t>human development outcomes or educational expansion. By contrast, within-country variation in GDI does not appear to predict fertility timing once country fixed effects and global shocks are accounted for.</w:t>
      </w:r>
    </w:p>
    <w:p w14:paraId="33533F41" w14:textId="77777777" w:rsidR="001B5C19" w:rsidRPr="00E76534" w:rsidRDefault="001B5C19" w:rsidP="001B5C19">
      <w:pPr>
        <w:pStyle w:val="Body"/>
        <w:spacing w:after="0"/>
        <w:rPr>
          <w:rFonts w:ascii="Arial" w:hAnsi="Arial" w:cs="Arial"/>
        </w:rPr>
      </w:pPr>
    </w:p>
    <w:p w14:paraId="4730A6E8" w14:textId="77777777" w:rsidR="001B5C19" w:rsidRPr="00E76534" w:rsidRDefault="001B5C19" w:rsidP="001B5C19">
      <w:pPr>
        <w:pStyle w:val="Body"/>
        <w:spacing w:after="0"/>
        <w:rPr>
          <w:rFonts w:ascii="Arial" w:hAnsi="Arial" w:cs="Arial"/>
        </w:rPr>
      </w:pPr>
      <w:r w:rsidRPr="00E76534">
        <w:rPr>
          <w:rFonts w:ascii="Arial" w:hAnsi="Arial" w:cs="Arial"/>
        </w:rPr>
        <w:t>Column (3) is the preferred static specification, as it includes the full set of contemporaneous controls available in the data. The coefficient on GII remains positive and statistically significant, while schooling enters positively and is marginally significant. This positive contemporaneous association should not be interpreted as contradicting the model’s prediction that education raises the opportunity cost of early childbearing. The schooling variable captures aggregate educational attainment rather than individual returns to human capital. Within-country increases in schooling often reflect cohort replacement or expansion at lower levels of education, which may coincide with delayed labor-market and fertility responses not fully captured contemporaneously in a fixed-effects framework. Importantly, the inclusion of schooling does not attenuate the estimated effect of gender inequality, indicating that institutional constraints operate independently of aggregate educational expansion.</w:t>
      </w:r>
    </w:p>
    <w:p w14:paraId="0E695A7D" w14:textId="77777777" w:rsidR="001B5C19" w:rsidRPr="00E76534" w:rsidRDefault="001B5C19" w:rsidP="001B5C19">
      <w:pPr>
        <w:pStyle w:val="Body"/>
        <w:spacing w:after="0"/>
        <w:rPr>
          <w:rFonts w:ascii="Arial" w:hAnsi="Arial" w:cs="Arial"/>
        </w:rPr>
      </w:pPr>
    </w:p>
    <w:p w14:paraId="307FF2CA" w14:textId="348AEA72" w:rsidR="001B5C19" w:rsidRPr="00E76534" w:rsidRDefault="001B5C19" w:rsidP="001B5C19">
      <w:pPr>
        <w:pStyle w:val="Body"/>
        <w:spacing w:after="0"/>
        <w:rPr>
          <w:rFonts w:ascii="Arial" w:hAnsi="Arial" w:cs="Arial"/>
        </w:rPr>
      </w:pPr>
      <w:r w:rsidRPr="00E76534">
        <w:rPr>
          <w:rFonts w:ascii="Arial" w:hAnsi="Arial" w:cs="Arial"/>
        </w:rPr>
        <w:t xml:space="preserve">Column (4) addresses concerns about simultaneity and reverse causality by replacing contemporaneous institutional variables with their one-period lags. The coefficient on lagged GII remains positive and marginally statistically significant </w:t>
      </w:r>
      <m:oMath>
        <m:d>
          <m:dPr>
            <m:ctrlPr>
              <w:rPr>
                <w:rFonts w:ascii="Cambria Math" w:hAnsi="Cambria Math" w:cs="Arial"/>
                <w:i/>
              </w:rPr>
            </m:ctrlPr>
          </m:dPr>
          <m:e>
            <m:r>
              <w:rPr>
                <w:rFonts w:ascii="Cambria Math" w:hAnsi="Cambria Math" w:cs="Arial"/>
              </w:rPr>
              <m:t>0.018;standard error 0.0056</m:t>
            </m:r>
          </m:e>
        </m:d>
      </m:oMath>
      <w:r w:rsidRPr="00E76534">
        <w:rPr>
          <w:rFonts w:ascii="Arial" w:hAnsi="Arial" w:cs="Arial"/>
        </w:rPr>
        <w:t xml:space="preserve">, indicating that higher gender inequality in the previous period predicts earlier fertility timing in the current period. Lagged schooling enters positively and significantly, while lagged GDI remains insignificant. A joint cluster-robust Wald test rejects the null hypothesis that the lagged institutional variables are jointly equal to zero </w:t>
      </w:r>
      <m:oMath>
        <m:d>
          <m:dPr>
            <m:ctrlPr>
              <w:rPr>
                <w:rFonts w:ascii="Cambria Math" w:hAnsi="Cambria Math" w:cs="Arial"/>
                <w:i/>
              </w:rPr>
            </m:ctrlPr>
          </m:dPr>
          <m:e>
            <m:r>
              <w:rPr>
                <w:rFonts w:ascii="Cambria Math" w:hAnsi="Cambria Math" w:cs="Arial"/>
              </w:rPr>
              <m:t>F=3.22, p=0.026</m:t>
            </m:r>
          </m:e>
        </m:d>
      </m:oMath>
      <w:r w:rsidRPr="00E76534">
        <w:rPr>
          <w:rFonts w:ascii="Arial" w:hAnsi="Arial" w:cs="Arial"/>
        </w:rPr>
        <w:t>, strengthening the temporal interpretation that changes in gender inequality precede changes in fertility behavior.</w:t>
      </w:r>
    </w:p>
    <w:p w14:paraId="3792076D" w14:textId="71D36532" w:rsidR="001B5C19" w:rsidRPr="00E76534" w:rsidRDefault="001B5C19" w:rsidP="001B5C19">
      <w:pPr>
        <w:pStyle w:val="Body"/>
        <w:spacing w:after="0"/>
        <w:rPr>
          <w:rFonts w:ascii="Arial" w:hAnsi="Arial" w:cs="Arial"/>
        </w:rPr>
      </w:pPr>
      <w:r w:rsidRPr="00E76534">
        <w:rPr>
          <w:rFonts w:ascii="Arial" w:hAnsi="Arial" w:cs="Arial"/>
        </w:rPr>
        <w:t>Column (5)</w:t>
      </w:r>
      <w:r w:rsidRPr="00E76534">
        <w:rPr>
          <w:rFonts w:ascii="Arial" w:hAnsi="Arial" w:cs="Arial"/>
          <w:vertAlign w:val="superscript"/>
        </w:rPr>
        <w:t xml:space="preserve"> </w:t>
      </w:r>
      <w:r w:rsidRPr="00E76534">
        <w:rPr>
          <w:rFonts w:ascii="Arial" w:hAnsi="Arial" w:cs="Arial"/>
          <w:vertAlign w:val="superscript"/>
        </w:rPr>
        <w:footnoteReference w:id="2"/>
      </w:r>
      <w:r w:rsidRPr="00E76534">
        <w:rPr>
          <w:rFonts w:ascii="Arial" w:hAnsi="Arial" w:cs="Arial"/>
        </w:rPr>
        <w:t xml:space="preserve"> allows for nonlinear effects of gender inequality by augmenting the baseline fixed-effects specification with a quadratic term in GII. The linear and squared terms are jointly statistically significant</w:t>
      </w:r>
      <m:oMath>
        <m:d>
          <m:dPr>
            <m:ctrlPr>
              <w:rPr>
                <w:rFonts w:ascii="Cambria Math" w:hAnsi="Cambria Math" w:cs="Arial"/>
                <w:i/>
              </w:rPr>
            </m:ctrlPr>
          </m:dPr>
          <m:e>
            <m:r>
              <w:rPr>
                <w:rFonts w:ascii="Cambria Math" w:hAnsi="Cambria Math" w:cs="Arial"/>
              </w:rPr>
              <m:t>F=18.90. p&lt;0.001</m:t>
            </m:r>
          </m:e>
        </m:d>
      </m:oMath>
      <w:r w:rsidRPr="00E76534">
        <w:rPr>
          <w:rFonts w:ascii="Arial" w:hAnsi="Arial" w:cs="Arial"/>
        </w:rPr>
        <w:t xml:space="preserve">, rejecting a purely linear relationship. The implied turning point occurs at </w:t>
      </w:r>
      <m:oMath>
        <m:r>
          <w:rPr>
            <w:rFonts w:ascii="Cambria Math" w:hAnsi="Cambria Math" w:cs="Arial"/>
          </w:rPr>
          <m:t xml:space="preserve">GII≈0.76 </m:t>
        </m:r>
        <m:d>
          <m:dPr>
            <m:ctrlPr>
              <w:rPr>
                <w:rFonts w:ascii="Cambria Math" w:hAnsi="Cambria Math" w:cs="Arial"/>
                <w:i/>
              </w:rPr>
            </m:ctrlPr>
          </m:dPr>
          <m:e>
            <m:r>
              <w:rPr>
                <w:rFonts w:ascii="Cambria Math" w:hAnsi="Cambria Math" w:cs="Arial"/>
              </w:rPr>
              <m:t>95% confidence interval:0.59-0.94</m:t>
            </m:r>
          </m:e>
        </m:d>
      </m:oMath>
      <w:r w:rsidRPr="00E76534">
        <w:rPr>
          <w:rFonts w:ascii="Arial" w:hAnsi="Arial" w:cs="Arial"/>
        </w:rPr>
        <w:t>, which lies well within the support of the data. A direct evaluation of the marginal effect at this point confirms that it is statistically indistinguishable from zero, indicating a genuine extremum rather than a mechanical artifact of the quadratic specification.</w:t>
      </w:r>
    </w:p>
    <w:p w14:paraId="5E8E3DA7" w14:textId="77777777" w:rsidR="001B5C19" w:rsidRPr="00E76534" w:rsidRDefault="001B5C19" w:rsidP="001B5C19">
      <w:pPr>
        <w:pStyle w:val="Body"/>
        <w:spacing w:after="0"/>
        <w:rPr>
          <w:rFonts w:ascii="Arial" w:hAnsi="Arial" w:cs="Arial"/>
        </w:rPr>
      </w:pPr>
    </w:p>
    <w:p w14:paraId="7833A47B" w14:textId="30E25688" w:rsidR="001B5C19" w:rsidRPr="00E76534" w:rsidRDefault="001B5C19" w:rsidP="001B5C19">
      <w:pPr>
        <w:pStyle w:val="Body"/>
        <w:spacing w:after="0"/>
        <w:rPr>
          <w:rFonts w:ascii="Arial" w:hAnsi="Arial" w:cs="Arial"/>
        </w:rPr>
      </w:pPr>
      <w:r w:rsidRPr="00E76534">
        <w:rPr>
          <w:rFonts w:ascii="Arial" w:hAnsi="Arial" w:cs="Arial"/>
        </w:rPr>
        <w:t xml:space="preserve">Figure 2 plots the fitted relationship implied by the nonlinear model. At low to moderate levels of gender inequality, marginal changes in GII are associated with little change in childbearing. At high levels of gender inequality, however, additional increases in inequality are associated with substantially higher rates of early childbearing. Allowing for this nonlinear structure increases the within </w:t>
      </w:r>
      <m:oMath>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oMath>
      <w:r w:rsidRPr="00E76534">
        <w:rPr>
          <w:rFonts w:ascii="Arial" w:hAnsi="Arial" w:cs="Arial"/>
        </w:rPr>
        <w:t xml:space="preserve"> from approximately 0.30 in linear specifications to 0.41, revealing heterogeneity that is masked when inequality is constrained to have a constant marginal effect.</w:t>
      </w:r>
    </w:p>
    <w:p w14:paraId="188721BD" w14:textId="77777777" w:rsidR="00CE5B86" w:rsidRPr="00E76534" w:rsidRDefault="00CE5B86" w:rsidP="001B5C19">
      <w:pPr>
        <w:pStyle w:val="Body"/>
        <w:spacing w:after="0"/>
        <w:rPr>
          <w:rFonts w:ascii="Arial" w:hAnsi="Arial" w:cs="Arial"/>
        </w:rPr>
      </w:pPr>
    </w:p>
    <w:p w14:paraId="7039F240" w14:textId="77777777" w:rsidR="001B5C19" w:rsidRPr="00E76534" w:rsidRDefault="001B5C19" w:rsidP="001B5C19">
      <w:pPr>
        <w:pStyle w:val="Body"/>
        <w:spacing w:after="0"/>
        <w:rPr>
          <w:rFonts w:ascii="Arial" w:hAnsi="Arial" w:cs="Arial"/>
        </w:rPr>
      </w:pPr>
      <w:r w:rsidRPr="00E76534">
        <w:rPr>
          <w:rFonts w:ascii="Arial" w:hAnsi="Arial" w:cs="Arial"/>
        </w:rPr>
        <w:t xml:space="preserve">Importantly, the nonlinear pattern should not be interpreted as suggesting that gender inequality reduces early childbearing at intermediate levels (Kohler </w:t>
      </w:r>
      <w:r w:rsidRPr="00E76534">
        <w:rPr>
          <w:rFonts w:ascii="Arial" w:hAnsi="Arial" w:cs="Arial"/>
          <w:i/>
          <w:iCs/>
        </w:rPr>
        <w:t>et. al</w:t>
      </w:r>
      <w:r w:rsidRPr="00E76534">
        <w:rPr>
          <w:rFonts w:ascii="Arial" w:hAnsi="Arial" w:cs="Arial"/>
        </w:rPr>
        <w:t>., 2002). Rather, it indicates that the association between gender inequality and fertility timing is state-dependent, with the strongest relationship concentrated in high-inequality institutional environments. This interpretation aligns closely with the theoretical framework, in which gendered constraints on education, labor-market participation, and reproductive autonomy become binding only beyond a sufficiently high level of inequality (Silva and Klasen, 2021). The confidence bands in Figure 2 further suggest that the observed curvature reflects systematic variation across institutional regimes rather than being driven by a small number of extreme observations.</w:t>
      </w:r>
    </w:p>
    <w:p w14:paraId="63668F9C" w14:textId="47D551A8" w:rsidR="00422E2F" w:rsidRPr="00E76534" w:rsidRDefault="00422E2F" w:rsidP="00010349">
      <w:pPr>
        <w:pStyle w:val="Body"/>
        <w:spacing w:after="0"/>
        <w:rPr>
          <w:rFonts w:ascii="Arial" w:hAnsi="Arial" w:cs="Arial"/>
        </w:rPr>
      </w:pPr>
    </w:p>
    <w:p w14:paraId="570477C4" w14:textId="0AA74086" w:rsidR="00422E2F" w:rsidRPr="00E76534" w:rsidRDefault="001B5C19" w:rsidP="00010349">
      <w:pPr>
        <w:pStyle w:val="Body"/>
        <w:spacing w:after="0"/>
        <w:rPr>
          <w:rFonts w:ascii="Arial" w:hAnsi="Arial" w:cs="Arial"/>
        </w:rPr>
      </w:pPr>
      <w:r w:rsidRPr="00E76534">
        <w:rPr>
          <w:b/>
          <w:bCs/>
          <w:noProof/>
          <w:color w:val="000000"/>
        </w:rPr>
        <w:drawing>
          <wp:inline distT="0" distB="0" distL="0" distR="0" wp14:anchorId="4D63089B" wp14:editId="0613F7FF">
            <wp:extent cx="5212080" cy="3127248"/>
            <wp:effectExtent l="0" t="0" r="0" b="0"/>
            <wp:docPr id="214523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23084" name=""/>
                    <pic:cNvPicPr/>
                  </pic:nvPicPr>
                  <pic:blipFill>
                    <a:blip r:embed="rId14"/>
                    <a:stretch>
                      <a:fillRect/>
                    </a:stretch>
                  </pic:blipFill>
                  <pic:spPr>
                    <a:xfrm>
                      <a:off x="0" y="0"/>
                      <a:ext cx="5212080" cy="3127248"/>
                    </a:xfrm>
                    <a:prstGeom prst="rect">
                      <a:avLst/>
                    </a:prstGeom>
                  </pic:spPr>
                </pic:pic>
              </a:graphicData>
            </a:graphic>
          </wp:inline>
        </w:drawing>
      </w:r>
    </w:p>
    <w:p w14:paraId="0E75767F" w14:textId="2B1CF542" w:rsidR="001B5C19" w:rsidRPr="00E76534" w:rsidRDefault="001B5C19" w:rsidP="001B5C19">
      <w:pPr>
        <w:pStyle w:val="Body"/>
        <w:spacing w:after="0"/>
        <w:rPr>
          <w:rFonts w:ascii="Arial" w:hAnsi="Arial" w:cs="Arial"/>
          <w:b/>
          <w:bCs/>
        </w:rPr>
      </w:pPr>
      <w:r w:rsidRPr="00E76534">
        <w:rPr>
          <w:rFonts w:ascii="Arial" w:hAnsi="Arial" w:cs="Arial"/>
          <w:b/>
          <w:bCs/>
        </w:rPr>
        <w:t xml:space="preserve">Figure 2. Nonlinear Effect of Gender Inequality on </w:t>
      </w:r>
      <w:r w:rsidR="008F7670" w:rsidRPr="00E76534">
        <w:rPr>
          <w:rFonts w:ascii="Arial" w:hAnsi="Arial" w:cs="Arial"/>
          <w:b/>
          <w:bCs/>
        </w:rPr>
        <w:t>Childbearing</w:t>
      </w:r>
    </w:p>
    <w:p w14:paraId="3B36ED5B" w14:textId="77777777" w:rsidR="008F7670" w:rsidRPr="00E76534" w:rsidRDefault="008F7670" w:rsidP="001B5C19">
      <w:pPr>
        <w:pStyle w:val="Body"/>
        <w:spacing w:after="0"/>
        <w:rPr>
          <w:rFonts w:ascii="Arial" w:hAnsi="Arial" w:cs="Arial"/>
          <w:i/>
          <w:iCs/>
          <w:sz w:val="18"/>
          <w:szCs w:val="18"/>
        </w:rPr>
      </w:pPr>
    </w:p>
    <w:p w14:paraId="68277F03" w14:textId="25FECE23" w:rsidR="001B5C19" w:rsidRPr="00E76534" w:rsidRDefault="001B5C19" w:rsidP="001B5C19">
      <w:pPr>
        <w:pStyle w:val="Body"/>
        <w:spacing w:after="0"/>
        <w:rPr>
          <w:rFonts w:ascii="Arial" w:hAnsi="Arial" w:cs="Arial"/>
          <w:i/>
          <w:iCs/>
          <w:sz w:val="18"/>
          <w:szCs w:val="18"/>
        </w:rPr>
      </w:pPr>
      <w:r w:rsidRPr="00E76534">
        <w:rPr>
          <w:rFonts w:ascii="Arial" w:hAnsi="Arial" w:cs="Arial"/>
          <w:i/>
          <w:iCs/>
          <w:sz w:val="18"/>
          <w:szCs w:val="18"/>
        </w:rPr>
        <w:t xml:space="preserve">Note: The figure plots the fitted relationship implied by the quadratic fixed-effects specification in column (5), with shaded confidence bands. The relationship exhibits regime dependence: marginal changes in gender inequality have limited association with childbearing at low to moderate levels of inequality but are strongly associated with higher early fertility in high-inequality environments. The turning point occurs at </w:t>
      </w:r>
      <m:oMath>
        <m:r>
          <w:rPr>
            <w:rFonts w:ascii="Cambria Math" w:hAnsi="Cambria Math" w:cs="Arial"/>
            <w:sz w:val="18"/>
            <w:szCs w:val="18"/>
          </w:rPr>
          <m:t xml:space="preserve">GII≈0.76 </m:t>
        </m:r>
        <m:d>
          <m:dPr>
            <m:ctrlPr>
              <w:rPr>
                <w:rFonts w:ascii="Cambria Math" w:hAnsi="Cambria Math" w:cs="Arial"/>
                <w:i/>
                <w:iCs/>
                <w:sz w:val="18"/>
                <w:szCs w:val="18"/>
              </w:rPr>
            </m:ctrlPr>
          </m:dPr>
          <m:e>
            <m:r>
              <w:rPr>
                <w:rFonts w:ascii="Cambria Math" w:hAnsi="Cambria Math" w:cs="Arial"/>
                <w:sz w:val="18"/>
                <w:szCs w:val="18"/>
              </w:rPr>
              <m:t>95% CI:0.56-0.94</m:t>
            </m:r>
          </m:e>
        </m:d>
      </m:oMath>
      <w:r w:rsidRPr="00E76534">
        <w:rPr>
          <w:rFonts w:ascii="Arial" w:hAnsi="Arial" w:cs="Arial"/>
          <w:i/>
          <w:iCs/>
          <w:sz w:val="18"/>
          <w:szCs w:val="18"/>
        </w:rPr>
        <w:t>.</w:t>
      </w:r>
    </w:p>
    <w:p w14:paraId="53AF4F2B" w14:textId="77777777" w:rsidR="001B5C19" w:rsidRPr="00E76534" w:rsidRDefault="001B5C19" w:rsidP="001B5C19">
      <w:pPr>
        <w:pStyle w:val="Body"/>
        <w:spacing w:after="0"/>
        <w:rPr>
          <w:rFonts w:ascii="Arial" w:hAnsi="Arial" w:cs="Arial"/>
          <w:b/>
          <w:bCs/>
        </w:rPr>
      </w:pPr>
    </w:p>
    <w:p w14:paraId="4E408CED" w14:textId="5E0A7ECC" w:rsidR="001B5C19" w:rsidRPr="00E76534" w:rsidRDefault="001B5C19" w:rsidP="001B5C19">
      <w:pPr>
        <w:pStyle w:val="Body"/>
        <w:spacing w:after="0"/>
        <w:rPr>
          <w:rFonts w:ascii="Arial" w:hAnsi="Arial" w:cs="Arial"/>
          <w:b/>
          <w:bCs/>
        </w:rPr>
      </w:pPr>
      <w:r w:rsidRPr="00E76534">
        <w:rPr>
          <w:rFonts w:ascii="Arial" w:hAnsi="Arial" w:cs="Arial"/>
          <w:b/>
          <w:bCs/>
        </w:rPr>
        <w:t>Robustness Checks and Diagnostics</w:t>
      </w:r>
    </w:p>
    <w:p w14:paraId="1D6B3D16" w14:textId="3F8A52E2" w:rsidR="001B5C19" w:rsidRPr="00E76534" w:rsidRDefault="001B5C19" w:rsidP="001B5C19">
      <w:pPr>
        <w:pStyle w:val="Body"/>
        <w:spacing w:after="0"/>
        <w:rPr>
          <w:rFonts w:ascii="Arial" w:hAnsi="Arial" w:cs="Arial"/>
        </w:rPr>
      </w:pPr>
      <w:r w:rsidRPr="00E76534">
        <w:rPr>
          <w:rFonts w:ascii="Arial" w:hAnsi="Arial" w:cs="Arial"/>
        </w:rPr>
        <w:t>Column (6) reports a dynamic fixed-effects specification that includes lagged </w:t>
      </w:r>
      <m:oMath>
        <m:r>
          <m:rPr>
            <m:sty m:val="p"/>
          </m:rPr>
          <w:rPr>
            <w:rFonts w:ascii="Cambria Math" w:hAnsi="Cambria Math" w:cs="Arial"/>
          </w:rPr>
          <m:t>ln</m:t>
        </m:r>
        <m:r>
          <w:rPr>
            <w:rFonts w:ascii="Cambria Math" w:hAnsi="Cambria Math" w:cs="Arial"/>
          </w:rPr>
          <m:t>⁡(</m:t>
        </m:r>
        <m:r>
          <m:rPr>
            <m:nor/>
          </m:rPr>
          <w:rPr>
            <w:rFonts w:ascii="Arial" w:hAnsi="Arial" w:cs="Arial"/>
          </w:rPr>
          <m:t>BR</m:t>
        </m:r>
        <m:r>
          <w:rPr>
            <w:rFonts w:ascii="Cambria Math" w:hAnsi="Cambria Math" w:cs="Arial"/>
          </w:rPr>
          <m:t>+1)</m:t>
        </m:r>
      </m:oMath>
      <w:r w:rsidRPr="00E76534">
        <w:rPr>
          <w:rFonts w:ascii="Arial" w:hAnsi="Arial" w:cs="Arial"/>
        </w:rPr>
        <w:t> to document persistence in very early first-birth outcomes (proxied by BR). The estimated coefficient on the lagged dependent variable is close to unity, indicating substantial inertia in fertility timing within countries. Because dynamic fixed-effects models with near-unit-root outcomes can be sensitive to specification and interpretation, Column (6) is treated as descriptive evidence of persistence rather than as a preferred model for quantifying institutional effects. The paper’s main re</w:t>
      </w:r>
      <w:proofErr w:type="spellStart"/>
      <w:r w:rsidRPr="00E76534">
        <w:rPr>
          <w:rFonts w:ascii="Arial" w:hAnsi="Arial" w:cs="Arial"/>
        </w:rPr>
        <w:t>duced</w:t>
      </w:r>
      <w:proofErr w:type="spellEnd"/>
      <w:r w:rsidRPr="00E76534">
        <w:rPr>
          <w:rFonts w:ascii="Arial" w:hAnsi="Arial" w:cs="Arial"/>
        </w:rPr>
        <w:t>-form evidence is therefore based on the static and nonlinear specifications.</w:t>
      </w:r>
    </w:p>
    <w:p w14:paraId="7D2FA1E2" w14:textId="77777777" w:rsidR="001B5C19" w:rsidRPr="00E76534" w:rsidRDefault="001B5C19" w:rsidP="001B5C19">
      <w:pPr>
        <w:pStyle w:val="Body"/>
        <w:spacing w:after="0"/>
        <w:rPr>
          <w:rFonts w:ascii="Arial" w:hAnsi="Arial" w:cs="Arial"/>
        </w:rPr>
      </w:pPr>
    </w:p>
    <w:p w14:paraId="3613386E" w14:textId="49D48003" w:rsidR="001B5C19" w:rsidRPr="00E76534" w:rsidRDefault="001B5C19" w:rsidP="001B5C19">
      <w:pPr>
        <w:pStyle w:val="Body"/>
        <w:spacing w:after="0"/>
        <w:rPr>
          <w:rFonts w:ascii="Arial" w:hAnsi="Arial" w:cs="Arial"/>
        </w:rPr>
      </w:pPr>
      <w:r w:rsidRPr="00E76534">
        <w:rPr>
          <w:rFonts w:ascii="Arial" w:hAnsi="Arial" w:cs="Arial"/>
        </w:rPr>
        <w:t>A range of diagnostic tests supports the empirical strategy. The modified Wald test for groupwise heteroskedasticity strongly rejects homoskedasticity</w:t>
      </w:r>
      <m:oMath>
        <m:d>
          <m:dPr>
            <m:ctrlPr>
              <w:rPr>
                <w:rFonts w:ascii="Cambria Math" w:hAnsi="Cambria Math" w:cs="Arial"/>
                <w:i/>
              </w:rPr>
            </m:ctrlPr>
          </m:dPr>
          <m:e>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d>
              <m:dPr>
                <m:ctrlPr>
                  <w:rPr>
                    <w:rFonts w:ascii="Cambria Math" w:hAnsi="Cambria Math" w:cs="Arial"/>
                    <w:i/>
                  </w:rPr>
                </m:ctrlPr>
              </m:dPr>
              <m:e>
                <m:r>
                  <w:rPr>
                    <w:rFonts w:ascii="Cambria Math" w:hAnsi="Cambria Math" w:cs="Arial"/>
                  </w:rPr>
                  <m:t>100</m:t>
                </m:r>
              </m:e>
            </m:d>
            <m:r>
              <w:rPr>
                <w:rFonts w:ascii="Cambria Math" w:hAnsi="Cambria Math" w:cs="Arial"/>
              </w:rPr>
              <m:t>=33,229.03, p&lt;0.001</m:t>
            </m:r>
          </m:e>
        </m:d>
      </m:oMath>
      <w:r w:rsidRPr="00E76534">
        <w:rPr>
          <w:rFonts w:ascii="Arial" w:hAnsi="Arial" w:cs="Arial"/>
        </w:rPr>
        <w:t>, justifying the use of heteroskedasticity-robust standard errors clustered at the country level. Tests for cross-sectional dependence using Pesaran’s cross-sectional dependence (CD) test</w:t>
      </w:r>
      <w:r w:rsidRPr="00E76534">
        <w:rPr>
          <w:rFonts w:ascii="Arial" w:hAnsi="Arial" w:cs="Arial"/>
          <w:b/>
          <w:bCs/>
        </w:rPr>
        <w:t xml:space="preserve"> </w:t>
      </w:r>
      <w:r w:rsidRPr="00E76534">
        <w:rPr>
          <w:rFonts w:ascii="Arial" w:hAnsi="Arial" w:cs="Arial"/>
        </w:rPr>
        <w:t>also reject independence (</w:t>
      </w:r>
      <m:oMath>
        <m:r>
          <w:rPr>
            <w:rFonts w:ascii="Cambria Math" w:hAnsi="Cambria Math" w:cs="Arial"/>
          </w:rPr>
          <m:t>CD=-3.422, p=0.0006)</m:t>
        </m:r>
      </m:oMath>
      <w:r w:rsidRPr="00E76534">
        <w:rPr>
          <w:rFonts w:ascii="Arial" w:hAnsi="Arial" w:cs="Arial"/>
        </w:rPr>
        <w:t>, with an average absolute off-diagonal correlation of 0.749 (Pearson, 2004). While year fixed effects absorb common global shocks, some cross-sectional dependence likely reflects regional spillovers or diffusion processes. Importantly, the estimated coefficients on gender inequality are stable across specifications, suggesting that the main findings are not driven by misspecified inference (Bongaarts and Watkins, 1996). </w:t>
      </w:r>
    </w:p>
    <w:p w14:paraId="344EE59F" w14:textId="07CAC51A" w:rsidR="00422E2F" w:rsidRPr="00E76534" w:rsidRDefault="00422E2F" w:rsidP="00010349">
      <w:pPr>
        <w:pStyle w:val="Body"/>
        <w:spacing w:after="0"/>
        <w:rPr>
          <w:rFonts w:ascii="Arial" w:hAnsi="Arial" w:cs="Arial"/>
        </w:rPr>
      </w:pPr>
    </w:p>
    <w:p w14:paraId="4BB48DFC" w14:textId="40E21D55" w:rsidR="001B5C19" w:rsidRPr="00E76534" w:rsidRDefault="00CE5B86" w:rsidP="00010349">
      <w:pPr>
        <w:pStyle w:val="Body"/>
        <w:spacing w:after="0"/>
        <w:rPr>
          <w:rFonts w:ascii="Arial" w:hAnsi="Arial" w:cs="Arial"/>
        </w:rPr>
      </w:pPr>
      <w:r w:rsidRPr="00E76534">
        <w:rPr>
          <w:rFonts w:ascii="Arial" w:hAnsi="Arial" w:cs="Arial"/>
          <w:b/>
          <w:bCs/>
          <w:sz w:val="22"/>
          <w:szCs w:val="22"/>
        </w:rPr>
        <w:t>3.2 Discussion</w:t>
      </w:r>
    </w:p>
    <w:p w14:paraId="6A76DA87" w14:textId="77777777" w:rsidR="00CE5B86" w:rsidRDefault="00CE5B86" w:rsidP="00CE5B86">
      <w:pPr>
        <w:pStyle w:val="Body"/>
        <w:spacing w:after="0"/>
        <w:rPr>
          <w:rFonts w:ascii="Arial" w:hAnsi="Arial" w:cs="Arial"/>
        </w:rPr>
      </w:pPr>
      <w:r w:rsidRPr="00E76534">
        <w:rPr>
          <w:rFonts w:ascii="Arial" w:hAnsi="Arial" w:cs="Arial"/>
        </w:rPr>
        <w:lastRenderedPageBreak/>
        <w:t>Taken together, the results provide consistent evidence that gender inequality is systematically associated with earlier fertility timing within countries. This relationship remains robust when institutional measures are lagged, exhibits pronounced nonlinearity and is characterized by strong persistence over time. These patterns suggest that fertility timing responds primarily to slow-moving institutional environments rather than to short-run fluctuations in economic conditions or policy changes.</w:t>
      </w:r>
    </w:p>
    <w:p w14:paraId="086AD5F5" w14:textId="77777777" w:rsidR="001F540A" w:rsidRDefault="001F540A" w:rsidP="00CE5B86">
      <w:pPr>
        <w:pStyle w:val="Body"/>
        <w:spacing w:after="0"/>
        <w:rPr>
          <w:rFonts w:ascii="Arial" w:hAnsi="Arial" w:cs="Arial"/>
        </w:rPr>
      </w:pPr>
    </w:p>
    <w:p w14:paraId="2C9BB92C" w14:textId="77777777" w:rsidR="001F540A" w:rsidRDefault="001F540A" w:rsidP="001F540A">
      <w:pPr>
        <w:pStyle w:val="Body"/>
        <w:spacing w:after="0"/>
        <w:rPr>
          <w:rFonts w:ascii="Arial" w:hAnsi="Arial" w:cs="Arial"/>
          <w:highlight w:val="cyan"/>
        </w:rPr>
      </w:pPr>
      <w:r w:rsidRPr="001F540A">
        <w:rPr>
          <w:rFonts w:ascii="Arial" w:hAnsi="Arial" w:cs="Arial"/>
          <w:highlight w:val="cyan"/>
        </w:rPr>
        <w:t>The findings closely align with recent research emphasizing the institutional foundations of gender inequality and fertility behavior. Goldin (2021) argues that modern labor markets continue to reward inflexible career structures characterized by long and continuous work hours, generating substantial motherhood penalties following childbirth. The results of this paper support this interpretation by showing that institutional gender inequality is associated not simply with fertility levels, but with the timing of first birth itself. In environments where women face limited educational opportunities, weaker labor-market attachment, and greater career interruption costs, early childbearing becomes a rational response to constrained life-cycle incentives.</w:t>
      </w:r>
    </w:p>
    <w:p w14:paraId="6C95FA4B" w14:textId="77777777" w:rsidR="001F540A" w:rsidRPr="001F540A" w:rsidRDefault="001F540A" w:rsidP="001F540A">
      <w:pPr>
        <w:pStyle w:val="Body"/>
        <w:spacing w:after="0"/>
        <w:rPr>
          <w:rFonts w:ascii="Arial" w:hAnsi="Arial" w:cs="Arial"/>
          <w:highlight w:val="cyan"/>
        </w:rPr>
      </w:pPr>
    </w:p>
    <w:p w14:paraId="6D1B9477" w14:textId="77777777" w:rsidR="001F540A" w:rsidRDefault="001F540A" w:rsidP="001F540A">
      <w:pPr>
        <w:pStyle w:val="Body"/>
        <w:spacing w:after="0"/>
        <w:rPr>
          <w:rFonts w:ascii="Arial" w:hAnsi="Arial" w:cs="Arial"/>
          <w:highlight w:val="cyan"/>
        </w:rPr>
      </w:pPr>
      <w:r w:rsidRPr="001F540A">
        <w:rPr>
          <w:rFonts w:ascii="Arial" w:hAnsi="Arial" w:cs="Arial"/>
          <w:highlight w:val="cyan"/>
        </w:rPr>
        <w:t>The results are also consistent with Kleven et al.’s (2019; 2024a; 2024b) literature on child penalties and long-run gender inequality. Their work demonstrates that persistent gender gaps emerge primarily after first birth and are reinforced through labor-market and institutional structures. The strong persistence observed in fertility timing outcomes in this study similarly suggests that fertility behavior reflects slow-moving institutional and normative equilibria rather than purely individual preferences. The nonlinear findings further reinforce this interpretation by indicating that institutional constraints become particularly binding in highly unequal environments.</w:t>
      </w:r>
    </w:p>
    <w:p w14:paraId="0B8D14B4" w14:textId="3E5FEE18" w:rsidR="001F540A" w:rsidRPr="001F540A" w:rsidRDefault="001F540A" w:rsidP="001F540A">
      <w:pPr>
        <w:pStyle w:val="Body"/>
        <w:spacing w:after="0"/>
        <w:rPr>
          <w:rFonts w:ascii="Arial" w:hAnsi="Arial" w:cs="Arial"/>
          <w:highlight w:val="cyan"/>
        </w:rPr>
      </w:pPr>
      <w:r>
        <w:rPr>
          <w:rFonts w:ascii="Arial" w:hAnsi="Arial" w:cs="Arial"/>
          <w:highlight w:val="cyan"/>
        </w:rPr>
        <w:t>\</w:t>
      </w:r>
    </w:p>
    <w:p w14:paraId="561B7E02" w14:textId="77777777" w:rsidR="001F540A" w:rsidRDefault="001F540A" w:rsidP="001F540A">
      <w:pPr>
        <w:pStyle w:val="Body"/>
        <w:spacing w:after="0"/>
        <w:rPr>
          <w:rFonts w:ascii="Arial" w:hAnsi="Arial" w:cs="Arial"/>
          <w:highlight w:val="cyan"/>
        </w:rPr>
      </w:pPr>
      <w:r w:rsidRPr="001F540A">
        <w:rPr>
          <w:rFonts w:ascii="Arial" w:hAnsi="Arial" w:cs="Arial"/>
          <w:highlight w:val="cyan"/>
        </w:rPr>
        <w:t>More broadly, the findings support the policy-oriented literature emphasizing the role of family policy and institutional compatibility between employment and childbearing. Olivetti and Petrongolo (2017) show that family-supportive institutions can reduce the trade-off between fertility and labor-market participation by lowering career interruption costs for women. The present findings extend this logic by suggesting that institutional gender inequality shifts fertility timing toward earlier ages when supportive structures are weak or absent.</w:t>
      </w:r>
    </w:p>
    <w:p w14:paraId="3F714339" w14:textId="77777777" w:rsidR="001F540A" w:rsidRPr="001F540A" w:rsidRDefault="001F540A" w:rsidP="001F540A">
      <w:pPr>
        <w:pStyle w:val="Body"/>
        <w:spacing w:after="0"/>
        <w:rPr>
          <w:rFonts w:ascii="Arial" w:hAnsi="Arial" w:cs="Arial"/>
          <w:highlight w:val="cyan"/>
        </w:rPr>
      </w:pPr>
    </w:p>
    <w:p w14:paraId="77BDF867" w14:textId="77777777" w:rsidR="001F540A" w:rsidRPr="001F540A" w:rsidRDefault="001F540A" w:rsidP="001F540A">
      <w:pPr>
        <w:pStyle w:val="Body"/>
        <w:spacing w:after="0"/>
        <w:rPr>
          <w:rFonts w:ascii="Arial" w:hAnsi="Arial" w:cs="Arial"/>
        </w:rPr>
      </w:pPr>
      <w:r w:rsidRPr="001F540A">
        <w:rPr>
          <w:rFonts w:ascii="Arial" w:hAnsi="Arial" w:cs="Arial"/>
          <w:highlight w:val="cyan"/>
        </w:rPr>
        <w:t xml:space="preserve">The results additionally align with the United Nations Development </w:t>
      </w:r>
      <w:proofErr w:type="spellStart"/>
      <w:r w:rsidRPr="001F540A">
        <w:rPr>
          <w:rFonts w:ascii="Arial" w:hAnsi="Arial" w:cs="Arial"/>
          <w:highlight w:val="cyan"/>
        </w:rPr>
        <w:t>Programme</w:t>
      </w:r>
      <w:proofErr w:type="spellEnd"/>
      <w:r w:rsidRPr="001F540A">
        <w:rPr>
          <w:rFonts w:ascii="Arial" w:hAnsi="Arial" w:cs="Arial"/>
          <w:highlight w:val="cyan"/>
        </w:rPr>
        <w:t xml:space="preserve"> (UNDP, 2023) and World Bank (2012) literature emphasizing that gender inequality constrains long-run human-capital development and economic participation. Early childbearing may therefore function not only as a demographic outcome but also as a mechanism through which institutional inequality reproduces intergenerational disparities in education, labor-market outcomes, and economic opportunity.</w:t>
      </w:r>
    </w:p>
    <w:p w14:paraId="46F007F9" w14:textId="77777777" w:rsidR="00CE5B86" w:rsidRPr="00E76534" w:rsidRDefault="00CE5B86" w:rsidP="00CE5B86">
      <w:pPr>
        <w:pStyle w:val="Body"/>
        <w:spacing w:after="0"/>
        <w:rPr>
          <w:rFonts w:ascii="Arial" w:hAnsi="Arial" w:cs="Arial"/>
        </w:rPr>
      </w:pPr>
    </w:p>
    <w:p w14:paraId="6CAA4F59" w14:textId="77777777" w:rsidR="00CE5B86" w:rsidRPr="00E76534" w:rsidRDefault="00CE5B86" w:rsidP="00CE5B86">
      <w:pPr>
        <w:pStyle w:val="Body"/>
        <w:spacing w:after="0"/>
        <w:rPr>
          <w:rFonts w:ascii="Arial" w:hAnsi="Arial" w:cs="Arial"/>
        </w:rPr>
      </w:pPr>
      <w:r w:rsidRPr="00E76534">
        <w:rPr>
          <w:rFonts w:ascii="Arial" w:hAnsi="Arial" w:cs="Arial"/>
        </w:rPr>
        <w:t xml:space="preserve">From an economic perspective, these findings highlight fertility timing as a critical channel through which gender inequality translates into long-run losses in female human capital and aggregate productivity. Early entry into motherhood is closely linked to lower educational attainment, reduced experience accumulation, and weaker labor-market attachment over the life cycle (Adda </w:t>
      </w:r>
      <w:r w:rsidRPr="00E76534">
        <w:rPr>
          <w:rFonts w:ascii="Arial" w:hAnsi="Arial" w:cs="Arial"/>
          <w:i/>
          <w:iCs/>
        </w:rPr>
        <w:t>et al</w:t>
      </w:r>
      <w:r w:rsidRPr="00E76534">
        <w:rPr>
          <w:rFonts w:ascii="Arial" w:hAnsi="Arial" w:cs="Arial"/>
        </w:rPr>
        <w:t xml:space="preserve">., 2017). By shifting first births toward younger ages, gender inequality effectively shortens the period during which women can invest in human capital and establish stable career trajectories. When this mechanism operates at scale, it generates persistent cohort-level reductions in female labor supply and earnings, with adverse implications for long-run growth. Importantly, this channel operates through when children are born rather than how many are born, underscoring the economic relevance of fertility timing as distinct from fertility levels (Jones </w:t>
      </w:r>
      <w:r w:rsidRPr="00E76534">
        <w:rPr>
          <w:rFonts w:ascii="Arial" w:hAnsi="Arial" w:cs="Arial"/>
          <w:i/>
          <w:iCs/>
        </w:rPr>
        <w:t>et al</w:t>
      </w:r>
      <w:r w:rsidRPr="00E76534">
        <w:rPr>
          <w:rFonts w:ascii="Arial" w:hAnsi="Arial" w:cs="Arial"/>
        </w:rPr>
        <w:t>., 2011).</w:t>
      </w:r>
    </w:p>
    <w:p w14:paraId="7708A5DA" w14:textId="77777777" w:rsidR="00CE5B86" w:rsidRPr="00E76534" w:rsidRDefault="00CE5B86" w:rsidP="00CE5B86">
      <w:pPr>
        <w:pStyle w:val="Body"/>
        <w:spacing w:after="0"/>
        <w:rPr>
          <w:rFonts w:ascii="Arial" w:hAnsi="Arial" w:cs="Arial"/>
        </w:rPr>
      </w:pPr>
    </w:p>
    <w:p w14:paraId="5CB2EF28" w14:textId="77777777" w:rsidR="00CE5B86" w:rsidRPr="00E76534" w:rsidRDefault="00CE5B86" w:rsidP="00CE5B86">
      <w:pPr>
        <w:pStyle w:val="Body"/>
        <w:spacing w:after="0"/>
        <w:rPr>
          <w:rFonts w:ascii="Arial" w:hAnsi="Arial" w:cs="Arial"/>
        </w:rPr>
      </w:pPr>
      <w:r w:rsidRPr="00E76534">
        <w:rPr>
          <w:rFonts w:ascii="Arial" w:hAnsi="Arial" w:cs="Arial"/>
        </w:rPr>
        <w:lastRenderedPageBreak/>
        <w:t>The strong persistence documented in the dynamic specification implies that the economic costs associated with gender inequality are likely to be long lived. Fertility timing appears to be embedded in institutional and normative equilibria that evolve slowly through educational systems, labor-market structures, and intergenerational transmission of expectations (Acemoglu and Robinson, 2012). As a result, temporary or narrowly targeted reforms are unlikely to generate immediate changes in fertility behavior. Instead, sustained institutional change—such as durable improvements in women’s legal rights, employment protection around childbirth, and access to reproductive autonomy—is more likely to yield compounding effects over time by gradually shifting life-cycle incentives and expectations across cohorts.</w:t>
      </w:r>
    </w:p>
    <w:p w14:paraId="578DCC0A" w14:textId="77777777" w:rsidR="00CE5B86" w:rsidRPr="00E76534" w:rsidRDefault="00CE5B86" w:rsidP="00CE5B86">
      <w:pPr>
        <w:pStyle w:val="Body"/>
        <w:spacing w:after="0"/>
        <w:rPr>
          <w:rFonts w:ascii="Arial" w:hAnsi="Arial" w:cs="Arial"/>
        </w:rPr>
      </w:pPr>
      <w:r w:rsidRPr="00E76534">
        <w:rPr>
          <w:rFonts w:ascii="Arial" w:hAnsi="Arial" w:cs="Arial"/>
        </w:rPr>
        <w:t>The nonlinear and regime-dependent nature of the relationship between gender inequality and fertility timing helps explain why empirical evidence in the cross-country fertility literature has often appeared mixed. In environments characterized by very high or very low gender inequality, fertility behavior may be anchored by coordination equilibria sustained by complementary institutions and norms, limiting responses to marginal reforms (</w:t>
      </w:r>
      <w:proofErr w:type="spellStart"/>
      <w:r w:rsidRPr="00E76534">
        <w:rPr>
          <w:rFonts w:ascii="Arial" w:hAnsi="Arial" w:cs="Arial"/>
        </w:rPr>
        <w:t>Bisin</w:t>
      </w:r>
      <w:proofErr w:type="spellEnd"/>
      <w:r w:rsidRPr="00E76534">
        <w:rPr>
          <w:rFonts w:ascii="Arial" w:hAnsi="Arial" w:cs="Arial"/>
        </w:rPr>
        <w:t xml:space="preserve"> and Verdier, 2017). By contrast, in intermediate regimes, small changes in institutional constraints can substantially alter the opportunity-cost wedge facing women, leading to large reallocations in the timing of first birth. This heterogeneity implies that the economic returns to gender-equality reforms are highly context-dependent and cautions against uniform policy prescriptions.</w:t>
      </w:r>
    </w:p>
    <w:p w14:paraId="63F4AEC1" w14:textId="77777777" w:rsidR="00CE5B86" w:rsidRPr="00E76534" w:rsidRDefault="00CE5B86" w:rsidP="00CE5B86">
      <w:pPr>
        <w:pStyle w:val="Body"/>
        <w:spacing w:after="0"/>
        <w:rPr>
          <w:rFonts w:ascii="Arial" w:hAnsi="Arial" w:cs="Arial"/>
        </w:rPr>
      </w:pPr>
    </w:p>
    <w:p w14:paraId="75D974CB" w14:textId="77777777" w:rsidR="00CE5B86" w:rsidRPr="00E76534" w:rsidRDefault="00CE5B86" w:rsidP="00CE5B86">
      <w:pPr>
        <w:pStyle w:val="Body"/>
        <w:spacing w:after="0"/>
        <w:rPr>
          <w:rFonts w:ascii="Arial" w:hAnsi="Arial" w:cs="Arial"/>
        </w:rPr>
      </w:pPr>
      <w:r w:rsidRPr="00E76534">
        <w:rPr>
          <w:rFonts w:ascii="Arial" w:hAnsi="Arial" w:cs="Arial"/>
        </w:rPr>
        <w:t>Finally, the weak association between gender development and fertility timing underscores the distinction between capabilities and constraints. Improvements in health, education, and income parity, while necessary, may be insufficient to alter fertility behavior if institutional barriers such as limited reproductive autonomy, insecure employment, or rigid labor-market structures remain binding (Jayachandran, 2021).</w:t>
      </w:r>
    </w:p>
    <w:p w14:paraId="57B4789D" w14:textId="77777777" w:rsidR="00CE5B86" w:rsidRPr="00E76534" w:rsidRDefault="00CE5B86" w:rsidP="00CE5B86">
      <w:pPr>
        <w:pStyle w:val="Body"/>
        <w:spacing w:after="0"/>
        <w:rPr>
          <w:rFonts w:ascii="Arial" w:hAnsi="Arial" w:cs="Arial"/>
        </w:rPr>
      </w:pPr>
    </w:p>
    <w:p w14:paraId="326295CB" w14:textId="77777777" w:rsidR="00CE5B86" w:rsidRPr="00E76534" w:rsidRDefault="00CE5B86" w:rsidP="00CE5B86">
      <w:pPr>
        <w:pStyle w:val="Body"/>
        <w:spacing w:after="0"/>
        <w:rPr>
          <w:rFonts w:ascii="Arial" w:hAnsi="Arial" w:cs="Arial"/>
        </w:rPr>
      </w:pPr>
      <w:r w:rsidRPr="00E76534">
        <w:rPr>
          <w:rFonts w:ascii="Arial" w:hAnsi="Arial" w:cs="Arial"/>
        </w:rPr>
        <w:t>Overall, the findings suggest that gender inequality affects long-run development not only by influencing women’s participation in education and labor markets, but also by shaping the timing of family formation in ways that have persistent economic consequences. The results indicate that institutional environments which reduce gender inequality and relax constraints on women’s life-cycle choices are associated with stronger human-capital accumulation and productivity over time, extending beyond their immediate relationship with fertility behavior.</w:t>
      </w:r>
    </w:p>
    <w:p w14:paraId="0B1964F1" w14:textId="77777777" w:rsidR="00CE5B86" w:rsidRPr="00E76534" w:rsidRDefault="00CE5B86" w:rsidP="00CE5B86">
      <w:pPr>
        <w:pStyle w:val="Body"/>
        <w:spacing w:after="0"/>
        <w:rPr>
          <w:rFonts w:ascii="Arial" w:hAnsi="Arial" w:cs="Arial"/>
        </w:rPr>
      </w:pPr>
      <w:r w:rsidRPr="00E76534">
        <w:rPr>
          <w:rFonts w:ascii="Arial" w:hAnsi="Arial" w:cs="Arial"/>
        </w:rPr>
        <w:t>The findings should be interpreted primarily within institutional environments where access constraints remain binding. In advanced economies operating closer to the educational frontier, fertility behavior may instead be shaped more strongly by opportunity costs and child-rearing expenses rather than by institutional inequality itself. The present results therefore speak most directly to the timing channel of fertility under heterogeneous institutional regimes and do not imply that gender equality uniformly increases fertility levels. Distinguishing between fertility timing and overall fertility outcomes helps reconcile these results with evidence from advanced economies emphasizing delayed and reduced childbearing.</w:t>
      </w:r>
    </w:p>
    <w:p w14:paraId="021D3CF5" w14:textId="77777777" w:rsidR="00CE5B86" w:rsidRPr="00E76534" w:rsidRDefault="00CE5B86" w:rsidP="00CE5B86">
      <w:pPr>
        <w:pStyle w:val="Body"/>
        <w:spacing w:after="0"/>
        <w:rPr>
          <w:rFonts w:ascii="Arial" w:hAnsi="Arial" w:cs="Arial"/>
        </w:rPr>
      </w:pPr>
    </w:p>
    <w:p w14:paraId="68421D02" w14:textId="1B1B14B0" w:rsidR="00CE5B86" w:rsidRPr="00AB0478" w:rsidRDefault="00CE5B86" w:rsidP="00CE5B86">
      <w:pPr>
        <w:pStyle w:val="Body"/>
        <w:spacing w:after="0"/>
        <w:rPr>
          <w:rFonts w:ascii="Arial" w:hAnsi="Arial" w:cs="Arial"/>
          <w:b/>
          <w:bCs/>
          <w:sz w:val="22"/>
          <w:szCs w:val="22"/>
        </w:rPr>
      </w:pPr>
      <w:r w:rsidRPr="00AB0478">
        <w:rPr>
          <w:rFonts w:ascii="Arial" w:hAnsi="Arial" w:cs="Arial"/>
          <w:b/>
          <w:bCs/>
          <w:sz w:val="22"/>
          <w:szCs w:val="22"/>
        </w:rPr>
        <w:t xml:space="preserve">4. Conclusion </w:t>
      </w:r>
    </w:p>
    <w:p w14:paraId="33B3C62C" w14:textId="77777777" w:rsidR="00CE5B86" w:rsidRPr="00E76534" w:rsidRDefault="00CE5B86" w:rsidP="00CE5B86">
      <w:pPr>
        <w:pStyle w:val="Body"/>
        <w:spacing w:after="0"/>
        <w:rPr>
          <w:rFonts w:ascii="Arial" w:hAnsi="Arial" w:cs="Arial"/>
        </w:rPr>
      </w:pPr>
    </w:p>
    <w:p w14:paraId="4B5FBD0D" w14:textId="3281AC17" w:rsidR="00CE5B86" w:rsidRPr="00E76534" w:rsidRDefault="00CE5B86" w:rsidP="00CE5B86">
      <w:pPr>
        <w:pStyle w:val="Body"/>
        <w:spacing w:after="0"/>
        <w:rPr>
          <w:rFonts w:ascii="Arial" w:hAnsi="Arial" w:cs="Arial"/>
        </w:rPr>
      </w:pPr>
      <w:r w:rsidRPr="00E76534">
        <w:rPr>
          <w:rFonts w:ascii="Arial" w:hAnsi="Arial" w:cs="Arial"/>
        </w:rPr>
        <w:t>From an economic perspective, these findings are consistent with an important mechanism through which gender inequality can depress long-run productivity and growth. Very early entry into motherhood (</w:t>
      </w:r>
      <w:r w:rsidRPr="00E76534">
        <w:rPr>
          <w:rFonts w:ascii="Arial" w:hAnsi="Arial" w:cs="Arial"/>
          <w:i/>
          <w:iCs/>
        </w:rPr>
        <w:t>i.e.</w:t>
      </w:r>
      <w:r w:rsidRPr="00E76534">
        <w:rPr>
          <w:rFonts w:ascii="Arial" w:hAnsi="Arial" w:cs="Arial"/>
        </w:rPr>
        <w:t>, first births occurring at young ages) is closely linked to lower educational attainment, weaker labor-market attachment, and reduced lifetime earnings for women. By shifting the ability to conceive children toward earlier ages, gender inequality shortens the period of human capital accumulation and weakens women’s attachment to the labor market over the life cycle. When widespread, these individual-level effects aggregate into persistent losses in human capital and output, particularly in economies where early first fertility remains prevalent.</w:t>
      </w:r>
    </w:p>
    <w:p w14:paraId="2123B196" w14:textId="77777777" w:rsidR="00CE5B86" w:rsidRPr="00E76534" w:rsidRDefault="00CE5B86" w:rsidP="00CE5B86">
      <w:pPr>
        <w:pStyle w:val="Body"/>
        <w:spacing w:after="0"/>
        <w:rPr>
          <w:rFonts w:ascii="Arial" w:hAnsi="Arial" w:cs="Arial"/>
        </w:rPr>
      </w:pPr>
    </w:p>
    <w:p w14:paraId="32E48812" w14:textId="77777777" w:rsidR="00CE5B86" w:rsidRPr="00E76534" w:rsidRDefault="00CE5B86" w:rsidP="00CE5B86">
      <w:pPr>
        <w:pStyle w:val="Body"/>
        <w:spacing w:after="0"/>
        <w:rPr>
          <w:rFonts w:ascii="Arial" w:hAnsi="Arial" w:cs="Arial"/>
        </w:rPr>
      </w:pPr>
      <w:r w:rsidRPr="00E76534">
        <w:rPr>
          <w:rFonts w:ascii="Arial" w:hAnsi="Arial" w:cs="Arial"/>
        </w:rPr>
        <w:lastRenderedPageBreak/>
        <w:t>The strong persistence in fertility timing documented in the dynamic specifications suggests that these economic costs are likely to be long lived. Institutional environments that encourage early fertility can become self-reinforcing through educational systems, labor-market structures, and social norms, limiting the effectiveness of short-lived or narrowly targeted policy interventions. Conversely, sustained institutional reforms that expand women’s educational and labor-market opportunities can generate compounding benefits over time by gradually shifting fertility timing and strengthening human capital accumulation across cohorts.</w:t>
      </w:r>
    </w:p>
    <w:p w14:paraId="0444E70B" w14:textId="77777777" w:rsidR="00CE5B86" w:rsidRPr="00E76534" w:rsidRDefault="00CE5B86" w:rsidP="00CE5B86">
      <w:pPr>
        <w:pStyle w:val="Body"/>
        <w:spacing w:after="0"/>
        <w:rPr>
          <w:rFonts w:ascii="Arial" w:hAnsi="Arial" w:cs="Arial"/>
        </w:rPr>
      </w:pPr>
      <w:r w:rsidRPr="00E76534">
        <w:rPr>
          <w:rFonts w:ascii="Arial" w:hAnsi="Arial" w:cs="Arial"/>
        </w:rPr>
        <w:t>The results also carry important policy implications. First, policies that focus solely on improving aggregate outcomes—such as increasing average educational attainment or income parity—may be insufficient to alter fertility behavior if underlying institutional constraints remain binding. The weak and unstable association between the Gender Development Index and fertility timing highlights the distinction between capabilities and constraints: expanding access to education and health services is necessary but not sufficient if women continue to face limited reproductive autonomy or exclusion from stable employment.</w:t>
      </w:r>
    </w:p>
    <w:p w14:paraId="626055EE" w14:textId="77777777" w:rsidR="00CE5B86" w:rsidRPr="00E76534" w:rsidRDefault="00CE5B86" w:rsidP="00CE5B86">
      <w:pPr>
        <w:pStyle w:val="Body"/>
        <w:spacing w:after="0"/>
        <w:rPr>
          <w:rFonts w:ascii="Arial" w:hAnsi="Arial" w:cs="Arial"/>
        </w:rPr>
      </w:pPr>
      <w:r w:rsidRPr="00E76534">
        <w:rPr>
          <w:rFonts w:ascii="Arial" w:hAnsi="Arial" w:cs="Arial"/>
        </w:rPr>
        <w:t>Second, the nonlinear and regime-dependent nature of the results implies that the returns to gender-equality reforms are highly context dependent. In moderately unequal environments, incremental reforms may yield limited short-run changes in fertility behavior. In contrast, in high-inequality settings—where institutional constraints are most binding—reforms that strengthen women’s rights, protect post-birth employment, and expand access to reproductive health services can generate large shifts in fertility timing. Policy prioritization should therefore differ across countries depending on their position in the gender-inequality distribution.</w:t>
      </w:r>
    </w:p>
    <w:p w14:paraId="7A5034D1" w14:textId="77777777" w:rsidR="00CE5B86" w:rsidRPr="00E76534" w:rsidRDefault="00CE5B86" w:rsidP="00CE5B86">
      <w:pPr>
        <w:pStyle w:val="Body"/>
        <w:spacing w:after="0"/>
        <w:rPr>
          <w:rFonts w:ascii="Arial" w:hAnsi="Arial" w:cs="Arial"/>
        </w:rPr>
      </w:pPr>
    </w:p>
    <w:p w14:paraId="24CD697F" w14:textId="77777777" w:rsidR="00CE5B86" w:rsidRPr="00E76534" w:rsidRDefault="00CE5B86" w:rsidP="00CE5B86">
      <w:pPr>
        <w:pStyle w:val="Body"/>
        <w:spacing w:after="0"/>
        <w:rPr>
          <w:rFonts w:ascii="Arial" w:hAnsi="Arial" w:cs="Arial"/>
        </w:rPr>
      </w:pPr>
      <w:r w:rsidRPr="00E76534">
        <w:rPr>
          <w:rFonts w:ascii="Arial" w:hAnsi="Arial" w:cs="Arial"/>
        </w:rPr>
        <w:t>Finally, the persistence of fertility timing underscores the importance of credibility and durability in policy design. Temporary interventions are unlikely to overturn entrenched norms or coordination equilibria. Instead, sustained reforms that jointly address education, labor-market institutions, and reproductive autonomy are more likely to decouple career investment from fertility timing, enabling women to delay childbearing without sacrificing family outcomes.</w:t>
      </w:r>
    </w:p>
    <w:p w14:paraId="00AFA6D8" w14:textId="27AC1B63" w:rsidR="00992933" w:rsidRDefault="00CE5B86" w:rsidP="00CE5B86">
      <w:pPr>
        <w:pStyle w:val="Body"/>
        <w:spacing w:after="0"/>
        <w:rPr>
          <w:rFonts w:ascii="Arial" w:hAnsi="Arial" w:cs="Arial"/>
        </w:rPr>
      </w:pPr>
      <w:r w:rsidRPr="00E76534">
        <w:rPr>
          <w:rFonts w:ascii="Arial" w:hAnsi="Arial" w:cs="Arial"/>
        </w:rPr>
        <w:t xml:space="preserve">Overall, the analysis highlights fertility timing as an underexplored mechanism linking institutional environments to long-run human-capital dynamics. By distinguishing between the timing and overall fertility outcomes of fertility, this paper contributes to bridging micro-level demographic behavior with macroeconomic development outcomes. The results should be interpreted as evidence of institutional transmission channels rather than causal policy prescriptions. Future research may extend the framework by incorporating cost-based mechanisms and advanced-economy dynamics where opportunity costs dominate fertility decisions. </w:t>
      </w:r>
    </w:p>
    <w:p w14:paraId="7BB8077A" w14:textId="5E53187A" w:rsidR="00AB0478" w:rsidRPr="00AB0478" w:rsidRDefault="00AB0478" w:rsidP="00AB0478">
      <w:pPr>
        <w:pStyle w:val="isselectedend"/>
        <w:rPr>
          <w:rFonts w:ascii="Arial" w:hAnsi="Arial" w:cs="Arial"/>
          <w:b/>
          <w:bCs/>
          <w:color w:val="000000"/>
          <w:sz w:val="22"/>
          <w:szCs w:val="22"/>
          <w:highlight w:val="cyan"/>
        </w:rPr>
      </w:pPr>
      <w:r w:rsidRPr="00AB0478">
        <w:rPr>
          <w:rFonts w:ascii="Arial" w:hAnsi="Arial" w:cs="Arial"/>
          <w:b/>
          <w:bCs/>
          <w:color w:val="000000"/>
          <w:sz w:val="22"/>
          <w:szCs w:val="22"/>
          <w:highlight w:val="cyan"/>
        </w:rPr>
        <w:t>Limitations</w:t>
      </w:r>
    </w:p>
    <w:p w14:paraId="677FDB75" w14:textId="1142C3E0" w:rsidR="008F7670" w:rsidRPr="00AB0478" w:rsidRDefault="00AB0478" w:rsidP="00AB0478">
      <w:pPr>
        <w:pStyle w:val="NormalWeb"/>
        <w:rPr>
          <w:rFonts w:ascii="Arial" w:hAnsi="Arial" w:cs="Arial"/>
          <w:color w:val="000000"/>
          <w:sz w:val="20"/>
          <w:szCs w:val="20"/>
        </w:rPr>
      </w:pPr>
      <w:r w:rsidRPr="00AB0478">
        <w:rPr>
          <w:rFonts w:ascii="Arial" w:hAnsi="Arial" w:cs="Arial"/>
          <w:color w:val="000000"/>
          <w:sz w:val="20"/>
          <w:szCs w:val="20"/>
          <w:highlight w:val="cyan"/>
        </w:rPr>
        <w:t>This study has several limitations. First, the analysis uses macro-level country-year data and therefore cannot directly identify individual-level fertility decisions. Second, early childbearing is used as a proxy for fertility timing because consistent cross-country first-birth distribution data are limited. Third, although fixed-effects models reduce omitted-variable bias, endogeneity concerns may still remain. Fourth, the dynamic fixed-effects specification is interpreted cautiously because it may be affected by Nickell bias. Finally, differences in data quality and reporting standards across countries may influence the results.</w:t>
      </w:r>
    </w:p>
    <w:p w14:paraId="644B9709" w14:textId="77777777" w:rsidR="00992933" w:rsidRPr="00992933" w:rsidRDefault="00992933" w:rsidP="00992933">
      <w:pPr>
        <w:autoSpaceDE w:val="0"/>
        <w:autoSpaceDN w:val="0"/>
        <w:adjustRightInd w:val="0"/>
        <w:rPr>
          <w:rFonts w:ascii="Arial" w:eastAsiaTheme="minorEastAsia" w:hAnsi="Arial" w:cs="Arial"/>
          <w:b/>
          <w:bCs/>
          <w:color w:val="000000"/>
          <w:sz w:val="22"/>
          <w:szCs w:val="22"/>
        </w:rPr>
      </w:pPr>
      <w:r w:rsidRPr="00992933">
        <w:rPr>
          <w:rFonts w:ascii="Arial" w:eastAsiaTheme="minorEastAsia" w:hAnsi="Arial" w:cs="Arial"/>
          <w:b/>
          <w:bCs/>
          <w:color w:val="000000"/>
          <w:sz w:val="22"/>
          <w:szCs w:val="22"/>
        </w:rPr>
        <w:t xml:space="preserve">Acknowledgement </w:t>
      </w:r>
    </w:p>
    <w:p w14:paraId="42EE2D6E" w14:textId="77777777" w:rsidR="00992933" w:rsidRPr="00992933" w:rsidRDefault="00992933" w:rsidP="00992933">
      <w:pPr>
        <w:autoSpaceDE w:val="0"/>
        <w:autoSpaceDN w:val="0"/>
        <w:adjustRightInd w:val="0"/>
        <w:rPr>
          <w:rFonts w:ascii="Arial" w:eastAsiaTheme="minorEastAsia" w:hAnsi="Arial" w:cs="Arial"/>
          <w:color w:val="000000"/>
          <w:sz w:val="22"/>
          <w:szCs w:val="22"/>
        </w:rPr>
      </w:pPr>
    </w:p>
    <w:p w14:paraId="57006A92" w14:textId="1A436CA8" w:rsidR="00992933" w:rsidRPr="00482CCD" w:rsidRDefault="00992933" w:rsidP="00482CCD">
      <w:pPr>
        <w:rPr>
          <w:rFonts w:ascii="Arial" w:hAnsi="Arial" w:cs="Arial"/>
        </w:rPr>
      </w:pPr>
      <w:r w:rsidRPr="00992933">
        <w:rPr>
          <w:rFonts w:ascii="Arial" w:eastAsiaTheme="minorEastAsia" w:hAnsi="Arial" w:cs="Arial"/>
          <w:color w:val="000000"/>
        </w:rPr>
        <w:t>I gratefully acknowledge Dr. Stephen Wolff for his insightful guidance and critical feedback, which significantly enhanced the conceptual clarity and analytical rigor of this study</w:t>
      </w:r>
      <w:r w:rsidRPr="00992933">
        <w:rPr>
          <w:rFonts w:ascii="Arial" w:eastAsiaTheme="minorEastAsia" w:hAnsi="Arial" w:cs="Arial"/>
          <w:color w:val="000000"/>
          <w:highlight w:val="cyan"/>
        </w:rPr>
        <w:t>.</w:t>
      </w:r>
    </w:p>
    <w:p w14:paraId="300F48A5" w14:textId="77777777" w:rsidR="00992933" w:rsidRDefault="00992933" w:rsidP="00CE5B86">
      <w:pPr>
        <w:pStyle w:val="Body"/>
        <w:spacing w:after="0"/>
        <w:rPr>
          <w:rFonts w:ascii="Arial" w:hAnsi="Arial" w:cs="Arial"/>
          <w:b/>
          <w:bCs/>
        </w:rPr>
      </w:pPr>
    </w:p>
    <w:p w14:paraId="25E0D701" w14:textId="3E77CF9F" w:rsidR="00CE5B86" w:rsidRPr="00E76534" w:rsidRDefault="00CE5B86" w:rsidP="00CE5B86">
      <w:pPr>
        <w:pStyle w:val="Body"/>
        <w:spacing w:after="0"/>
        <w:rPr>
          <w:rFonts w:ascii="Arial" w:hAnsi="Arial" w:cs="Arial"/>
          <w:b/>
          <w:bCs/>
        </w:rPr>
      </w:pPr>
      <w:r w:rsidRPr="00E76534">
        <w:rPr>
          <w:rFonts w:ascii="Arial" w:hAnsi="Arial" w:cs="Arial"/>
          <w:b/>
          <w:bCs/>
        </w:rPr>
        <w:t>COMPETING INTERESTS</w:t>
      </w:r>
    </w:p>
    <w:p w14:paraId="06167B3E" w14:textId="77777777" w:rsidR="00CE5B86" w:rsidRPr="00E76534" w:rsidRDefault="00CE5B86" w:rsidP="00CE5B86">
      <w:pPr>
        <w:pStyle w:val="Body"/>
        <w:spacing w:after="0"/>
        <w:rPr>
          <w:rFonts w:ascii="Arial" w:hAnsi="Arial" w:cs="Arial"/>
        </w:rPr>
      </w:pPr>
    </w:p>
    <w:p w14:paraId="3DA5033A" w14:textId="5CA6CD15" w:rsidR="00CE5B86" w:rsidRPr="00E76534" w:rsidRDefault="00CE5B86" w:rsidP="00CE5B86">
      <w:pPr>
        <w:pStyle w:val="Body"/>
        <w:spacing w:after="0"/>
        <w:rPr>
          <w:rFonts w:ascii="Arial" w:hAnsi="Arial" w:cs="Arial"/>
        </w:rPr>
      </w:pPr>
      <w:r w:rsidRPr="00E76534">
        <w:rPr>
          <w:rFonts w:ascii="Arial" w:hAnsi="Arial" w:cs="Arial"/>
        </w:rPr>
        <w:t>Authors have declared that no competing interests exist.</w:t>
      </w:r>
    </w:p>
    <w:p w14:paraId="2BDB23F9" w14:textId="77777777" w:rsidR="005A2F54" w:rsidRPr="00E76534" w:rsidRDefault="005A2F54" w:rsidP="00CE5B86">
      <w:pPr>
        <w:pStyle w:val="Body"/>
        <w:spacing w:after="0"/>
        <w:rPr>
          <w:rFonts w:ascii="Arial" w:hAnsi="Arial" w:cs="Arial"/>
          <w:b/>
          <w:bCs/>
        </w:rPr>
      </w:pPr>
    </w:p>
    <w:p w14:paraId="02901F2B" w14:textId="19C43DFD" w:rsidR="00CE5B86" w:rsidRPr="00E76534" w:rsidRDefault="00CE5B86" w:rsidP="00CE5B86">
      <w:pPr>
        <w:pStyle w:val="Body"/>
        <w:spacing w:after="0"/>
        <w:rPr>
          <w:rFonts w:ascii="Arial" w:hAnsi="Arial" w:cs="Arial"/>
          <w:b/>
          <w:bCs/>
        </w:rPr>
      </w:pPr>
      <w:r w:rsidRPr="00E76534">
        <w:rPr>
          <w:rFonts w:ascii="Arial" w:hAnsi="Arial" w:cs="Arial"/>
          <w:b/>
          <w:bCs/>
        </w:rPr>
        <w:t>CONSENT</w:t>
      </w:r>
    </w:p>
    <w:p w14:paraId="142E8646" w14:textId="77777777" w:rsidR="00CE5B86" w:rsidRPr="00E76534" w:rsidRDefault="00CE5B86" w:rsidP="00CE5B86">
      <w:pPr>
        <w:pStyle w:val="Body"/>
        <w:spacing w:after="0"/>
        <w:rPr>
          <w:rFonts w:ascii="Arial" w:hAnsi="Arial" w:cs="Arial"/>
        </w:rPr>
      </w:pPr>
    </w:p>
    <w:p w14:paraId="6E086852" w14:textId="5A24F204" w:rsidR="00CE5B86" w:rsidRPr="00E76534" w:rsidRDefault="00CE5B86" w:rsidP="00CE5B86">
      <w:pPr>
        <w:pStyle w:val="Body"/>
        <w:spacing w:after="0"/>
        <w:rPr>
          <w:rFonts w:ascii="Arial" w:hAnsi="Arial" w:cs="Arial"/>
        </w:rPr>
      </w:pPr>
      <w:r w:rsidRPr="00E76534">
        <w:rPr>
          <w:rFonts w:ascii="Arial" w:hAnsi="Arial" w:cs="Arial"/>
        </w:rPr>
        <w:t xml:space="preserve">Not applicable. </w:t>
      </w:r>
    </w:p>
    <w:p w14:paraId="52D03FD9" w14:textId="77777777" w:rsidR="00CE5B86" w:rsidRPr="00E76534" w:rsidRDefault="00CE5B86" w:rsidP="00CE5B86">
      <w:pPr>
        <w:pStyle w:val="Body"/>
        <w:spacing w:after="0"/>
        <w:rPr>
          <w:rFonts w:ascii="Arial" w:hAnsi="Arial" w:cs="Arial"/>
        </w:rPr>
      </w:pPr>
    </w:p>
    <w:p w14:paraId="5396F85E" w14:textId="77777777" w:rsidR="00CE5B86" w:rsidRDefault="00CE5B86" w:rsidP="00CE5B86">
      <w:pPr>
        <w:pStyle w:val="Body"/>
        <w:spacing w:after="0"/>
        <w:rPr>
          <w:rFonts w:ascii="Arial" w:hAnsi="Arial" w:cs="Arial"/>
          <w:b/>
          <w:bCs/>
        </w:rPr>
      </w:pPr>
      <w:r w:rsidRPr="00E76534">
        <w:rPr>
          <w:rFonts w:ascii="Arial" w:hAnsi="Arial" w:cs="Arial"/>
          <w:b/>
          <w:bCs/>
        </w:rPr>
        <w:t>ETHICAL APPROVAL</w:t>
      </w:r>
    </w:p>
    <w:p w14:paraId="2FF143CD" w14:textId="77777777" w:rsidR="007D307F" w:rsidRDefault="007D307F" w:rsidP="00CE5B86">
      <w:pPr>
        <w:pStyle w:val="Body"/>
        <w:spacing w:after="0"/>
        <w:rPr>
          <w:rFonts w:ascii="Arial" w:hAnsi="Arial" w:cs="Arial"/>
          <w:b/>
          <w:bCs/>
        </w:rPr>
      </w:pPr>
    </w:p>
    <w:p w14:paraId="090F3B3B" w14:textId="6E64CC9D" w:rsidR="007D307F" w:rsidRPr="00E76534" w:rsidRDefault="007D307F" w:rsidP="00CE5B86">
      <w:pPr>
        <w:pStyle w:val="Body"/>
        <w:spacing w:after="0"/>
        <w:rPr>
          <w:rFonts w:ascii="Arial" w:hAnsi="Arial" w:cs="Arial"/>
          <w:b/>
          <w:bCs/>
        </w:rPr>
      </w:pPr>
      <w:r w:rsidRPr="007D307F">
        <w:rPr>
          <w:rFonts w:ascii="Arial" w:hAnsi="Arial" w:cs="Arial"/>
          <w:b/>
          <w:bCs/>
        </w:rPr>
        <w:t>Not applicable</w:t>
      </w:r>
    </w:p>
    <w:p w14:paraId="038CC71D" w14:textId="77777777" w:rsidR="009B3007" w:rsidRDefault="009B3007" w:rsidP="00CE5B86">
      <w:pPr>
        <w:pStyle w:val="Body"/>
        <w:spacing w:after="0"/>
        <w:rPr>
          <w:rFonts w:ascii="Arial" w:hAnsi="Arial" w:cs="Arial"/>
        </w:rPr>
      </w:pPr>
    </w:p>
    <w:p w14:paraId="76729C2B" w14:textId="77777777" w:rsidR="009B3007" w:rsidRPr="00AB0478" w:rsidRDefault="009B3007" w:rsidP="009B3007">
      <w:pPr>
        <w:pStyle w:val="NoSpacing"/>
        <w:rPr>
          <w:rFonts w:ascii="Arial" w:hAnsi="Arial" w:cs="Arial"/>
          <w:b/>
          <w:bCs/>
          <w:highlight w:val="cyan"/>
        </w:rPr>
      </w:pPr>
      <w:bookmarkStart w:id="0" w:name="_Hlk221624953"/>
      <w:r w:rsidRPr="00AB0478">
        <w:rPr>
          <w:rFonts w:ascii="Arial" w:hAnsi="Arial" w:cs="Arial"/>
          <w:b/>
          <w:bCs/>
          <w:highlight w:val="cyan"/>
        </w:rPr>
        <w:t>Disclaimer (Artificial intelligence)</w:t>
      </w:r>
    </w:p>
    <w:p w14:paraId="25DE264B" w14:textId="77777777" w:rsidR="009B3007" w:rsidRPr="00AB0478" w:rsidRDefault="009B3007" w:rsidP="009B3007">
      <w:pPr>
        <w:pStyle w:val="NoSpacing"/>
        <w:rPr>
          <w:rFonts w:ascii="Arial" w:hAnsi="Arial" w:cs="Arial"/>
          <w:highlight w:val="cyan"/>
        </w:rPr>
      </w:pPr>
    </w:p>
    <w:p w14:paraId="2B3A4B97" w14:textId="780D8D79" w:rsidR="009B3007" w:rsidRPr="00AB0478" w:rsidRDefault="009B3007" w:rsidP="00AB0478">
      <w:pPr>
        <w:pStyle w:val="NoSpacing"/>
        <w:rPr>
          <w:rFonts w:ascii="Arial" w:hAnsi="Arial" w:cs="Arial"/>
          <w:highlight w:val="cyan"/>
        </w:rPr>
      </w:pPr>
      <w:r w:rsidRPr="00AB0478">
        <w:rPr>
          <w:rFonts w:ascii="Arial" w:hAnsi="Arial" w:cs="Arial"/>
          <w:highlight w:val="cyan"/>
        </w:rPr>
        <w:t>Author</w:t>
      </w:r>
      <w:r w:rsidR="00AB0478">
        <w:rPr>
          <w:rFonts w:ascii="Arial" w:hAnsi="Arial" w:cs="Arial"/>
          <w:highlight w:val="cyan"/>
        </w:rPr>
        <w:t xml:space="preserve"> </w:t>
      </w:r>
      <w:r w:rsidRPr="00AB0478">
        <w:rPr>
          <w:rFonts w:ascii="Arial" w:hAnsi="Arial" w:cs="Arial"/>
          <w:highlight w:val="cyan"/>
        </w:rPr>
        <w:t xml:space="preserve">hereby </w:t>
      </w:r>
      <w:r w:rsidR="00AB0478" w:rsidRPr="00AB0478">
        <w:rPr>
          <w:rFonts w:ascii="Arial" w:hAnsi="Arial" w:cs="Arial"/>
          <w:highlight w:val="cyan"/>
        </w:rPr>
        <w:t>declares</w:t>
      </w:r>
      <w:r w:rsidRPr="00AB0478">
        <w:rPr>
          <w:rFonts w:ascii="Arial" w:hAnsi="Arial" w:cs="Arial"/>
          <w:highlight w:val="cyan"/>
        </w:rPr>
        <w:t xml:space="preserve"> that NO generative AI technologies such as Large Language Models (ChatGPT, COPILOT, etc.) and text-to-image generators have been used during the writing or editing of this manuscript. </w:t>
      </w:r>
      <w:bookmarkEnd w:id="0"/>
    </w:p>
    <w:p w14:paraId="652A70D2" w14:textId="77777777" w:rsidR="008F7670" w:rsidRPr="00E76534" w:rsidRDefault="008F7670" w:rsidP="00CE5B86">
      <w:pPr>
        <w:pStyle w:val="Body"/>
        <w:spacing w:after="0"/>
        <w:rPr>
          <w:rFonts w:ascii="Arial" w:hAnsi="Arial" w:cs="Arial"/>
        </w:rPr>
      </w:pPr>
    </w:p>
    <w:p w14:paraId="17E6C74F" w14:textId="77777777" w:rsidR="00EB543B" w:rsidRPr="00E76534" w:rsidRDefault="00EB543B" w:rsidP="00EB543B">
      <w:pPr>
        <w:pStyle w:val="Heading2"/>
        <w:rPr>
          <w:rFonts w:ascii="Times New Roman" w:hAnsi="Times New Roman" w:cs="Times New Roman"/>
          <w:b/>
          <w:bCs/>
          <w:color w:val="000000"/>
          <w:sz w:val="24"/>
          <w:szCs w:val="24"/>
        </w:rPr>
      </w:pPr>
      <w:r w:rsidRPr="00E76534">
        <w:rPr>
          <w:rFonts w:ascii="Times New Roman" w:hAnsi="Times New Roman" w:cs="Times New Roman"/>
          <w:b/>
          <w:bCs/>
          <w:color w:val="000000"/>
          <w:sz w:val="24"/>
          <w:szCs w:val="24"/>
        </w:rPr>
        <w:t xml:space="preserve">References </w:t>
      </w:r>
    </w:p>
    <w:p w14:paraId="3D1BEEE7" w14:textId="77777777" w:rsidR="00EB543B" w:rsidRPr="00E76534" w:rsidRDefault="00EB543B" w:rsidP="00EB543B"/>
    <w:p w14:paraId="0B78F15A" w14:textId="77777777" w:rsidR="00EB543B" w:rsidRPr="00E76534" w:rsidRDefault="00EB543B" w:rsidP="00EB543B">
      <w:pPr>
        <w:rPr>
          <w:rFonts w:ascii="Arial" w:hAnsi="Arial" w:cs="Arial"/>
        </w:rPr>
      </w:pPr>
      <w:r w:rsidRPr="00E76534">
        <w:rPr>
          <w:rFonts w:ascii="Arial" w:hAnsi="Arial" w:cs="Arial"/>
        </w:rPr>
        <w:t>Acemoglu, D., &amp; Robinson, J. A. (2012). </w:t>
      </w:r>
      <w:r w:rsidRPr="00E76534">
        <w:rPr>
          <w:rFonts w:ascii="Arial" w:hAnsi="Arial" w:cs="Arial"/>
          <w:i/>
          <w:iCs/>
        </w:rPr>
        <w:t>Why nations fail: The origins of power, prosperity, and poverty</w:t>
      </w:r>
      <w:r w:rsidRPr="00E76534">
        <w:rPr>
          <w:rFonts w:ascii="Arial" w:hAnsi="Arial" w:cs="Arial"/>
        </w:rPr>
        <w:t>. Crown Publishing.</w:t>
      </w:r>
    </w:p>
    <w:p w14:paraId="39CFC065" w14:textId="77777777" w:rsidR="00EB543B" w:rsidRPr="00E76534" w:rsidRDefault="00EB543B" w:rsidP="00EB543B">
      <w:pPr>
        <w:rPr>
          <w:rFonts w:ascii="Arial" w:hAnsi="Arial" w:cs="Arial"/>
        </w:rPr>
      </w:pPr>
      <w:r w:rsidRPr="00E76534">
        <w:rPr>
          <w:rFonts w:ascii="Arial" w:hAnsi="Arial" w:cs="Arial"/>
        </w:rPr>
        <w:t xml:space="preserve">Adda, J., </w:t>
      </w:r>
      <w:proofErr w:type="spellStart"/>
      <w:r w:rsidRPr="00E76534">
        <w:rPr>
          <w:rFonts w:ascii="Arial" w:hAnsi="Arial" w:cs="Arial"/>
        </w:rPr>
        <w:t>Dustmann</w:t>
      </w:r>
      <w:proofErr w:type="spellEnd"/>
      <w:r w:rsidRPr="00E76534">
        <w:rPr>
          <w:rFonts w:ascii="Arial" w:hAnsi="Arial" w:cs="Arial"/>
        </w:rPr>
        <w:t>, C., &amp; Stevens, K. (2017). The career costs of children. </w:t>
      </w:r>
      <w:r w:rsidRPr="00E76534">
        <w:rPr>
          <w:rFonts w:ascii="Arial" w:hAnsi="Arial" w:cs="Arial"/>
          <w:i/>
          <w:iCs/>
        </w:rPr>
        <w:t>Journal of Political Economy, 125</w:t>
      </w:r>
      <w:r w:rsidRPr="00E76534">
        <w:rPr>
          <w:rFonts w:ascii="Arial" w:hAnsi="Arial" w:cs="Arial"/>
        </w:rPr>
        <w:t>(2), 293–337. </w:t>
      </w:r>
      <w:hyperlink r:id="rId15" w:tgtFrame="_new" w:history="1">
        <w:r w:rsidRPr="00E76534">
          <w:rPr>
            <w:rStyle w:val="Hyperlink"/>
            <w:rFonts w:ascii="Arial" w:hAnsi="Arial" w:cs="Arial"/>
          </w:rPr>
          <w:t>https://doi.org/10.1086/690952</w:t>
        </w:r>
      </w:hyperlink>
    </w:p>
    <w:p w14:paraId="7214AD18" w14:textId="77777777" w:rsidR="00EB543B" w:rsidRPr="00E76534" w:rsidRDefault="00EB543B" w:rsidP="00EB543B">
      <w:pPr>
        <w:rPr>
          <w:rFonts w:ascii="Arial" w:hAnsi="Arial" w:cs="Arial"/>
        </w:rPr>
      </w:pPr>
      <w:r w:rsidRPr="00E76534">
        <w:rPr>
          <w:rFonts w:ascii="Arial" w:hAnsi="Arial" w:cs="Arial"/>
        </w:rPr>
        <w:t>Akerlof, G. A. (1980). A theory of social custom, of which unemployment may be one consequence. </w:t>
      </w:r>
      <w:r w:rsidRPr="00E76534">
        <w:rPr>
          <w:rFonts w:ascii="Arial" w:hAnsi="Arial" w:cs="Arial"/>
          <w:i/>
          <w:iCs/>
        </w:rPr>
        <w:t>The Quarterly Journal of Economics, 94</w:t>
      </w:r>
      <w:r w:rsidRPr="00E76534">
        <w:rPr>
          <w:rFonts w:ascii="Arial" w:hAnsi="Arial" w:cs="Arial"/>
        </w:rPr>
        <w:t>(4), 749–775. </w:t>
      </w:r>
      <w:hyperlink r:id="rId16" w:tgtFrame="_new" w:history="1">
        <w:r w:rsidRPr="00E76534">
          <w:rPr>
            <w:rStyle w:val="Hyperlink"/>
            <w:rFonts w:ascii="Arial" w:hAnsi="Arial" w:cs="Arial"/>
          </w:rPr>
          <w:t>https://doi.org/10.2307/1885667</w:t>
        </w:r>
      </w:hyperlink>
    </w:p>
    <w:p w14:paraId="1E4159B9" w14:textId="77777777" w:rsidR="00EB543B" w:rsidRPr="00E76534" w:rsidRDefault="00EB543B" w:rsidP="00EB543B">
      <w:pPr>
        <w:rPr>
          <w:rFonts w:ascii="Arial" w:hAnsi="Arial" w:cs="Arial"/>
        </w:rPr>
      </w:pPr>
      <w:r w:rsidRPr="00E76534">
        <w:rPr>
          <w:rFonts w:ascii="Arial" w:hAnsi="Arial" w:cs="Arial"/>
        </w:rPr>
        <w:t xml:space="preserve">Akerlof, G. A., &amp; </w:t>
      </w:r>
      <w:proofErr w:type="spellStart"/>
      <w:r w:rsidRPr="00E76534">
        <w:rPr>
          <w:rFonts w:ascii="Arial" w:hAnsi="Arial" w:cs="Arial"/>
        </w:rPr>
        <w:t>Kranton</w:t>
      </w:r>
      <w:proofErr w:type="spellEnd"/>
      <w:r w:rsidRPr="00E76534">
        <w:rPr>
          <w:rFonts w:ascii="Arial" w:hAnsi="Arial" w:cs="Arial"/>
        </w:rPr>
        <w:t>, R. E. (2005). Identity and the economics of organizations. </w:t>
      </w:r>
      <w:r w:rsidRPr="00E76534">
        <w:rPr>
          <w:rFonts w:ascii="Arial" w:hAnsi="Arial" w:cs="Arial"/>
          <w:i/>
          <w:iCs/>
        </w:rPr>
        <w:t>Journal of Economic Perspectives, 19</w:t>
      </w:r>
      <w:r w:rsidRPr="00E76534">
        <w:rPr>
          <w:rFonts w:ascii="Arial" w:hAnsi="Arial" w:cs="Arial"/>
        </w:rPr>
        <w:t>(1), 9–32. </w:t>
      </w:r>
      <w:hyperlink r:id="rId17" w:tgtFrame="_new" w:history="1">
        <w:r w:rsidRPr="00E76534">
          <w:rPr>
            <w:rStyle w:val="Hyperlink"/>
            <w:rFonts w:ascii="Arial" w:hAnsi="Arial" w:cs="Arial"/>
          </w:rPr>
          <w:t>https://doi.org/10.1257/0895330053147958</w:t>
        </w:r>
      </w:hyperlink>
    </w:p>
    <w:p w14:paraId="4C1BC62E" w14:textId="77777777" w:rsidR="00EB543B" w:rsidRPr="00E76534" w:rsidRDefault="00EB543B" w:rsidP="00EB543B">
      <w:pPr>
        <w:rPr>
          <w:rFonts w:ascii="Arial" w:hAnsi="Arial" w:cs="Arial"/>
        </w:rPr>
      </w:pPr>
      <w:r w:rsidRPr="00E76534">
        <w:rPr>
          <w:rFonts w:ascii="Arial" w:hAnsi="Arial" w:cs="Arial"/>
        </w:rPr>
        <w:t xml:space="preserve">Akerlof, G. A., &amp; </w:t>
      </w:r>
      <w:proofErr w:type="spellStart"/>
      <w:r w:rsidRPr="00E76534">
        <w:rPr>
          <w:rFonts w:ascii="Arial" w:hAnsi="Arial" w:cs="Arial"/>
        </w:rPr>
        <w:t>Kranton</w:t>
      </w:r>
      <w:proofErr w:type="spellEnd"/>
      <w:r w:rsidRPr="00E76534">
        <w:rPr>
          <w:rFonts w:ascii="Arial" w:hAnsi="Arial" w:cs="Arial"/>
        </w:rPr>
        <w:t>, R. E. (2010). </w:t>
      </w:r>
      <w:r w:rsidRPr="00E76534">
        <w:rPr>
          <w:rFonts w:ascii="Arial" w:hAnsi="Arial" w:cs="Arial"/>
          <w:i/>
          <w:iCs/>
        </w:rPr>
        <w:t>Identity economics: How our identities shape our work, wages, and well-being</w:t>
      </w:r>
      <w:r w:rsidRPr="00E76534">
        <w:rPr>
          <w:rFonts w:ascii="Arial" w:hAnsi="Arial" w:cs="Arial"/>
        </w:rPr>
        <w:t>. Princeton University Press.</w:t>
      </w:r>
    </w:p>
    <w:p w14:paraId="608EA07C" w14:textId="77777777" w:rsidR="00EB543B" w:rsidRPr="00E76534" w:rsidRDefault="00EB543B" w:rsidP="00EB543B">
      <w:pPr>
        <w:rPr>
          <w:rFonts w:ascii="Arial" w:hAnsi="Arial" w:cs="Arial"/>
        </w:rPr>
      </w:pPr>
      <w:r w:rsidRPr="00E76534">
        <w:rPr>
          <w:rFonts w:ascii="Arial" w:hAnsi="Arial" w:cs="Arial"/>
        </w:rPr>
        <w:t>Alesina, A., Giuliano, P., &amp; Nunn, N. (2013). On the origins of gender roles: Women and the plough. </w:t>
      </w:r>
      <w:r w:rsidRPr="00E76534">
        <w:rPr>
          <w:rFonts w:ascii="Arial" w:hAnsi="Arial" w:cs="Arial"/>
          <w:i/>
          <w:iCs/>
        </w:rPr>
        <w:t>The Quarterly Journal of Economics, 128</w:t>
      </w:r>
      <w:r w:rsidRPr="00E76534">
        <w:rPr>
          <w:rFonts w:ascii="Arial" w:hAnsi="Arial" w:cs="Arial"/>
        </w:rPr>
        <w:t>(2), 469–530. </w:t>
      </w:r>
      <w:hyperlink r:id="rId18" w:tgtFrame="_new" w:history="1">
        <w:r w:rsidRPr="00E76534">
          <w:rPr>
            <w:rStyle w:val="Hyperlink"/>
            <w:rFonts w:ascii="Arial" w:hAnsi="Arial" w:cs="Arial"/>
          </w:rPr>
          <w:t>https://doi.org/10.1093/qje/qjt005</w:t>
        </w:r>
      </w:hyperlink>
    </w:p>
    <w:p w14:paraId="5AAFA3B7" w14:textId="77777777" w:rsidR="00EB543B" w:rsidRPr="00E76534" w:rsidRDefault="00EB543B" w:rsidP="00EB543B">
      <w:pPr>
        <w:rPr>
          <w:rFonts w:ascii="Arial" w:hAnsi="Arial" w:cs="Arial"/>
        </w:rPr>
      </w:pPr>
      <w:proofErr w:type="spellStart"/>
      <w:r w:rsidRPr="00E76534">
        <w:rPr>
          <w:rFonts w:ascii="Arial" w:hAnsi="Arial" w:cs="Arial"/>
        </w:rPr>
        <w:t>Amuedo</w:t>
      </w:r>
      <w:proofErr w:type="spellEnd"/>
      <w:r w:rsidRPr="00E76534">
        <w:rPr>
          <w:rFonts w:ascii="Arial" w:hAnsi="Arial" w:cs="Arial"/>
        </w:rPr>
        <w:t>-Dorantes, C., &amp; Kimmel, J. (2005). The motherhood wage gap for women in the United States: The importance of college and fertility delay. </w:t>
      </w:r>
      <w:r w:rsidRPr="00E76534">
        <w:rPr>
          <w:rFonts w:ascii="Arial" w:hAnsi="Arial" w:cs="Arial"/>
          <w:i/>
          <w:iCs/>
        </w:rPr>
        <w:t>Review of Economics of the Household, 3</w:t>
      </w:r>
      <w:r w:rsidRPr="00E76534">
        <w:rPr>
          <w:rFonts w:ascii="Arial" w:hAnsi="Arial" w:cs="Arial"/>
        </w:rPr>
        <w:t>(1), 17–48. </w:t>
      </w:r>
      <w:hyperlink r:id="rId19" w:tgtFrame="_new" w:history="1">
        <w:r w:rsidRPr="00E76534">
          <w:rPr>
            <w:rStyle w:val="Hyperlink"/>
            <w:rFonts w:ascii="Arial" w:hAnsi="Arial" w:cs="Arial"/>
          </w:rPr>
          <w:t>https://doi.org/10.1007/s11150-004-0978-9</w:t>
        </w:r>
      </w:hyperlink>
    </w:p>
    <w:p w14:paraId="1F288830" w14:textId="77777777" w:rsidR="00EB543B" w:rsidRPr="00E76534" w:rsidRDefault="00EB543B" w:rsidP="00EB543B">
      <w:pPr>
        <w:rPr>
          <w:rFonts w:ascii="Arial" w:hAnsi="Arial" w:cs="Arial"/>
        </w:rPr>
      </w:pPr>
      <w:proofErr w:type="spellStart"/>
      <w:r w:rsidRPr="00E76534">
        <w:rPr>
          <w:rFonts w:ascii="Arial" w:hAnsi="Arial" w:cs="Arial"/>
        </w:rPr>
        <w:t>Baizán</w:t>
      </w:r>
      <w:proofErr w:type="spellEnd"/>
      <w:r w:rsidRPr="00E76534">
        <w:rPr>
          <w:rFonts w:ascii="Arial" w:hAnsi="Arial" w:cs="Arial"/>
        </w:rPr>
        <w:t xml:space="preserve">, P., Arpino, B., &amp; </w:t>
      </w:r>
      <w:proofErr w:type="spellStart"/>
      <w:r w:rsidRPr="00E76534">
        <w:rPr>
          <w:rFonts w:ascii="Arial" w:hAnsi="Arial" w:cs="Arial"/>
        </w:rPr>
        <w:t>Delclós</w:t>
      </w:r>
      <w:proofErr w:type="spellEnd"/>
      <w:r w:rsidRPr="00E76534">
        <w:rPr>
          <w:rFonts w:ascii="Arial" w:hAnsi="Arial" w:cs="Arial"/>
        </w:rPr>
        <w:t>, C. (2016). The effect of gender policies on fertility: The moderating role of education and normative context. </w:t>
      </w:r>
      <w:r w:rsidRPr="00E76534">
        <w:rPr>
          <w:rFonts w:ascii="Arial" w:hAnsi="Arial" w:cs="Arial"/>
          <w:i/>
          <w:iCs/>
        </w:rPr>
        <w:t xml:space="preserve">European Journal of Population / Revue </w:t>
      </w:r>
      <w:proofErr w:type="spellStart"/>
      <w:r w:rsidRPr="00E76534">
        <w:rPr>
          <w:rFonts w:ascii="Arial" w:hAnsi="Arial" w:cs="Arial"/>
          <w:i/>
          <w:iCs/>
        </w:rPr>
        <w:t>européenne</w:t>
      </w:r>
      <w:proofErr w:type="spellEnd"/>
      <w:r w:rsidRPr="00E76534">
        <w:rPr>
          <w:rFonts w:ascii="Arial" w:hAnsi="Arial" w:cs="Arial"/>
          <w:i/>
          <w:iCs/>
        </w:rPr>
        <w:t xml:space="preserve"> de </w:t>
      </w:r>
      <w:proofErr w:type="spellStart"/>
      <w:r w:rsidRPr="00E76534">
        <w:rPr>
          <w:rFonts w:ascii="Arial" w:hAnsi="Arial" w:cs="Arial"/>
          <w:i/>
          <w:iCs/>
        </w:rPr>
        <w:t>démographie</w:t>
      </w:r>
      <w:proofErr w:type="spellEnd"/>
      <w:r w:rsidRPr="00E76534">
        <w:rPr>
          <w:rFonts w:ascii="Arial" w:hAnsi="Arial" w:cs="Arial"/>
          <w:i/>
          <w:iCs/>
        </w:rPr>
        <w:t>, 32</w:t>
      </w:r>
      <w:r w:rsidRPr="00E76534">
        <w:rPr>
          <w:rFonts w:ascii="Arial" w:hAnsi="Arial" w:cs="Arial"/>
        </w:rPr>
        <w:t>, 1–30. </w:t>
      </w:r>
      <w:hyperlink r:id="rId20" w:tgtFrame="_new" w:history="1">
        <w:r w:rsidRPr="00E76534">
          <w:rPr>
            <w:rStyle w:val="Hyperlink"/>
            <w:rFonts w:ascii="Arial" w:hAnsi="Arial" w:cs="Arial"/>
          </w:rPr>
          <w:t>https://doi.org/10.1007/s10680-015-9356-y</w:t>
        </w:r>
      </w:hyperlink>
    </w:p>
    <w:p w14:paraId="70FD51B5" w14:textId="77777777" w:rsidR="00EB543B" w:rsidRPr="00E76534" w:rsidRDefault="00EB543B" w:rsidP="00EB543B">
      <w:pPr>
        <w:rPr>
          <w:rFonts w:ascii="Arial" w:hAnsi="Arial" w:cs="Arial"/>
        </w:rPr>
      </w:pPr>
      <w:r w:rsidRPr="00E76534">
        <w:rPr>
          <w:rFonts w:ascii="Arial" w:hAnsi="Arial" w:cs="Arial"/>
        </w:rPr>
        <w:t>Becker, G. S. (1960). An economic analysis of fertility. In </w:t>
      </w:r>
      <w:r w:rsidRPr="00E76534">
        <w:rPr>
          <w:rFonts w:ascii="Arial" w:hAnsi="Arial" w:cs="Arial"/>
          <w:i/>
          <w:iCs/>
        </w:rPr>
        <w:t xml:space="preserve">Demographic and economic change in developed </w:t>
      </w:r>
      <w:proofErr w:type="gramStart"/>
      <w:r w:rsidRPr="00E76534">
        <w:rPr>
          <w:rFonts w:ascii="Arial" w:hAnsi="Arial" w:cs="Arial"/>
          <w:i/>
          <w:iCs/>
        </w:rPr>
        <w:t>countries</w:t>
      </w:r>
      <w:r w:rsidRPr="00E76534">
        <w:rPr>
          <w:rFonts w:ascii="Arial" w:hAnsi="Arial" w:cs="Arial"/>
        </w:rPr>
        <w:t>(</w:t>
      </w:r>
      <w:proofErr w:type="gramEnd"/>
      <w:r w:rsidRPr="00E76534">
        <w:rPr>
          <w:rFonts w:ascii="Arial" w:hAnsi="Arial" w:cs="Arial"/>
        </w:rPr>
        <w:t>pp. 209–240). Princeton University Press.</w:t>
      </w:r>
    </w:p>
    <w:p w14:paraId="41347667" w14:textId="77777777" w:rsidR="00EB543B" w:rsidRPr="00E76534" w:rsidRDefault="00EB543B" w:rsidP="00EB543B">
      <w:pPr>
        <w:rPr>
          <w:rFonts w:ascii="Arial" w:hAnsi="Arial" w:cs="Arial"/>
        </w:rPr>
      </w:pPr>
      <w:r w:rsidRPr="00E76534">
        <w:rPr>
          <w:rFonts w:ascii="Arial" w:hAnsi="Arial" w:cs="Arial"/>
        </w:rPr>
        <w:t>Ben-Porath, Y. (1967). The production of human capital and the life cycle of earnings. </w:t>
      </w:r>
      <w:r w:rsidRPr="00E76534">
        <w:rPr>
          <w:rFonts w:ascii="Arial" w:hAnsi="Arial" w:cs="Arial"/>
          <w:i/>
          <w:iCs/>
        </w:rPr>
        <w:t>Journal of Political Economy, 75</w:t>
      </w:r>
      <w:r w:rsidRPr="00E76534">
        <w:rPr>
          <w:rFonts w:ascii="Arial" w:hAnsi="Arial" w:cs="Arial"/>
        </w:rPr>
        <w:t>(4), 352–365. </w:t>
      </w:r>
      <w:hyperlink r:id="rId21" w:tgtFrame="_new" w:history="1">
        <w:r w:rsidRPr="00E76534">
          <w:rPr>
            <w:rStyle w:val="Hyperlink"/>
            <w:rFonts w:ascii="Arial" w:hAnsi="Arial" w:cs="Arial"/>
          </w:rPr>
          <w:t>https://www.jstor.org/stable/1828596</w:t>
        </w:r>
      </w:hyperlink>
    </w:p>
    <w:p w14:paraId="14AF2B9B" w14:textId="77777777" w:rsidR="00EB543B" w:rsidRPr="00E76534" w:rsidRDefault="00EB543B" w:rsidP="00EB543B">
      <w:pPr>
        <w:rPr>
          <w:rFonts w:ascii="Arial" w:hAnsi="Arial" w:cs="Arial"/>
        </w:rPr>
      </w:pPr>
      <w:r w:rsidRPr="00E76534">
        <w:rPr>
          <w:rFonts w:ascii="Arial" w:hAnsi="Arial" w:cs="Arial"/>
        </w:rPr>
        <w:t xml:space="preserve">Berg, V., Lawson, D., &amp; </w:t>
      </w:r>
      <w:proofErr w:type="spellStart"/>
      <w:r w:rsidRPr="00E76534">
        <w:rPr>
          <w:rFonts w:ascii="Arial" w:hAnsi="Arial" w:cs="Arial"/>
        </w:rPr>
        <w:t>Rotkirch</w:t>
      </w:r>
      <w:proofErr w:type="spellEnd"/>
      <w:r w:rsidRPr="00E76534">
        <w:rPr>
          <w:rFonts w:ascii="Arial" w:hAnsi="Arial" w:cs="Arial"/>
        </w:rPr>
        <w:t>, A. (2020). Financial opportunity costs and deaths among close kin are independently associated with reproductive timing in a contemporary high-income society. </w:t>
      </w:r>
      <w:r w:rsidRPr="00E76534">
        <w:rPr>
          <w:rFonts w:ascii="Arial" w:hAnsi="Arial" w:cs="Arial"/>
          <w:i/>
          <w:iCs/>
        </w:rPr>
        <w:t>Proceedings of the Royal Society B: Biological Sciences, 287</w:t>
      </w:r>
      <w:r w:rsidRPr="00E76534">
        <w:rPr>
          <w:rFonts w:ascii="Arial" w:hAnsi="Arial" w:cs="Arial"/>
        </w:rPr>
        <w:t>, Article 20192478. </w:t>
      </w:r>
      <w:hyperlink r:id="rId22" w:tgtFrame="_new" w:history="1">
        <w:r w:rsidRPr="00E76534">
          <w:rPr>
            <w:rStyle w:val="Hyperlink"/>
            <w:rFonts w:ascii="Arial" w:hAnsi="Arial" w:cs="Arial"/>
          </w:rPr>
          <w:t>https://doi.org/10.1098/rspb.2019.2478</w:t>
        </w:r>
      </w:hyperlink>
    </w:p>
    <w:p w14:paraId="1F289926" w14:textId="77777777" w:rsidR="00EB543B" w:rsidRPr="00E76534" w:rsidRDefault="00EB543B" w:rsidP="00EB543B">
      <w:pPr>
        <w:rPr>
          <w:rFonts w:ascii="Arial" w:hAnsi="Arial" w:cs="Arial"/>
        </w:rPr>
      </w:pPr>
      <w:r w:rsidRPr="00E76534">
        <w:rPr>
          <w:rFonts w:ascii="Arial" w:hAnsi="Arial" w:cs="Arial"/>
        </w:rPr>
        <w:t xml:space="preserve">Bernardi, L., &amp; </w:t>
      </w:r>
      <w:proofErr w:type="spellStart"/>
      <w:r w:rsidRPr="00E76534">
        <w:rPr>
          <w:rFonts w:ascii="Arial" w:hAnsi="Arial" w:cs="Arial"/>
        </w:rPr>
        <w:t>Klärner</w:t>
      </w:r>
      <w:proofErr w:type="spellEnd"/>
      <w:r w:rsidRPr="00E76534">
        <w:rPr>
          <w:rFonts w:ascii="Arial" w:hAnsi="Arial" w:cs="Arial"/>
        </w:rPr>
        <w:t>, A. (2014). Social networks and fertility. </w:t>
      </w:r>
      <w:r w:rsidRPr="00E76534">
        <w:rPr>
          <w:rFonts w:ascii="Arial" w:hAnsi="Arial" w:cs="Arial"/>
          <w:i/>
          <w:iCs/>
        </w:rPr>
        <w:t>Demographic Research, 30</w:t>
      </w:r>
      <w:r w:rsidRPr="00E76534">
        <w:rPr>
          <w:rFonts w:ascii="Arial" w:hAnsi="Arial" w:cs="Arial"/>
        </w:rPr>
        <w:t>, 641–670. </w:t>
      </w:r>
      <w:hyperlink r:id="rId23" w:tgtFrame="_new" w:history="1">
        <w:r w:rsidRPr="00E76534">
          <w:rPr>
            <w:rStyle w:val="Hyperlink"/>
            <w:rFonts w:ascii="Arial" w:hAnsi="Arial" w:cs="Arial"/>
          </w:rPr>
          <w:t>https://doi.org/10.4054/DemRes.2014.30.22</w:t>
        </w:r>
      </w:hyperlink>
    </w:p>
    <w:p w14:paraId="7388175A" w14:textId="77777777" w:rsidR="00EB543B" w:rsidRPr="00E76534" w:rsidRDefault="00EB543B" w:rsidP="00EB543B">
      <w:pPr>
        <w:rPr>
          <w:rFonts w:ascii="Arial" w:hAnsi="Arial" w:cs="Arial"/>
        </w:rPr>
      </w:pPr>
      <w:proofErr w:type="spellStart"/>
      <w:r w:rsidRPr="00E76534">
        <w:rPr>
          <w:rFonts w:ascii="Arial" w:hAnsi="Arial" w:cs="Arial"/>
        </w:rPr>
        <w:t>Berthelon</w:t>
      </w:r>
      <w:proofErr w:type="spellEnd"/>
      <w:r w:rsidRPr="00E76534">
        <w:rPr>
          <w:rFonts w:ascii="Arial" w:hAnsi="Arial" w:cs="Arial"/>
        </w:rPr>
        <w:t>, M., &amp; Kruger, D. (2017). Does adolescent motherhood affect education and labor market outcomes of mothers? A study on young adult women in Chile during 1990–</w:t>
      </w:r>
      <w:r w:rsidRPr="00E76534">
        <w:rPr>
          <w:rFonts w:ascii="Arial" w:hAnsi="Arial" w:cs="Arial"/>
        </w:rPr>
        <w:lastRenderedPageBreak/>
        <w:t>2013. </w:t>
      </w:r>
      <w:r w:rsidRPr="00E76534">
        <w:rPr>
          <w:rFonts w:ascii="Arial" w:hAnsi="Arial" w:cs="Arial"/>
          <w:i/>
          <w:iCs/>
        </w:rPr>
        <w:t>International Journal of Public Health, 62</w:t>
      </w:r>
      <w:r w:rsidRPr="00E76534">
        <w:rPr>
          <w:rFonts w:ascii="Arial" w:hAnsi="Arial" w:cs="Arial"/>
        </w:rPr>
        <w:t>, 293–303. </w:t>
      </w:r>
      <w:hyperlink r:id="rId24" w:tgtFrame="_new" w:history="1">
        <w:r w:rsidRPr="00E76534">
          <w:rPr>
            <w:rStyle w:val="Hyperlink"/>
            <w:rFonts w:ascii="Arial" w:hAnsi="Arial" w:cs="Arial"/>
          </w:rPr>
          <w:t>https://doi.org/10.1007/s00038-016-0926-5</w:t>
        </w:r>
      </w:hyperlink>
    </w:p>
    <w:p w14:paraId="46F4BBA6" w14:textId="77777777" w:rsidR="00EB543B" w:rsidRPr="00E76534" w:rsidRDefault="00EB543B" w:rsidP="00EB543B">
      <w:pPr>
        <w:rPr>
          <w:rFonts w:ascii="Arial" w:hAnsi="Arial" w:cs="Arial"/>
        </w:rPr>
      </w:pPr>
      <w:r w:rsidRPr="00E76534">
        <w:rPr>
          <w:rFonts w:ascii="Arial" w:hAnsi="Arial" w:cs="Arial"/>
        </w:rPr>
        <w:t>Billingsley, S., Neyer, G., &amp; Wesolowski, K. (2022). Social investment policies and childbearing across 20 countries: Longitudinal and micro-level analyses. </w:t>
      </w:r>
      <w:r w:rsidRPr="00E76534">
        <w:rPr>
          <w:rFonts w:ascii="Arial" w:hAnsi="Arial" w:cs="Arial"/>
          <w:i/>
          <w:iCs/>
        </w:rPr>
        <w:t xml:space="preserve">European Journal of Population / Revue </w:t>
      </w:r>
      <w:proofErr w:type="spellStart"/>
      <w:r w:rsidRPr="00E76534">
        <w:rPr>
          <w:rFonts w:ascii="Arial" w:hAnsi="Arial" w:cs="Arial"/>
          <w:i/>
          <w:iCs/>
        </w:rPr>
        <w:t>européenne</w:t>
      </w:r>
      <w:proofErr w:type="spellEnd"/>
      <w:r w:rsidRPr="00E76534">
        <w:rPr>
          <w:rFonts w:ascii="Arial" w:hAnsi="Arial" w:cs="Arial"/>
          <w:i/>
          <w:iCs/>
        </w:rPr>
        <w:t xml:space="preserve"> de </w:t>
      </w:r>
      <w:proofErr w:type="spellStart"/>
      <w:r w:rsidRPr="00E76534">
        <w:rPr>
          <w:rFonts w:ascii="Arial" w:hAnsi="Arial" w:cs="Arial"/>
          <w:i/>
          <w:iCs/>
        </w:rPr>
        <w:t>démographie</w:t>
      </w:r>
      <w:proofErr w:type="spellEnd"/>
      <w:r w:rsidRPr="00E76534">
        <w:rPr>
          <w:rFonts w:ascii="Arial" w:hAnsi="Arial" w:cs="Arial"/>
          <w:i/>
          <w:iCs/>
        </w:rPr>
        <w:t>, 38</w:t>
      </w:r>
      <w:r w:rsidRPr="00E76534">
        <w:rPr>
          <w:rFonts w:ascii="Arial" w:hAnsi="Arial" w:cs="Arial"/>
        </w:rPr>
        <w:t>, 951–974. </w:t>
      </w:r>
      <w:hyperlink r:id="rId25" w:tgtFrame="_new" w:history="1">
        <w:r w:rsidRPr="00E76534">
          <w:rPr>
            <w:rStyle w:val="Hyperlink"/>
            <w:rFonts w:ascii="Arial" w:hAnsi="Arial" w:cs="Arial"/>
          </w:rPr>
          <w:t>https://doi.org/10.1007/s10680-022-09626-3</w:t>
        </w:r>
      </w:hyperlink>
    </w:p>
    <w:p w14:paraId="35CFB4FC" w14:textId="77777777" w:rsidR="00EB543B" w:rsidRPr="00E76534" w:rsidRDefault="00EB543B" w:rsidP="00EB543B">
      <w:pPr>
        <w:rPr>
          <w:rFonts w:ascii="Arial" w:hAnsi="Arial" w:cs="Arial"/>
        </w:rPr>
      </w:pPr>
      <w:proofErr w:type="spellStart"/>
      <w:r w:rsidRPr="00E76534">
        <w:rPr>
          <w:rFonts w:ascii="Arial" w:hAnsi="Arial" w:cs="Arial"/>
        </w:rPr>
        <w:t>Bisin</w:t>
      </w:r>
      <w:proofErr w:type="spellEnd"/>
      <w:r w:rsidRPr="00E76534">
        <w:rPr>
          <w:rFonts w:ascii="Arial" w:hAnsi="Arial" w:cs="Arial"/>
        </w:rPr>
        <w:t>, A., &amp; Verdier, T. (2017). </w:t>
      </w:r>
      <w:r w:rsidRPr="00E76534">
        <w:rPr>
          <w:rFonts w:ascii="Arial" w:hAnsi="Arial" w:cs="Arial"/>
          <w:i/>
          <w:iCs/>
        </w:rPr>
        <w:t>On the joint evolution of culture and institutions</w:t>
      </w:r>
      <w:r w:rsidRPr="00E76534">
        <w:rPr>
          <w:rFonts w:ascii="Arial" w:hAnsi="Arial" w:cs="Arial"/>
        </w:rPr>
        <w:t> (NBER Working Paper No. 23375). National Bureau of Economic Research. </w:t>
      </w:r>
      <w:hyperlink r:id="rId26" w:tgtFrame="_new" w:history="1">
        <w:r w:rsidRPr="00E76534">
          <w:rPr>
            <w:rStyle w:val="Hyperlink"/>
            <w:rFonts w:ascii="Arial" w:hAnsi="Arial" w:cs="Arial"/>
          </w:rPr>
          <w:t>https://www.nber.org/papers/w23375</w:t>
        </w:r>
      </w:hyperlink>
    </w:p>
    <w:p w14:paraId="7C5EEDAD" w14:textId="77777777" w:rsidR="00EB543B" w:rsidRPr="00E76534" w:rsidRDefault="00EB543B" w:rsidP="00EB543B">
      <w:pPr>
        <w:rPr>
          <w:rFonts w:ascii="Arial" w:hAnsi="Arial" w:cs="Arial"/>
        </w:rPr>
      </w:pPr>
      <w:proofErr w:type="spellStart"/>
      <w:r w:rsidRPr="00E76534">
        <w:rPr>
          <w:rFonts w:ascii="Arial" w:hAnsi="Arial" w:cs="Arial"/>
        </w:rPr>
        <w:t>Bisin</w:t>
      </w:r>
      <w:proofErr w:type="spellEnd"/>
      <w:r w:rsidRPr="00E76534">
        <w:rPr>
          <w:rFonts w:ascii="Arial" w:hAnsi="Arial" w:cs="Arial"/>
        </w:rPr>
        <w:t>, A., &amp; Verdier, T. (2001). The economics of cultural transmission and the dynamics of preferences. </w:t>
      </w:r>
      <w:r w:rsidRPr="00E76534">
        <w:rPr>
          <w:rFonts w:ascii="Arial" w:hAnsi="Arial" w:cs="Arial"/>
          <w:i/>
          <w:iCs/>
        </w:rPr>
        <w:t>Journal of Economic Theory, 97</w:t>
      </w:r>
      <w:r w:rsidRPr="00E76534">
        <w:rPr>
          <w:rFonts w:ascii="Arial" w:hAnsi="Arial" w:cs="Arial"/>
        </w:rPr>
        <w:t>(2), 298–319. https://doi.org/10.1006/jeth.2000.2678</w:t>
      </w:r>
    </w:p>
    <w:p w14:paraId="60D106A6" w14:textId="77777777" w:rsidR="00EB543B" w:rsidRPr="00E76534" w:rsidRDefault="00EB543B" w:rsidP="00EB543B">
      <w:pPr>
        <w:rPr>
          <w:rFonts w:ascii="Arial" w:hAnsi="Arial" w:cs="Arial"/>
        </w:rPr>
      </w:pPr>
      <w:r w:rsidRPr="00E76534">
        <w:rPr>
          <w:rFonts w:ascii="Arial" w:hAnsi="Arial" w:cs="Arial"/>
        </w:rPr>
        <w:t xml:space="preserve">Björklund, A., &amp; </w:t>
      </w:r>
      <w:proofErr w:type="spellStart"/>
      <w:r w:rsidRPr="00E76534">
        <w:rPr>
          <w:rFonts w:ascii="Arial" w:hAnsi="Arial" w:cs="Arial"/>
        </w:rPr>
        <w:t>Salvanes</w:t>
      </w:r>
      <w:proofErr w:type="spellEnd"/>
      <w:r w:rsidRPr="00E76534">
        <w:rPr>
          <w:rFonts w:ascii="Arial" w:hAnsi="Arial" w:cs="Arial"/>
        </w:rPr>
        <w:t>, K. G. (2010). </w:t>
      </w:r>
      <w:r w:rsidRPr="00E76534">
        <w:rPr>
          <w:rFonts w:ascii="Arial" w:hAnsi="Arial" w:cs="Arial"/>
          <w:i/>
          <w:iCs/>
        </w:rPr>
        <w:t>Education and family background: Mechanisms and policies</w:t>
      </w:r>
      <w:r w:rsidRPr="00E76534">
        <w:rPr>
          <w:rFonts w:ascii="Arial" w:hAnsi="Arial" w:cs="Arial"/>
        </w:rPr>
        <w:t> (IZA Discussion Paper No. 5002). Institute of Labor Economics. </w:t>
      </w:r>
      <w:hyperlink r:id="rId27" w:tgtFrame="_new" w:history="1">
        <w:r w:rsidRPr="00E76534">
          <w:rPr>
            <w:rStyle w:val="Hyperlink"/>
            <w:rFonts w:ascii="Arial" w:hAnsi="Arial" w:cs="Arial"/>
          </w:rPr>
          <w:t>https://docs.iza.org/dp5002.pdf</w:t>
        </w:r>
      </w:hyperlink>
    </w:p>
    <w:p w14:paraId="4DF8F16F" w14:textId="77777777" w:rsidR="00EB543B" w:rsidRPr="00E76534" w:rsidRDefault="00EB543B" w:rsidP="00EB543B">
      <w:pPr>
        <w:rPr>
          <w:rFonts w:ascii="Arial" w:hAnsi="Arial" w:cs="Arial"/>
        </w:rPr>
      </w:pPr>
      <w:r w:rsidRPr="00E76534">
        <w:rPr>
          <w:rFonts w:ascii="Arial" w:hAnsi="Arial" w:cs="Arial"/>
        </w:rPr>
        <w:t>Bloome, D. (2014). Racial inequality trends and the intergenerational persistence of income and family structure. </w:t>
      </w:r>
      <w:r w:rsidRPr="00E76534">
        <w:rPr>
          <w:rFonts w:ascii="Arial" w:hAnsi="Arial" w:cs="Arial"/>
          <w:i/>
          <w:iCs/>
        </w:rPr>
        <w:t>American Sociological Review, 79</w:t>
      </w:r>
      <w:r w:rsidRPr="00E76534">
        <w:rPr>
          <w:rFonts w:ascii="Arial" w:hAnsi="Arial" w:cs="Arial"/>
        </w:rPr>
        <w:t>(6), 1196–1225. </w:t>
      </w:r>
      <w:hyperlink r:id="rId28" w:tgtFrame="_new" w:history="1">
        <w:r w:rsidRPr="00E76534">
          <w:rPr>
            <w:rStyle w:val="Hyperlink"/>
            <w:rFonts w:ascii="Arial" w:hAnsi="Arial" w:cs="Arial"/>
          </w:rPr>
          <w:t>https://doi.org/10.1177/0003122414554947</w:t>
        </w:r>
      </w:hyperlink>
    </w:p>
    <w:p w14:paraId="62531513" w14:textId="77777777" w:rsidR="00EB543B" w:rsidRPr="00E76534" w:rsidRDefault="00EB543B" w:rsidP="00EB543B">
      <w:pPr>
        <w:rPr>
          <w:rFonts w:ascii="Arial" w:hAnsi="Arial" w:cs="Arial"/>
        </w:rPr>
      </w:pPr>
      <w:proofErr w:type="spellStart"/>
      <w:r w:rsidRPr="00E76534">
        <w:rPr>
          <w:rFonts w:ascii="Arial" w:hAnsi="Arial" w:cs="Arial"/>
        </w:rPr>
        <w:t>Bongaarts</w:t>
      </w:r>
      <w:proofErr w:type="spellEnd"/>
      <w:r w:rsidRPr="00E76534">
        <w:rPr>
          <w:rFonts w:ascii="Arial" w:hAnsi="Arial" w:cs="Arial"/>
        </w:rPr>
        <w:t>, J., &amp; Watkins, S. C. (1996). Social interactions and contemporary fertility transitions. </w:t>
      </w:r>
      <w:r w:rsidRPr="00E76534">
        <w:rPr>
          <w:rFonts w:ascii="Arial" w:hAnsi="Arial" w:cs="Arial"/>
          <w:i/>
          <w:iCs/>
        </w:rPr>
        <w:t>Population and Development Review, 22</w:t>
      </w:r>
      <w:r w:rsidRPr="00E76534">
        <w:rPr>
          <w:rFonts w:ascii="Arial" w:hAnsi="Arial" w:cs="Arial"/>
        </w:rPr>
        <w:t>(4), 639–682. </w:t>
      </w:r>
      <w:hyperlink r:id="rId29" w:tgtFrame="_new" w:history="1">
        <w:r w:rsidRPr="00E76534">
          <w:rPr>
            <w:rStyle w:val="Hyperlink"/>
            <w:rFonts w:ascii="Arial" w:hAnsi="Arial" w:cs="Arial"/>
          </w:rPr>
          <w:t>https://doi.org/10.2307/2137804</w:t>
        </w:r>
      </w:hyperlink>
    </w:p>
    <w:p w14:paraId="285C6D5E" w14:textId="77777777" w:rsidR="00EB543B" w:rsidRPr="00E76534" w:rsidRDefault="00EB543B" w:rsidP="00EB543B">
      <w:pPr>
        <w:rPr>
          <w:rFonts w:ascii="Arial" w:hAnsi="Arial" w:cs="Arial"/>
        </w:rPr>
      </w:pPr>
      <w:r w:rsidRPr="00E76534">
        <w:rPr>
          <w:rFonts w:ascii="Arial" w:hAnsi="Arial" w:cs="Arial"/>
        </w:rPr>
        <w:t xml:space="preserve">Bratti, M. (2023). Fertility postponement and </w:t>
      </w:r>
      <w:proofErr w:type="spellStart"/>
      <w:r w:rsidRPr="00E76534">
        <w:rPr>
          <w:rFonts w:ascii="Arial" w:hAnsi="Arial" w:cs="Arial"/>
        </w:rPr>
        <w:t>labour</w:t>
      </w:r>
      <w:proofErr w:type="spellEnd"/>
      <w:r w:rsidRPr="00E76534">
        <w:rPr>
          <w:rFonts w:ascii="Arial" w:hAnsi="Arial" w:cs="Arial"/>
        </w:rPr>
        <w:t xml:space="preserve"> market outcomes. </w:t>
      </w:r>
      <w:r w:rsidRPr="00E76534">
        <w:rPr>
          <w:rFonts w:ascii="Arial" w:hAnsi="Arial" w:cs="Arial"/>
          <w:i/>
          <w:iCs/>
        </w:rPr>
        <w:t>IZA World of Labor</w:t>
      </w:r>
      <w:r w:rsidRPr="00E76534">
        <w:rPr>
          <w:rFonts w:ascii="Arial" w:hAnsi="Arial" w:cs="Arial"/>
        </w:rPr>
        <w:t>, Article 117. </w:t>
      </w:r>
      <w:hyperlink r:id="rId30" w:tgtFrame="_new" w:history="1">
        <w:r w:rsidRPr="00E76534">
          <w:rPr>
            <w:rStyle w:val="Hyperlink"/>
            <w:rFonts w:ascii="Arial" w:hAnsi="Arial" w:cs="Arial"/>
          </w:rPr>
          <w:t>https://wol.iza.org/articles/fertility-postponement-and-labor-market-outcomes/long</w:t>
        </w:r>
      </w:hyperlink>
    </w:p>
    <w:p w14:paraId="7CDC8576" w14:textId="77777777" w:rsidR="00EB543B" w:rsidRPr="00E76534" w:rsidRDefault="00EB543B" w:rsidP="00EB543B">
      <w:pPr>
        <w:rPr>
          <w:rFonts w:ascii="Arial" w:hAnsi="Arial" w:cs="Arial"/>
        </w:rPr>
      </w:pPr>
      <w:r w:rsidRPr="00E76534">
        <w:rPr>
          <w:rFonts w:ascii="Arial" w:hAnsi="Arial" w:cs="Arial"/>
        </w:rPr>
        <w:t>Budig, M. J., &amp; England, P. (2001). The wage penalty for motherhood. </w:t>
      </w:r>
      <w:r w:rsidRPr="00E76534">
        <w:rPr>
          <w:rFonts w:ascii="Arial" w:hAnsi="Arial" w:cs="Arial"/>
          <w:i/>
          <w:iCs/>
        </w:rPr>
        <w:t>American Sociological Review, 66</w:t>
      </w:r>
      <w:r w:rsidRPr="00E76534">
        <w:rPr>
          <w:rFonts w:ascii="Arial" w:hAnsi="Arial" w:cs="Arial"/>
        </w:rPr>
        <w:t>(2), 204–225. </w:t>
      </w:r>
      <w:hyperlink r:id="rId31" w:tgtFrame="_new" w:history="1">
        <w:r w:rsidRPr="00E76534">
          <w:rPr>
            <w:rStyle w:val="Hyperlink"/>
            <w:rFonts w:ascii="Arial" w:hAnsi="Arial" w:cs="Arial"/>
          </w:rPr>
          <w:t>https://www.jstor.org/stable/2657415</w:t>
        </w:r>
      </w:hyperlink>
    </w:p>
    <w:p w14:paraId="32F909A9" w14:textId="77777777" w:rsidR="00EB543B" w:rsidRPr="00E76534" w:rsidRDefault="00EB543B" w:rsidP="00EB543B">
      <w:pPr>
        <w:rPr>
          <w:rFonts w:ascii="Arial" w:hAnsi="Arial" w:cs="Arial"/>
        </w:rPr>
      </w:pPr>
      <w:r w:rsidRPr="00E76534">
        <w:rPr>
          <w:rFonts w:ascii="Arial" w:hAnsi="Arial" w:cs="Arial"/>
        </w:rPr>
        <w:t>Buckles, K. (2008). Understanding the returns to delayed childbearing for working women. </w:t>
      </w:r>
      <w:r w:rsidRPr="00E76534">
        <w:rPr>
          <w:rFonts w:ascii="Arial" w:hAnsi="Arial" w:cs="Arial"/>
          <w:i/>
          <w:iCs/>
        </w:rPr>
        <w:t>American Economic Review: Papers &amp; Proceedings, 98</w:t>
      </w:r>
      <w:r w:rsidRPr="00E76534">
        <w:rPr>
          <w:rFonts w:ascii="Arial" w:hAnsi="Arial" w:cs="Arial"/>
        </w:rPr>
        <w:t>(2), 403–407. </w:t>
      </w:r>
      <w:hyperlink r:id="rId32" w:tgtFrame="_new" w:history="1">
        <w:r w:rsidRPr="00E76534">
          <w:rPr>
            <w:rStyle w:val="Hyperlink"/>
            <w:rFonts w:ascii="Arial" w:hAnsi="Arial" w:cs="Arial"/>
          </w:rPr>
          <w:t>https://doi.org/10.1257/aer.98.2.403</w:t>
        </w:r>
      </w:hyperlink>
    </w:p>
    <w:p w14:paraId="16F473BC" w14:textId="77777777" w:rsidR="00EB543B" w:rsidRPr="00E76534" w:rsidRDefault="00EB543B" w:rsidP="00EB543B">
      <w:pPr>
        <w:rPr>
          <w:rFonts w:ascii="Arial" w:hAnsi="Arial" w:cs="Arial"/>
        </w:rPr>
      </w:pPr>
      <w:r w:rsidRPr="00E76534">
        <w:rPr>
          <w:rFonts w:ascii="Arial" w:hAnsi="Arial" w:cs="Arial"/>
        </w:rPr>
        <w:t>Comolli, C. L., Spini, D., &amp; Bernardi, L. (2021). The long-term effects of employment uncertainty on fertility trajectories. </w:t>
      </w:r>
      <w:r w:rsidRPr="00E76534">
        <w:rPr>
          <w:rFonts w:ascii="Arial" w:hAnsi="Arial" w:cs="Arial"/>
          <w:i/>
          <w:iCs/>
        </w:rPr>
        <w:t>Demographic Research, 44</w:t>
      </w:r>
      <w:r w:rsidRPr="00E76534">
        <w:rPr>
          <w:rFonts w:ascii="Arial" w:hAnsi="Arial" w:cs="Arial"/>
        </w:rPr>
        <w:t>, 1305–1338. https://doi.org/10.4054/DemRes.2021.44.47</w:t>
      </w:r>
    </w:p>
    <w:p w14:paraId="3B08B6E2" w14:textId="77777777" w:rsidR="00EB543B" w:rsidRPr="00E76534" w:rsidRDefault="00EB543B" w:rsidP="00EB543B">
      <w:pPr>
        <w:rPr>
          <w:rFonts w:ascii="Arial" w:hAnsi="Arial" w:cs="Arial"/>
        </w:rPr>
      </w:pPr>
      <w:proofErr w:type="spellStart"/>
      <w:r w:rsidRPr="00E76534">
        <w:rPr>
          <w:rFonts w:ascii="Arial" w:hAnsi="Arial" w:cs="Arial"/>
        </w:rPr>
        <w:t>Cukrowska-Torzewska</w:t>
      </w:r>
      <w:proofErr w:type="spellEnd"/>
      <w:r w:rsidRPr="00E76534">
        <w:rPr>
          <w:rFonts w:ascii="Arial" w:hAnsi="Arial" w:cs="Arial"/>
        </w:rPr>
        <w:t>, E., &amp; Matysiak, A. (2020). The motherhood wage penalty: A meta-analysis. </w:t>
      </w:r>
      <w:r w:rsidRPr="00E76534">
        <w:rPr>
          <w:rFonts w:ascii="Arial" w:hAnsi="Arial" w:cs="Arial"/>
          <w:i/>
          <w:iCs/>
        </w:rPr>
        <w:t>Social Science Research, 88</w:t>
      </w:r>
      <w:r w:rsidRPr="00E76534">
        <w:rPr>
          <w:rFonts w:ascii="Arial" w:hAnsi="Arial" w:cs="Arial"/>
        </w:rPr>
        <w:t>, Article 102416. </w:t>
      </w:r>
      <w:hyperlink r:id="rId33" w:tgtFrame="_new" w:history="1">
        <w:r w:rsidRPr="00E76534">
          <w:rPr>
            <w:rStyle w:val="Hyperlink"/>
            <w:rFonts w:ascii="Arial" w:hAnsi="Arial" w:cs="Arial"/>
          </w:rPr>
          <w:t>https://doi.org/10.1016/j.ssresearch.2020.102416</w:t>
        </w:r>
      </w:hyperlink>
    </w:p>
    <w:p w14:paraId="585CCFCC" w14:textId="77777777" w:rsidR="00EB543B" w:rsidRPr="00E76534" w:rsidRDefault="00EB543B" w:rsidP="00EB543B">
      <w:pPr>
        <w:rPr>
          <w:rFonts w:ascii="Arial" w:hAnsi="Arial" w:cs="Arial"/>
        </w:rPr>
      </w:pPr>
      <w:r w:rsidRPr="00E76534">
        <w:rPr>
          <w:rFonts w:ascii="Arial" w:hAnsi="Arial" w:cs="Arial"/>
        </w:rPr>
        <w:t>Fernández, R. (2013). Cultural change as learning: The evolution of female labor force participation over a century. </w:t>
      </w:r>
      <w:r w:rsidRPr="00E76534">
        <w:rPr>
          <w:rFonts w:ascii="Arial" w:hAnsi="Arial" w:cs="Arial"/>
          <w:i/>
          <w:iCs/>
        </w:rPr>
        <w:t>American Economic Review, 103</w:t>
      </w:r>
      <w:r w:rsidRPr="00E76534">
        <w:rPr>
          <w:rFonts w:ascii="Arial" w:hAnsi="Arial" w:cs="Arial"/>
        </w:rPr>
        <w:t>(1), 472–500. </w:t>
      </w:r>
      <w:hyperlink r:id="rId34" w:tgtFrame="_new" w:history="1">
        <w:r w:rsidRPr="00E76534">
          <w:rPr>
            <w:rStyle w:val="Hyperlink"/>
            <w:rFonts w:ascii="Arial" w:hAnsi="Arial" w:cs="Arial"/>
          </w:rPr>
          <w:t>https://doi.org/10.1257/aer.103.1.472</w:t>
        </w:r>
      </w:hyperlink>
    </w:p>
    <w:p w14:paraId="7B9C9AD3" w14:textId="77777777" w:rsidR="00EB543B" w:rsidRPr="00E76534" w:rsidRDefault="00EB543B" w:rsidP="00EB543B">
      <w:pPr>
        <w:rPr>
          <w:rFonts w:ascii="Arial" w:hAnsi="Arial" w:cs="Arial"/>
        </w:rPr>
      </w:pPr>
      <w:r w:rsidRPr="00E76534">
        <w:rPr>
          <w:rFonts w:ascii="Arial" w:hAnsi="Arial" w:cs="Arial"/>
        </w:rPr>
        <w:t>Florida, R. (2020). </w:t>
      </w:r>
      <w:r w:rsidRPr="00E76534">
        <w:rPr>
          <w:rFonts w:ascii="Arial" w:hAnsi="Arial" w:cs="Arial"/>
          <w:i/>
          <w:iCs/>
        </w:rPr>
        <w:t>The new urban crisis: How our cities are increasing inequality, deepening segregation, and failing the middle class</w:t>
      </w:r>
      <w:r w:rsidRPr="00E76534">
        <w:rPr>
          <w:rFonts w:ascii="Arial" w:hAnsi="Arial" w:cs="Arial"/>
        </w:rPr>
        <w:t>. Basic Books.</w:t>
      </w:r>
    </w:p>
    <w:p w14:paraId="41EC8910" w14:textId="77777777" w:rsidR="00EB543B" w:rsidRPr="00E76534" w:rsidRDefault="00EB543B" w:rsidP="00EB543B">
      <w:pPr>
        <w:rPr>
          <w:rFonts w:ascii="Arial" w:hAnsi="Arial" w:cs="Arial"/>
        </w:rPr>
      </w:pPr>
      <w:r w:rsidRPr="00E76534">
        <w:rPr>
          <w:rFonts w:ascii="Arial" w:hAnsi="Arial" w:cs="Arial"/>
        </w:rPr>
        <w:t>Galor, O., &amp; Weil, D. N. (1996). The gender gap, fertility, and growth. </w:t>
      </w:r>
      <w:r w:rsidRPr="00E76534">
        <w:rPr>
          <w:rFonts w:ascii="Arial" w:hAnsi="Arial" w:cs="Arial"/>
          <w:i/>
          <w:iCs/>
        </w:rPr>
        <w:t>American Economic Review, 86</w:t>
      </w:r>
      <w:r w:rsidRPr="00E76534">
        <w:rPr>
          <w:rFonts w:ascii="Arial" w:hAnsi="Arial" w:cs="Arial"/>
        </w:rPr>
        <w:t>(3), 374–387.</w:t>
      </w:r>
    </w:p>
    <w:p w14:paraId="2A5300C2" w14:textId="77777777" w:rsidR="00EB543B" w:rsidRPr="00E76534" w:rsidRDefault="00EB543B" w:rsidP="00EB543B">
      <w:pPr>
        <w:rPr>
          <w:rFonts w:ascii="Arial" w:hAnsi="Arial" w:cs="Arial"/>
        </w:rPr>
      </w:pPr>
      <w:r w:rsidRPr="00E76534">
        <w:rPr>
          <w:rFonts w:ascii="Arial" w:hAnsi="Arial" w:cs="Arial"/>
        </w:rPr>
        <w:t>Goldin, C. (2021). </w:t>
      </w:r>
      <w:r w:rsidRPr="00E76534">
        <w:rPr>
          <w:rFonts w:ascii="Arial" w:hAnsi="Arial" w:cs="Arial"/>
          <w:i/>
          <w:iCs/>
        </w:rPr>
        <w:t>Career and family: Women’s century-long journey toward equity</w:t>
      </w:r>
      <w:r w:rsidRPr="00E76534">
        <w:rPr>
          <w:rFonts w:ascii="Arial" w:hAnsi="Arial" w:cs="Arial"/>
        </w:rPr>
        <w:t>. Princeton University Press.</w:t>
      </w:r>
    </w:p>
    <w:p w14:paraId="4D50D310" w14:textId="77777777" w:rsidR="00EB543B" w:rsidRPr="00E76534" w:rsidRDefault="00EB543B" w:rsidP="00EB543B">
      <w:pPr>
        <w:rPr>
          <w:rFonts w:ascii="Arial" w:hAnsi="Arial" w:cs="Arial"/>
        </w:rPr>
      </w:pPr>
      <w:r w:rsidRPr="00E76534">
        <w:rPr>
          <w:rFonts w:ascii="Arial" w:hAnsi="Arial" w:cs="Arial"/>
        </w:rPr>
        <w:t>Gustafsson, S. (2001). Optimal age at motherhood: Theoretical and empirical considerations. </w:t>
      </w:r>
      <w:r w:rsidRPr="00E76534">
        <w:rPr>
          <w:rFonts w:ascii="Arial" w:hAnsi="Arial" w:cs="Arial"/>
          <w:i/>
          <w:iCs/>
        </w:rPr>
        <w:t>Journal of Population Economics, 14</w:t>
      </w:r>
      <w:r w:rsidRPr="00E76534">
        <w:rPr>
          <w:rFonts w:ascii="Arial" w:hAnsi="Arial" w:cs="Arial"/>
        </w:rPr>
        <w:t>(2), 225–247. </w:t>
      </w:r>
      <w:hyperlink r:id="rId35" w:tgtFrame="_new" w:history="1">
        <w:r w:rsidRPr="00E76534">
          <w:rPr>
            <w:rStyle w:val="Hyperlink"/>
            <w:rFonts w:ascii="Arial" w:hAnsi="Arial" w:cs="Arial"/>
          </w:rPr>
          <w:t>https://doi.org/10.1007/s001480000051</w:t>
        </w:r>
      </w:hyperlink>
    </w:p>
    <w:p w14:paraId="30BDFCAF" w14:textId="77777777" w:rsidR="00EB543B" w:rsidRPr="00E76534" w:rsidRDefault="00EB543B" w:rsidP="00EB543B">
      <w:pPr>
        <w:rPr>
          <w:rFonts w:ascii="Arial" w:hAnsi="Arial" w:cs="Arial"/>
        </w:rPr>
      </w:pPr>
      <w:r w:rsidRPr="00E76534">
        <w:rPr>
          <w:rFonts w:ascii="Arial" w:hAnsi="Arial" w:cs="Arial"/>
        </w:rPr>
        <w:t>Halpern-Manners, A. (2015). The consequences of unconventional family transitions on children’s educational outcomes. </w:t>
      </w:r>
      <w:r w:rsidRPr="00E76534">
        <w:rPr>
          <w:rFonts w:ascii="Arial" w:hAnsi="Arial" w:cs="Arial"/>
          <w:i/>
          <w:iCs/>
        </w:rPr>
        <w:t>American Sociological Review, 80</w:t>
      </w:r>
      <w:r w:rsidRPr="00E76534">
        <w:rPr>
          <w:rFonts w:ascii="Arial" w:hAnsi="Arial" w:cs="Arial"/>
        </w:rPr>
        <w:t>(4), 805–832. https://doi.org/10.1177/0003122415592124</w:t>
      </w:r>
    </w:p>
    <w:p w14:paraId="03938052" w14:textId="77777777" w:rsidR="00EB543B" w:rsidRPr="00E76534" w:rsidRDefault="00EB543B" w:rsidP="00EB543B">
      <w:pPr>
        <w:rPr>
          <w:rFonts w:ascii="Arial" w:hAnsi="Arial" w:cs="Arial"/>
        </w:rPr>
      </w:pPr>
      <w:r w:rsidRPr="00E76534">
        <w:rPr>
          <w:rFonts w:ascii="Arial" w:hAnsi="Arial" w:cs="Arial"/>
        </w:rPr>
        <w:t>Hayford, S. R., Guzzo, K. B., Kusunoki, Y., &amp; Barber, J. S. (2016). Perceived costs and benefits of early childbearing: New dimensions and predictive power. </w:t>
      </w:r>
      <w:r w:rsidRPr="00E76534">
        <w:rPr>
          <w:rFonts w:ascii="Arial" w:hAnsi="Arial" w:cs="Arial"/>
          <w:i/>
          <w:iCs/>
        </w:rPr>
        <w:t>Perspectives on Sexual and Reproductive Health, 48</w:t>
      </w:r>
      <w:r w:rsidRPr="00E76534">
        <w:rPr>
          <w:rFonts w:ascii="Arial" w:hAnsi="Arial" w:cs="Arial"/>
        </w:rPr>
        <w:t>(2), 83–91. </w:t>
      </w:r>
      <w:hyperlink r:id="rId36" w:tgtFrame="_new" w:history="1">
        <w:r w:rsidRPr="00E76534">
          <w:rPr>
            <w:rStyle w:val="Hyperlink"/>
            <w:rFonts w:ascii="Arial" w:hAnsi="Arial" w:cs="Arial"/>
          </w:rPr>
          <w:t>https://doi.org/10.1363/48e9116</w:t>
        </w:r>
      </w:hyperlink>
    </w:p>
    <w:p w14:paraId="4CAE8CD9" w14:textId="77777777" w:rsidR="00EB543B" w:rsidRPr="00E76534" w:rsidRDefault="00EB543B" w:rsidP="00EB543B">
      <w:pPr>
        <w:rPr>
          <w:rFonts w:ascii="Arial" w:hAnsi="Arial" w:cs="Arial"/>
        </w:rPr>
      </w:pPr>
      <w:r w:rsidRPr="00E76534">
        <w:rPr>
          <w:rFonts w:ascii="Arial" w:hAnsi="Arial" w:cs="Arial"/>
        </w:rPr>
        <w:lastRenderedPageBreak/>
        <w:t>Hayford, S. R., &amp; Morgan, S. P. (2008). Religiosity and fertility in the United States: The role of fertility intentions. </w:t>
      </w:r>
      <w:r w:rsidRPr="00E76534">
        <w:rPr>
          <w:rFonts w:ascii="Arial" w:hAnsi="Arial" w:cs="Arial"/>
          <w:i/>
          <w:iCs/>
        </w:rPr>
        <w:t>Social Forces, 86</w:t>
      </w:r>
      <w:r w:rsidRPr="00E76534">
        <w:rPr>
          <w:rFonts w:ascii="Arial" w:hAnsi="Arial" w:cs="Arial"/>
        </w:rPr>
        <w:t>(3), 1163–1188. </w:t>
      </w:r>
      <w:hyperlink r:id="rId37" w:tgtFrame="_new" w:history="1">
        <w:r w:rsidRPr="00E76534">
          <w:rPr>
            <w:rStyle w:val="Hyperlink"/>
            <w:rFonts w:ascii="Arial" w:hAnsi="Arial" w:cs="Arial"/>
          </w:rPr>
          <w:t>https://doi.org/10.1353/sof.0.0000</w:t>
        </w:r>
      </w:hyperlink>
    </w:p>
    <w:p w14:paraId="5F5E5079" w14:textId="77777777" w:rsidR="00EB543B" w:rsidRPr="00E76534" w:rsidRDefault="00EB543B" w:rsidP="00EB543B">
      <w:pPr>
        <w:rPr>
          <w:rFonts w:ascii="Arial" w:hAnsi="Arial" w:cs="Arial"/>
        </w:rPr>
      </w:pPr>
      <w:r w:rsidRPr="00E76534">
        <w:rPr>
          <w:rFonts w:ascii="Arial" w:hAnsi="Arial" w:cs="Arial"/>
        </w:rPr>
        <w:t>Heckman, J. J., Lochner, L. J., &amp; Todd, P. E. (2006). Earnings functions, rates of return, and treatment effects. In E. Hanushek &amp; F. Welch (Eds.), </w:t>
      </w:r>
      <w:r w:rsidRPr="00E76534">
        <w:rPr>
          <w:rFonts w:ascii="Arial" w:hAnsi="Arial" w:cs="Arial"/>
          <w:i/>
          <w:iCs/>
        </w:rPr>
        <w:t>Handbook of the economics of education</w:t>
      </w:r>
      <w:r w:rsidRPr="00E76534">
        <w:rPr>
          <w:rFonts w:ascii="Arial" w:hAnsi="Arial" w:cs="Arial"/>
        </w:rPr>
        <w:t> (Vol. 1, pp. 307–458). Elsevier. </w:t>
      </w:r>
      <w:hyperlink r:id="rId38" w:tgtFrame="_new" w:history="1">
        <w:r w:rsidRPr="00E76534">
          <w:rPr>
            <w:rStyle w:val="Hyperlink"/>
            <w:rFonts w:ascii="Arial" w:hAnsi="Arial" w:cs="Arial"/>
          </w:rPr>
          <w:t>https://doi.org/10.1016/S1574-0692(06)01007-5</w:t>
        </w:r>
      </w:hyperlink>
    </w:p>
    <w:p w14:paraId="40422486" w14:textId="77777777" w:rsidR="00EB543B" w:rsidRPr="00E76534" w:rsidRDefault="00EB543B" w:rsidP="00EB543B">
      <w:pPr>
        <w:rPr>
          <w:rFonts w:ascii="Arial" w:hAnsi="Arial" w:cs="Arial"/>
        </w:rPr>
      </w:pPr>
      <w:r w:rsidRPr="00E76534">
        <w:rPr>
          <w:rFonts w:ascii="Arial" w:hAnsi="Arial" w:cs="Arial"/>
        </w:rPr>
        <w:t>Heckman, J. J., &amp; Walker, J. R. (1990). The relationship between wages and income and the timing and spacing of births: Evidence from Swedish longitudinal data. </w:t>
      </w:r>
      <w:proofErr w:type="spellStart"/>
      <w:r w:rsidRPr="00E76534">
        <w:rPr>
          <w:rFonts w:ascii="Arial" w:hAnsi="Arial" w:cs="Arial"/>
          <w:i/>
          <w:iCs/>
        </w:rPr>
        <w:t>Econometrica</w:t>
      </w:r>
      <w:proofErr w:type="spellEnd"/>
      <w:r w:rsidRPr="00E76534">
        <w:rPr>
          <w:rFonts w:ascii="Arial" w:hAnsi="Arial" w:cs="Arial"/>
          <w:i/>
          <w:iCs/>
        </w:rPr>
        <w:t>, 58</w:t>
      </w:r>
      <w:r w:rsidRPr="00E76534">
        <w:rPr>
          <w:rFonts w:ascii="Arial" w:hAnsi="Arial" w:cs="Arial"/>
        </w:rPr>
        <w:t>(6), 1411–1441. </w:t>
      </w:r>
      <w:hyperlink r:id="rId39" w:tgtFrame="_new" w:history="1">
        <w:r w:rsidRPr="00E76534">
          <w:rPr>
            <w:rStyle w:val="Hyperlink"/>
            <w:rFonts w:ascii="Arial" w:hAnsi="Arial" w:cs="Arial"/>
          </w:rPr>
          <w:t>https://doi.org/10.2307/2938322</w:t>
        </w:r>
      </w:hyperlink>
    </w:p>
    <w:p w14:paraId="447FF81B" w14:textId="77777777" w:rsidR="00EB543B" w:rsidRPr="00E76534" w:rsidRDefault="00EB543B" w:rsidP="00EB543B">
      <w:pPr>
        <w:rPr>
          <w:rFonts w:ascii="Arial" w:hAnsi="Arial" w:cs="Arial"/>
        </w:rPr>
      </w:pPr>
      <w:r w:rsidRPr="00E76534">
        <w:rPr>
          <w:rFonts w:ascii="Arial" w:hAnsi="Arial" w:cs="Arial"/>
        </w:rPr>
        <w:t>Jayachandran, S. (2021). Social norms as a barrier to women’s employment in developing countries. </w:t>
      </w:r>
      <w:r w:rsidRPr="00E76534">
        <w:rPr>
          <w:rFonts w:ascii="Arial" w:hAnsi="Arial" w:cs="Arial"/>
          <w:i/>
          <w:iCs/>
        </w:rPr>
        <w:t>IMF Economic Review, 69</w:t>
      </w:r>
      <w:r w:rsidRPr="00E76534">
        <w:rPr>
          <w:rFonts w:ascii="Arial" w:hAnsi="Arial" w:cs="Arial"/>
        </w:rPr>
        <w:t>(3), 576–595. </w:t>
      </w:r>
      <w:hyperlink r:id="rId40" w:tgtFrame="_new" w:history="1">
        <w:r w:rsidRPr="00E76534">
          <w:rPr>
            <w:rStyle w:val="Hyperlink"/>
            <w:rFonts w:ascii="Arial" w:hAnsi="Arial" w:cs="Arial"/>
          </w:rPr>
          <w:t>https://doi.org/10.1057/s41308-021-00140-w</w:t>
        </w:r>
      </w:hyperlink>
    </w:p>
    <w:p w14:paraId="7C5DEBF6" w14:textId="77777777" w:rsidR="00EB543B" w:rsidRPr="00E76534" w:rsidRDefault="00EB543B" w:rsidP="00EB543B">
      <w:pPr>
        <w:rPr>
          <w:rFonts w:ascii="Arial" w:hAnsi="Arial" w:cs="Arial"/>
        </w:rPr>
      </w:pPr>
      <w:r w:rsidRPr="00E76534">
        <w:rPr>
          <w:rFonts w:ascii="Arial" w:hAnsi="Arial" w:cs="Arial"/>
        </w:rPr>
        <w:t>Jennings, M. K., Stoker, L., &amp; Bowers, J. (2009). Politics across generations: Family transmission reexamined. </w:t>
      </w:r>
      <w:r w:rsidRPr="00E76534">
        <w:rPr>
          <w:rFonts w:ascii="Arial" w:hAnsi="Arial" w:cs="Arial"/>
          <w:i/>
          <w:iCs/>
        </w:rPr>
        <w:t>The Journal of Politics, 71</w:t>
      </w:r>
      <w:r w:rsidRPr="00E76534">
        <w:rPr>
          <w:rFonts w:ascii="Arial" w:hAnsi="Arial" w:cs="Arial"/>
        </w:rPr>
        <w:t>(3), 782–799. https://doi.org/10.1017/S0022381609090719</w:t>
      </w:r>
    </w:p>
    <w:p w14:paraId="3A323980" w14:textId="77777777" w:rsidR="00EB543B" w:rsidRPr="00E76534" w:rsidRDefault="00EB543B" w:rsidP="00EB543B">
      <w:pPr>
        <w:rPr>
          <w:rFonts w:ascii="Arial" w:hAnsi="Arial" w:cs="Arial"/>
        </w:rPr>
      </w:pPr>
      <w:r w:rsidRPr="00E76534">
        <w:rPr>
          <w:rFonts w:ascii="Arial" w:hAnsi="Arial" w:cs="Arial"/>
        </w:rPr>
        <w:t xml:space="preserve">Jones, L. E., </w:t>
      </w:r>
      <w:proofErr w:type="spellStart"/>
      <w:r w:rsidRPr="00E76534">
        <w:rPr>
          <w:rFonts w:ascii="Arial" w:hAnsi="Arial" w:cs="Arial"/>
        </w:rPr>
        <w:t>Schoonbroodt</w:t>
      </w:r>
      <w:proofErr w:type="spellEnd"/>
      <w:r w:rsidRPr="00E76534">
        <w:rPr>
          <w:rFonts w:ascii="Arial" w:hAnsi="Arial" w:cs="Arial"/>
        </w:rPr>
        <w:t xml:space="preserve">, A., &amp; </w:t>
      </w:r>
      <w:proofErr w:type="spellStart"/>
      <w:r w:rsidRPr="00E76534">
        <w:rPr>
          <w:rFonts w:ascii="Arial" w:hAnsi="Arial" w:cs="Arial"/>
        </w:rPr>
        <w:t>Tertilt</w:t>
      </w:r>
      <w:proofErr w:type="spellEnd"/>
      <w:r w:rsidRPr="00E76534">
        <w:rPr>
          <w:rFonts w:ascii="Arial" w:hAnsi="Arial" w:cs="Arial"/>
        </w:rPr>
        <w:t xml:space="preserve">, M. (2011). Fertility theories: Can they explain the negative fertility–income relationship? In P. Aghion &amp; S. </w:t>
      </w:r>
      <w:proofErr w:type="spellStart"/>
      <w:r w:rsidRPr="00E76534">
        <w:rPr>
          <w:rFonts w:ascii="Arial" w:hAnsi="Arial" w:cs="Arial"/>
        </w:rPr>
        <w:t>Durlauf</w:t>
      </w:r>
      <w:proofErr w:type="spellEnd"/>
      <w:r w:rsidRPr="00E76534">
        <w:rPr>
          <w:rFonts w:ascii="Arial" w:hAnsi="Arial" w:cs="Arial"/>
        </w:rPr>
        <w:t xml:space="preserve"> (Eds.), </w:t>
      </w:r>
      <w:r w:rsidRPr="00E76534">
        <w:rPr>
          <w:rFonts w:ascii="Arial" w:hAnsi="Arial" w:cs="Arial"/>
          <w:i/>
          <w:iCs/>
        </w:rPr>
        <w:t>Handbook of economic growth</w:t>
      </w:r>
      <w:r w:rsidRPr="00E76534">
        <w:rPr>
          <w:rFonts w:ascii="Arial" w:hAnsi="Arial" w:cs="Arial"/>
        </w:rPr>
        <w:t> (Vol. 1A, pp. 269–315). Elsevier.</w:t>
      </w:r>
    </w:p>
    <w:p w14:paraId="33D4A404" w14:textId="77777777" w:rsidR="00EB543B" w:rsidRPr="00E76534" w:rsidRDefault="00EB543B" w:rsidP="00EB543B">
      <w:pPr>
        <w:rPr>
          <w:rFonts w:ascii="Arial" w:hAnsi="Arial" w:cs="Arial"/>
        </w:rPr>
      </w:pPr>
      <w:r w:rsidRPr="00E76534">
        <w:rPr>
          <w:rFonts w:ascii="Arial" w:hAnsi="Arial" w:cs="Arial"/>
        </w:rPr>
        <w:t>Kearney, M. S., &amp; Levine, P. B. (2012). Why is the teen birth rate in the United States so high and why does it matter? </w:t>
      </w:r>
      <w:r w:rsidRPr="00E76534">
        <w:rPr>
          <w:rFonts w:ascii="Arial" w:hAnsi="Arial" w:cs="Arial"/>
          <w:i/>
          <w:iCs/>
        </w:rPr>
        <w:t>Journal of Economic Perspectives, 26</w:t>
      </w:r>
      <w:r w:rsidRPr="00E76534">
        <w:rPr>
          <w:rFonts w:ascii="Arial" w:hAnsi="Arial" w:cs="Arial"/>
        </w:rPr>
        <w:t>(2), 141–166. </w:t>
      </w:r>
      <w:hyperlink r:id="rId41" w:tgtFrame="_new" w:history="1">
        <w:r w:rsidRPr="00E76534">
          <w:rPr>
            <w:rStyle w:val="Hyperlink"/>
            <w:rFonts w:ascii="Arial" w:hAnsi="Arial" w:cs="Arial"/>
          </w:rPr>
          <w:t>https://doi.org/10.1257/jep.26.2.141</w:t>
        </w:r>
      </w:hyperlink>
    </w:p>
    <w:p w14:paraId="7FA4EFFC" w14:textId="77777777" w:rsidR="00EB543B" w:rsidRPr="00E76534" w:rsidRDefault="00EB543B" w:rsidP="00EB543B">
      <w:pPr>
        <w:rPr>
          <w:rFonts w:ascii="Arial" w:hAnsi="Arial" w:cs="Arial"/>
        </w:rPr>
      </w:pPr>
      <w:r w:rsidRPr="00E76534">
        <w:rPr>
          <w:rFonts w:ascii="Arial" w:hAnsi="Arial" w:cs="Arial"/>
        </w:rPr>
        <w:t>Klepinger, D., Lundberg, S., &amp; Plotnick, R. (1999). How does adolescent fertility affect the human capital and wages of young women? </w:t>
      </w:r>
      <w:r w:rsidRPr="00E76534">
        <w:rPr>
          <w:rFonts w:ascii="Arial" w:hAnsi="Arial" w:cs="Arial"/>
          <w:i/>
          <w:iCs/>
        </w:rPr>
        <w:t>Journal of Human Resources, 34</w:t>
      </w:r>
      <w:r w:rsidRPr="00E76534">
        <w:rPr>
          <w:rFonts w:ascii="Arial" w:hAnsi="Arial" w:cs="Arial"/>
        </w:rPr>
        <w:t>(3), 421–448. </w:t>
      </w:r>
      <w:hyperlink r:id="rId42" w:tgtFrame="_new" w:history="1">
        <w:r w:rsidRPr="00E76534">
          <w:rPr>
            <w:rStyle w:val="Hyperlink"/>
            <w:rFonts w:ascii="Arial" w:hAnsi="Arial" w:cs="Arial"/>
          </w:rPr>
          <w:t>https://doi.org/10.2307/146375</w:t>
        </w:r>
      </w:hyperlink>
    </w:p>
    <w:p w14:paraId="7597A223" w14:textId="77777777" w:rsidR="00EB543B" w:rsidRPr="00E76534" w:rsidRDefault="00EB543B" w:rsidP="00EB543B">
      <w:pPr>
        <w:rPr>
          <w:rFonts w:ascii="Arial" w:hAnsi="Arial" w:cs="Arial"/>
        </w:rPr>
      </w:pPr>
      <w:r w:rsidRPr="00E76534">
        <w:rPr>
          <w:rFonts w:ascii="Arial" w:hAnsi="Arial" w:cs="Arial"/>
        </w:rPr>
        <w:t>Kleven, H., Landais, C., &amp; Søgaard, J. E. (2019). Children and gender inequality: Evidence from Denmark. </w:t>
      </w:r>
      <w:r w:rsidRPr="00E76534">
        <w:rPr>
          <w:rFonts w:ascii="Arial" w:hAnsi="Arial" w:cs="Arial"/>
          <w:i/>
          <w:iCs/>
        </w:rPr>
        <w:t>American Economic Journal: Applied Economics, 11</w:t>
      </w:r>
      <w:r w:rsidRPr="00E76534">
        <w:rPr>
          <w:rFonts w:ascii="Arial" w:hAnsi="Arial" w:cs="Arial"/>
        </w:rPr>
        <w:t>(4), 181–209. </w:t>
      </w:r>
      <w:hyperlink r:id="rId43" w:tgtFrame="_new" w:history="1">
        <w:r w:rsidRPr="00E76534">
          <w:rPr>
            <w:rStyle w:val="Hyperlink"/>
            <w:rFonts w:ascii="Arial" w:hAnsi="Arial" w:cs="Arial"/>
          </w:rPr>
          <w:t>https://doi.org/10.1257/app.20180010</w:t>
        </w:r>
      </w:hyperlink>
    </w:p>
    <w:p w14:paraId="553401D7" w14:textId="77777777" w:rsidR="00EB543B" w:rsidRPr="00E76534" w:rsidRDefault="00EB543B" w:rsidP="00EB543B">
      <w:pPr>
        <w:rPr>
          <w:rFonts w:ascii="Arial" w:hAnsi="Arial" w:cs="Arial"/>
        </w:rPr>
      </w:pPr>
      <w:r w:rsidRPr="00E76534">
        <w:rPr>
          <w:rFonts w:ascii="Arial" w:hAnsi="Arial" w:cs="Arial"/>
        </w:rPr>
        <w:t xml:space="preserve">Kleven, H., Landais, C., Posch, J., Steinhauer, A., &amp; </w:t>
      </w:r>
      <w:proofErr w:type="spellStart"/>
      <w:r w:rsidRPr="00E76534">
        <w:rPr>
          <w:rFonts w:ascii="Arial" w:hAnsi="Arial" w:cs="Arial"/>
        </w:rPr>
        <w:t>Zweimüller</w:t>
      </w:r>
      <w:proofErr w:type="spellEnd"/>
      <w:r w:rsidRPr="00E76534">
        <w:rPr>
          <w:rFonts w:ascii="Arial" w:hAnsi="Arial" w:cs="Arial"/>
        </w:rPr>
        <w:t>, J. (2024a). Do family policies reduce gender inequality? Evidence from 60 years of policy experimentation. </w:t>
      </w:r>
      <w:r w:rsidRPr="00E76534">
        <w:rPr>
          <w:rFonts w:ascii="Arial" w:hAnsi="Arial" w:cs="Arial"/>
          <w:i/>
          <w:iCs/>
        </w:rPr>
        <w:t>American Economic Journal: Economic Policy, 16</w:t>
      </w:r>
      <w:r w:rsidRPr="00E76534">
        <w:rPr>
          <w:rFonts w:ascii="Arial" w:hAnsi="Arial" w:cs="Arial"/>
        </w:rPr>
        <w:t>(2), 110–149. </w:t>
      </w:r>
      <w:hyperlink r:id="rId44" w:tgtFrame="_new" w:history="1">
        <w:r w:rsidRPr="00E76534">
          <w:rPr>
            <w:rStyle w:val="Hyperlink"/>
            <w:rFonts w:ascii="Arial" w:hAnsi="Arial" w:cs="Arial"/>
          </w:rPr>
          <w:t>https://doi.org/10.1257/pol.20210346</w:t>
        </w:r>
      </w:hyperlink>
    </w:p>
    <w:p w14:paraId="473768F3" w14:textId="77777777" w:rsidR="00EB543B" w:rsidRPr="00E76534" w:rsidRDefault="00EB543B" w:rsidP="00EB543B">
      <w:pPr>
        <w:rPr>
          <w:rFonts w:ascii="Arial" w:hAnsi="Arial" w:cs="Arial"/>
        </w:rPr>
      </w:pPr>
      <w:r w:rsidRPr="00E76534">
        <w:rPr>
          <w:rFonts w:ascii="Arial" w:hAnsi="Arial" w:cs="Arial"/>
        </w:rPr>
        <w:t>Kleven, H., Landais, C., Søgaard, J. E., &amp; Steinhauer, A. (2024b). The child penalty atlas. </w:t>
      </w:r>
      <w:r w:rsidRPr="00E76534">
        <w:rPr>
          <w:rFonts w:ascii="Arial" w:hAnsi="Arial" w:cs="Arial"/>
          <w:i/>
          <w:iCs/>
        </w:rPr>
        <w:t>American Economic Review</w:t>
      </w:r>
      <w:r w:rsidRPr="00E76534">
        <w:rPr>
          <w:rFonts w:ascii="Arial" w:hAnsi="Arial" w:cs="Arial"/>
        </w:rPr>
        <w:t>. Advance online publication. </w:t>
      </w:r>
      <w:hyperlink r:id="rId45" w:tgtFrame="_new" w:history="1">
        <w:r w:rsidRPr="00E76534">
          <w:rPr>
            <w:rStyle w:val="Hyperlink"/>
            <w:rFonts w:ascii="Arial" w:hAnsi="Arial" w:cs="Arial"/>
          </w:rPr>
          <w:t>https://www.henrikkleven.com/view/research/published/Child_Penalty_Atlas_June2024.pdf</w:t>
        </w:r>
      </w:hyperlink>
    </w:p>
    <w:p w14:paraId="33C215EF" w14:textId="77777777" w:rsidR="00EB543B" w:rsidRPr="00E76534" w:rsidRDefault="00EB543B" w:rsidP="00EB543B">
      <w:pPr>
        <w:rPr>
          <w:rFonts w:ascii="Arial" w:hAnsi="Arial" w:cs="Arial"/>
        </w:rPr>
      </w:pPr>
      <w:r w:rsidRPr="00E76534">
        <w:rPr>
          <w:rFonts w:ascii="Arial" w:hAnsi="Arial" w:cs="Arial"/>
        </w:rPr>
        <w:t>Kohler, H.-P. (1997). Learning in social networks and contraceptive choice. </w:t>
      </w:r>
      <w:r w:rsidRPr="00E76534">
        <w:rPr>
          <w:rFonts w:ascii="Arial" w:hAnsi="Arial" w:cs="Arial"/>
          <w:i/>
          <w:iCs/>
        </w:rPr>
        <w:t>Demography, 34</w:t>
      </w:r>
      <w:r w:rsidRPr="00E76534">
        <w:rPr>
          <w:rFonts w:ascii="Arial" w:hAnsi="Arial" w:cs="Arial"/>
        </w:rPr>
        <w:t>(3), 369–383. </w:t>
      </w:r>
      <w:hyperlink r:id="rId46" w:tgtFrame="_new" w:history="1">
        <w:r w:rsidRPr="00E76534">
          <w:rPr>
            <w:rStyle w:val="Hyperlink"/>
            <w:rFonts w:ascii="Arial" w:hAnsi="Arial" w:cs="Arial"/>
          </w:rPr>
          <w:t>https://doi.org/10.2307/3038290</w:t>
        </w:r>
      </w:hyperlink>
    </w:p>
    <w:p w14:paraId="37D03BA1" w14:textId="77777777" w:rsidR="00EB543B" w:rsidRPr="00E76534" w:rsidRDefault="00EB543B" w:rsidP="00EB543B">
      <w:pPr>
        <w:rPr>
          <w:rFonts w:ascii="Arial" w:hAnsi="Arial" w:cs="Arial"/>
        </w:rPr>
      </w:pPr>
      <w:r w:rsidRPr="00E76534">
        <w:rPr>
          <w:rFonts w:ascii="Arial" w:hAnsi="Arial" w:cs="Arial"/>
        </w:rPr>
        <w:t>Kohler, H.-P., Billari, F. C., &amp; Ortega, J. A. (2002). The emergence of lowest-low fertility in Europe during the 1990s. </w:t>
      </w:r>
      <w:r w:rsidRPr="00E76534">
        <w:rPr>
          <w:rFonts w:ascii="Arial" w:hAnsi="Arial" w:cs="Arial"/>
          <w:i/>
          <w:iCs/>
        </w:rPr>
        <w:t>Population and Development Review, 28</w:t>
      </w:r>
      <w:r w:rsidRPr="00E76534">
        <w:rPr>
          <w:rFonts w:ascii="Arial" w:hAnsi="Arial" w:cs="Arial"/>
        </w:rPr>
        <w:t>(4), 641–680. </w:t>
      </w:r>
      <w:hyperlink r:id="rId47" w:tgtFrame="_new" w:history="1">
        <w:r w:rsidRPr="00E76534">
          <w:rPr>
            <w:rStyle w:val="Hyperlink"/>
            <w:rFonts w:ascii="Arial" w:hAnsi="Arial" w:cs="Arial"/>
          </w:rPr>
          <w:t>https://doi.org/10.1111/j.1728-4457.2002.00641.x</w:t>
        </w:r>
      </w:hyperlink>
    </w:p>
    <w:p w14:paraId="4A8C661B" w14:textId="77777777" w:rsidR="00EB543B" w:rsidRPr="00E76534" w:rsidRDefault="00EB543B" w:rsidP="00EB543B">
      <w:pPr>
        <w:rPr>
          <w:rFonts w:ascii="Arial" w:hAnsi="Arial" w:cs="Arial"/>
        </w:rPr>
      </w:pPr>
      <w:proofErr w:type="spellStart"/>
      <w:r w:rsidRPr="00E76534">
        <w:rPr>
          <w:rFonts w:ascii="Arial" w:hAnsi="Arial" w:cs="Arial"/>
        </w:rPr>
        <w:t>Kreyenfeld</w:t>
      </w:r>
      <w:proofErr w:type="spellEnd"/>
      <w:r w:rsidRPr="00E76534">
        <w:rPr>
          <w:rFonts w:ascii="Arial" w:hAnsi="Arial" w:cs="Arial"/>
        </w:rPr>
        <w:t xml:space="preserve">, M., Andersson, G., &amp; </w:t>
      </w:r>
      <w:proofErr w:type="spellStart"/>
      <w:r w:rsidRPr="00E76534">
        <w:rPr>
          <w:rFonts w:ascii="Arial" w:hAnsi="Arial" w:cs="Arial"/>
        </w:rPr>
        <w:t>Pailhé</w:t>
      </w:r>
      <w:proofErr w:type="spellEnd"/>
      <w:r w:rsidRPr="00E76534">
        <w:rPr>
          <w:rFonts w:ascii="Arial" w:hAnsi="Arial" w:cs="Arial"/>
        </w:rPr>
        <w:t>, A. (2012). Economic uncertainty and family dynamics in Europe. </w:t>
      </w:r>
      <w:r w:rsidRPr="00E76534">
        <w:rPr>
          <w:rFonts w:ascii="Arial" w:hAnsi="Arial" w:cs="Arial"/>
          <w:i/>
          <w:iCs/>
        </w:rPr>
        <w:t>Demographic Research, 27</w:t>
      </w:r>
      <w:r w:rsidRPr="00E76534">
        <w:rPr>
          <w:rFonts w:ascii="Arial" w:hAnsi="Arial" w:cs="Arial"/>
        </w:rPr>
        <w:t>, 835–852. </w:t>
      </w:r>
      <w:hyperlink r:id="rId48" w:tgtFrame="_new" w:history="1">
        <w:r w:rsidRPr="00E76534">
          <w:rPr>
            <w:rStyle w:val="Hyperlink"/>
            <w:rFonts w:ascii="Arial" w:hAnsi="Arial" w:cs="Arial"/>
          </w:rPr>
          <w:t>https://doi.org/10.4054/DemRes.2012.27.28</w:t>
        </w:r>
      </w:hyperlink>
    </w:p>
    <w:p w14:paraId="0735F2C1" w14:textId="77777777" w:rsidR="00EB543B" w:rsidRPr="00E76534" w:rsidRDefault="00EB543B" w:rsidP="00EB543B">
      <w:pPr>
        <w:rPr>
          <w:rFonts w:ascii="Arial" w:hAnsi="Arial" w:cs="Arial"/>
        </w:rPr>
      </w:pPr>
      <w:r w:rsidRPr="00E76534">
        <w:rPr>
          <w:rFonts w:ascii="Arial" w:hAnsi="Arial" w:cs="Arial"/>
        </w:rPr>
        <w:t>Landivar, L. C. (2020). Maternal employment trajectories and earnings growth. </w:t>
      </w:r>
      <w:r w:rsidRPr="00E76534">
        <w:rPr>
          <w:rFonts w:ascii="Arial" w:hAnsi="Arial" w:cs="Arial"/>
          <w:i/>
          <w:iCs/>
        </w:rPr>
        <w:t>Gender &amp; Society, 34</w:t>
      </w:r>
      <w:r w:rsidRPr="00E76534">
        <w:rPr>
          <w:rFonts w:ascii="Arial" w:hAnsi="Arial" w:cs="Arial"/>
        </w:rPr>
        <w:t>(2), 282–309. </w:t>
      </w:r>
      <w:hyperlink r:id="rId49" w:tgtFrame="_new" w:history="1">
        <w:r w:rsidRPr="00E76534">
          <w:rPr>
            <w:rStyle w:val="Hyperlink"/>
            <w:rFonts w:ascii="Arial" w:hAnsi="Arial" w:cs="Arial"/>
          </w:rPr>
          <w:t>https://doi.org/10.1177/2378023120939424</w:t>
        </w:r>
      </w:hyperlink>
    </w:p>
    <w:p w14:paraId="3BAE7A87" w14:textId="77777777" w:rsidR="00EB543B" w:rsidRPr="00E76534" w:rsidRDefault="00EB543B" w:rsidP="00EB543B">
      <w:pPr>
        <w:rPr>
          <w:rFonts w:ascii="Arial" w:hAnsi="Arial" w:cs="Arial"/>
        </w:rPr>
      </w:pPr>
      <w:proofErr w:type="spellStart"/>
      <w:r w:rsidRPr="00E76534">
        <w:rPr>
          <w:rFonts w:ascii="Arial" w:hAnsi="Arial" w:cs="Arial"/>
        </w:rPr>
        <w:t>Lalive</w:t>
      </w:r>
      <w:proofErr w:type="spellEnd"/>
      <w:r w:rsidRPr="00E76534">
        <w:rPr>
          <w:rFonts w:ascii="Arial" w:hAnsi="Arial" w:cs="Arial"/>
        </w:rPr>
        <w:t xml:space="preserve">, R., &amp; </w:t>
      </w:r>
      <w:proofErr w:type="spellStart"/>
      <w:r w:rsidRPr="00E76534">
        <w:rPr>
          <w:rFonts w:ascii="Arial" w:hAnsi="Arial" w:cs="Arial"/>
        </w:rPr>
        <w:t>Zweimüller</w:t>
      </w:r>
      <w:proofErr w:type="spellEnd"/>
      <w:r w:rsidRPr="00E76534">
        <w:rPr>
          <w:rFonts w:ascii="Arial" w:hAnsi="Arial" w:cs="Arial"/>
        </w:rPr>
        <w:t>, J. (2009). How does parental leave affect fertility and return to work? Evidence from two natural experiments. </w:t>
      </w:r>
      <w:r w:rsidRPr="00E76534">
        <w:rPr>
          <w:rFonts w:ascii="Arial" w:hAnsi="Arial" w:cs="Arial"/>
          <w:i/>
          <w:iCs/>
        </w:rPr>
        <w:t>The Quarterly Journal of Economics, 124</w:t>
      </w:r>
      <w:r w:rsidRPr="00E76534">
        <w:rPr>
          <w:rFonts w:ascii="Arial" w:hAnsi="Arial" w:cs="Arial"/>
        </w:rPr>
        <w:t>(3), 1363–1402. </w:t>
      </w:r>
      <w:hyperlink r:id="rId50" w:tgtFrame="_new" w:history="1">
        <w:r w:rsidRPr="00E76534">
          <w:rPr>
            <w:rStyle w:val="Hyperlink"/>
            <w:rFonts w:ascii="Arial" w:hAnsi="Arial" w:cs="Arial"/>
          </w:rPr>
          <w:t>https://doi.org/10.1162/qjec.2009.124.3.1363</w:t>
        </w:r>
      </w:hyperlink>
    </w:p>
    <w:p w14:paraId="2F9F7186" w14:textId="77777777" w:rsidR="00EB543B" w:rsidRPr="00E76534" w:rsidRDefault="00EB543B" w:rsidP="00EB543B">
      <w:pPr>
        <w:rPr>
          <w:rFonts w:ascii="Arial" w:hAnsi="Arial" w:cs="Arial"/>
        </w:rPr>
      </w:pPr>
      <w:r w:rsidRPr="00E76534">
        <w:rPr>
          <w:rFonts w:ascii="Arial" w:hAnsi="Arial" w:cs="Arial"/>
        </w:rPr>
        <w:t xml:space="preserve">Machů, V., Arends, I., Veldman, K., &amp; </w:t>
      </w:r>
      <w:proofErr w:type="spellStart"/>
      <w:r w:rsidRPr="00E76534">
        <w:rPr>
          <w:rFonts w:ascii="Arial" w:hAnsi="Arial" w:cs="Arial"/>
        </w:rPr>
        <w:t>Bültmann</w:t>
      </w:r>
      <w:proofErr w:type="spellEnd"/>
      <w:r w:rsidRPr="00E76534">
        <w:rPr>
          <w:rFonts w:ascii="Arial" w:hAnsi="Arial" w:cs="Arial"/>
        </w:rPr>
        <w:t>, U. (2022). Work–family trajectories and health: A systematic review. </w:t>
      </w:r>
      <w:r w:rsidRPr="00E76534">
        <w:rPr>
          <w:rFonts w:ascii="Arial" w:hAnsi="Arial" w:cs="Arial"/>
          <w:i/>
          <w:iCs/>
        </w:rPr>
        <w:t>Advances in Life Course Research, 52</w:t>
      </w:r>
      <w:r w:rsidRPr="00E76534">
        <w:rPr>
          <w:rFonts w:ascii="Arial" w:hAnsi="Arial" w:cs="Arial"/>
        </w:rPr>
        <w:t>, Article 100466. </w:t>
      </w:r>
      <w:hyperlink r:id="rId51" w:tgtFrame="_new" w:history="1">
        <w:r w:rsidRPr="00E76534">
          <w:rPr>
            <w:rStyle w:val="Hyperlink"/>
            <w:rFonts w:ascii="Arial" w:hAnsi="Arial" w:cs="Arial"/>
          </w:rPr>
          <w:t>https://doi.org/10.1016/j.alcr.2022.100466</w:t>
        </w:r>
      </w:hyperlink>
    </w:p>
    <w:p w14:paraId="12D2EB6A" w14:textId="77777777" w:rsidR="00EB543B" w:rsidRPr="00E76534" w:rsidRDefault="00EB543B" w:rsidP="00EB543B">
      <w:pPr>
        <w:rPr>
          <w:rFonts w:ascii="Arial" w:hAnsi="Arial" w:cs="Arial"/>
        </w:rPr>
      </w:pPr>
      <w:r w:rsidRPr="00E76534">
        <w:rPr>
          <w:rFonts w:ascii="Arial" w:hAnsi="Arial" w:cs="Arial"/>
        </w:rPr>
        <w:t>Miller, A. R. (2011). The effects of motherhood timing on career path. </w:t>
      </w:r>
      <w:r w:rsidRPr="00E76534">
        <w:rPr>
          <w:rFonts w:ascii="Arial" w:hAnsi="Arial" w:cs="Arial"/>
          <w:i/>
          <w:iCs/>
        </w:rPr>
        <w:t>Journal of Population Economics, 24</w:t>
      </w:r>
      <w:r w:rsidRPr="00E76534">
        <w:rPr>
          <w:rFonts w:ascii="Arial" w:hAnsi="Arial" w:cs="Arial"/>
        </w:rPr>
        <w:t>(3), 1071–1100. </w:t>
      </w:r>
      <w:hyperlink r:id="rId52" w:tgtFrame="_new" w:history="1">
        <w:r w:rsidRPr="00E76534">
          <w:rPr>
            <w:rStyle w:val="Hyperlink"/>
            <w:rFonts w:ascii="Arial" w:hAnsi="Arial" w:cs="Arial"/>
          </w:rPr>
          <w:t>https://doi.org/10.1007/s00148-009-0296-x</w:t>
        </w:r>
      </w:hyperlink>
    </w:p>
    <w:p w14:paraId="409DEACB" w14:textId="77777777" w:rsidR="00EB543B" w:rsidRPr="00E76534" w:rsidRDefault="00EB543B" w:rsidP="00EB543B">
      <w:pPr>
        <w:rPr>
          <w:rFonts w:ascii="Arial" w:hAnsi="Arial" w:cs="Arial"/>
        </w:rPr>
      </w:pPr>
      <w:r w:rsidRPr="00E76534">
        <w:rPr>
          <w:rFonts w:ascii="Arial" w:hAnsi="Arial" w:cs="Arial"/>
        </w:rPr>
        <w:lastRenderedPageBreak/>
        <w:t>Mincer, J., &amp; Polachek, S. (1974). Family investments in human capital: Earnings of women. </w:t>
      </w:r>
      <w:r w:rsidRPr="00E76534">
        <w:rPr>
          <w:rFonts w:ascii="Arial" w:hAnsi="Arial" w:cs="Arial"/>
          <w:i/>
          <w:iCs/>
        </w:rPr>
        <w:t>Journal of Political Economy, 82</w:t>
      </w:r>
      <w:r w:rsidRPr="00E76534">
        <w:rPr>
          <w:rFonts w:ascii="Arial" w:hAnsi="Arial" w:cs="Arial"/>
        </w:rPr>
        <w:t>(2, Part 2), S76–S108. </w:t>
      </w:r>
      <w:hyperlink r:id="rId53" w:tgtFrame="_new" w:history="1">
        <w:r w:rsidRPr="00E76534">
          <w:rPr>
            <w:rStyle w:val="Hyperlink"/>
            <w:rFonts w:ascii="Arial" w:hAnsi="Arial" w:cs="Arial"/>
          </w:rPr>
          <w:t>https://www.jstor.org/stable/1829993</w:t>
        </w:r>
      </w:hyperlink>
    </w:p>
    <w:p w14:paraId="05454AD0" w14:textId="77777777" w:rsidR="00EB543B" w:rsidRPr="00E76534" w:rsidRDefault="00EB543B" w:rsidP="00EB543B">
      <w:pPr>
        <w:rPr>
          <w:rFonts w:ascii="Arial" w:hAnsi="Arial" w:cs="Arial"/>
        </w:rPr>
      </w:pPr>
      <w:r w:rsidRPr="00E76534">
        <w:rPr>
          <w:rFonts w:ascii="Arial" w:hAnsi="Arial" w:cs="Arial"/>
        </w:rPr>
        <w:t xml:space="preserve">Munshi, K., &amp; </w:t>
      </w:r>
      <w:proofErr w:type="spellStart"/>
      <w:r w:rsidRPr="00E76534">
        <w:rPr>
          <w:rFonts w:ascii="Arial" w:hAnsi="Arial" w:cs="Arial"/>
        </w:rPr>
        <w:t>Myaux</w:t>
      </w:r>
      <w:proofErr w:type="spellEnd"/>
      <w:r w:rsidRPr="00E76534">
        <w:rPr>
          <w:rFonts w:ascii="Arial" w:hAnsi="Arial" w:cs="Arial"/>
        </w:rPr>
        <w:t>, J. (2006). Social norms and the fertility transition. </w:t>
      </w:r>
      <w:r w:rsidRPr="00E76534">
        <w:rPr>
          <w:rFonts w:ascii="Arial" w:hAnsi="Arial" w:cs="Arial"/>
          <w:i/>
          <w:iCs/>
        </w:rPr>
        <w:t>Journal of Development Economics, 80</w:t>
      </w:r>
      <w:r w:rsidRPr="00E76534">
        <w:rPr>
          <w:rFonts w:ascii="Arial" w:hAnsi="Arial" w:cs="Arial"/>
        </w:rPr>
        <w:t>(1), 1–38. </w:t>
      </w:r>
      <w:hyperlink r:id="rId54" w:tgtFrame="_new" w:history="1">
        <w:r w:rsidRPr="00E76534">
          <w:rPr>
            <w:rStyle w:val="Hyperlink"/>
            <w:rFonts w:ascii="Arial" w:hAnsi="Arial" w:cs="Arial"/>
          </w:rPr>
          <w:t>https://doi.org/10.1016/j.jdeveco.2005.01.002</w:t>
        </w:r>
      </w:hyperlink>
    </w:p>
    <w:p w14:paraId="4E53B19A" w14:textId="77777777" w:rsidR="00EB543B" w:rsidRPr="00E76534" w:rsidRDefault="00EB543B" w:rsidP="00EB543B">
      <w:pPr>
        <w:rPr>
          <w:rFonts w:ascii="Arial" w:hAnsi="Arial" w:cs="Arial"/>
        </w:rPr>
      </w:pPr>
      <w:proofErr w:type="spellStart"/>
      <w:r w:rsidRPr="00E76534">
        <w:rPr>
          <w:rFonts w:ascii="Arial" w:hAnsi="Arial" w:cs="Arial"/>
        </w:rPr>
        <w:t>Myrskylä</w:t>
      </w:r>
      <w:proofErr w:type="spellEnd"/>
      <w:r w:rsidRPr="00E76534">
        <w:rPr>
          <w:rFonts w:ascii="Arial" w:hAnsi="Arial" w:cs="Arial"/>
        </w:rPr>
        <w:t xml:space="preserve">, M., </w:t>
      </w:r>
      <w:proofErr w:type="spellStart"/>
      <w:r w:rsidRPr="00E76534">
        <w:rPr>
          <w:rFonts w:ascii="Arial" w:hAnsi="Arial" w:cs="Arial"/>
        </w:rPr>
        <w:t>Hellstrand</w:t>
      </w:r>
      <w:proofErr w:type="spellEnd"/>
      <w:r w:rsidRPr="00E76534">
        <w:rPr>
          <w:rFonts w:ascii="Arial" w:hAnsi="Arial" w:cs="Arial"/>
        </w:rPr>
        <w:t xml:space="preserve">, J., Lappo, S., Lorenti, A., </w:t>
      </w:r>
      <w:proofErr w:type="spellStart"/>
      <w:r w:rsidRPr="00E76534">
        <w:rPr>
          <w:rFonts w:ascii="Arial" w:hAnsi="Arial" w:cs="Arial"/>
        </w:rPr>
        <w:t>Nisén</w:t>
      </w:r>
      <w:proofErr w:type="spellEnd"/>
      <w:r w:rsidRPr="00E76534">
        <w:rPr>
          <w:rFonts w:ascii="Arial" w:hAnsi="Arial" w:cs="Arial"/>
        </w:rPr>
        <w:t xml:space="preserve">, J., Rao, Z., &amp; </w:t>
      </w:r>
      <w:proofErr w:type="spellStart"/>
      <w:r w:rsidRPr="00E76534">
        <w:rPr>
          <w:rFonts w:ascii="Arial" w:hAnsi="Arial" w:cs="Arial"/>
        </w:rPr>
        <w:t>Tikanmäki</w:t>
      </w:r>
      <w:proofErr w:type="spellEnd"/>
      <w:r w:rsidRPr="00E76534">
        <w:rPr>
          <w:rFonts w:ascii="Arial" w:hAnsi="Arial" w:cs="Arial"/>
        </w:rPr>
        <w:t>, H. (2024). Declining fertility, human capital investment, and economic sustainability. </w:t>
      </w:r>
      <w:r w:rsidRPr="00E76534">
        <w:rPr>
          <w:rFonts w:ascii="Arial" w:hAnsi="Arial" w:cs="Arial"/>
          <w:i/>
          <w:iCs/>
        </w:rPr>
        <w:t>Demography</w:t>
      </w:r>
      <w:r w:rsidRPr="00E76534">
        <w:rPr>
          <w:rFonts w:ascii="Arial" w:hAnsi="Arial" w:cs="Arial"/>
        </w:rPr>
        <w:t>. Advance online publication. </w:t>
      </w:r>
      <w:hyperlink r:id="rId55" w:tgtFrame="_new" w:history="1">
        <w:r w:rsidRPr="00E76534">
          <w:rPr>
            <w:rStyle w:val="Hyperlink"/>
            <w:rFonts w:ascii="Arial" w:hAnsi="Arial" w:cs="Arial"/>
          </w:rPr>
          <w:t>https://doi.org/10.4054/mpidr-wp-2024-002</w:t>
        </w:r>
      </w:hyperlink>
    </w:p>
    <w:p w14:paraId="7BD148F1" w14:textId="77777777" w:rsidR="00EB543B" w:rsidRPr="00E76534" w:rsidRDefault="00EB543B" w:rsidP="00EB543B">
      <w:pPr>
        <w:rPr>
          <w:rFonts w:ascii="Arial" w:hAnsi="Arial" w:cs="Arial"/>
        </w:rPr>
      </w:pPr>
      <w:r w:rsidRPr="00E76534">
        <w:rPr>
          <w:rFonts w:ascii="Arial" w:hAnsi="Arial" w:cs="Arial"/>
        </w:rPr>
        <w:t>Narita, R., &amp; Diaz, M. (2016). Teenage motherhood, education, and labor market outcomes of the mother: Evidence from Brazilian data. </w:t>
      </w:r>
      <w:r w:rsidRPr="00E76534">
        <w:rPr>
          <w:rFonts w:ascii="Arial" w:hAnsi="Arial" w:cs="Arial"/>
          <w:i/>
          <w:iCs/>
        </w:rPr>
        <w:t>Economics of Education Review, 54</w:t>
      </w:r>
      <w:r w:rsidRPr="00E76534">
        <w:rPr>
          <w:rFonts w:ascii="Arial" w:hAnsi="Arial" w:cs="Arial"/>
        </w:rPr>
        <w:t>, 238–252. https://doi.org/10.1016/j.econedurev.2016.05.003</w:t>
      </w:r>
    </w:p>
    <w:p w14:paraId="26E84A40" w14:textId="77777777" w:rsidR="00EB543B" w:rsidRPr="00E76534" w:rsidRDefault="00EB543B" w:rsidP="00EB543B">
      <w:pPr>
        <w:rPr>
          <w:rFonts w:ascii="Arial" w:hAnsi="Arial" w:cs="Arial"/>
        </w:rPr>
      </w:pPr>
      <w:r w:rsidRPr="00E76534">
        <w:rPr>
          <w:rFonts w:ascii="Arial" w:hAnsi="Arial" w:cs="Arial"/>
        </w:rPr>
        <w:t xml:space="preserve">Ní </w:t>
      </w:r>
      <w:proofErr w:type="spellStart"/>
      <w:r w:rsidRPr="00E76534">
        <w:rPr>
          <w:rFonts w:ascii="Arial" w:hAnsi="Arial" w:cs="Arial"/>
        </w:rPr>
        <w:t>Bhrolcháin</w:t>
      </w:r>
      <w:proofErr w:type="spellEnd"/>
      <w:r w:rsidRPr="00E76534">
        <w:rPr>
          <w:rFonts w:ascii="Arial" w:hAnsi="Arial" w:cs="Arial"/>
        </w:rPr>
        <w:t xml:space="preserve">, M., &amp; </w:t>
      </w:r>
      <w:proofErr w:type="spellStart"/>
      <w:r w:rsidRPr="00E76534">
        <w:rPr>
          <w:rFonts w:ascii="Arial" w:hAnsi="Arial" w:cs="Arial"/>
        </w:rPr>
        <w:t>Beaujouan</w:t>
      </w:r>
      <w:proofErr w:type="spellEnd"/>
      <w:r w:rsidRPr="00E76534">
        <w:rPr>
          <w:rFonts w:ascii="Arial" w:hAnsi="Arial" w:cs="Arial"/>
        </w:rPr>
        <w:t>, É. (2012). Fertility postponement is largely due to rising educational enrolment. </w:t>
      </w:r>
      <w:r w:rsidRPr="00E76534">
        <w:rPr>
          <w:rFonts w:ascii="Arial" w:hAnsi="Arial" w:cs="Arial"/>
          <w:i/>
          <w:iCs/>
        </w:rPr>
        <w:t>Population Studies, 66</w:t>
      </w:r>
      <w:r w:rsidRPr="00E76534">
        <w:rPr>
          <w:rFonts w:ascii="Arial" w:hAnsi="Arial" w:cs="Arial"/>
        </w:rPr>
        <w:t>(3), 311–327. </w:t>
      </w:r>
      <w:hyperlink r:id="rId56" w:tgtFrame="_new" w:history="1">
        <w:r w:rsidRPr="00E76534">
          <w:rPr>
            <w:rStyle w:val="Hyperlink"/>
            <w:rFonts w:ascii="Arial" w:hAnsi="Arial" w:cs="Arial"/>
          </w:rPr>
          <w:t>https://doi.org/10.1080/00324728.2012.697569</w:t>
        </w:r>
      </w:hyperlink>
    </w:p>
    <w:p w14:paraId="3875471A" w14:textId="77777777" w:rsidR="00EB543B" w:rsidRPr="00E76534" w:rsidRDefault="00EB543B" w:rsidP="00EB543B">
      <w:pPr>
        <w:rPr>
          <w:rFonts w:ascii="Arial" w:hAnsi="Arial" w:cs="Arial"/>
        </w:rPr>
      </w:pPr>
      <w:r w:rsidRPr="00E76534">
        <w:rPr>
          <w:rFonts w:ascii="Arial" w:hAnsi="Arial" w:cs="Arial"/>
        </w:rPr>
        <w:t>Olivetti, C., &amp; Petrongolo, B. (2017). The economic consequences of family policies: Lessons from a century of legislation in high-income countries. </w:t>
      </w:r>
      <w:r w:rsidRPr="00E76534">
        <w:rPr>
          <w:rFonts w:ascii="Arial" w:hAnsi="Arial" w:cs="Arial"/>
          <w:i/>
          <w:iCs/>
        </w:rPr>
        <w:t>Journal of Economic Perspectives, 31</w:t>
      </w:r>
      <w:r w:rsidRPr="00E76534">
        <w:rPr>
          <w:rFonts w:ascii="Arial" w:hAnsi="Arial" w:cs="Arial"/>
        </w:rPr>
        <w:t>(1), 205–230. </w:t>
      </w:r>
      <w:hyperlink r:id="rId57" w:tgtFrame="_new" w:history="1">
        <w:r w:rsidRPr="00E76534">
          <w:rPr>
            <w:rStyle w:val="Hyperlink"/>
            <w:rFonts w:ascii="Arial" w:hAnsi="Arial" w:cs="Arial"/>
          </w:rPr>
          <w:t>https://doi.org/10.1257/jep.31.1.205</w:t>
        </w:r>
      </w:hyperlink>
    </w:p>
    <w:p w14:paraId="06357FB9" w14:textId="77777777" w:rsidR="00EB543B" w:rsidRPr="00E76534" w:rsidRDefault="00EB543B" w:rsidP="00EB543B">
      <w:pPr>
        <w:rPr>
          <w:rFonts w:ascii="Arial" w:hAnsi="Arial" w:cs="Arial"/>
        </w:rPr>
      </w:pPr>
      <w:proofErr w:type="spellStart"/>
      <w:r w:rsidRPr="00E76534">
        <w:rPr>
          <w:rFonts w:ascii="Arial" w:hAnsi="Arial" w:cs="Arial"/>
        </w:rPr>
        <w:t>Pesaran</w:t>
      </w:r>
      <w:proofErr w:type="spellEnd"/>
      <w:r w:rsidRPr="00E76534">
        <w:rPr>
          <w:rFonts w:ascii="Arial" w:hAnsi="Arial" w:cs="Arial"/>
        </w:rPr>
        <w:t>, M. H. (2004). </w:t>
      </w:r>
      <w:r w:rsidRPr="00E76534">
        <w:rPr>
          <w:rFonts w:ascii="Arial" w:hAnsi="Arial" w:cs="Arial"/>
          <w:i/>
          <w:iCs/>
        </w:rPr>
        <w:t>General diagnostic tests for cross section dependence in panels</w:t>
      </w:r>
      <w:r w:rsidRPr="00E76534">
        <w:rPr>
          <w:rFonts w:ascii="Arial" w:hAnsi="Arial" w:cs="Arial"/>
        </w:rPr>
        <w:t> (</w:t>
      </w:r>
      <w:proofErr w:type="spellStart"/>
      <w:r w:rsidRPr="00E76534">
        <w:rPr>
          <w:rFonts w:ascii="Arial" w:hAnsi="Arial" w:cs="Arial"/>
        </w:rPr>
        <w:t>CESifo</w:t>
      </w:r>
      <w:proofErr w:type="spellEnd"/>
      <w:r w:rsidRPr="00E76534">
        <w:rPr>
          <w:rFonts w:ascii="Arial" w:hAnsi="Arial" w:cs="Arial"/>
        </w:rPr>
        <w:t xml:space="preserve"> Working Paper No. 1229). CESifo. https://www.cesifo.org/en/publications/2004/working-paper/general-diagnostic-tests-cross-section-dependence</w:t>
      </w:r>
    </w:p>
    <w:p w14:paraId="4D71966D" w14:textId="77777777" w:rsidR="00EB543B" w:rsidRPr="00E76534" w:rsidRDefault="00EB543B" w:rsidP="00EB543B">
      <w:pPr>
        <w:rPr>
          <w:rFonts w:ascii="Arial" w:hAnsi="Arial" w:cs="Arial"/>
        </w:rPr>
      </w:pPr>
      <w:r w:rsidRPr="00E76534">
        <w:rPr>
          <w:rFonts w:ascii="Arial" w:hAnsi="Arial" w:cs="Arial"/>
        </w:rPr>
        <w:t>Perry, S. L. (2022). </w:t>
      </w:r>
      <w:r w:rsidRPr="00E76534">
        <w:rPr>
          <w:rFonts w:ascii="Arial" w:hAnsi="Arial" w:cs="Arial"/>
          <w:i/>
          <w:iCs/>
        </w:rPr>
        <w:t>Growing God’s family: The global politics of Christian nationalism</w:t>
      </w:r>
      <w:r w:rsidRPr="00E76534">
        <w:rPr>
          <w:rFonts w:ascii="Arial" w:hAnsi="Arial" w:cs="Arial"/>
        </w:rPr>
        <w:t>. NYU Press.</w:t>
      </w:r>
    </w:p>
    <w:p w14:paraId="19A4B29C" w14:textId="77777777" w:rsidR="00EB543B" w:rsidRPr="00E76534" w:rsidRDefault="00EB543B" w:rsidP="00EB543B">
      <w:pPr>
        <w:rPr>
          <w:rFonts w:ascii="Arial" w:hAnsi="Arial" w:cs="Arial"/>
        </w:rPr>
      </w:pPr>
      <w:r w:rsidRPr="00E76534">
        <w:rPr>
          <w:rFonts w:ascii="Arial" w:hAnsi="Arial" w:cs="Arial"/>
        </w:rPr>
        <w:t>Schnabel, L. (2021). Secularism and fertility worldwide. </w:t>
      </w:r>
      <w:r w:rsidRPr="00E76534">
        <w:rPr>
          <w:rFonts w:ascii="Arial" w:hAnsi="Arial" w:cs="Arial"/>
          <w:i/>
          <w:iCs/>
        </w:rPr>
        <w:t>Socius: Sociological Research for a Dynamic World, 7</w:t>
      </w:r>
      <w:r w:rsidRPr="00E76534">
        <w:rPr>
          <w:rFonts w:ascii="Arial" w:hAnsi="Arial" w:cs="Arial"/>
        </w:rPr>
        <w:t>, Article 2378023121103132. </w:t>
      </w:r>
      <w:hyperlink r:id="rId58" w:tgtFrame="_new" w:history="1">
        <w:r w:rsidRPr="00E76534">
          <w:rPr>
            <w:rStyle w:val="Hyperlink"/>
            <w:rFonts w:ascii="Arial" w:hAnsi="Arial" w:cs="Arial"/>
          </w:rPr>
          <w:t>https://doi.org/10.1177/2378023121103132</w:t>
        </w:r>
      </w:hyperlink>
    </w:p>
    <w:p w14:paraId="5E64CA6F" w14:textId="77777777" w:rsidR="00EB543B" w:rsidRPr="00E76534" w:rsidRDefault="00EB543B" w:rsidP="00EB543B">
      <w:pPr>
        <w:rPr>
          <w:rFonts w:ascii="Arial" w:hAnsi="Arial" w:cs="Arial"/>
        </w:rPr>
      </w:pPr>
      <w:r w:rsidRPr="00E76534">
        <w:rPr>
          <w:rFonts w:ascii="Arial" w:hAnsi="Arial" w:cs="Arial"/>
        </w:rPr>
        <w:t>Silva, M., &amp; Klasen, S. (2021). Gender inequality as a barrier to economic growth: A review of the theoretical literature. </w:t>
      </w:r>
      <w:r w:rsidRPr="00E76534">
        <w:rPr>
          <w:rFonts w:ascii="Arial" w:hAnsi="Arial" w:cs="Arial"/>
          <w:i/>
          <w:iCs/>
        </w:rPr>
        <w:t>Review of Economics of the Household, 19</w:t>
      </w:r>
      <w:r w:rsidRPr="00E76534">
        <w:rPr>
          <w:rFonts w:ascii="Arial" w:hAnsi="Arial" w:cs="Arial"/>
        </w:rPr>
        <w:t>, 581–614. </w:t>
      </w:r>
      <w:hyperlink r:id="rId59" w:tgtFrame="_new" w:history="1">
        <w:r w:rsidRPr="00E76534">
          <w:rPr>
            <w:rStyle w:val="Hyperlink"/>
            <w:rFonts w:ascii="Arial" w:hAnsi="Arial" w:cs="Arial"/>
          </w:rPr>
          <w:t>https://doi.org/10.1007/s11150-020-09535-6</w:t>
        </w:r>
      </w:hyperlink>
    </w:p>
    <w:p w14:paraId="5BB6F444" w14:textId="77777777" w:rsidR="00EB543B" w:rsidRPr="00E76534" w:rsidRDefault="00EB543B" w:rsidP="00EB543B">
      <w:pPr>
        <w:rPr>
          <w:rFonts w:ascii="Arial" w:hAnsi="Arial" w:cs="Arial"/>
        </w:rPr>
      </w:pPr>
      <w:r w:rsidRPr="00E76534">
        <w:rPr>
          <w:rFonts w:ascii="Arial" w:hAnsi="Arial" w:cs="Arial"/>
        </w:rPr>
        <w:t>Su, J. H., &amp; Musick, K. (2024). How sexism in institutions and everyday interactions shapes early childbearing. </w:t>
      </w:r>
      <w:r w:rsidRPr="00E76534">
        <w:rPr>
          <w:rFonts w:ascii="Arial" w:hAnsi="Arial" w:cs="Arial"/>
          <w:i/>
          <w:iCs/>
        </w:rPr>
        <w:t>American Sociological Review, 89</w:t>
      </w:r>
      <w:r w:rsidRPr="00E76534">
        <w:rPr>
          <w:rFonts w:ascii="Arial" w:hAnsi="Arial" w:cs="Arial"/>
        </w:rPr>
        <w:t>(6), 1141–1180. </w:t>
      </w:r>
      <w:hyperlink r:id="rId60" w:tgtFrame="_new" w:history="1">
        <w:r w:rsidRPr="00E76534">
          <w:rPr>
            <w:rStyle w:val="Hyperlink"/>
            <w:rFonts w:ascii="Arial" w:hAnsi="Arial" w:cs="Arial"/>
          </w:rPr>
          <w:t>https://doi.org/10.1177/00031224241291602</w:t>
        </w:r>
      </w:hyperlink>
    </w:p>
    <w:p w14:paraId="14C5BCC8" w14:textId="77777777" w:rsidR="00EB543B" w:rsidRPr="00E76534" w:rsidRDefault="00EB543B" w:rsidP="00EB543B">
      <w:pPr>
        <w:rPr>
          <w:rFonts w:ascii="Arial" w:hAnsi="Arial" w:cs="Arial"/>
        </w:rPr>
      </w:pPr>
      <w:r w:rsidRPr="00E76534">
        <w:rPr>
          <w:rFonts w:ascii="Arial" w:hAnsi="Arial" w:cs="Arial"/>
        </w:rPr>
        <w:t xml:space="preserve">United Nations Development </w:t>
      </w:r>
      <w:proofErr w:type="spellStart"/>
      <w:r w:rsidRPr="00E76534">
        <w:rPr>
          <w:rFonts w:ascii="Arial" w:hAnsi="Arial" w:cs="Arial"/>
        </w:rPr>
        <w:t>Programme</w:t>
      </w:r>
      <w:proofErr w:type="spellEnd"/>
      <w:r w:rsidRPr="00E76534">
        <w:rPr>
          <w:rFonts w:ascii="Arial" w:hAnsi="Arial" w:cs="Arial"/>
        </w:rPr>
        <w:t>. (2023). </w:t>
      </w:r>
      <w:r w:rsidRPr="00E76534">
        <w:rPr>
          <w:rFonts w:ascii="Arial" w:hAnsi="Arial" w:cs="Arial"/>
          <w:i/>
          <w:iCs/>
        </w:rPr>
        <w:t>Human development report 2023/24</w:t>
      </w:r>
      <w:r w:rsidRPr="00E76534">
        <w:rPr>
          <w:rFonts w:ascii="Arial" w:hAnsi="Arial" w:cs="Arial"/>
        </w:rPr>
        <w:t>. UNDP. </w:t>
      </w:r>
      <w:hyperlink r:id="rId61" w:tgtFrame="_new" w:history="1">
        <w:r w:rsidRPr="00E76534">
          <w:rPr>
            <w:rStyle w:val="Hyperlink"/>
            <w:rFonts w:ascii="Arial" w:hAnsi="Arial" w:cs="Arial"/>
          </w:rPr>
          <w:t>https://hdr.undp.org/content/human-development-report-2023-24</w:t>
        </w:r>
      </w:hyperlink>
    </w:p>
    <w:p w14:paraId="00E8039A" w14:textId="77777777" w:rsidR="00EB543B" w:rsidRPr="00E76534" w:rsidRDefault="00EB543B" w:rsidP="00EB543B">
      <w:pPr>
        <w:rPr>
          <w:rFonts w:ascii="Arial" w:hAnsi="Arial" w:cs="Arial"/>
        </w:rPr>
      </w:pPr>
      <w:r w:rsidRPr="00E76534">
        <w:rPr>
          <w:rFonts w:ascii="Arial" w:hAnsi="Arial" w:cs="Arial"/>
        </w:rPr>
        <w:t>Van Ditmars, T., &amp; Bernardi, L. (2023). Political socialization, parental separation, and political ideology in adulthood. </w:t>
      </w:r>
      <w:r w:rsidRPr="00E76534">
        <w:rPr>
          <w:rFonts w:ascii="Arial" w:hAnsi="Arial" w:cs="Arial"/>
          <w:i/>
          <w:iCs/>
        </w:rPr>
        <w:t>Frontiers in Political Science, 5</w:t>
      </w:r>
      <w:r w:rsidRPr="00E76534">
        <w:rPr>
          <w:rFonts w:ascii="Arial" w:hAnsi="Arial" w:cs="Arial"/>
        </w:rPr>
        <w:t>, Article 1089671. </w:t>
      </w:r>
      <w:hyperlink r:id="rId62" w:tgtFrame="_new" w:history="1">
        <w:r w:rsidRPr="00E76534">
          <w:rPr>
            <w:rStyle w:val="Hyperlink"/>
            <w:rFonts w:ascii="Arial" w:hAnsi="Arial" w:cs="Arial"/>
          </w:rPr>
          <w:t>https://doi.org/10.3389/fpos.2023.1089671</w:t>
        </w:r>
      </w:hyperlink>
    </w:p>
    <w:p w14:paraId="5FDECE3C" w14:textId="77777777" w:rsidR="00EB543B" w:rsidRPr="00E76534" w:rsidRDefault="00EB543B" w:rsidP="00EB543B">
      <w:pPr>
        <w:rPr>
          <w:rFonts w:ascii="Arial" w:hAnsi="Arial" w:cs="Arial"/>
        </w:rPr>
      </w:pPr>
      <w:r w:rsidRPr="00E76534">
        <w:rPr>
          <w:rFonts w:ascii="Arial" w:hAnsi="Arial" w:cs="Arial"/>
        </w:rPr>
        <w:t>Waldfogel, J. (1997). The effect of children on women’s wages. </w:t>
      </w:r>
      <w:r w:rsidRPr="00E76534">
        <w:rPr>
          <w:rFonts w:ascii="Arial" w:hAnsi="Arial" w:cs="Arial"/>
          <w:i/>
          <w:iCs/>
        </w:rPr>
        <w:t>American Sociological Review, 62</w:t>
      </w:r>
      <w:r w:rsidRPr="00E76534">
        <w:rPr>
          <w:rFonts w:ascii="Arial" w:hAnsi="Arial" w:cs="Arial"/>
        </w:rPr>
        <w:t>(2), 209–217. </w:t>
      </w:r>
      <w:hyperlink r:id="rId63" w:tgtFrame="_new" w:history="1">
        <w:r w:rsidRPr="00E76534">
          <w:rPr>
            <w:rStyle w:val="Hyperlink"/>
            <w:rFonts w:ascii="Arial" w:hAnsi="Arial" w:cs="Arial"/>
          </w:rPr>
          <w:t>https://www.jstor.org/stable/2657300</w:t>
        </w:r>
      </w:hyperlink>
    </w:p>
    <w:p w14:paraId="019AC2D9" w14:textId="77777777" w:rsidR="00EB543B" w:rsidRPr="00E76534" w:rsidRDefault="00EB543B" w:rsidP="00EB543B">
      <w:pPr>
        <w:rPr>
          <w:rFonts w:ascii="Arial" w:hAnsi="Arial" w:cs="Arial"/>
        </w:rPr>
      </w:pPr>
      <w:r w:rsidRPr="00E76534">
        <w:rPr>
          <w:rFonts w:ascii="Arial" w:hAnsi="Arial" w:cs="Arial"/>
        </w:rPr>
        <w:t>Wilcox, W. B., &amp; Wolfinger, N. H. (2016). </w:t>
      </w:r>
      <w:r w:rsidRPr="00E76534">
        <w:rPr>
          <w:rFonts w:ascii="Arial" w:hAnsi="Arial" w:cs="Arial"/>
          <w:i/>
          <w:iCs/>
        </w:rPr>
        <w:t>Soul mates: Religion, sex, love, and marriage among African Americans and Latinos</w:t>
      </w:r>
      <w:r w:rsidRPr="00E76534">
        <w:rPr>
          <w:rFonts w:ascii="Arial" w:hAnsi="Arial" w:cs="Arial"/>
        </w:rPr>
        <w:t>. Oxford University Press.</w:t>
      </w:r>
    </w:p>
    <w:p w14:paraId="29319EC1" w14:textId="77777777" w:rsidR="00EB543B" w:rsidRPr="00E76534" w:rsidRDefault="00EB543B" w:rsidP="00EB543B">
      <w:pPr>
        <w:rPr>
          <w:rFonts w:ascii="Arial" w:hAnsi="Arial" w:cs="Arial"/>
        </w:rPr>
      </w:pPr>
      <w:r w:rsidRPr="00E76534">
        <w:rPr>
          <w:rFonts w:ascii="Arial" w:hAnsi="Arial" w:cs="Arial"/>
        </w:rPr>
        <w:t>World Bank. (2012). </w:t>
      </w:r>
      <w:r w:rsidRPr="00E76534">
        <w:rPr>
          <w:rFonts w:ascii="Arial" w:hAnsi="Arial" w:cs="Arial"/>
          <w:i/>
          <w:iCs/>
        </w:rPr>
        <w:t>World development report 2012: Gender equality and development</w:t>
      </w:r>
      <w:r w:rsidRPr="00E76534">
        <w:rPr>
          <w:rFonts w:ascii="Arial" w:hAnsi="Arial" w:cs="Arial"/>
        </w:rPr>
        <w:t>. World Bank. </w:t>
      </w:r>
      <w:hyperlink r:id="rId64" w:tgtFrame="_new" w:history="1">
        <w:r w:rsidRPr="00E76534">
          <w:rPr>
            <w:rStyle w:val="Hyperlink"/>
            <w:rFonts w:ascii="Arial" w:hAnsi="Arial" w:cs="Arial"/>
          </w:rPr>
          <w:t>https://openknowledge.worldbank.org/entities/publication/51c285f6-0200-590c-97d3-95b937be3271</w:t>
        </w:r>
      </w:hyperlink>
    </w:p>
    <w:p w14:paraId="6FA41420" w14:textId="77777777" w:rsidR="00EB543B" w:rsidRPr="00E76534" w:rsidRDefault="00EB543B" w:rsidP="00EB543B">
      <w:pPr>
        <w:rPr>
          <w:rFonts w:ascii="Arial" w:hAnsi="Arial" w:cs="Arial"/>
        </w:rPr>
      </w:pPr>
      <w:r w:rsidRPr="00E76534">
        <w:rPr>
          <w:rFonts w:ascii="Arial" w:hAnsi="Arial" w:cs="Arial"/>
        </w:rPr>
        <w:t>Yoshimori, M., &amp; Halbleib, J. F. (2026, January 31). The price of presence and the new gender pay gap. </w:t>
      </w:r>
      <w:r w:rsidRPr="00E76534">
        <w:rPr>
          <w:rFonts w:ascii="Arial" w:hAnsi="Arial" w:cs="Arial"/>
          <w:i/>
          <w:iCs/>
        </w:rPr>
        <w:t>Fair Observer</w:t>
      </w:r>
      <w:r w:rsidRPr="00E76534">
        <w:rPr>
          <w:rFonts w:ascii="Arial" w:hAnsi="Arial" w:cs="Arial"/>
        </w:rPr>
        <w:t>. </w:t>
      </w:r>
      <w:hyperlink r:id="rId65" w:tgtFrame="_new" w:history="1">
        <w:r w:rsidRPr="00E76534">
          <w:rPr>
            <w:rStyle w:val="Hyperlink"/>
            <w:rFonts w:ascii="Arial" w:hAnsi="Arial" w:cs="Arial"/>
          </w:rPr>
          <w:t>https://www.fairobserver.com/economics/the-price-of-presence-and-the-new-gender-pay-gap/</w:t>
        </w:r>
      </w:hyperlink>
    </w:p>
    <w:p w14:paraId="7143429F" w14:textId="5D373B65" w:rsidR="001B5C19" w:rsidRDefault="00EB543B" w:rsidP="008F7670">
      <w:pPr>
        <w:rPr>
          <w:rFonts w:ascii="Arial" w:hAnsi="Arial" w:cs="Arial"/>
        </w:rPr>
      </w:pPr>
      <w:r w:rsidRPr="00E76534">
        <w:rPr>
          <w:rFonts w:ascii="Arial" w:hAnsi="Arial" w:cs="Arial"/>
        </w:rPr>
        <w:t>Zaidi, B., &amp; Morgan, S. P. (2017). The second demographic transition theory: A review and appraisal. </w:t>
      </w:r>
      <w:r w:rsidRPr="00E76534">
        <w:rPr>
          <w:rFonts w:ascii="Arial" w:hAnsi="Arial" w:cs="Arial"/>
          <w:i/>
          <w:iCs/>
        </w:rPr>
        <w:t>Annual Review of Sociology, 43</w:t>
      </w:r>
      <w:r w:rsidRPr="00E76534">
        <w:rPr>
          <w:rFonts w:ascii="Arial" w:hAnsi="Arial" w:cs="Arial"/>
        </w:rPr>
        <w:t>, 473–492. </w:t>
      </w:r>
      <w:hyperlink r:id="rId66" w:history="1">
        <w:r w:rsidRPr="00E76534">
          <w:rPr>
            <w:rStyle w:val="Hyperlink"/>
            <w:rFonts w:ascii="Arial" w:hAnsi="Arial" w:cs="Arial"/>
          </w:rPr>
          <w:t>https://doi.org/10.1146/annurev-soc-060116-053442</w:t>
        </w:r>
      </w:hyperlink>
    </w:p>
    <w:p w14:paraId="55CE5799" w14:textId="77777777" w:rsidR="001B5C19" w:rsidRDefault="001B5C19" w:rsidP="00010349">
      <w:pPr>
        <w:pStyle w:val="Body"/>
        <w:spacing w:after="0"/>
        <w:rPr>
          <w:rFonts w:ascii="Arial" w:hAnsi="Arial" w:cs="Arial"/>
        </w:rPr>
      </w:pPr>
    </w:p>
    <w:p w14:paraId="7291DE5A" w14:textId="00B625AB" w:rsidR="004D4277" w:rsidRPr="00FB3A86" w:rsidRDefault="004D4277" w:rsidP="00441B6F">
      <w:pPr>
        <w:pStyle w:val="Appendix"/>
        <w:spacing w:after="0"/>
        <w:jc w:val="both"/>
        <w:rPr>
          <w:rFonts w:ascii="Arial" w:hAnsi="Arial" w:cs="Arial"/>
          <w:b w:val="0"/>
        </w:rPr>
        <w:sectPr w:rsidR="004D4277" w:rsidRPr="00FB3A86" w:rsidSect="005A2F54">
          <w:headerReference w:type="even" r:id="rId67"/>
          <w:headerReference w:type="default" r:id="rId68"/>
          <w:footerReference w:type="default" r:id="rId69"/>
          <w:headerReference w:type="first" r:id="rId70"/>
          <w:type w:val="continuous"/>
          <w:pgSz w:w="12240" w:h="15840"/>
          <w:pgMar w:top="1440" w:right="2016" w:bottom="2016" w:left="2016" w:header="720" w:footer="1123" w:gutter="0"/>
          <w:cols w:space="720"/>
          <w:docGrid w:linePitch="272"/>
        </w:sectPr>
      </w:pPr>
    </w:p>
    <w:p w14:paraId="610C073F" w14:textId="77777777" w:rsidR="00B01FCD" w:rsidRPr="00FB3A86" w:rsidRDefault="00B01FCD" w:rsidP="00441B6F">
      <w:pPr>
        <w:pStyle w:val="Appendix"/>
        <w:spacing w:after="0"/>
        <w:jc w:val="both"/>
        <w:rPr>
          <w:rFonts w:ascii="Arial" w:hAnsi="Arial" w:cs="Arial"/>
          <w:b w:val="0"/>
        </w:rPr>
      </w:pPr>
    </w:p>
    <w:sectPr w:rsidR="00B01FCD" w:rsidRPr="00FB3A86" w:rsidSect="005A2F5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6FE1B" w14:textId="77777777" w:rsidR="00105201" w:rsidRDefault="00105201" w:rsidP="00C37E61">
      <w:r>
        <w:separator/>
      </w:r>
    </w:p>
  </w:endnote>
  <w:endnote w:type="continuationSeparator" w:id="0">
    <w:p w14:paraId="119F17F7" w14:textId="77777777" w:rsidR="00105201" w:rsidRDefault="0010520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eiryo">
    <w:charset w:val="80"/>
    <w:family w:val="swiss"/>
    <w:pitch w:val="variable"/>
    <w:sig w:usb0="E00002FF" w:usb1="6AC7FFFF"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F9550" w14:textId="77777777" w:rsidR="00964747" w:rsidRDefault="00964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34051" w14:textId="77777777" w:rsidR="00964747" w:rsidRDefault="009647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04D2C" w14:textId="77777777" w:rsidR="009E048A" w:rsidRDefault="009E048A">
    <w:pPr>
      <w:pStyle w:val="Footer"/>
      <w:rPr>
        <w:rFonts w:ascii="Arial" w:hAnsi="Arial" w:cs="Arial"/>
        <w:sz w:val="16"/>
      </w:rPr>
    </w:pPr>
  </w:p>
  <w:p w14:paraId="029D4D1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7A2C5AA" w14:textId="77777777" w:rsidR="009E048A" w:rsidRDefault="009E048A">
    <w:pPr>
      <w:pStyle w:val="Footer"/>
      <w:rPr>
        <w:rFonts w:ascii="Arial" w:hAnsi="Arial" w:cs="Arial"/>
        <w:sz w:val="16"/>
      </w:rPr>
    </w:pPr>
  </w:p>
  <w:p w14:paraId="6A85FCF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E4C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A46B8" w14:textId="77777777" w:rsidR="00105201" w:rsidRDefault="00105201" w:rsidP="00C37E61">
      <w:r>
        <w:separator/>
      </w:r>
    </w:p>
  </w:footnote>
  <w:footnote w:type="continuationSeparator" w:id="0">
    <w:p w14:paraId="1A6EB889" w14:textId="77777777" w:rsidR="00105201" w:rsidRDefault="00105201" w:rsidP="00C37E61">
      <w:r>
        <w:continuationSeparator/>
      </w:r>
    </w:p>
  </w:footnote>
  <w:footnote w:id="1">
    <w:p w14:paraId="3A37369F" w14:textId="77777777" w:rsidR="00422E2F" w:rsidRPr="00D264B7" w:rsidRDefault="00422E2F" w:rsidP="00422E2F">
      <w:pPr>
        <w:pStyle w:val="FootnoteText"/>
        <w:rPr>
          <w:rFonts w:ascii="Arial" w:hAnsi="Arial" w:cs="Arial"/>
          <w:sz w:val="18"/>
          <w:szCs w:val="18"/>
        </w:rPr>
      </w:pPr>
      <w:r w:rsidRPr="00D264B7">
        <w:rPr>
          <w:rStyle w:val="FootnoteReference"/>
          <w:rFonts w:ascii="Arial" w:hAnsi="Arial" w:cs="Arial"/>
          <w:sz w:val="18"/>
          <w:szCs w:val="18"/>
        </w:rPr>
        <w:footnoteRef/>
      </w:r>
      <w:r w:rsidRPr="00D264B7">
        <w:rPr>
          <w:rFonts w:ascii="Arial" w:hAnsi="Arial" w:cs="Arial"/>
          <w:sz w:val="18"/>
          <w:szCs w:val="18"/>
        </w:rPr>
        <w:t xml:space="preserve"> Afghanistan, Australia, Austria, Bahamas, Bahrain, Bangladesh, Barbados, Belgium, Brunei, Canada, Chile, China, Colombia, Congo, Costa Rica, Cote d'Ivoire, Croatia, Cuba, Cyprus, Czechia, Egypt, Estonia, Eswatini, Finland, France, Gambia, Germany, Ghana, Greece, Guinea, Guyana, Haiti, Honduras, Hong Kong, Hungary, Iceland, India, Indonesia, Iran, Iraq, Ireland, Israel, Italy, Japan, Jordan, Kenya, Kuwait, Latvia, Malawi, Mali, Malta, Mexico, Morocco, Mozambique, Myanmar, Namibia, Nepal, Netherlands, New Zealand, Nigeria, Norway, Pakistan, Philippines, Poland, Portugal, Qatar, Reunion, Saint Lucia, Samoa, Saudi Arabia, Senegal, Serbia, Sierra Leone, Singapore, Slovakia, Slovenia, South Africa, Spain, Sri Lanka, Sudan, Sweden, Switzerland, Syria, Tanzania, Thailand, Togo, Trinidad and Tobago, Tunisia, Turkey, Tuvalu, Uganda, Ukraine, United Arab Emirates, United Kingdom, United States, Uruguay, Vietnam, Yemen, Zambia, Zimbabwe</w:t>
      </w:r>
    </w:p>
  </w:footnote>
  <w:footnote w:id="2">
    <w:p w14:paraId="7A0F6CEB" w14:textId="77777777" w:rsidR="001B5C19" w:rsidRDefault="001B5C19" w:rsidP="001B5C19">
      <w:pPr>
        <w:pStyle w:val="FootnoteText"/>
      </w:pPr>
      <w:r>
        <w:rPr>
          <w:rStyle w:val="FootnoteReference"/>
        </w:rPr>
        <w:footnoteRef/>
      </w:r>
      <w:r>
        <w:t xml:space="preserve"> </w:t>
      </w:r>
      <w:r w:rsidRPr="00CD0FCB">
        <w:t xml:space="preserve">The turning point is computed as </w:t>
      </w:r>
      <m:oMath>
        <m:f>
          <m:fPr>
            <m:ctrlPr>
              <w:rPr>
                <w:rFonts w:ascii="Cambria Math" w:hAnsi="Cambria Math"/>
                <w:i/>
              </w:rPr>
            </m:ctrlPr>
          </m:fPr>
          <m:num>
            <m:sSub>
              <m:sSubPr>
                <m:ctrlPr>
                  <w:rPr>
                    <w:rFonts w:ascii="Cambria Math" w:hAnsi="Cambria Math"/>
                    <w:i/>
                  </w:rPr>
                </m:ctrlPr>
              </m:sSubPr>
              <m:e>
                <m:r>
                  <w:rPr>
                    <w:rFonts w:ascii="Cambria Math" w:hAnsi="Cambria Math"/>
                  </w:rPr>
                  <m:t>β</m:t>
                </m:r>
              </m:e>
              <m:sub>
                <m:r>
                  <w:rPr>
                    <w:rFonts w:ascii="Cambria Math" w:hAnsi="Cambria Math"/>
                  </w:rPr>
                  <m:t>1</m:t>
                </m:r>
              </m:sub>
            </m:sSub>
          </m:num>
          <m:den>
            <m:r>
              <m:rPr>
                <m:sty m:val="p"/>
              </m:rPr>
              <w:rPr>
                <w:rFonts w:ascii="Cambria Math" w:hAnsi="Cambria Math"/>
              </w:rPr>
              <m:t>2</m:t>
            </m:r>
            <m:sSub>
              <m:sSubPr>
                <m:ctrlPr>
                  <w:rPr>
                    <w:rFonts w:ascii="Cambria Math" w:hAnsi="Cambria Math"/>
                  </w:rPr>
                </m:ctrlPr>
              </m:sSubPr>
              <m:e>
                <m:r>
                  <w:rPr>
                    <w:rFonts w:ascii="Cambria Math" w:hAnsi="Cambria Math"/>
                  </w:rPr>
                  <m:t>β</m:t>
                </m:r>
              </m:e>
              <m:sub>
                <m:r>
                  <w:rPr>
                    <w:rFonts w:ascii="Cambria Math" w:hAnsi="Cambria Math"/>
                  </w:rPr>
                  <m:t>2</m:t>
                </m:r>
              </m:sub>
            </m:sSub>
          </m:den>
        </m:f>
      </m:oMath>
      <w:r w:rsidRPr="00CD0FCB">
        <w:t xml:space="preserve"> using the estimated coefficients on GII and GII². The marginal effect evaluated at the turning point is exactly zero by construction and is verified numerically using nonlinear combinations of estimators.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CD3F" w14:textId="1E2253EF" w:rsidR="00964747" w:rsidRDefault="00000000">
    <w:pPr>
      <w:pStyle w:val="Header"/>
    </w:pPr>
    <w:r>
      <w:rPr>
        <w:noProof/>
      </w:rPr>
      <w:pict w14:anchorId="58512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282" o:spid="_x0000_s1033"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00DEF" w14:textId="1F1431EA" w:rsidR="00964747" w:rsidRDefault="00000000">
    <w:pPr>
      <w:pStyle w:val="Header"/>
    </w:pPr>
    <w:r>
      <w:rPr>
        <w:noProof/>
      </w:rPr>
      <w:pict w14:anchorId="3DB5DF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283" o:spid="_x0000_s1032"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128EE" w14:textId="153A0BD0" w:rsidR="00296529" w:rsidRPr="00296529" w:rsidRDefault="00000000" w:rsidP="00296529">
    <w:pPr>
      <w:ind w:left="2160"/>
      <w:jc w:val="center"/>
      <w:rPr>
        <w:rFonts w:ascii="Times New Roman" w:eastAsia="Calibri" w:hAnsi="Times New Roman"/>
        <w:i/>
        <w:sz w:val="18"/>
        <w:szCs w:val="22"/>
      </w:rPr>
    </w:pPr>
    <w:r>
      <w:rPr>
        <w:noProof/>
      </w:rPr>
      <w:pict w14:anchorId="1BB950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281" o:spid="_x0000_s1031"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61EBE1F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148A0B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A4A5A1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16F9E8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22011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D903A2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6AEF" w14:textId="09DDCF3E" w:rsidR="00964747" w:rsidRDefault="00000000">
    <w:pPr>
      <w:pStyle w:val="Header"/>
    </w:pPr>
    <w:r>
      <w:rPr>
        <w:noProof/>
      </w:rPr>
      <w:pict w14:anchorId="2758E9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285" o:spid="_x0000_s1030" type="#_x0000_t136" alt="" style="position:absolute;margin-left:0;margin-top:0;width:519.9pt;height:58.65pt;rotation:315;z-index:-2516449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r>
      <w:rPr>
        <w:noProof/>
      </w:rPr>
      <w:pict w14:anchorId="70184CB1">
        <v:shape id="_x0000_s1029"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A0F7" w14:textId="4F9BAD1B" w:rsidR="00964747" w:rsidRDefault="00000000">
    <w:pPr>
      <w:pStyle w:val="Header"/>
    </w:pPr>
    <w:r>
      <w:rPr>
        <w:noProof/>
      </w:rPr>
      <w:pict w14:anchorId="34DB90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286" o:spid="_x0000_s1028" type="#_x0000_t136" alt="" style="position:absolute;margin-left:0;margin-top:0;width:519.9pt;height:58.65pt;rotation:315;z-index:-2516408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r>
      <w:rPr>
        <w:noProof/>
      </w:rPr>
      <w:pict w14:anchorId="3F558BBF">
        <v:shape id="_x0000_s1027" type="#_x0000_t136" alt="" style="position:absolute;margin-left:0;margin-top:0;width:519.9pt;height:58.65pt;rotation:315;z-index:-25164288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0AADD" w14:textId="0D6DB031" w:rsidR="00964747" w:rsidRPr="00296529" w:rsidRDefault="00000000" w:rsidP="00296529">
    <w:pPr>
      <w:ind w:left="2160"/>
      <w:jc w:val="center"/>
      <w:rPr>
        <w:rFonts w:ascii="Times New Roman" w:eastAsia="Calibri" w:hAnsi="Times New Roman"/>
        <w:i/>
        <w:sz w:val="18"/>
        <w:szCs w:val="22"/>
      </w:rPr>
    </w:pPr>
    <w:r>
      <w:rPr>
        <w:noProof/>
      </w:rPr>
      <w:pict w14:anchorId="168070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284" o:spid="_x0000_s1026" type="#_x0000_t136" alt="" style="position:absolute;left:0;text-align:left;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r>
      <w:rPr>
        <w:noProof/>
      </w:rPr>
      <w:pict w14:anchorId="4028540C">
        <v:shape id="_x0000_s1025" type="#_x0000_t136" alt="" style="position:absolute;left:0;text-align:left;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43E7D64C" w14:textId="77777777" w:rsidR="00964747" w:rsidRPr="00296529" w:rsidRDefault="0096474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014FEAC" w14:textId="77777777" w:rsidR="00964747" w:rsidRPr="00296529" w:rsidRDefault="0096474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07AD6E4" w14:textId="77777777" w:rsidR="00964747" w:rsidRPr="00296529" w:rsidRDefault="0096474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392AA76" w14:textId="77777777" w:rsidR="00964747" w:rsidRDefault="0096474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CA27590" w14:textId="77777777" w:rsidR="00964747" w:rsidRDefault="0096474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F850986" w14:textId="77777777" w:rsidR="00964747" w:rsidRDefault="00964747">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7950489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80994766">
    <w:abstractNumId w:val="15"/>
  </w:num>
  <w:num w:numId="3" w16cid:durableId="1016268203">
    <w:abstractNumId w:val="23"/>
  </w:num>
  <w:num w:numId="4" w16cid:durableId="77151059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02234782">
    <w:abstractNumId w:val="7"/>
  </w:num>
  <w:num w:numId="6" w16cid:durableId="1414400830">
    <w:abstractNumId w:val="6"/>
  </w:num>
  <w:num w:numId="7" w16cid:durableId="1344475740">
    <w:abstractNumId w:val="1"/>
  </w:num>
  <w:num w:numId="8" w16cid:durableId="1745952816">
    <w:abstractNumId w:val="12"/>
  </w:num>
  <w:num w:numId="9" w16cid:durableId="478502456">
    <w:abstractNumId w:val="25"/>
  </w:num>
  <w:num w:numId="10" w16cid:durableId="2042319320">
    <w:abstractNumId w:val="2"/>
  </w:num>
  <w:num w:numId="11" w16cid:durableId="1491753562">
    <w:abstractNumId w:val="18"/>
  </w:num>
  <w:num w:numId="12" w16cid:durableId="2069104608">
    <w:abstractNumId w:val="3"/>
  </w:num>
  <w:num w:numId="13" w16cid:durableId="153187256">
    <w:abstractNumId w:val="17"/>
  </w:num>
  <w:num w:numId="14" w16cid:durableId="1410033652">
    <w:abstractNumId w:val="8"/>
  </w:num>
  <w:num w:numId="15" w16cid:durableId="341249709">
    <w:abstractNumId w:val="21"/>
  </w:num>
  <w:num w:numId="16" w16cid:durableId="531845952">
    <w:abstractNumId w:val="5"/>
  </w:num>
  <w:num w:numId="17" w16cid:durableId="1196575601">
    <w:abstractNumId w:val="22"/>
  </w:num>
  <w:num w:numId="18" w16cid:durableId="897976388">
    <w:abstractNumId w:val="14"/>
  </w:num>
  <w:num w:numId="19" w16cid:durableId="9262349">
    <w:abstractNumId w:val="28"/>
  </w:num>
  <w:num w:numId="20" w16cid:durableId="1674524255">
    <w:abstractNumId w:val="11"/>
  </w:num>
  <w:num w:numId="21" w16cid:durableId="1038090368">
    <w:abstractNumId w:val="9"/>
  </w:num>
  <w:num w:numId="22" w16cid:durableId="1424260630">
    <w:abstractNumId w:val="13"/>
  </w:num>
  <w:num w:numId="23" w16cid:durableId="1625039460">
    <w:abstractNumId w:val="19"/>
  </w:num>
  <w:num w:numId="24" w16cid:durableId="1918318962">
    <w:abstractNumId w:val="26"/>
  </w:num>
  <w:num w:numId="25" w16cid:durableId="985627093">
    <w:abstractNumId w:val="4"/>
  </w:num>
  <w:num w:numId="26" w16cid:durableId="573665217">
    <w:abstractNumId w:val="16"/>
  </w:num>
  <w:num w:numId="27" w16cid:durableId="1632637106">
    <w:abstractNumId w:val="20"/>
  </w:num>
  <w:num w:numId="28" w16cid:durableId="1500271826">
    <w:abstractNumId w:val="27"/>
  </w:num>
  <w:num w:numId="29" w16cid:durableId="9963085">
    <w:abstractNumId w:val="24"/>
  </w:num>
  <w:num w:numId="30" w16cid:durableId="4098132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0349"/>
    <w:rsid w:val="00030174"/>
    <w:rsid w:val="0004579C"/>
    <w:rsid w:val="00073336"/>
    <w:rsid w:val="000A47FA"/>
    <w:rsid w:val="000A65D3"/>
    <w:rsid w:val="000B1E33"/>
    <w:rsid w:val="000C7015"/>
    <w:rsid w:val="000D689F"/>
    <w:rsid w:val="000E7B7B"/>
    <w:rsid w:val="000E7D62"/>
    <w:rsid w:val="00103357"/>
    <w:rsid w:val="00105201"/>
    <w:rsid w:val="00123C9F"/>
    <w:rsid w:val="00126190"/>
    <w:rsid w:val="00130F17"/>
    <w:rsid w:val="001320BF"/>
    <w:rsid w:val="00163BC4"/>
    <w:rsid w:val="00180FEC"/>
    <w:rsid w:val="00191062"/>
    <w:rsid w:val="00192B72"/>
    <w:rsid w:val="001A29D8"/>
    <w:rsid w:val="001A5CAA"/>
    <w:rsid w:val="001B0427"/>
    <w:rsid w:val="001B5C19"/>
    <w:rsid w:val="001D3A51"/>
    <w:rsid w:val="001E10D2"/>
    <w:rsid w:val="001E25B4"/>
    <w:rsid w:val="001E44FE"/>
    <w:rsid w:val="001F540A"/>
    <w:rsid w:val="00200595"/>
    <w:rsid w:val="00204835"/>
    <w:rsid w:val="00231920"/>
    <w:rsid w:val="0023195C"/>
    <w:rsid w:val="0024282C"/>
    <w:rsid w:val="002460DC"/>
    <w:rsid w:val="00250985"/>
    <w:rsid w:val="002556F6"/>
    <w:rsid w:val="00283105"/>
    <w:rsid w:val="00284C4C"/>
    <w:rsid w:val="00287E68"/>
    <w:rsid w:val="00294F95"/>
    <w:rsid w:val="00296529"/>
    <w:rsid w:val="002B27FB"/>
    <w:rsid w:val="002B685A"/>
    <w:rsid w:val="002C57D2"/>
    <w:rsid w:val="002E0D56"/>
    <w:rsid w:val="00315186"/>
    <w:rsid w:val="0033343E"/>
    <w:rsid w:val="003512C2"/>
    <w:rsid w:val="00365306"/>
    <w:rsid w:val="00371FB6"/>
    <w:rsid w:val="003763C1"/>
    <w:rsid w:val="00376BBE"/>
    <w:rsid w:val="0039224F"/>
    <w:rsid w:val="003A43A4"/>
    <w:rsid w:val="003A7E18"/>
    <w:rsid w:val="003C4C86"/>
    <w:rsid w:val="003C6258"/>
    <w:rsid w:val="003D0019"/>
    <w:rsid w:val="003E2904"/>
    <w:rsid w:val="00401927"/>
    <w:rsid w:val="0041027F"/>
    <w:rsid w:val="00412475"/>
    <w:rsid w:val="00422E2F"/>
    <w:rsid w:val="00423789"/>
    <w:rsid w:val="00440F43"/>
    <w:rsid w:val="00441B6F"/>
    <w:rsid w:val="00446221"/>
    <w:rsid w:val="00450E62"/>
    <w:rsid w:val="004539DB"/>
    <w:rsid w:val="00471A80"/>
    <w:rsid w:val="00482CCD"/>
    <w:rsid w:val="004D2EAD"/>
    <w:rsid w:val="004D305E"/>
    <w:rsid w:val="004D4277"/>
    <w:rsid w:val="00502516"/>
    <w:rsid w:val="00505F06"/>
    <w:rsid w:val="00506828"/>
    <w:rsid w:val="0053056E"/>
    <w:rsid w:val="00554FDA"/>
    <w:rsid w:val="005A2F54"/>
    <w:rsid w:val="005C784C"/>
    <w:rsid w:val="005D17F6"/>
    <w:rsid w:val="005E5539"/>
    <w:rsid w:val="00602BF5"/>
    <w:rsid w:val="00603FD3"/>
    <w:rsid w:val="0061734D"/>
    <w:rsid w:val="00617FDD"/>
    <w:rsid w:val="006206FD"/>
    <w:rsid w:val="00633614"/>
    <w:rsid w:val="00633F68"/>
    <w:rsid w:val="00636EB2"/>
    <w:rsid w:val="006375B8"/>
    <w:rsid w:val="0066510A"/>
    <w:rsid w:val="006665C5"/>
    <w:rsid w:val="006673ED"/>
    <w:rsid w:val="00673F9F"/>
    <w:rsid w:val="00686953"/>
    <w:rsid w:val="00687DEA"/>
    <w:rsid w:val="00687E67"/>
    <w:rsid w:val="006967F7"/>
    <w:rsid w:val="006A250C"/>
    <w:rsid w:val="006B21D3"/>
    <w:rsid w:val="006B33E8"/>
    <w:rsid w:val="006B57D0"/>
    <w:rsid w:val="006D30FF"/>
    <w:rsid w:val="006D6940"/>
    <w:rsid w:val="006E1241"/>
    <w:rsid w:val="006F11EC"/>
    <w:rsid w:val="0070082C"/>
    <w:rsid w:val="007369E6"/>
    <w:rsid w:val="00736F6C"/>
    <w:rsid w:val="00745A84"/>
    <w:rsid w:val="00745D8D"/>
    <w:rsid w:val="00746E59"/>
    <w:rsid w:val="00754C9A"/>
    <w:rsid w:val="0075599A"/>
    <w:rsid w:val="00761D52"/>
    <w:rsid w:val="0077749E"/>
    <w:rsid w:val="00790ADA"/>
    <w:rsid w:val="007D2288"/>
    <w:rsid w:val="007D307F"/>
    <w:rsid w:val="007E088F"/>
    <w:rsid w:val="007F7B32"/>
    <w:rsid w:val="00804BC2"/>
    <w:rsid w:val="0081431A"/>
    <w:rsid w:val="0083216F"/>
    <w:rsid w:val="00835783"/>
    <w:rsid w:val="00851B9A"/>
    <w:rsid w:val="00860000"/>
    <w:rsid w:val="00863BD3"/>
    <w:rsid w:val="008641ED"/>
    <w:rsid w:val="00866D66"/>
    <w:rsid w:val="008671C6"/>
    <w:rsid w:val="00875803"/>
    <w:rsid w:val="008879EB"/>
    <w:rsid w:val="008B459E"/>
    <w:rsid w:val="008E13AE"/>
    <w:rsid w:val="008E1506"/>
    <w:rsid w:val="008E710C"/>
    <w:rsid w:val="008F69D6"/>
    <w:rsid w:val="008F7670"/>
    <w:rsid w:val="00901FCA"/>
    <w:rsid w:val="00902823"/>
    <w:rsid w:val="00915CA6"/>
    <w:rsid w:val="00927834"/>
    <w:rsid w:val="0093619B"/>
    <w:rsid w:val="009500A6"/>
    <w:rsid w:val="00957C18"/>
    <w:rsid w:val="00964747"/>
    <w:rsid w:val="009659BA"/>
    <w:rsid w:val="00983040"/>
    <w:rsid w:val="00992933"/>
    <w:rsid w:val="009A74C5"/>
    <w:rsid w:val="009B3007"/>
    <w:rsid w:val="009B3FB9"/>
    <w:rsid w:val="009B53C3"/>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0478"/>
    <w:rsid w:val="00AB703F"/>
    <w:rsid w:val="00AC6BB8"/>
    <w:rsid w:val="00AE008F"/>
    <w:rsid w:val="00B01FCD"/>
    <w:rsid w:val="00B06374"/>
    <w:rsid w:val="00B11C44"/>
    <w:rsid w:val="00B1776C"/>
    <w:rsid w:val="00B37BFE"/>
    <w:rsid w:val="00B52583"/>
    <w:rsid w:val="00B52896"/>
    <w:rsid w:val="00B95236"/>
    <w:rsid w:val="00B96BD9"/>
    <w:rsid w:val="00BA1B01"/>
    <w:rsid w:val="00BA2641"/>
    <w:rsid w:val="00BA7228"/>
    <w:rsid w:val="00BB37AA"/>
    <w:rsid w:val="00BB4F47"/>
    <w:rsid w:val="00BC53A0"/>
    <w:rsid w:val="00BE62AD"/>
    <w:rsid w:val="00BF07F2"/>
    <w:rsid w:val="00BF121F"/>
    <w:rsid w:val="00BF1C56"/>
    <w:rsid w:val="00BF1F80"/>
    <w:rsid w:val="00BF6D4D"/>
    <w:rsid w:val="00BF6E19"/>
    <w:rsid w:val="00C166EF"/>
    <w:rsid w:val="00C17EB0"/>
    <w:rsid w:val="00C27DA4"/>
    <w:rsid w:val="00C27F5F"/>
    <w:rsid w:val="00C30A0F"/>
    <w:rsid w:val="00C37E61"/>
    <w:rsid w:val="00C70F1B"/>
    <w:rsid w:val="00C711D9"/>
    <w:rsid w:val="00C71A47"/>
    <w:rsid w:val="00C7464C"/>
    <w:rsid w:val="00C85588"/>
    <w:rsid w:val="00C96D45"/>
    <w:rsid w:val="00CD6755"/>
    <w:rsid w:val="00CD6856"/>
    <w:rsid w:val="00CE0089"/>
    <w:rsid w:val="00CE5B86"/>
    <w:rsid w:val="00CE793C"/>
    <w:rsid w:val="00CF193C"/>
    <w:rsid w:val="00D173F1"/>
    <w:rsid w:val="00D25817"/>
    <w:rsid w:val="00D264B7"/>
    <w:rsid w:val="00D37D7D"/>
    <w:rsid w:val="00D74CB0"/>
    <w:rsid w:val="00D8295D"/>
    <w:rsid w:val="00DC2A65"/>
    <w:rsid w:val="00DD7150"/>
    <w:rsid w:val="00DE15F0"/>
    <w:rsid w:val="00DE5663"/>
    <w:rsid w:val="00DE6DF9"/>
    <w:rsid w:val="00DE78AA"/>
    <w:rsid w:val="00E053D0"/>
    <w:rsid w:val="00E15994"/>
    <w:rsid w:val="00E202F2"/>
    <w:rsid w:val="00E3114E"/>
    <w:rsid w:val="00E31A70"/>
    <w:rsid w:val="00E35B02"/>
    <w:rsid w:val="00E54E72"/>
    <w:rsid w:val="00E66320"/>
    <w:rsid w:val="00E66496"/>
    <w:rsid w:val="00E66B35"/>
    <w:rsid w:val="00E66E10"/>
    <w:rsid w:val="00E76534"/>
    <w:rsid w:val="00E769F6"/>
    <w:rsid w:val="00E8407C"/>
    <w:rsid w:val="00E84F3C"/>
    <w:rsid w:val="00EA012C"/>
    <w:rsid w:val="00EA5167"/>
    <w:rsid w:val="00EB543B"/>
    <w:rsid w:val="00EC6A55"/>
    <w:rsid w:val="00ED0288"/>
    <w:rsid w:val="00ED4F92"/>
    <w:rsid w:val="00EE3795"/>
    <w:rsid w:val="00EE52CB"/>
    <w:rsid w:val="00EF581D"/>
    <w:rsid w:val="00EF7FD8"/>
    <w:rsid w:val="00F06F59"/>
    <w:rsid w:val="00F11AB9"/>
    <w:rsid w:val="00F17988"/>
    <w:rsid w:val="00F469F0"/>
    <w:rsid w:val="00F53273"/>
    <w:rsid w:val="00F73431"/>
    <w:rsid w:val="00F755E4"/>
    <w:rsid w:val="00F77D02"/>
    <w:rsid w:val="00F92FE1"/>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19D9A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422E2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1B5C1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FootnoteText">
    <w:name w:val="footnote text"/>
    <w:basedOn w:val="Normal"/>
    <w:link w:val="FootnoteTextChar"/>
    <w:semiHidden/>
    <w:unhideWhenUsed/>
    <w:rsid w:val="00F92FE1"/>
  </w:style>
  <w:style w:type="character" w:customStyle="1" w:styleId="FootnoteTextChar">
    <w:name w:val="Footnote Text Char"/>
    <w:basedOn w:val="DefaultParagraphFont"/>
    <w:link w:val="FootnoteText"/>
    <w:semiHidden/>
    <w:rsid w:val="00F92FE1"/>
    <w:rPr>
      <w:rFonts w:ascii="Helvetica" w:hAnsi="Helvetica"/>
    </w:rPr>
  </w:style>
  <w:style w:type="character" w:styleId="FootnoteReference">
    <w:name w:val="footnote reference"/>
    <w:basedOn w:val="DefaultParagraphFont"/>
    <w:uiPriority w:val="99"/>
    <w:semiHidden/>
    <w:unhideWhenUsed/>
    <w:rsid w:val="00F92FE1"/>
    <w:rPr>
      <w:vertAlign w:val="superscript"/>
    </w:rPr>
  </w:style>
  <w:style w:type="character" w:styleId="PlaceholderText">
    <w:name w:val="Placeholder Text"/>
    <w:basedOn w:val="DefaultParagraphFont"/>
    <w:uiPriority w:val="99"/>
    <w:semiHidden/>
    <w:rsid w:val="00745A84"/>
    <w:rPr>
      <w:color w:val="666666"/>
    </w:rPr>
  </w:style>
  <w:style w:type="paragraph" w:styleId="NormalWeb">
    <w:name w:val="Normal (Web)"/>
    <w:basedOn w:val="Normal"/>
    <w:uiPriority w:val="99"/>
    <w:unhideWhenUsed/>
    <w:rsid w:val="00BF6D4D"/>
    <w:pPr>
      <w:spacing w:before="100" w:beforeAutospacing="1" w:after="100" w:afterAutospacing="1"/>
    </w:pPr>
    <w:rPr>
      <w:rFonts w:ascii="Times New Roman" w:hAnsi="Times New Roman"/>
      <w:sz w:val="24"/>
      <w:szCs w:val="24"/>
      <w:lang w:eastAsia="ja-JP"/>
    </w:rPr>
  </w:style>
  <w:style w:type="character" w:customStyle="1" w:styleId="apple-converted-space">
    <w:name w:val="apple-converted-space"/>
    <w:basedOn w:val="DefaultParagraphFont"/>
    <w:rsid w:val="00BF6D4D"/>
  </w:style>
  <w:style w:type="character" w:styleId="Strong">
    <w:name w:val="Strong"/>
    <w:basedOn w:val="DefaultParagraphFont"/>
    <w:uiPriority w:val="22"/>
    <w:qFormat/>
    <w:rsid w:val="00BF6D4D"/>
    <w:rPr>
      <w:b/>
      <w:bCs/>
    </w:rPr>
  </w:style>
  <w:style w:type="character" w:customStyle="1" w:styleId="Heading2Char">
    <w:name w:val="Heading 2 Char"/>
    <w:basedOn w:val="DefaultParagraphFont"/>
    <w:link w:val="Heading2"/>
    <w:semiHidden/>
    <w:rsid w:val="00422E2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B5C19"/>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9B3007"/>
    <w:rPr>
      <w:rFonts w:asciiTheme="minorHAnsi" w:eastAsiaTheme="minorHAnsi" w:hAnsiTheme="minorHAnsi" w:cstheme="minorBidi"/>
      <w:sz w:val="22"/>
      <w:szCs w:val="22"/>
      <w:lang w:val="en-GB"/>
    </w:rPr>
  </w:style>
  <w:style w:type="paragraph" w:customStyle="1" w:styleId="isselectedend">
    <w:name w:val="isselectedend"/>
    <w:basedOn w:val="Normal"/>
    <w:rsid w:val="00AB0478"/>
    <w:pPr>
      <w:spacing w:before="100" w:beforeAutospacing="1" w:after="100" w:afterAutospacing="1"/>
    </w:pPr>
    <w:rPr>
      <w:rFonts w:ascii="Times New Roman" w:hAnsi="Times New Roman"/>
      <w:sz w:val="24"/>
      <w:szCs w:val="24"/>
      <w:lang w:eastAsia="ja-JP"/>
    </w:rPr>
  </w:style>
  <w:style w:type="character" w:customStyle="1" w:styleId="ts-alignment-element-highlighted">
    <w:name w:val="ts-alignment-element-highlighted"/>
    <w:basedOn w:val="DefaultParagraphFont"/>
    <w:rsid w:val="00E54E72"/>
  </w:style>
  <w:style w:type="character" w:customStyle="1" w:styleId="ts-alignment-element">
    <w:name w:val="ts-alignment-element"/>
    <w:basedOn w:val="DefaultParagraphFont"/>
    <w:rsid w:val="00E54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ber.org/papers/w23375" TargetMode="External"/><Relationship Id="rId21" Type="http://schemas.openxmlformats.org/officeDocument/2006/relationships/hyperlink" Target="https://www.jstor.org/stable/1828596" TargetMode="External"/><Relationship Id="rId42" Type="http://schemas.openxmlformats.org/officeDocument/2006/relationships/hyperlink" Target="https://doi.org/10.2307/146375" TargetMode="External"/><Relationship Id="rId47" Type="http://schemas.openxmlformats.org/officeDocument/2006/relationships/hyperlink" Target="https://doi.org/10.1111/j.1728-4457.2002.00641.x" TargetMode="External"/><Relationship Id="rId63" Type="http://schemas.openxmlformats.org/officeDocument/2006/relationships/hyperlink" Target="https://www.jstor.org/stable/2657300" TargetMode="External"/><Relationship Id="rId68" Type="http://schemas.openxmlformats.org/officeDocument/2006/relationships/header" Target="header5.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2307/1885667" TargetMode="External"/><Relationship Id="rId29" Type="http://schemas.openxmlformats.org/officeDocument/2006/relationships/hyperlink" Target="https://doi.org/10.2307/2137804" TargetMode="External"/><Relationship Id="rId11" Type="http://schemas.openxmlformats.org/officeDocument/2006/relationships/footer" Target="footer2.xml"/><Relationship Id="rId24" Type="http://schemas.openxmlformats.org/officeDocument/2006/relationships/hyperlink" Target="https://doi.org/10.1007/s00038-016-0926-5" TargetMode="External"/><Relationship Id="rId32" Type="http://schemas.openxmlformats.org/officeDocument/2006/relationships/hyperlink" Target="https://doi.org/10.1257/aer.98.2.403" TargetMode="External"/><Relationship Id="rId37" Type="http://schemas.openxmlformats.org/officeDocument/2006/relationships/hyperlink" Target="https://doi.org/10.1353/sof.0.0000" TargetMode="External"/><Relationship Id="rId40" Type="http://schemas.openxmlformats.org/officeDocument/2006/relationships/hyperlink" Target="https://doi.org/10.1057/s41308-021-00140-w" TargetMode="External"/><Relationship Id="rId45" Type="http://schemas.openxmlformats.org/officeDocument/2006/relationships/hyperlink" Target="https://www.henrikkleven.com/view/research/published/Child_Penalty_Atlas_June2024.pdf" TargetMode="External"/><Relationship Id="rId53" Type="http://schemas.openxmlformats.org/officeDocument/2006/relationships/hyperlink" Target="https://www.jstor.org/stable/1829993" TargetMode="External"/><Relationship Id="rId58" Type="http://schemas.openxmlformats.org/officeDocument/2006/relationships/hyperlink" Target="https://doi.org/10.1177/2378023121103132" TargetMode="External"/><Relationship Id="rId66" Type="http://schemas.openxmlformats.org/officeDocument/2006/relationships/hyperlink" Target="https://doi.org/10.1146/annurev-soc-060116-053442" TargetMode="External"/><Relationship Id="rId5" Type="http://schemas.openxmlformats.org/officeDocument/2006/relationships/webSettings" Target="webSettings.xml"/><Relationship Id="rId61" Type="http://schemas.openxmlformats.org/officeDocument/2006/relationships/hyperlink" Target="https://hdr.undp.org/content/human-development-report-2023-24" TargetMode="External"/><Relationship Id="rId19" Type="http://schemas.openxmlformats.org/officeDocument/2006/relationships/hyperlink" Target="https://doi.org/10.1007/s11150-004-0978-9" TargetMode="External"/><Relationship Id="rId14" Type="http://schemas.openxmlformats.org/officeDocument/2006/relationships/image" Target="media/image1.emf"/><Relationship Id="rId22" Type="http://schemas.openxmlformats.org/officeDocument/2006/relationships/hyperlink" Target="https://doi.org/10.1098/rspb.2019.2478" TargetMode="External"/><Relationship Id="rId27" Type="http://schemas.openxmlformats.org/officeDocument/2006/relationships/hyperlink" Target="https://docs.iza.org/dp5002.pdf" TargetMode="External"/><Relationship Id="rId30" Type="http://schemas.openxmlformats.org/officeDocument/2006/relationships/hyperlink" Target="https://wol.iza.org/articles/fertility-postponement-and-labor-market-outcomes/long" TargetMode="External"/><Relationship Id="rId35" Type="http://schemas.openxmlformats.org/officeDocument/2006/relationships/hyperlink" Target="https://doi.org/10.1007/s001480000051" TargetMode="External"/><Relationship Id="rId43" Type="http://schemas.openxmlformats.org/officeDocument/2006/relationships/hyperlink" Target="https://doi.org/10.1257/app.20180010" TargetMode="External"/><Relationship Id="rId48" Type="http://schemas.openxmlformats.org/officeDocument/2006/relationships/hyperlink" Target="https://doi.org/10.4054/DemRes.2012.27.28" TargetMode="External"/><Relationship Id="rId56" Type="http://schemas.openxmlformats.org/officeDocument/2006/relationships/hyperlink" Target="https://doi.org/10.1080/00324728.2012.697569" TargetMode="External"/><Relationship Id="rId64" Type="http://schemas.openxmlformats.org/officeDocument/2006/relationships/hyperlink" Target="https://openknowledge.worldbank.org/entities/publication/51c285f6-0200-590c-97d3-95b937be3271" TargetMode="External"/><Relationship Id="rId69" Type="http://schemas.openxmlformats.org/officeDocument/2006/relationships/footer" Target="footer4.xml"/><Relationship Id="rId8" Type="http://schemas.openxmlformats.org/officeDocument/2006/relationships/header" Target="header1.xml"/><Relationship Id="rId51" Type="http://schemas.openxmlformats.org/officeDocument/2006/relationships/hyperlink" Target="https://doi.org/10.1016/j.alcr.2022.100466"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257/0895330053147958" TargetMode="External"/><Relationship Id="rId25" Type="http://schemas.openxmlformats.org/officeDocument/2006/relationships/hyperlink" Target="https://doi.org/10.1007/s10680-022-09626-3" TargetMode="External"/><Relationship Id="rId33" Type="http://schemas.openxmlformats.org/officeDocument/2006/relationships/hyperlink" Target="https://doi.org/10.1016/j.ssresearch.2020.102416" TargetMode="External"/><Relationship Id="rId38" Type="http://schemas.openxmlformats.org/officeDocument/2006/relationships/hyperlink" Target="https://doi.org/10.1016/S1574-0692(06)01007-5" TargetMode="External"/><Relationship Id="rId46" Type="http://schemas.openxmlformats.org/officeDocument/2006/relationships/hyperlink" Target="https://doi.org/10.2307/3038290" TargetMode="External"/><Relationship Id="rId59" Type="http://schemas.openxmlformats.org/officeDocument/2006/relationships/hyperlink" Target="https://doi.org/10.1007/s11150-020-09535-6" TargetMode="External"/><Relationship Id="rId67" Type="http://schemas.openxmlformats.org/officeDocument/2006/relationships/header" Target="header4.xml"/><Relationship Id="rId20" Type="http://schemas.openxmlformats.org/officeDocument/2006/relationships/hyperlink" Target="https://doi.org/10.1007/s10680-015-9356-y" TargetMode="External"/><Relationship Id="rId41" Type="http://schemas.openxmlformats.org/officeDocument/2006/relationships/hyperlink" Target="https://doi.org/10.1257/jep.26.2.141" TargetMode="External"/><Relationship Id="rId54" Type="http://schemas.openxmlformats.org/officeDocument/2006/relationships/hyperlink" Target="https://doi.org/10.1016/j.jdeveco.2005.01.002" TargetMode="External"/><Relationship Id="rId62" Type="http://schemas.openxmlformats.org/officeDocument/2006/relationships/hyperlink" Target="https://doi.org/10.3389/fpos.2023.1089671" TargetMode="External"/><Relationship Id="rId7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6/690952" TargetMode="External"/><Relationship Id="rId23" Type="http://schemas.openxmlformats.org/officeDocument/2006/relationships/hyperlink" Target="https://doi.org/10.4054/DemRes.2014.30.22" TargetMode="External"/><Relationship Id="rId28" Type="http://schemas.openxmlformats.org/officeDocument/2006/relationships/hyperlink" Target="https://doi.org/10.1177/0003122414554947" TargetMode="External"/><Relationship Id="rId36" Type="http://schemas.openxmlformats.org/officeDocument/2006/relationships/hyperlink" Target="https://doi.org/10.1363/48e9116" TargetMode="External"/><Relationship Id="rId49" Type="http://schemas.openxmlformats.org/officeDocument/2006/relationships/hyperlink" Target="https://doi.org/10.1177/2378023120939424" TargetMode="External"/><Relationship Id="rId57" Type="http://schemas.openxmlformats.org/officeDocument/2006/relationships/hyperlink" Target="https://doi.org/10.1257/jep.31.1.205" TargetMode="External"/><Relationship Id="rId10" Type="http://schemas.openxmlformats.org/officeDocument/2006/relationships/footer" Target="footer1.xml"/><Relationship Id="rId31" Type="http://schemas.openxmlformats.org/officeDocument/2006/relationships/hyperlink" Target="https://www.jstor.org/stable/2657415" TargetMode="External"/><Relationship Id="rId44" Type="http://schemas.openxmlformats.org/officeDocument/2006/relationships/hyperlink" Target="https://doi.org/10.1257/pol.20210346" TargetMode="External"/><Relationship Id="rId52" Type="http://schemas.openxmlformats.org/officeDocument/2006/relationships/hyperlink" Target="https://doi.org/10.1007/s00148-009-0296-x" TargetMode="External"/><Relationship Id="rId60" Type="http://schemas.openxmlformats.org/officeDocument/2006/relationships/hyperlink" Target="https://doi.org/10.1177/00031224241291602" TargetMode="External"/><Relationship Id="rId65" Type="http://schemas.openxmlformats.org/officeDocument/2006/relationships/hyperlink" Target="https://www.fairobserver.com/economics/the-price-of-presence-and-the-new-gender-pay-gap/"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093/qje/qjt005" TargetMode="External"/><Relationship Id="rId39" Type="http://schemas.openxmlformats.org/officeDocument/2006/relationships/hyperlink" Target="https://doi.org/10.2307/2938322" TargetMode="External"/><Relationship Id="rId34" Type="http://schemas.openxmlformats.org/officeDocument/2006/relationships/hyperlink" Target="https://doi.org/10.1257/aer.103.1.472" TargetMode="External"/><Relationship Id="rId50" Type="http://schemas.openxmlformats.org/officeDocument/2006/relationships/hyperlink" Target="https://doi.org/10.1162/qjec.2009.124.3.1363" TargetMode="External"/><Relationship Id="rId55" Type="http://schemas.openxmlformats.org/officeDocument/2006/relationships/hyperlink" Target="https://doi.org/10.4054/mpidr-wp-2024-0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124</TotalTime>
  <Pages>20</Pages>
  <Words>10349</Words>
  <Characters>58991</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69202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1117</cp:lastModifiedBy>
  <cp:revision>37</cp:revision>
  <cp:lastPrinted>1999-07-06T11:00:00Z</cp:lastPrinted>
  <dcterms:created xsi:type="dcterms:W3CDTF">2026-05-18T12:24:00Z</dcterms:created>
  <dcterms:modified xsi:type="dcterms:W3CDTF">2026-06-04T11:30:00Z</dcterms:modified>
</cp:coreProperties>
</file>