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04DC" w14:textId="77777777" w:rsidR="00754C9A" w:rsidRDefault="00754C9A" w:rsidP="00441B6F">
      <w:pPr>
        <w:pStyle w:val="Title"/>
        <w:spacing w:after="0"/>
        <w:jc w:val="both"/>
        <w:rPr>
          <w:rFonts w:ascii="Arial" w:hAnsi="Arial" w:cs="Arial"/>
        </w:rPr>
      </w:pPr>
    </w:p>
    <w:p w14:paraId="17657CA2" w14:textId="77777777" w:rsidR="000C7015" w:rsidRPr="00E76534" w:rsidRDefault="000C7015" w:rsidP="000C7015">
      <w:pPr>
        <w:spacing w:before="100" w:beforeAutospacing="1" w:after="100" w:afterAutospacing="1"/>
        <w:jc w:val="right"/>
        <w:outlineLvl w:val="0"/>
        <w:rPr>
          <w:rFonts w:ascii="Arial" w:hAnsi="Arial" w:cs="Arial"/>
          <w:b/>
          <w:bCs/>
          <w:i/>
          <w:iCs/>
          <w:color w:val="000000"/>
          <w:kern w:val="36"/>
          <w:sz w:val="36"/>
          <w:szCs w:val="36"/>
          <w:u w:val="single"/>
        </w:rPr>
      </w:pPr>
      <w:r w:rsidRPr="00E76534">
        <w:rPr>
          <w:rFonts w:ascii="Arial" w:hAnsi="Arial" w:cs="Arial"/>
          <w:b/>
          <w:bCs/>
          <w:i/>
          <w:iCs/>
          <w:color w:val="000000"/>
          <w:kern w:val="36"/>
          <w:sz w:val="36"/>
          <w:szCs w:val="36"/>
          <w:u w:val="single"/>
        </w:rPr>
        <w:t>Original Research Article</w:t>
      </w:r>
    </w:p>
    <w:p w14:paraId="682891BD" w14:textId="0BCFA52A" w:rsidR="00A258C3" w:rsidRPr="00E76534" w:rsidRDefault="00B37BFE" w:rsidP="00B37BFE">
      <w:pPr>
        <w:spacing w:before="100" w:beforeAutospacing="1" w:after="100" w:afterAutospacing="1"/>
        <w:jc w:val="right"/>
        <w:outlineLvl w:val="0"/>
        <w:rPr>
          <w:rFonts w:ascii="Arial" w:hAnsi="Arial" w:cs="Arial"/>
          <w:b/>
          <w:bCs/>
          <w:color w:val="000000"/>
          <w:kern w:val="36"/>
          <w:sz w:val="36"/>
          <w:szCs w:val="36"/>
        </w:rPr>
      </w:pPr>
      <w:r w:rsidRPr="00E76534">
        <w:rPr>
          <w:rFonts w:ascii="Arial" w:hAnsi="Arial" w:cs="Arial"/>
          <w:b/>
          <w:bCs/>
          <w:color w:val="000000"/>
          <w:kern w:val="36"/>
          <w:sz w:val="36"/>
          <w:szCs w:val="36"/>
        </w:rPr>
        <w:t xml:space="preserve">Institutional Gender Inequality and Fertility </w:t>
      </w:r>
      <w:r w:rsidRPr="00E202F2">
        <w:rPr>
          <w:rFonts w:ascii="Arial" w:hAnsi="Arial" w:cs="Arial"/>
          <w:b/>
          <w:bCs/>
          <w:color w:val="000000"/>
          <w:kern w:val="36"/>
          <w:sz w:val="36"/>
          <w:szCs w:val="36"/>
          <w:highlight w:val="cyan"/>
        </w:rPr>
        <w:t>Tim</w:t>
      </w:r>
      <w:r w:rsidR="00E202F2" w:rsidRPr="00E202F2">
        <w:rPr>
          <w:rFonts w:ascii="Arial" w:hAnsi="Arial" w:cs="Arial"/>
          <w:b/>
          <w:bCs/>
          <w:color w:val="000000"/>
          <w:kern w:val="36"/>
          <w:sz w:val="36"/>
          <w:szCs w:val="36"/>
          <w:highlight w:val="cyan"/>
        </w:rPr>
        <w:t>ing</w:t>
      </w:r>
      <w:r w:rsidRPr="00E76534">
        <w:rPr>
          <w:rFonts w:ascii="Arial" w:hAnsi="Arial" w:cs="Arial"/>
          <w:b/>
          <w:bCs/>
          <w:color w:val="000000"/>
          <w:kern w:val="36"/>
          <w:sz w:val="36"/>
          <w:szCs w:val="36"/>
        </w:rPr>
        <w:t xml:space="preserve"> Across Countries</w:t>
      </w:r>
    </w:p>
    <w:p w14:paraId="3E807262" w14:textId="77777777" w:rsidR="002C57D2" w:rsidRDefault="002C57D2" w:rsidP="00441B6F">
      <w:pPr>
        <w:pStyle w:val="Affiliation"/>
        <w:spacing w:after="0" w:line="240" w:lineRule="auto"/>
        <w:jc w:val="both"/>
        <w:rPr>
          <w:rFonts w:ascii="Arial" w:hAnsi="Arial" w:cs="Arial"/>
        </w:rPr>
      </w:pPr>
    </w:p>
    <w:p w14:paraId="4B1DD3CF" w14:textId="77777777" w:rsidR="005A2F54" w:rsidRDefault="005A2F54" w:rsidP="00441B6F">
      <w:pPr>
        <w:pStyle w:val="Affiliation"/>
        <w:spacing w:after="0" w:line="240" w:lineRule="auto"/>
        <w:jc w:val="both"/>
        <w:rPr>
          <w:rFonts w:ascii="Arial" w:hAnsi="Arial" w:cs="Arial"/>
        </w:rPr>
      </w:pPr>
    </w:p>
    <w:p w14:paraId="6A863114" w14:textId="77777777" w:rsidR="005A2F54" w:rsidRPr="00E76534" w:rsidRDefault="005A2F54" w:rsidP="00441B6F">
      <w:pPr>
        <w:pStyle w:val="Affiliation"/>
        <w:spacing w:after="0" w:line="240" w:lineRule="auto"/>
        <w:jc w:val="both"/>
        <w:rPr>
          <w:rFonts w:ascii="Arial" w:hAnsi="Arial" w:cs="Arial"/>
        </w:rPr>
      </w:pPr>
    </w:p>
    <w:p w14:paraId="60B0F46A" w14:textId="77777777" w:rsidR="00B01FCD" w:rsidRPr="00E76534" w:rsidRDefault="00F73431" w:rsidP="00441B6F">
      <w:pPr>
        <w:pStyle w:val="Copyright"/>
        <w:spacing w:after="0" w:line="240" w:lineRule="auto"/>
        <w:jc w:val="both"/>
        <w:rPr>
          <w:rFonts w:ascii="Arial" w:hAnsi="Arial" w:cs="Arial"/>
        </w:rPr>
        <w:sectPr w:rsidR="00B01FCD" w:rsidRPr="00E76534" w:rsidSect="005A2F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76534">
        <w:rPr>
          <w:rFonts w:ascii="Arial" w:hAnsi="Arial" w:cs="Arial"/>
          <w:noProof/>
        </w:rPr>
        <mc:AlternateContent>
          <mc:Choice Requires="wps">
            <w:drawing>
              <wp:inline distT="0" distB="0" distL="0" distR="0" wp14:anchorId="257EF2F3" wp14:editId="123B1FCF">
                <wp:extent cx="5303520" cy="635"/>
                <wp:effectExtent l="0" t="12700" r="5080" b="12065"/>
                <wp:docPr id="12860196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5F864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E76534">
        <w:rPr>
          <w:rFonts w:ascii="Arial" w:hAnsi="Arial" w:cs="Arial"/>
        </w:rPr>
        <w:t>.</w:t>
      </w:r>
    </w:p>
    <w:p w14:paraId="7F9D660A" w14:textId="50F86534" w:rsidR="00B01FCD" w:rsidRPr="00E76534" w:rsidRDefault="00B01FCD" w:rsidP="00441B6F">
      <w:pPr>
        <w:pStyle w:val="AbstHead"/>
        <w:spacing w:after="0"/>
        <w:jc w:val="both"/>
        <w:rPr>
          <w:rFonts w:ascii="Arial" w:hAnsi="Arial" w:cs="Arial"/>
        </w:rPr>
      </w:pPr>
      <w:r w:rsidRPr="00E76534">
        <w:rPr>
          <w:rFonts w:ascii="Arial" w:hAnsi="Arial" w:cs="Arial"/>
        </w:rPr>
        <w:t>ABSTRACT</w:t>
      </w:r>
      <w:r w:rsidR="0066510A" w:rsidRPr="00E76534">
        <w:rPr>
          <w:rFonts w:ascii="Arial" w:hAnsi="Arial" w:cs="Arial"/>
        </w:rPr>
        <w:t xml:space="preserve"> </w:t>
      </w:r>
    </w:p>
    <w:p w14:paraId="54607E2D" w14:textId="77777777" w:rsidR="00790ADA" w:rsidRPr="00E765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76534" w14:paraId="2AA1A7B1" w14:textId="77777777" w:rsidTr="001E44FE">
        <w:tc>
          <w:tcPr>
            <w:tcW w:w="9576" w:type="dxa"/>
            <w:shd w:val="clear" w:color="auto" w:fill="F2F2F2"/>
          </w:tcPr>
          <w:p w14:paraId="50D46F35" w14:textId="4FD63AD1" w:rsidR="00F92FE1" w:rsidRPr="00E76534" w:rsidRDefault="00F92FE1" w:rsidP="00F92FE1">
            <w:pPr>
              <w:pStyle w:val="Body"/>
              <w:spacing w:after="0"/>
              <w:rPr>
                <w:rFonts w:ascii="Arial" w:eastAsia="Calibri" w:hAnsi="Arial" w:cs="Arial"/>
                <w:szCs w:val="22"/>
              </w:rPr>
            </w:pPr>
            <w:r w:rsidRPr="00E76534">
              <w:rPr>
                <w:rFonts w:ascii="Arial" w:eastAsia="Calibri" w:hAnsi="Arial" w:cs="Arial"/>
                <w:b/>
                <w:szCs w:val="22"/>
              </w:rPr>
              <w:t xml:space="preserve">Aims: </w:t>
            </w:r>
            <w:r w:rsidRPr="00E76534">
              <w:rPr>
                <w:color w:val="000000"/>
              </w:rPr>
              <w:t>This study asks whether institutional gendered constraints shift the distribution of first births rather than affecting overall fertility levels.</w:t>
            </w:r>
          </w:p>
          <w:p w14:paraId="2578E778" w14:textId="1C2227C8" w:rsidR="00F92FE1" w:rsidRPr="00E76534" w:rsidRDefault="00F92FE1" w:rsidP="00F92FE1">
            <w:pPr>
              <w:rPr>
                <w:rFonts w:ascii="Arial" w:eastAsia="Calibri" w:hAnsi="Arial" w:cs="Arial"/>
                <w:b/>
                <w:bCs/>
                <w:szCs w:val="22"/>
              </w:rPr>
            </w:pPr>
            <w:r w:rsidRPr="00E76534">
              <w:rPr>
                <w:rFonts w:ascii="Arial" w:eastAsia="Calibri" w:hAnsi="Arial" w:cs="Arial"/>
                <w:b/>
                <w:szCs w:val="22"/>
              </w:rPr>
              <w:t>Study design:</w:t>
            </w:r>
            <w:r w:rsidRPr="00E76534">
              <w:rPr>
                <w:rFonts w:ascii="Arial" w:eastAsia="Calibri" w:hAnsi="Arial" w:cs="Arial"/>
                <w:szCs w:val="22"/>
              </w:rPr>
              <w:t xml:space="preserve"> </w:t>
            </w:r>
            <w:r w:rsidR="00745A84" w:rsidRPr="00E76534">
              <w:rPr>
                <w:rFonts w:ascii="Arial" w:eastAsia="Calibri" w:hAnsi="Arial" w:cs="Arial"/>
                <w:szCs w:val="22"/>
              </w:rPr>
              <w:t>A longitudinal cross-country panel study combining a continuous-time life-cycle model with fixed-effects econometric analysis.</w:t>
            </w:r>
          </w:p>
          <w:p w14:paraId="58C022B5" w14:textId="0149622E" w:rsidR="00F92FE1" w:rsidRPr="00E76534" w:rsidRDefault="00F92FE1" w:rsidP="00F92FE1">
            <w:pPr>
              <w:rPr>
                <w:rFonts w:ascii="Arial" w:eastAsia="Calibri" w:hAnsi="Arial" w:cs="Arial"/>
                <w:bCs/>
                <w:szCs w:val="22"/>
              </w:rPr>
            </w:pPr>
            <w:r w:rsidRPr="00E76534">
              <w:rPr>
                <w:rFonts w:ascii="Arial" w:eastAsia="Calibri" w:hAnsi="Arial" w:cs="Arial"/>
                <w:b/>
                <w:szCs w:val="22"/>
              </w:rPr>
              <w:t>Place and Duration of Study:</w:t>
            </w:r>
            <w:r w:rsidR="00745A84" w:rsidRPr="00E76534">
              <w:rPr>
                <w:rFonts w:ascii="-webkit-standard" w:hAnsi="-webkit-standard"/>
                <w:color w:val="000000"/>
                <w:sz w:val="27"/>
                <w:szCs w:val="27"/>
              </w:rPr>
              <w:t xml:space="preserve"> </w:t>
            </w:r>
            <w:r w:rsidR="00745A84" w:rsidRPr="00E76534">
              <w:rPr>
                <w:rFonts w:ascii="Arial" w:eastAsia="Calibri" w:hAnsi="Arial" w:cs="Arial"/>
                <w:bCs/>
                <w:szCs w:val="22"/>
              </w:rPr>
              <w:t>The study was conducted using annual country-level data from 100 countries worldwide obtained from the World Bank, UNESCO, and the United Nations Development Programme (UNDP), covering the period between 1990 and 2023.</w:t>
            </w:r>
          </w:p>
          <w:p w14:paraId="2855BA39" w14:textId="77777777" w:rsidR="00851B9A" w:rsidRDefault="00F92FE1" w:rsidP="00851B9A">
            <w:pPr>
              <w:rPr>
                <w:color w:val="000000"/>
              </w:rPr>
            </w:pPr>
            <w:r w:rsidRPr="00E76534">
              <w:rPr>
                <w:rFonts w:ascii="Arial" w:eastAsia="Calibri" w:hAnsi="Arial" w:cs="Arial"/>
                <w:b/>
                <w:bCs/>
                <w:szCs w:val="22"/>
              </w:rPr>
              <w:t>Methodology:</w:t>
            </w:r>
            <w:r w:rsidRPr="00E76534">
              <w:rPr>
                <w:rFonts w:eastAsia="Calibri" w:cs="Arial"/>
                <w:b/>
                <w:bCs/>
                <w:szCs w:val="22"/>
              </w:rPr>
              <w:t xml:space="preserve"> </w:t>
            </w:r>
            <w:r w:rsidRPr="00E76534">
              <w:rPr>
                <w:color w:val="000000"/>
              </w:rPr>
              <w:t>The paper combines a continuous-time life-cycle model with a strongly balanced panel of 100 countries observed annually from 1990 to 2023. Fertility timing is proxied by adolescent first births, capturing mass in the lower tail of the first-birth distribution. Gender inequality is measured using the UNDP Gender Inequality Index. Two-way fixed-effects models exploit within-country variation over time and allow for nonlinear and dynamic specifications.</w:t>
            </w:r>
          </w:p>
          <w:p w14:paraId="564695D0" w14:textId="4F3466BA" w:rsidR="00745A84" w:rsidRPr="00851B9A" w:rsidRDefault="00F92FE1" w:rsidP="00851B9A">
            <w:pPr>
              <w:rPr>
                <w:color w:val="000000"/>
              </w:rPr>
            </w:pPr>
            <w:r w:rsidRPr="00851B9A">
              <w:rPr>
                <w:b/>
                <w:bCs/>
                <w:color w:val="000000"/>
              </w:rPr>
              <w:t xml:space="preserve">Results: </w:t>
            </w:r>
            <w:r w:rsidR="00745A84" w:rsidRPr="00851B9A">
              <w:rPr>
                <w:color w:val="000000"/>
              </w:rPr>
              <w:t>The study analyzed a balanced panel of 100 countries from 1990 to 2023 comprising 3,400 country–year observations. Higher Gender Inequality Index (GII) values were significantly associated with earlier fertility timing in fixed-effects models (</w:t>
            </w:r>
            <m:oMath>
              <m:r>
                <w:rPr>
                  <w:rFonts w:ascii="Cambria Math" w:hAnsi="Cambria Math"/>
                  <w:color w:val="000000"/>
                </w:rPr>
                <m:t>β=0.0126</m:t>
              </m:r>
            </m:oMath>
            <w:r w:rsidR="00745A84" w:rsidRPr="00851B9A">
              <w:rPr>
                <w:color w:val="000000"/>
              </w:rPr>
              <w:t xml:space="preserve"> , </w:t>
            </w:r>
            <m:oMath>
              <m:r>
                <w:rPr>
                  <w:rFonts w:ascii="Cambria Math" w:hAnsi="Cambria Math"/>
                  <w:color w:val="000000"/>
                </w:rPr>
                <m:t>SE=0.0057</m:t>
              </m:r>
            </m:oMath>
            <w:r w:rsidR="00745A84" w:rsidRPr="00851B9A">
              <w:rPr>
                <w:color w:val="000000"/>
              </w:rPr>
              <w:t xml:space="preserve">, </w:t>
            </w:r>
            <m:oMath>
              <m:r>
                <w:rPr>
                  <w:rFonts w:ascii="Cambria Math" w:hAnsi="Cambria Math"/>
                  <w:color w:val="000000"/>
                </w:rPr>
                <m:t>p&lt;0.05</m:t>
              </m:r>
            </m:oMath>
            <w:r w:rsidR="00745A84" w:rsidRPr="00851B9A">
              <w:rPr>
                <w:color w:val="000000"/>
              </w:rPr>
              <w:t xml:space="preserve">), and the relationship remained robust after controlling for gender development and schooling. Lagged models showed similar positive effects of prior gender inequality on early fertility timing </w:t>
            </w:r>
            <w:r w:rsidR="006E1241" w:rsidRPr="00851B9A">
              <w:rPr>
                <w:color w:val="000000"/>
              </w:rPr>
              <w:t xml:space="preserve">(β = 0.0108, </w:t>
            </w:r>
            <w:r w:rsidR="006E1241" w:rsidRPr="00851B9A">
              <w:rPr>
                <w:color w:val="000000"/>
                <w:highlight w:val="cyan"/>
              </w:rPr>
              <w:t>SE = 18.90,</w:t>
            </w:r>
            <w:r w:rsidR="006E1241" w:rsidRPr="00851B9A">
              <w:rPr>
                <w:color w:val="000000"/>
              </w:rPr>
              <w:t xml:space="preserve"> p &lt; 0.10). </w:t>
            </w:r>
            <w:r w:rsidR="00745A84" w:rsidRPr="00851B9A">
              <w:rPr>
                <w:color w:val="000000"/>
              </w:rPr>
              <w:t>Nonlinear specifications revealed significant regime dependence (</w:t>
            </w:r>
            <m:oMath>
              <m:r>
                <w:rPr>
                  <w:rFonts w:ascii="Cambria Math" w:hAnsi="Cambria Math"/>
                  <w:color w:val="000000"/>
                </w:rPr>
                <m:t>F=18.90</m:t>
              </m:r>
            </m:oMath>
            <w:r w:rsidR="00BF6D4D" w:rsidRPr="00851B9A">
              <w:rPr>
                <w:color w:val="000000"/>
              </w:rPr>
              <w:t xml:space="preserve"> , </w:t>
            </w:r>
            <m:oMath>
              <m:r>
                <w:rPr>
                  <w:rFonts w:ascii="Cambria Math" w:hAnsi="Cambria Math"/>
                  <w:color w:val="000000"/>
                </w:rPr>
                <m:t>p&lt;0.001</m:t>
              </m:r>
            </m:oMath>
            <w:r w:rsidR="00745A84" w:rsidRPr="00851B9A">
              <w:rPr>
                <w:color w:val="000000"/>
              </w:rPr>
              <w:t>), with stronger effects in highly unequal environments. Dynamic models further showed strong persistence in fertility timing over time (</w:t>
            </w:r>
            <m:oMath>
              <m:r>
                <w:rPr>
                  <w:rFonts w:ascii="Cambria Math" w:hAnsi="Cambria Math"/>
                  <w:color w:val="000000"/>
                </w:rPr>
                <m:t>β=0.981</m:t>
              </m:r>
            </m:oMath>
            <w:r w:rsidR="00BF6D4D" w:rsidRPr="00851B9A">
              <w:rPr>
                <w:color w:val="000000"/>
              </w:rPr>
              <w:t xml:space="preserve"> , </w:t>
            </w:r>
            <m:oMath>
              <m:r>
                <w:rPr>
                  <w:rFonts w:ascii="Cambria Math" w:hAnsi="Cambria Math"/>
                  <w:color w:val="000000"/>
                </w:rPr>
                <m:t>SE=0.004</m:t>
              </m:r>
            </m:oMath>
            <w:r w:rsidR="00BF6D4D" w:rsidRPr="00851B9A">
              <w:rPr>
                <w:color w:val="000000"/>
              </w:rPr>
              <w:t xml:space="preserve">, </w:t>
            </w:r>
            <m:oMath>
              <m:r>
                <w:rPr>
                  <w:rFonts w:ascii="Cambria Math" w:hAnsi="Cambria Math"/>
                  <w:color w:val="000000"/>
                </w:rPr>
                <m:t>p&lt;0.001</m:t>
              </m:r>
            </m:oMath>
            <w:r w:rsidR="00745A84" w:rsidRPr="00851B9A">
              <w:rPr>
                <w:color w:val="000000"/>
              </w:rPr>
              <w:t>).</w:t>
            </w:r>
          </w:p>
          <w:p w14:paraId="79E6E9BB" w14:textId="5F1FE284" w:rsidR="00505F06" w:rsidRPr="00E76534" w:rsidRDefault="00F92FE1" w:rsidP="00BF6D4D">
            <w:pPr>
              <w:rPr>
                <w:color w:val="000000"/>
              </w:rPr>
            </w:pPr>
            <w:r w:rsidRPr="00E76534">
              <w:rPr>
                <w:b/>
                <w:bCs/>
                <w:color w:val="000000"/>
              </w:rPr>
              <w:t xml:space="preserve">Conclusions: </w:t>
            </w:r>
            <w:r w:rsidRPr="00E76534">
              <w:rPr>
                <w:color w:val="000000"/>
              </w:rPr>
              <w:t>Institutional gender inequality reduces incentives to delay childbearing by lowering the opportunity cost of early fertility. The findings indicate that fertility timing responds primarily to structural constraints rather than short-term fluctuations.</w:t>
            </w:r>
          </w:p>
        </w:tc>
      </w:tr>
    </w:tbl>
    <w:p w14:paraId="16AAF56A" w14:textId="77777777" w:rsidR="00636EB2" w:rsidRPr="00E76534" w:rsidRDefault="00636EB2" w:rsidP="00441B6F">
      <w:pPr>
        <w:pStyle w:val="Body"/>
        <w:spacing w:after="0"/>
        <w:rPr>
          <w:rFonts w:ascii="Arial" w:hAnsi="Arial" w:cs="Arial"/>
          <w:i/>
        </w:rPr>
      </w:pPr>
    </w:p>
    <w:p w14:paraId="697FEE27" w14:textId="2B5F87DA" w:rsidR="0024282C" w:rsidRPr="00E76534" w:rsidRDefault="00A24E7E" w:rsidP="00BF6D4D">
      <w:pPr>
        <w:pStyle w:val="Body"/>
        <w:rPr>
          <w:rFonts w:ascii="Arial" w:hAnsi="Arial" w:cs="Arial"/>
          <w:i/>
        </w:rPr>
      </w:pPr>
      <w:r w:rsidRPr="00E76534">
        <w:rPr>
          <w:rFonts w:ascii="Arial" w:hAnsi="Arial" w:cs="Arial"/>
          <w:i/>
        </w:rPr>
        <w:t xml:space="preserve">Keywords: </w:t>
      </w:r>
      <w:r w:rsidR="00D25817" w:rsidRPr="00D25817">
        <w:rPr>
          <w:rFonts w:ascii="Arial" w:hAnsi="Arial" w:cs="Arial"/>
          <w:i/>
          <w:highlight w:val="cyan"/>
        </w:rPr>
        <w:t>Gender inequality; Fertility timing; Early childbearing; First birth; Human capital; Institutional constraints; Panel fixed effects</w:t>
      </w:r>
    </w:p>
    <w:p w14:paraId="23008E5A" w14:textId="77777777" w:rsidR="008F7670" w:rsidRPr="00E76534" w:rsidRDefault="008F7670" w:rsidP="00441B6F">
      <w:pPr>
        <w:pStyle w:val="Body"/>
        <w:spacing w:after="0"/>
        <w:rPr>
          <w:rFonts w:ascii="Arial" w:hAnsi="Arial" w:cs="Arial"/>
          <w:iCs/>
        </w:rPr>
      </w:pPr>
    </w:p>
    <w:p w14:paraId="43E5CEB4" w14:textId="6E84C206" w:rsidR="00790ADA" w:rsidRPr="00E76534" w:rsidRDefault="00902823" w:rsidP="00441B6F">
      <w:pPr>
        <w:pStyle w:val="AbstHead"/>
        <w:spacing w:after="0"/>
        <w:contextualSpacing/>
        <w:jc w:val="both"/>
        <w:rPr>
          <w:rFonts w:ascii="Arial" w:hAnsi="Arial" w:cs="Arial"/>
        </w:rPr>
      </w:pPr>
      <w:r w:rsidRPr="00E76534">
        <w:rPr>
          <w:rFonts w:ascii="Arial" w:hAnsi="Arial" w:cs="Arial"/>
        </w:rPr>
        <w:t xml:space="preserve">1. </w:t>
      </w:r>
      <w:r w:rsidR="00B01FCD" w:rsidRPr="00E76534">
        <w:rPr>
          <w:rFonts w:ascii="Arial" w:hAnsi="Arial" w:cs="Arial"/>
        </w:rPr>
        <w:t>INTRODUCTION</w:t>
      </w:r>
      <w:r w:rsidR="007F7B32" w:rsidRPr="00E76534">
        <w:rPr>
          <w:rFonts w:ascii="Arial" w:hAnsi="Arial" w:cs="Arial"/>
        </w:rPr>
        <w:t xml:space="preserve"> </w:t>
      </w:r>
    </w:p>
    <w:p w14:paraId="2DAD1207" w14:textId="7DCEE6DC" w:rsidR="00010349" w:rsidRPr="00E76534" w:rsidRDefault="00010349" w:rsidP="00BF6D4D">
      <w:pPr>
        <w:pStyle w:val="NormalWeb"/>
        <w:contextualSpacing/>
        <w:rPr>
          <w:rFonts w:ascii="Arial" w:hAnsi="Arial" w:cs="Arial"/>
          <w:b/>
          <w:bCs/>
          <w:color w:val="000000"/>
          <w:sz w:val="22"/>
          <w:szCs w:val="22"/>
        </w:rPr>
      </w:pPr>
      <w:r w:rsidRPr="00E76534">
        <w:rPr>
          <w:rFonts w:ascii="Arial" w:hAnsi="Arial" w:cs="Arial"/>
          <w:b/>
          <w:bCs/>
          <w:color w:val="000000"/>
          <w:sz w:val="22"/>
          <w:szCs w:val="22"/>
        </w:rPr>
        <w:t>1.1 Introduction</w:t>
      </w:r>
    </w:p>
    <w:p w14:paraId="01DC8F56" w14:textId="6BD51DB4" w:rsidR="00BF6D4D" w:rsidRPr="00E76534" w:rsidRDefault="00BF6D4D" w:rsidP="00BF6D4D">
      <w:pPr>
        <w:pStyle w:val="NormalWeb"/>
        <w:contextualSpacing/>
        <w:rPr>
          <w:rFonts w:ascii="Arial" w:hAnsi="Arial" w:cs="Arial"/>
          <w:color w:val="000000"/>
          <w:sz w:val="20"/>
          <w:szCs w:val="20"/>
        </w:rPr>
      </w:pPr>
      <w:r w:rsidRPr="00E76534">
        <w:rPr>
          <w:rFonts w:ascii="Arial" w:hAnsi="Arial" w:cs="Arial"/>
          <w:color w:val="000000"/>
          <w:sz w:val="20"/>
          <w:szCs w:val="20"/>
        </w:rPr>
        <w:lastRenderedPageBreak/>
        <w:t>Fertility behavior occupies a central place in economic and demographic research due to its links to human capital, labor markets, and long-run development (Myrskylä, 2024). While much of the literature focuses on fertility levels, less attention has been paid to fertility timing and the institutional determinants of very early childbearing. Early entry into motherhood has disproportionate consequences for women’s education, labor-market attachment, and lifetime earnings, with persistent intergenerational effects (Klepinger, 1999; Narita and Diaz, 2016).</w:t>
      </w:r>
    </w:p>
    <w:p w14:paraId="4594A2FB" w14:textId="77777777" w:rsidR="008F7670" w:rsidRPr="00E76534" w:rsidRDefault="008F7670" w:rsidP="00BF6D4D">
      <w:pPr>
        <w:pStyle w:val="NormalWeb"/>
        <w:contextualSpacing/>
        <w:rPr>
          <w:rFonts w:ascii="Arial" w:hAnsi="Arial" w:cs="Arial"/>
          <w:color w:val="000000"/>
          <w:sz w:val="20"/>
          <w:szCs w:val="20"/>
        </w:rPr>
      </w:pPr>
    </w:p>
    <w:p w14:paraId="05738B5F" w14:textId="77777777" w:rsidR="00BF6D4D"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This paper examines how gender inequality shapes fertility timing, focusing on whether institutional constraints shift the distribution of first births toward very early ages. Early fertility is treated as a distinct outcome with particularly large economic and social consequences (Berthelon and Kruger, 2017; Hayford, 2016), and as a socially embedded choice shaped by gender norms, policy environments, and structural constraints.</w:t>
      </w:r>
    </w:p>
    <w:p w14:paraId="3CB666AC" w14:textId="68A0AE71" w:rsidR="00BF6D4D"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 xml:space="preserve">The core mechanism reflects an intertemporal trade-off between family benefits and the opportunity cost of career interruption (Berg </w:t>
      </w:r>
      <w:r w:rsidRPr="00E76534">
        <w:rPr>
          <w:rFonts w:ascii="Arial" w:hAnsi="Arial" w:cs="Arial"/>
          <w:i/>
          <w:iCs/>
          <w:color w:val="000000"/>
          <w:sz w:val="20"/>
          <w:szCs w:val="20"/>
        </w:rPr>
        <w:t>et al</w:t>
      </w:r>
      <w:r w:rsidRPr="00E76534">
        <w:rPr>
          <w:rFonts w:ascii="Arial" w:hAnsi="Arial" w:cs="Arial"/>
          <w:color w:val="000000"/>
          <w:sz w:val="20"/>
          <w:szCs w:val="20"/>
        </w:rPr>
        <w:t xml:space="preserve">., 2020). When education, employment, and reproductive autonomy are constrained, the returns to delaying fertility are limited, making early childbearing a rational response. In more egalitarian environments, higher opportunity costs incentivize delay. To formalize this intuition, the paper develops a continuous-time life-cycle model in which women jointly choose education, career attachment, and first-birth timing. Institutional environments—such as family policy, labor-market structures, and gender norms—create a wedge between marginal family benefits and marginal human-capital losses from early </w:t>
      </w:r>
      <w:r w:rsidRPr="00E54E72">
        <w:rPr>
          <w:rFonts w:ascii="Arial" w:hAnsi="Arial" w:cs="Arial"/>
          <w:color w:val="000000"/>
          <w:sz w:val="20"/>
          <w:szCs w:val="20"/>
        </w:rPr>
        <w:t>childbirth (</w:t>
      </w:r>
      <w:r w:rsidR="00E54E72" w:rsidRPr="00745D8D">
        <w:rPr>
          <w:rFonts w:ascii="Arial" w:eastAsia="Meiryo" w:hAnsi="Arial" w:cs="Arial"/>
          <w:color w:val="000000"/>
          <w:sz w:val="20"/>
          <w:szCs w:val="20"/>
          <w:highlight w:val="cyan"/>
        </w:rPr>
        <w:t>Baizán</w:t>
      </w:r>
      <w:r w:rsidR="00E54E72" w:rsidRPr="00745D8D">
        <w:rPr>
          <w:rFonts w:ascii="Arial" w:eastAsia="Meiryo" w:hAnsi="Arial" w:cs="Arial"/>
          <w:i/>
          <w:iCs/>
          <w:color w:val="000000"/>
          <w:sz w:val="20"/>
          <w:szCs w:val="20"/>
          <w:highlight w:val="cyan"/>
        </w:rPr>
        <w:t xml:space="preserve"> </w:t>
      </w:r>
      <w:r w:rsidR="00E54E72" w:rsidRPr="00745D8D">
        <w:rPr>
          <w:rStyle w:val="ts-alignment-element"/>
          <w:rFonts w:ascii="Arial" w:eastAsia="Meiryo" w:hAnsi="Arial" w:cs="Arial"/>
          <w:i/>
          <w:iCs/>
          <w:color w:val="000000"/>
          <w:sz w:val="20"/>
          <w:szCs w:val="20"/>
          <w:highlight w:val="cyan"/>
        </w:rPr>
        <w:t>et</w:t>
      </w:r>
      <w:r w:rsidR="00E54E72" w:rsidRPr="00745D8D">
        <w:rPr>
          <w:rFonts w:ascii="Arial" w:eastAsia="Meiryo" w:hAnsi="Arial" w:cs="Arial"/>
          <w:i/>
          <w:iCs/>
          <w:color w:val="000000"/>
          <w:sz w:val="20"/>
          <w:szCs w:val="20"/>
          <w:highlight w:val="cyan"/>
        </w:rPr>
        <w:t xml:space="preserve"> </w:t>
      </w:r>
      <w:r w:rsidR="00E54E72" w:rsidRPr="00745D8D">
        <w:rPr>
          <w:rStyle w:val="ts-alignment-element"/>
          <w:rFonts w:ascii="Arial" w:eastAsia="Meiryo" w:hAnsi="Arial" w:cs="Arial"/>
          <w:i/>
          <w:iCs/>
          <w:color w:val="000000"/>
          <w:sz w:val="20"/>
          <w:szCs w:val="20"/>
          <w:highlight w:val="cyan"/>
        </w:rPr>
        <w:t>al</w:t>
      </w:r>
      <w:r w:rsidR="00EE3795">
        <w:rPr>
          <w:rStyle w:val="ts-alignment-element"/>
          <w:rFonts w:ascii="Arial" w:eastAsia="Meiryo" w:hAnsi="Arial" w:cs="Arial"/>
          <w:i/>
          <w:iCs/>
          <w:color w:val="000000"/>
          <w:sz w:val="20"/>
          <w:szCs w:val="20"/>
        </w:rPr>
        <w:t>.</w:t>
      </w:r>
      <w:r w:rsidRPr="00E54E72">
        <w:rPr>
          <w:rFonts w:ascii="Arial" w:hAnsi="Arial" w:cs="Arial"/>
          <w:color w:val="000000"/>
          <w:sz w:val="20"/>
          <w:szCs w:val="20"/>
        </w:rPr>
        <w:t>; Billingsley, 2022</w:t>
      </w:r>
      <w:r w:rsidRPr="00E76534">
        <w:rPr>
          <w:rFonts w:ascii="Arial" w:hAnsi="Arial" w:cs="Arial"/>
          <w:color w:val="000000"/>
          <w:sz w:val="20"/>
          <w:szCs w:val="20"/>
        </w:rPr>
        <w:t>). In high-inequality settings, this wedge concentrates births near the lower bound of the fertility window.</w:t>
      </w:r>
    </w:p>
    <w:p w14:paraId="3C8DB6F0" w14:textId="77777777" w:rsidR="00BF6D4D"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Guided by this framework, the empirical analysis uses a strongly balanced panel of 100 countries observed annually from 1990 to 2023. Fertility timing is proxied by first births (mass in the lower tail), and gender inequality is measured by the UNDP’s Gender Inequality Index (GII). Exploiting within-country variation with country and year fixed effects and controls for educational attainment, the paper tests reduced-form implications at the macro level.</w:t>
      </w:r>
    </w:p>
    <w:p w14:paraId="2579D4C2" w14:textId="5C92E4B2" w:rsidR="00790ADA"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Three findings emerge: (1) higher gender inequality is robustly associated with earlier fertility timing; (2) the relationship is nonlinear, becoming pronounced in high-inequality regimes; and (3) fertility timing is highly persistent, consistent with slow-moving institutional and normative equilibria. These results contribute to the literature by shifting attention from fertility levels (Becker, 1960; Galor and Weil, 1996) to timing, and by identifying early fertility as a mechanism linking gender inequality to long-run losses in female human capital and development (World Bank, 2012; UNDP, 2023). They also help reconcile mixed cross-country evidence by highlighting the regime-dependent effects of institutional inequality.</w:t>
      </w:r>
    </w:p>
    <w:p w14:paraId="7A266D96" w14:textId="77777777" w:rsidR="00CE5B86" w:rsidRPr="00E76534" w:rsidRDefault="00010349" w:rsidP="00CE5B86">
      <w:pPr>
        <w:spacing w:before="100" w:beforeAutospacing="1" w:after="100" w:afterAutospacing="1"/>
        <w:contextualSpacing/>
        <w:outlineLvl w:val="0"/>
        <w:rPr>
          <w:b/>
          <w:bCs/>
          <w:color w:val="000000"/>
          <w:kern w:val="36"/>
        </w:rPr>
      </w:pPr>
      <w:r w:rsidRPr="00E76534">
        <w:rPr>
          <w:b/>
          <w:bCs/>
          <w:color w:val="000000"/>
          <w:kern w:val="36"/>
        </w:rPr>
        <w:t xml:space="preserve">1.2 </w:t>
      </w:r>
      <w:r w:rsidR="00BF6D4D" w:rsidRPr="00E76534">
        <w:rPr>
          <w:b/>
          <w:bCs/>
          <w:color w:val="000000"/>
          <w:kern w:val="36"/>
        </w:rPr>
        <w:t>Literature Review</w:t>
      </w:r>
    </w:p>
    <w:p w14:paraId="67CCABE0" w14:textId="77777777" w:rsidR="008F7670" w:rsidRPr="00E76534" w:rsidRDefault="008F7670" w:rsidP="00CE5B86">
      <w:pPr>
        <w:spacing w:before="100" w:beforeAutospacing="1" w:after="100" w:afterAutospacing="1"/>
        <w:contextualSpacing/>
        <w:outlineLvl w:val="0"/>
        <w:rPr>
          <w:rFonts w:ascii="Arial" w:hAnsi="Arial" w:cs="Arial"/>
          <w:color w:val="000000"/>
        </w:rPr>
      </w:pPr>
    </w:p>
    <w:p w14:paraId="04509218"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 xml:space="preserve">A substantial literature documents that motherhood and childbearing generate persistent and unequal labor-market outcomes for women. Early work identifies a “family gap” in wages, showing that mothers earn less than observationally similar nonmothers even after conditioning on education, experience, and occupational characteristics (Waldfogel, 1997; Budig and England, 2001). Subsequent research quantifies these effects as motherhood wage penalties of roughly 3–4% per child and attributes them to reduced experience accumulation, discrimination, and sorting into lower-paid, family-friendly jobs (Cukrowska-Torzewska and Matysiak, 2020). Kleven </w:t>
      </w:r>
      <w:r w:rsidRPr="00E76534">
        <w:rPr>
          <w:rFonts w:ascii="Arial" w:hAnsi="Arial" w:cs="Arial"/>
          <w:i/>
          <w:iCs/>
          <w:color w:val="000000"/>
        </w:rPr>
        <w:t>et al</w:t>
      </w:r>
      <w:r w:rsidRPr="00E76534">
        <w:rPr>
          <w:rFonts w:ascii="Arial" w:hAnsi="Arial" w:cs="Arial"/>
          <w:color w:val="000000"/>
        </w:rPr>
        <w:t xml:space="preserve">. (2019) conceptualize these patterns as “child penalties,” defined as the long-run earnings and employment gaps between men and </w:t>
      </w:r>
      <w:r w:rsidRPr="00E76534">
        <w:rPr>
          <w:rFonts w:ascii="Arial" w:hAnsi="Arial" w:cs="Arial"/>
          <w:color w:val="000000"/>
        </w:rPr>
        <w:lastRenderedPageBreak/>
        <w:t xml:space="preserve">women that open after first birth. Cross-national evidence shows that child penalties become a dominant source of gender inequality as economies transition toward wage employment (Kleven </w:t>
      </w:r>
      <w:r w:rsidRPr="00E76534">
        <w:rPr>
          <w:rFonts w:ascii="Arial" w:hAnsi="Arial" w:cs="Arial"/>
          <w:i/>
          <w:iCs/>
          <w:color w:val="000000"/>
        </w:rPr>
        <w:t>et al</w:t>
      </w:r>
      <w:r w:rsidRPr="00E76534">
        <w:rPr>
          <w:rFonts w:ascii="Arial" w:hAnsi="Arial" w:cs="Arial"/>
          <w:color w:val="000000"/>
        </w:rPr>
        <w:t>., 2024b).</w:t>
      </w:r>
    </w:p>
    <w:p w14:paraId="04533882"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2F5510BD" w14:textId="038DC525"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A related literature emphasizes that</w:t>
      </w:r>
      <w:r w:rsidRPr="00E76534">
        <w:rPr>
          <w:rStyle w:val="apple-converted-space"/>
          <w:rFonts w:ascii="Arial" w:eastAsiaTheme="majorEastAsia" w:hAnsi="Arial" w:cs="Arial"/>
          <w:color w:val="000000"/>
        </w:rPr>
        <w:t> </w:t>
      </w:r>
      <w:r w:rsidRPr="00E76534">
        <w:rPr>
          <w:rStyle w:val="Strong"/>
          <w:rFonts w:ascii="Arial" w:eastAsiaTheme="majorEastAsia" w:hAnsi="Arial" w:cs="Arial"/>
          <w:b w:val="0"/>
          <w:bCs w:val="0"/>
          <w:color w:val="000000"/>
        </w:rPr>
        <w:t>the timing of motherhood</w:t>
      </w:r>
      <w:r w:rsidRPr="00E76534">
        <w:rPr>
          <w:rStyle w:val="apple-converted-space"/>
          <w:rFonts w:ascii="Arial" w:eastAsiaTheme="majorEastAsia" w:hAnsi="Arial" w:cs="Arial"/>
          <w:color w:val="000000"/>
        </w:rPr>
        <w:t> </w:t>
      </w:r>
      <w:r w:rsidRPr="00E76534">
        <w:rPr>
          <w:rFonts w:ascii="Arial" w:hAnsi="Arial" w:cs="Arial"/>
          <w:color w:val="000000"/>
        </w:rPr>
        <w:t>plays a critical role in shaping women’s long-run outcomes. Delaying childbirth is associated with higher wages and stronger labor-force attachment, although the magnitude of these gains varies by education and occupation (Amuedo-Dorantes and Kimmel, 2005; Buckles, 2008; Landivar, 2020). Reviews conclude that postponement facilitates human-capital accumulation but may reduce completed fertility in the absence of supportive institutions (</w:t>
      </w:r>
      <w:r w:rsidRPr="00180FEC">
        <w:rPr>
          <w:rFonts w:ascii="Arial" w:hAnsi="Arial" w:cs="Arial"/>
          <w:color w:val="000000"/>
          <w:highlight w:val="cyan"/>
        </w:rPr>
        <w:t>Bratti, 20</w:t>
      </w:r>
      <w:r w:rsidR="00180FEC" w:rsidRPr="00180FEC">
        <w:rPr>
          <w:rFonts w:ascii="Arial" w:hAnsi="Arial" w:cs="Arial"/>
          <w:color w:val="000000"/>
          <w:highlight w:val="cyan"/>
        </w:rPr>
        <w:t>23</w:t>
      </w:r>
      <w:r w:rsidRPr="00E76534">
        <w:rPr>
          <w:rFonts w:ascii="Arial" w:hAnsi="Arial" w:cs="Arial"/>
          <w:color w:val="000000"/>
        </w:rPr>
        <w:t xml:space="preserve">). Life-course and sequence-analytic research further shows that gender inequality accumulates through repeated transitions between full-time work, part-time work, and caregiving, producing durable disparities in earnings and health (Machů </w:t>
      </w:r>
      <w:r w:rsidRPr="00E76534">
        <w:rPr>
          <w:rFonts w:ascii="Arial" w:hAnsi="Arial" w:cs="Arial"/>
          <w:i/>
          <w:iCs/>
          <w:color w:val="000000"/>
        </w:rPr>
        <w:t>et al</w:t>
      </w:r>
      <w:r w:rsidRPr="00E76534">
        <w:rPr>
          <w:rFonts w:ascii="Arial" w:hAnsi="Arial" w:cs="Arial"/>
          <w:color w:val="000000"/>
        </w:rPr>
        <w:t>., 2022). This evidence challenges frictionless “two-stage” models of education followed by family formation and highlights the importance of institutional constraints in shaping nonlinear career trajectories.</w:t>
      </w:r>
    </w:p>
    <w:p w14:paraId="4CB50F9F"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3AE6D1AD" w14:textId="50D96AE1"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 xml:space="preserve">A second strand of research analyzes the macro-structural drivers of fertility postponement. Rising educational attainment explains a substantial share of the increase in age at first birth across advanced economies (Ní Bhrolcháin and Beaujouan, 2012). Evidence linking employment uncertainty to fertility timing is more mixed, with subjective expectations and institutional context playing key roles (Kreyenfeld </w:t>
      </w:r>
      <w:r w:rsidRPr="00E76534">
        <w:rPr>
          <w:rFonts w:ascii="Arial" w:hAnsi="Arial" w:cs="Arial"/>
          <w:i/>
          <w:iCs/>
          <w:color w:val="000000"/>
        </w:rPr>
        <w:t>et al</w:t>
      </w:r>
      <w:r w:rsidRPr="00E76534">
        <w:rPr>
          <w:rFonts w:ascii="Arial" w:hAnsi="Arial" w:cs="Arial"/>
          <w:color w:val="000000"/>
        </w:rPr>
        <w:t>., 2012). Cultural explanations associated with the second demographic transition emphasize changing norms around autonomy and self-realization (Zaidi and Morgan, 2017), though evidence from the United States points to considerable heterogeneity across race and class (</w:t>
      </w:r>
      <w:r w:rsidRPr="006E1241">
        <w:rPr>
          <w:rFonts w:ascii="Arial" w:hAnsi="Arial" w:cs="Arial"/>
          <w:color w:val="000000"/>
          <w:highlight w:val="cyan"/>
        </w:rPr>
        <w:t>Bloome, 20</w:t>
      </w:r>
      <w:r w:rsidR="006E1241" w:rsidRPr="006E1241">
        <w:rPr>
          <w:rFonts w:ascii="Arial" w:hAnsi="Arial" w:cs="Arial"/>
          <w:color w:val="000000"/>
          <w:highlight w:val="cyan"/>
        </w:rPr>
        <w:t>13</w:t>
      </w:r>
      <w:r w:rsidRPr="00E76534">
        <w:rPr>
          <w:rFonts w:ascii="Arial" w:hAnsi="Arial" w:cs="Arial"/>
          <w:color w:val="000000"/>
        </w:rPr>
        <w:t xml:space="preserve">). Recent life-course studies document increasingly diverse adult trajectories—career-centered, family-centered, and mixed—that generate distinct economic and health outcomes (Comolli </w:t>
      </w:r>
      <w:r w:rsidRPr="00E76534">
        <w:rPr>
          <w:rFonts w:ascii="Arial" w:hAnsi="Arial" w:cs="Arial"/>
          <w:i/>
          <w:iCs/>
          <w:color w:val="000000"/>
        </w:rPr>
        <w:t>et al</w:t>
      </w:r>
      <w:r w:rsidRPr="00E76534">
        <w:rPr>
          <w:rFonts w:ascii="Arial" w:hAnsi="Arial" w:cs="Arial"/>
          <w:color w:val="000000"/>
        </w:rPr>
        <w:t>., 2021; Halpern-Manners, 2015). However, much of this literature treats institutions as background conditions rather than as central mechanisms shaping fertility timing.</w:t>
      </w:r>
    </w:p>
    <w:p w14:paraId="41FC5150"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73FF4CE4"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Recent economic research places institutions at the center of the fertility–career trade-off. Goldin (2021) documents how the structure and timing of career rewards interact with childbirth to generate persistent gender gaps, while Olivetti and Petrongolo (2017) show that family policies condition women’s labor supply and fertility decisions by altering the compatibility of employment and childbearing. Related discussions emphasize the continuing role of ‘presence-based’ reward structures in widening gender gaps after family transitions (Yoshimori &amp; Halbleib, 2026). These institutional effects are reinforced by slow-moving cultural norms. Fernández (2013) models cultural change as an intergenerational learning process, generating persistence and regime dependence in gender roles and family behavior. Together, these studies suggest that fertility timing reflects an equilibrium response to institutional environments rather than purely individual preferences.</w:t>
      </w:r>
    </w:p>
    <w:p w14:paraId="4804C40F"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7203BD19"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A related literature highlights the economic significance of</w:t>
      </w:r>
      <w:r w:rsidRPr="00E76534">
        <w:rPr>
          <w:rStyle w:val="apple-converted-space"/>
          <w:rFonts w:ascii="Arial" w:eastAsiaTheme="majorEastAsia" w:hAnsi="Arial" w:cs="Arial"/>
          <w:color w:val="000000"/>
        </w:rPr>
        <w:t> </w:t>
      </w:r>
      <w:r w:rsidRPr="00E76534">
        <w:rPr>
          <w:rStyle w:val="Strong"/>
          <w:rFonts w:ascii="Arial" w:eastAsiaTheme="majorEastAsia" w:hAnsi="Arial" w:cs="Arial"/>
          <w:b w:val="0"/>
          <w:bCs w:val="0"/>
          <w:color w:val="000000"/>
        </w:rPr>
        <w:t>early childbearing</w:t>
      </w:r>
      <w:r w:rsidRPr="00E76534">
        <w:rPr>
          <w:rFonts w:ascii="Arial" w:hAnsi="Arial" w:cs="Arial"/>
          <w:color w:val="000000"/>
        </w:rPr>
        <w:t>. Fertility has been shown to carry large and lasting economic costs, including reduced educational attainment, weaker labor-market attachment, and lower lifetime earnings (Kearney and Levine, 2012). Political demography research further shows that fertility behavior varies systematically by ideology and religiosity, with conservative and religious groups tending to exhibit earlier family formation and higher completed fertility (Hayford and Morgan, 2008; Schnabel, 2021). Pronatalist discourse—both religious and secular—has re-emerged in response to declining fertility, often framing low birth rates as a civilizational or political crisis (Perry, 2022). Critics emphasize that such narratives frequently overlook structural constraints such as housing costs, childcare availability, and labor-market insecurity (Florida, 2020).</w:t>
      </w:r>
    </w:p>
    <w:p w14:paraId="7E01905F"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22AA1523" w14:textId="4AD8E622" w:rsidR="00BF6D4D"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lastRenderedPageBreak/>
        <w:t xml:space="preserve">Finally, research on gender norms emphasizes that preferences and behaviors are embedded in dense institutional networks that shape economic incentives (Alesina </w:t>
      </w:r>
      <w:r w:rsidRPr="00E76534">
        <w:rPr>
          <w:rFonts w:ascii="Arial" w:hAnsi="Arial" w:cs="Arial"/>
          <w:i/>
          <w:iCs/>
          <w:color w:val="000000"/>
        </w:rPr>
        <w:t>et.al.</w:t>
      </w:r>
      <w:r w:rsidRPr="00E76534">
        <w:rPr>
          <w:rFonts w:ascii="Arial" w:hAnsi="Arial" w:cs="Arial"/>
          <w:color w:val="000000"/>
        </w:rPr>
        <w:t xml:space="preserve">, 2013).  Conservative societies exhibit larger child penalties and slower gender convergence (Kleven </w:t>
      </w:r>
      <w:r w:rsidRPr="00E76534">
        <w:rPr>
          <w:rFonts w:ascii="Arial" w:hAnsi="Arial" w:cs="Arial"/>
          <w:i/>
          <w:iCs/>
          <w:color w:val="000000"/>
        </w:rPr>
        <w:t>et al</w:t>
      </w:r>
      <w:r w:rsidRPr="00E76534">
        <w:rPr>
          <w:rFonts w:ascii="Arial" w:hAnsi="Arial" w:cs="Arial"/>
          <w:color w:val="000000"/>
        </w:rPr>
        <w:t xml:space="preserve">., 2024a), while qualitative studies document ecosystems—family-policy organizations, religious communities, and values-based employers—that promote early childbearing while offering limited support for sustained labor-market attachment (Wilcox and Wolfinger, 2016; Su and Musick, 2024). Political orientations are also transmitted intergenerationally, implying that fertility differentials can generate long-run shifts in population composition and institutional equilibria (Bisin and Verdier, 2001; Jennings </w:t>
      </w:r>
      <w:r w:rsidRPr="00E76534">
        <w:rPr>
          <w:rFonts w:ascii="Arial" w:hAnsi="Arial" w:cs="Arial"/>
          <w:i/>
          <w:iCs/>
          <w:color w:val="000000"/>
        </w:rPr>
        <w:t>et al</w:t>
      </w:r>
      <w:r w:rsidRPr="00E76534">
        <w:rPr>
          <w:rFonts w:ascii="Arial" w:hAnsi="Arial" w:cs="Arial"/>
          <w:color w:val="000000"/>
        </w:rPr>
        <w:t>., 2009; Van Ditmars and Bernardi, 2023).</w:t>
      </w:r>
    </w:p>
    <w:p w14:paraId="00ED301B" w14:textId="77777777" w:rsidR="00D25817" w:rsidRDefault="00D25817" w:rsidP="008F7670">
      <w:pPr>
        <w:spacing w:before="100" w:beforeAutospacing="1" w:after="100" w:afterAutospacing="1"/>
        <w:contextualSpacing/>
        <w:outlineLvl w:val="0"/>
        <w:rPr>
          <w:rFonts w:ascii="Arial" w:hAnsi="Arial" w:cs="Arial"/>
          <w:color w:val="000000"/>
        </w:rPr>
      </w:pPr>
    </w:p>
    <w:p w14:paraId="2A057B2D" w14:textId="77777777" w:rsidR="00D25817" w:rsidRPr="00D25817" w:rsidRDefault="00D25817" w:rsidP="00D25817">
      <w:pPr>
        <w:spacing w:before="100" w:beforeAutospacing="1" w:after="100" w:afterAutospacing="1"/>
        <w:contextualSpacing/>
        <w:outlineLvl w:val="0"/>
        <w:rPr>
          <w:rFonts w:ascii="Arial" w:hAnsi="Arial" w:cs="Arial"/>
          <w:b/>
          <w:bCs/>
          <w:color w:val="000000"/>
          <w:sz w:val="22"/>
          <w:szCs w:val="22"/>
          <w:highlight w:val="cyan"/>
        </w:rPr>
      </w:pPr>
      <w:r w:rsidRPr="00D25817">
        <w:rPr>
          <w:rFonts w:ascii="Arial" w:hAnsi="Arial" w:cs="Arial"/>
          <w:b/>
          <w:bCs/>
          <w:color w:val="000000"/>
          <w:sz w:val="22"/>
          <w:szCs w:val="22"/>
          <w:highlight w:val="cyan"/>
        </w:rPr>
        <w:t>1.3 Research Objectives and Hypotheses</w:t>
      </w:r>
    </w:p>
    <w:p w14:paraId="29B28FB1" w14:textId="77777777" w:rsidR="00D25817" w:rsidRPr="00D25817" w:rsidRDefault="00D25817" w:rsidP="00D25817">
      <w:pPr>
        <w:spacing w:before="100" w:beforeAutospacing="1" w:after="100" w:afterAutospacing="1"/>
        <w:contextualSpacing/>
        <w:outlineLvl w:val="0"/>
        <w:rPr>
          <w:rFonts w:ascii="Arial" w:hAnsi="Arial" w:cs="Arial"/>
          <w:b/>
          <w:bCs/>
          <w:color w:val="000000"/>
          <w:sz w:val="22"/>
          <w:szCs w:val="22"/>
          <w:highlight w:val="cyan"/>
        </w:rPr>
      </w:pPr>
    </w:p>
    <w:p w14:paraId="2F532625"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r w:rsidRPr="00D25817">
        <w:rPr>
          <w:rFonts w:ascii="Arial" w:hAnsi="Arial" w:cs="Arial"/>
          <w:color w:val="000000"/>
          <w:highlight w:val="cyan"/>
        </w:rPr>
        <w:t>This study examines whether institutional gender inequality systematically influences fertility timing across countries, particularly the incidence of very early childbearing. Building on the theoretical framework developed above, the paper investigates whether institutional constraints affecting women’s educational attainment, labor-market participation, and reproductive autonomy alter the opportunity cost of early fertility.</w:t>
      </w:r>
    </w:p>
    <w:p w14:paraId="118247F8"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p>
    <w:p w14:paraId="23EB2725"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r w:rsidRPr="00D25817">
        <w:rPr>
          <w:rFonts w:ascii="Arial" w:hAnsi="Arial" w:cs="Arial"/>
          <w:color w:val="000000"/>
          <w:highlight w:val="cyan"/>
        </w:rPr>
        <w:t>The empirical analysis has three main objectives. First, it examines whether higher levels of gender inequality are associated with earlier fertility timing within countries over time. Second, it evaluates whether this relationship is nonlinear and varies across institutional regimes. Third, it investigates whether fertility timing outcomes exhibit persistence consistent with slow-moving institutional and normative environments.</w:t>
      </w:r>
    </w:p>
    <w:p w14:paraId="4C7D3B49"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p>
    <w:p w14:paraId="0F4977C8"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r w:rsidRPr="00D25817">
        <w:rPr>
          <w:rFonts w:ascii="Arial" w:hAnsi="Arial" w:cs="Arial"/>
          <w:color w:val="000000"/>
          <w:highlight w:val="cyan"/>
        </w:rPr>
        <w:t>The analysis tests the following hypotheses:</w:t>
      </w:r>
    </w:p>
    <w:p w14:paraId="01F3B7BA"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p>
    <w:p w14:paraId="1084F61F"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r w:rsidRPr="00D25817">
        <w:rPr>
          <w:rFonts w:ascii="Arial" w:hAnsi="Arial" w:cs="Arial"/>
          <w:color w:val="000000"/>
          <w:highlight w:val="cyan"/>
        </w:rPr>
        <w:t>H1: Higher institutional gender inequality is associated with earlier childbearing.</w:t>
      </w:r>
    </w:p>
    <w:p w14:paraId="57E2BB28" w14:textId="77777777" w:rsidR="00D25817" w:rsidRPr="00D25817" w:rsidRDefault="00D25817" w:rsidP="00D25817">
      <w:pPr>
        <w:spacing w:before="100" w:beforeAutospacing="1" w:after="100" w:afterAutospacing="1"/>
        <w:contextualSpacing/>
        <w:outlineLvl w:val="0"/>
        <w:rPr>
          <w:rFonts w:ascii="Arial" w:hAnsi="Arial" w:cs="Arial"/>
          <w:color w:val="000000"/>
          <w:highlight w:val="cyan"/>
        </w:rPr>
      </w:pPr>
      <w:r w:rsidRPr="00D25817">
        <w:rPr>
          <w:rFonts w:ascii="Arial" w:hAnsi="Arial" w:cs="Arial"/>
          <w:color w:val="000000"/>
          <w:highlight w:val="cyan"/>
        </w:rPr>
        <w:t>H2: The effect of gender inequality on fertility timing is stronger in high-inequality institutional regimes.</w:t>
      </w:r>
    </w:p>
    <w:p w14:paraId="4B318298" w14:textId="7DDC1AA1" w:rsidR="00D25817" w:rsidRPr="00D25817" w:rsidRDefault="00D25817" w:rsidP="008F7670">
      <w:pPr>
        <w:spacing w:before="100" w:beforeAutospacing="1" w:after="100" w:afterAutospacing="1"/>
        <w:contextualSpacing/>
        <w:outlineLvl w:val="0"/>
        <w:rPr>
          <w:rFonts w:ascii="Arial" w:hAnsi="Arial" w:cs="Arial"/>
          <w:color w:val="000000"/>
        </w:rPr>
      </w:pPr>
      <w:r w:rsidRPr="00D25817">
        <w:rPr>
          <w:rFonts w:ascii="Arial" w:hAnsi="Arial" w:cs="Arial"/>
          <w:color w:val="000000"/>
          <w:highlight w:val="cyan"/>
        </w:rPr>
        <w:t>H3: Fertility timing outcomes exhibit persistence over time due to institutional and social path dependence.</w:t>
      </w:r>
    </w:p>
    <w:p w14:paraId="4DE3E719" w14:textId="7534FAE7" w:rsidR="007F7B32" w:rsidRPr="00E76534" w:rsidRDefault="00902823" w:rsidP="00441B6F">
      <w:pPr>
        <w:pStyle w:val="AbstHead"/>
        <w:spacing w:after="0"/>
        <w:jc w:val="both"/>
        <w:rPr>
          <w:rFonts w:ascii="Arial" w:hAnsi="Arial" w:cs="Arial"/>
        </w:rPr>
      </w:pPr>
      <w:r w:rsidRPr="00E76534">
        <w:rPr>
          <w:rFonts w:ascii="Arial" w:hAnsi="Arial" w:cs="Arial"/>
        </w:rPr>
        <w:t xml:space="preserve">2. </w:t>
      </w:r>
      <w:r w:rsidR="006B57D0" w:rsidRPr="00E76534">
        <w:rPr>
          <w:rFonts w:ascii="Arial" w:hAnsi="Arial" w:cs="Arial"/>
        </w:rPr>
        <w:t>methodology</w:t>
      </w:r>
      <w:r w:rsidR="007F7B32" w:rsidRPr="00E76534">
        <w:rPr>
          <w:rFonts w:ascii="Arial" w:hAnsi="Arial" w:cs="Arial"/>
        </w:rPr>
        <w:t xml:space="preserve"> </w:t>
      </w:r>
    </w:p>
    <w:p w14:paraId="3B259501" w14:textId="77777777" w:rsidR="00790ADA" w:rsidRPr="00E76534" w:rsidRDefault="00790ADA" w:rsidP="00441B6F">
      <w:pPr>
        <w:pStyle w:val="AbstHead"/>
        <w:spacing w:after="0"/>
        <w:jc w:val="both"/>
        <w:rPr>
          <w:rFonts w:ascii="Arial" w:hAnsi="Arial" w:cs="Arial"/>
        </w:rPr>
      </w:pPr>
    </w:p>
    <w:p w14:paraId="1EA29554" w14:textId="653DAB48" w:rsidR="00010349" w:rsidRPr="00E76534" w:rsidRDefault="00901FCA" w:rsidP="00010349">
      <w:pPr>
        <w:pStyle w:val="Body"/>
        <w:spacing w:after="0"/>
        <w:rPr>
          <w:rFonts w:ascii="Arial" w:hAnsi="Arial" w:cs="Arial"/>
          <w:b/>
          <w:bCs/>
          <w:sz w:val="22"/>
          <w:szCs w:val="22"/>
        </w:rPr>
      </w:pPr>
      <w:r w:rsidRPr="00E76534">
        <w:rPr>
          <w:rFonts w:ascii="Arial" w:hAnsi="Arial" w:cs="Arial"/>
          <w:b/>
          <w:bCs/>
          <w:sz w:val="22"/>
          <w:szCs w:val="22"/>
        </w:rPr>
        <w:t>2</w:t>
      </w:r>
      <w:r w:rsidR="00010349" w:rsidRPr="00E76534">
        <w:rPr>
          <w:rFonts w:ascii="Arial" w:hAnsi="Arial" w:cs="Arial"/>
          <w:b/>
          <w:bCs/>
          <w:sz w:val="22"/>
          <w:szCs w:val="22"/>
        </w:rPr>
        <w:t xml:space="preserve">.1 Theory </w:t>
      </w:r>
    </w:p>
    <w:p w14:paraId="5E4771A9" w14:textId="77777777" w:rsidR="00010349" w:rsidRPr="00E76534" w:rsidRDefault="00010349" w:rsidP="00010349">
      <w:pPr>
        <w:pStyle w:val="Body"/>
        <w:spacing w:after="0"/>
        <w:rPr>
          <w:rFonts w:ascii="Arial" w:hAnsi="Arial" w:cs="Arial"/>
        </w:rPr>
      </w:pPr>
      <w:r w:rsidRPr="00E76534">
        <w:rPr>
          <w:rFonts w:ascii="Arial" w:hAnsi="Arial" w:cs="Arial"/>
        </w:rPr>
        <w:t>This paper develops a continuous-time life-cycle model in which women jointly choose education, career attachment, and the timing of first birth. The model’s central object is not the average timing of fertility, but the distribution of optimal first-birth ages across women facing heterogeneous institutional environments (Heckman and Walker, 1990; Gustafsson, 2001).</w:t>
      </w:r>
    </w:p>
    <w:p w14:paraId="75E0386F" w14:textId="77777777" w:rsidR="00010349" w:rsidRPr="00E76534" w:rsidRDefault="00010349" w:rsidP="00010349">
      <w:pPr>
        <w:pStyle w:val="Body"/>
        <w:spacing w:after="0"/>
        <w:rPr>
          <w:rFonts w:ascii="Arial" w:hAnsi="Arial" w:cs="Arial"/>
        </w:rPr>
      </w:pPr>
      <w:r w:rsidRPr="00E76534">
        <w:rPr>
          <w:rFonts w:ascii="Arial" w:hAnsi="Arial" w:cs="Arial"/>
        </w:rPr>
        <w:t>In particular, the model is designed to characterize the conditions under which a non-trivial share of women optimally select very early childbearing</w:t>
      </w:r>
      <w:r w:rsidRPr="00E76534">
        <w:rPr>
          <w:rFonts w:ascii="Arial" w:hAnsi="Arial" w:cs="Arial"/>
          <w:b/>
          <w:bCs/>
        </w:rPr>
        <w:t>,</w:t>
      </w:r>
      <w:r w:rsidRPr="00E76534">
        <w:rPr>
          <w:rFonts w:ascii="Arial" w:hAnsi="Arial" w:cs="Arial"/>
        </w:rPr>
        <w:t xml:space="preserve"> corresponding to the left tail of the fertility-timing distribution. This focus allows the theoretical framework to speak directly to empirical measures of early fertility without requiring observation of complete life-cycle fertility histories (Kearney and Levine, 2012; Miller, 2011).</w:t>
      </w:r>
    </w:p>
    <w:p w14:paraId="35E1E493" w14:textId="296BA59C" w:rsidR="00010349" w:rsidRPr="00E76534" w:rsidRDefault="00010349" w:rsidP="00010349">
      <w:pPr>
        <w:pStyle w:val="Body"/>
        <w:spacing w:after="0"/>
        <w:rPr>
          <w:rFonts w:ascii="Arial" w:hAnsi="Arial" w:cs="Arial"/>
        </w:rPr>
      </w:pPr>
      <w:r w:rsidRPr="00E76534">
        <w:rPr>
          <w:rFonts w:ascii="Arial" w:hAnsi="Arial" w:cs="Arial"/>
        </w:rPr>
        <w:t>Time is continuous, and individuals live from age</w:t>
      </w:r>
      <m:oMath>
        <m:limLow>
          <m:limLowPr>
            <m:ctrlPr>
              <w:rPr>
                <w:rFonts w:ascii="Cambria Math" w:hAnsi="Cambria Math" w:cs="Arial"/>
              </w:rPr>
            </m:ctrlPr>
          </m:limLowPr>
          <m:e>
            <m:r>
              <w:rPr>
                <w:rFonts w:ascii="Cambria Math" w:hAnsi="Cambria Math" w:cs="Arial"/>
              </w:rPr>
              <m:t xml:space="preserve"> τ</m:t>
            </m:r>
          </m:e>
          <m:lim>
            <m:r>
              <w:rPr>
                <w:rFonts w:ascii="Cambria Math" w:hAnsi="Cambria Math" w:cs="Arial"/>
              </w:rPr>
              <m:t>‾</m:t>
            </m:r>
          </m:lim>
        </m:limLow>
      </m:oMath>
      <w:r w:rsidRPr="00E76534">
        <w:rPr>
          <w:rFonts w:ascii="Arial" w:hAnsi="Arial" w:cs="Arial"/>
        </w:rPr>
        <w:t> to </w:t>
      </w:r>
      <m:oMath>
        <m:acc>
          <m:accPr>
            <m:chr m:val="ˉ"/>
            <m:ctrlPr>
              <w:rPr>
                <w:rFonts w:ascii="Cambria Math" w:hAnsi="Cambria Math" w:cs="Arial"/>
              </w:rPr>
            </m:ctrlPr>
          </m:accPr>
          <m:e>
            <m:r>
              <w:rPr>
                <w:rFonts w:ascii="Cambria Math" w:hAnsi="Cambria Math" w:cs="Arial"/>
              </w:rPr>
              <m:t>τ</m:t>
            </m:r>
          </m:e>
        </m:acc>
      </m:oMath>
      <w:r w:rsidRPr="00E76534">
        <w:rPr>
          <w:rFonts w:ascii="Arial" w:hAnsi="Arial" w:cs="Arial"/>
        </w:rPr>
        <w:t xml:space="preserve">. A woman chooses (i) years of education </w:t>
      </w:r>
      <m:oMath>
        <m:r>
          <w:rPr>
            <w:rFonts w:ascii="Cambria Math" w:hAnsi="Cambria Math" w:cs="Arial"/>
          </w:rPr>
          <m:t>s≥0</m:t>
        </m:r>
      </m:oMath>
      <w:r w:rsidRPr="00E76534">
        <w:rPr>
          <w:rFonts w:ascii="Arial" w:hAnsi="Arial" w:cs="Arial"/>
        </w:rPr>
        <w:t xml:space="preserve">; (ii) a time path of career attachment </w:t>
      </w:r>
      <m:oMath>
        <m:r>
          <w:rPr>
            <w:rFonts w:ascii="Cambria Math" w:hAnsi="Cambria Math" w:cs="Arial"/>
          </w:rPr>
          <m:t>h(t)∈[0,1]</m:t>
        </m:r>
      </m:oMath>
      <w:r w:rsidRPr="00E76534">
        <w:rPr>
          <w:rFonts w:ascii="Arial" w:hAnsi="Arial" w:cs="Arial"/>
        </w:rPr>
        <w:t xml:space="preserve">, interpreted as labor supply or career investment intensity; and (iii) the timing of first birth </w:t>
      </w:r>
      <m:oMath>
        <m:r>
          <w:rPr>
            <w:rFonts w:ascii="Cambria Math" w:hAnsi="Cambria Math" w:cs="Arial"/>
          </w:rPr>
          <m:t>∈[</m:t>
        </m:r>
        <m:limLow>
          <m:limLowPr>
            <m:ctrlPr>
              <w:rPr>
                <w:rFonts w:ascii="Cambria Math" w:hAnsi="Cambria Math" w:cs="Arial"/>
              </w:rPr>
            </m:ctrlPr>
          </m:limLowPr>
          <m:e>
            <m:r>
              <w:rPr>
                <w:rFonts w:ascii="Cambria Math" w:hAnsi="Cambria Math" w:cs="Arial"/>
              </w:rPr>
              <m:t>τ</m:t>
            </m:r>
          </m:e>
          <m:lim>
            <m:r>
              <w:rPr>
                <w:rFonts w:ascii="Cambria Math" w:hAnsi="Cambria Math" w:cs="Arial"/>
              </w:rPr>
              <m:t>‾</m:t>
            </m:r>
          </m:lim>
        </m:limLow>
        <m:r>
          <w:rPr>
            <w:rFonts w:ascii="Cambria Math" w:hAnsi="Cambria Math" w:cs="Arial"/>
          </w:rPr>
          <m:t>,</m:t>
        </m:r>
        <m:acc>
          <m:accPr>
            <m:chr m:val="ˉ"/>
            <m:ctrlPr>
              <w:rPr>
                <w:rFonts w:ascii="Cambria Math" w:hAnsi="Cambria Math" w:cs="Arial"/>
              </w:rPr>
            </m:ctrlPr>
          </m:accPr>
          <m:e>
            <m:r>
              <w:rPr>
                <w:rFonts w:ascii="Cambria Math" w:hAnsi="Cambria Math" w:cs="Arial"/>
              </w:rPr>
              <m:t>τ</m:t>
            </m:r>
          </m:e>
        </m:acc>
        <m:r>
          <w:rPr>
            <w:rFonts w:ascii="Cambria Math" w:hAnsi="Cambria Math" w:cs="Arial"/>
          </w:rPr>
          <m:t>]</m:t>
        </m:r>
      </m:oMath>
      <w:r w:rsidRPr="00E76534">
        <w:rPr>
          <w:rFonts w:ascii="Arial" w:hAnsi="Arial" w:cs="Arial"/>
        </w:rPr>
        <w:t>. Human capital evolves according to</w:t>
      </w:r>
    </w:p>
    <w:p w14:paraId="0755FE81" w14:textId="77777777" w:rsidR="00901FCA" w:rsidRPr="00E76534" w:rsidRDefault="00901FCA" w:rsidP="00010349">
      <w:pPr>
        <w:pStyle w:val="Body"/>
        <w:spacing w:after="0"/>
        <w:rPr>
          <w:rFonts w:ascii="Arial" w:hAnsi="Arial" w:cs="Arial"/>
        </w:rPr>
      </w:pPr>
    </w:p>
    <w:p w14:paraId="360AA49C" w14:textId="1D6BB037" w:rsidR="00010349" w:rsidRPr="00E76534" w:rsidRDefault="00000000" w:rsidP="00010349">
      <w:pPr>
        <w:pStyle w:val="Body"/>
        <w:rPr>
          <w:rFonts w:ascii="Arial" w:hAnsi="Arial" w:cs="Arial"/>
        </w:rPr>
      </w:pPr>
      <m:oMathPara>
        <m:oMath>
          <m:acc>
            <m:accPr>
              <m:chr m:val="̇"/>
              <m:ctrlPr>
                <w:rPr>
                  <w:rFonts w:ascii="Cambria Math" w:hAnsi="Cambria Math" w:cs="Arial"/>
                </w:rPr>
              </m:ctrlPr>
            </m:accPr>
            <m:e>
              <m:r>
                <w:rPr>
                  <w:rFonts w:ascii="Cambria Math" w:hAnsi="Cambria Math" w:cs="Arial"/>
                </w:rPr>
                <m:t>H</m:t>
              </m:r>
            </m:e>
          </m:acc>
          <m:d>
            <m:dPr>
              <m:ctrlPr>
                <w:rPr>
                  <w:rFonts w:ascii="Cambria Math" w:hAnsi="Cambria Math" w:cs="Arial"/>
                  <w:i/>
                </w:rPr>
              </m:ctrlPr>
            </m:dPr>
            <m:e>
              <m:r>
                <w:rPr>
                  <w:rFonts w:ascii="Cambria Math" w:hAnsi="Cambria Math" w:cs="Arial"/>
                </w:rPr>
                <m:t>t</m:t>
              </m:r>
            </m:e>
          </m:d>
          <m:r>
            <w:rPr>
              <w:rFonts w:ascii="Cambria Math" w:hAnsi="Cambria Math" w:cs="Arial"/>
            </w:rPr>
            <m:t>=αh</m:t>
          </m:r>
          <m:d>
            <m:dPr>
              <m:ctrlPr>
                <w:rPr>
                  <w:rFonts w:ascii="Cambria Math" w:hAnsi="Cambria Math" w:cs="Arial"/>
                  <w:i/>
                </w:rPr>
              </m:ctrlPr>
            </m:dPr>
            <m:e>
              <m:r>
                <w:rPr>
                  <w:rFonts w:ascii="Cambria Math" w:hAnsi="Cambria Math" w:cs="Arial"/>
                </w:rPr>
                <m:t>t</m:t>
              </m:r>
            </m:e>
          </m:d>
          <m:r>
            <w:rPr>
              <w:rFonts w:ascii="Cambria Math" w:hAnsi="Cambria Math" w:cs="Arial"/>
            </w:rPr>
            <m:t>-</m:t>
          </m:r>
          <m:r>
            <m:rPr>
              <m:sty m:val="p"/>
            </m:rPr>
            <w:rPr>
              <w:rFonts w:ascii="Cambria Math" w:hAnsi="Cambria Math" w:cs="Arial"/>
            </w:rPr>
            <m:t>Δ</m:t>
          </m:r>
          <m:d>
            <m:dPr>
              <m:ctrlPr>
                <w:rPr>
                  <w:rFonts w:ascii="Cambria Math" w:hAnsi="Cambria Math" w:cs="Arial"/>
                  <w:i/>
                </w:rPr>
              </m:ctrlPr>
            </m:dPr>
            <m:e>
              <m:r>
                <w:rPr>
                  <w:rFonts w:ascii="Cambria Math" w:hAnsi="Cambria Math" w:cs="Arial"/>
                </w:rPr>
                <m:t>τ,t</m:t>
              </m:r>
            </m:e>
          </m:d>
          <m:d>
            <m:dPr>
              <m:begChr m:val="{"/>
              <m:endChr m:val="}"/>
              <m:ctrlPr>
                <w:rPr>
                  <w:rFonts w:ascii="Cambria Math" w:hAnsi="Cambria Math" w:cs="Arial"/>
                  <w:i/>
                </w:rPr>
              </m:ctrlPr>
            </m:dPr>
            <m:e>
              <m:r>
                <w:rPr>
                  <w:rFonts w:ascii="Cambria Math" w:hAnsi="Cambria Math" w:cs="Arial"/>
                </w:rPr>
                <m:t>t≥τ</m:t>
              </m:r>
            </m:e>
          </m:d>
          <m:r>
            <w:rPr>
              <w:rFonts w:ascii="Cambria Math" w:hAnsi="Cambria Math" w:cs="Arial"/>
            </w:rPr>
            <m:t xml:space="preserve">          (1)</m:t>
          </m:r>
          <m:r>
            <m:rPr>
              <m:sty m:val="p"/>
            </m:rPr>
            <w:rPr>
              <w:rFonts w:ascii="Cambria Math" w:hAnsi="Cambria Math" w:cs="Arial"/>
            </w:rPr>
            <w:br/>
          </m:r>
        </m:oMath>
      </m:oMathPara>
    </w:p>
    <w:p w14:paraId="5159B9E8" w14:textId="02EE3A14" w:rsidR="00010349" w:rsidRPr="00E76534" w:rsidRDefault="00010349" w:rsidP="00010349">
      <w:pPr>
        <w:pStyle w:val="Body"/>
        <w:spacing w:after="0"/>
        <w:rPr>
          <w:rFonts w:ascii="Arial" w:hAnsi="Arial" w:cs="Arial"/>
        </w:rPr>
      </w:pPr>
      <w:r w:rsidRPr="00E76534">
        <w:rPr>
          <w:rFonts w:ascii="Arial" w:hAnsi="Arial" w:cs="Arial"/>
        </w:rPr>
        <w:lastRenderedPageBreak/>
        <w:t xml:space="preserve">where </w:t>
      </w:r>
      <m:oMath>
        <m:r>
          <w:rPr>
            <w:rFonts w:ascii="Cambria Math" w:hAnsi="Cambria Math" w:cs="Arial"/>
          </w:rPr>
          <m:t>α&gt;0</m:t>
        </m:r>
      </m:oMath>
      <w:r w:rsidRPr="00E76534">
        <w:rPr>
          <w:rFonts w:ascii="Arial" w:hAnsi="Arial" w:cs="Arial"/>
        </w:rPr>
        <w:t xml:space="preserve">  captures returns to career attachment prior to childbirth, and </w:t>
      </w:r>
      <m:oMath>
        <m:r>
          <w:rPr>
            <w:rFonts w:ascii="Cambria Math" w:hAnsi="Cambria Math" w:cs="Arial"/>
          </w:rPr>
          <m:t>∆</m:t>
        </m:r>
        <m:d>
          <m:dPr>
            <m:ctrlPr>
              <w:rPr>
                <w:rFonts w:ascii="Cambria Math" w:hAnsi="Cambria Math" w:cs="Arial"/>
                <w:i/>
              </w:rPr>
            </m:ctrlPr>
          </m:dPr>
          <m:e>
            <m:r>
              <w:rPr>
                <w:rFonts w:ascii="Cambria Math" w:hAnsi="Cambria Math" w:cs="Arial"/>
              </w:rPr>
              <m:t>τ, t</m:t>
            </m:r>
          </m:e>
        </m:d>
      </m:oMath>
      <w:r w:rsidRPr="00E76534">
        <w:rPr>
          <w:rFonts w:ascii="Arial" w:hAnsi="Arial" w:cs="Arial"/>
        </w:rPr>
        <w:t xml:space="preserve"> represents the motherhood penalty following first birth.</w:t>
      </w:r>
    </w:p>
    <w:p w14:paraId="7A3DCCD3" w14:textId="77777777" w:rsidR="00010349" w:rsidRPr="00E76534" w:rsidRDefault="00010349" w:rsidP="00010349">
      <w:pPr>
        <w:pStyle w:val="Body"/>
        <w:spacing w:after="0"/>
        <w:rPr>
          <w:rFonts w:ascii="Arial" w:hAnsi="Arial" w:cs="Arial"/>
        </w:rPr>
      </w:pPr>
      <w:r w:rsidRPr="00E76534">
        <w:rPr>
          <w:rFonts w:ascii="Arial" w:hAnsi="Arial" w:cs="Arial"/>
        </w:rPr>
        <w:t>Wages depend exponentially on accumulated human capital,</w:t>
      </w:r>
    </w:p>
    <w:p w14:paraId="5B2624A7" w14:textId="77777777" w:rsidR="00901FCA" w:rsidRPr="00E76534" w:rsidRDefault="00901FCA" w:rsidP="00010349">
      <w:pPr>
        <w:pStyle w:val="Body"/>
        <w:spacing w:after="0"/>
        <w:rPr>
          <w:rFonts w:ascii="Arial" w:hAnsi="Arial" w:cs="Arial"/>
        </w:rPr>
      </w:pPr>
    </w:p>
    <w:p w14:paraId="2FE7A8CC" w14:textId="1328C42F" w:rsidR="00010349" w:rsidRPr="00E76534" w:rsidRDefault="00010349" w:rsidP="00010349">
      <w:pPr>
        <w:pStyle w:val="Body"/>
        <w:rPr>
          <w:rFonts w:ascii="Arial" w:hAnsi="Arial" w:cs="Arial"/>
        </w:rPr>
      </w:pPr>
      <m:oMathPara>
        <m:oMath>
          <m:r>
            <w:rPr>
              <w:rFonts w:ascii="Cambria Math" w:hAnsi="Cambria Math" w:cs="Arial"/>
            </w:rPr>
            <m:t>w</m:t>
          </m:r>
          <m:d>
            <m:dPr>
              <m:ctrlPr>
                <w:rPr>
                  <w:rFonts w:ascii="Cambria Math" w:hAnsi="Cambria Math" w:cs="Arial"/>
                  <w:i/>
                </w:rPr>
              </m:ctrlPr>
            </m:dPr>
            <m:e>
              <m:r>
                <w:rPr>
                  <w:rFonts w:ascii="Cambria Math" w:hAnsi="Cambria Math" w:cs="Arial"/>
                </w:rPr>
                <m:t>t</m:t>
              </m:r>
            </m:e>
          </m:d>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0</m:t>
              </m:r>
            </m:sub>
          </m:sSub>
          <m:func>
            <m:funcPr>
              <m:ctrlPr>
                <w:rPr>
                  <w:rFonts w:ascii="Cambria Math" w:hAnsi="Cambria Math" w:cs="Arial"/>
                  <w:i/>
                </w:rPr>
              </m:ctrlPr>
            </m:funcPr>
            <m:fName>
              <m:r>
                <m:rPr>
                  <m:sty m:val="p"/>
                </m:rPr>
                <w:rPr>
                  <w:rFonts w:ascii="Cambria Math" w:hAnsi="Cambria Math" w:cs="Arial"/>
                </w:rPr>
                <m:t>exp</m:t>
              </m:r>
            </m:fName>
            <m:e>
              <m:d>
                <m:dPr>
                  <m:ctrlPr>
                    <w:rPr>
                      <w:rFonts w:ascii="Cambria Math" w:hAnsi="Cambria Math" w:cs="Arial"/>
                      <w:i/>
                    </w:rPr>
                  </m:ctrlPr>
                </m:dPr>
                <m:e>
                  <m:r>
                    <w:rPr>
                      <w:rFonts w:ascii="Cambria Math" w:hAnsi="Cambria Math" w:cs="Arial"/>
                    </w:rPr>
                    <m:t>βH</m:t>
                  </m:r>
                  <m:d>
                    <m:dPr>
                      <m:ctrlPr>
                        <w:rPr>
                          <w:rFonts w:ascii="Cambria Math" w:hAnsi="Cambria Math" w:cs="Arial"/>
                          <w:i/>
                        </w:rPr>
                      </m:ctrlPr>
                    </m:dPr>
                    <m:e>
                      <m:r>
                        <w:rPr>
                          <w:rFonts w:ascii="Cambria Math" w:hAnsi="Cambria Math" w:cs="Arial"/>
                        </w:rPr>
                        <m:t>t</m:t>
                      </m:r>
                    </m:e>
                  </m:d>
                </m:e>
              </m:d>
            </m:e>
          </m:func>
          <m:r>
            <w:rPr>
              <w:rFonts w:ascii="Cambria Math" w:hAnsi="Cambria Math" w:cs="Arial"/>
            </w:rPr>
            <m:t xml:space="preserve">          (2)</m:t>
          </m:r>
          <m:r>
            <m:rPr>
              <m:sty m:val="p"/>
            </m:rPr>
            <w:rPr>
              <w:rFonts w:ascii="Cambria Math" w:hAnsi="Cambria Math" w:cs="Arial"/>
            </w:rPr>
            <w:br/>
          </m:r>
        </m:oMath>
      </m:oMathPara>
    </w:p>
    <w:p w14:paraId="65437465" w14:textId="77777777" w:rsidR="00010349" w:rsidRPr="00E76534" w:rsidRDefault="00010349" w:rsidP="00010349">
      <w:pPr>
        <w:pStyle w:val="Body"/>
        <w:spacing w:after="0"/>
        <w:rPr>
          <w:rFonts w:ascii="Arial" w:hAnsi="Arial" w:cs="Arial"/>
        </w:rPr>
      </w:pPr>
      <w:r w:rsidRPr="00E76534">
        <w:rPr>
          <w:rFonts w:ascii="Arial" w:hAnsi="Arial" w:cs="Arial"/>
        </w:rPr>
        <w:t xml:space="preserve">so that forgone accumulation early in life has persistent earnings consequences (Mincer and Polachek, 1974). </w:t>
      </w:r>
    </w:p>
    <w:p w14:paraId="23E0F563" w14:textId="77777777" w:rsidR="00901FCA" w:rsidRPr="00E76534" w:rsidRDefault="00901FCA" w:rsidP="00010349">
      <w:pPr>
        <w:pStyle w:val="Body"/>
        <w:spacing w:after="0"/>
        <w:rPr>
          <w:rFonts w:ascii="Arial" w:hAnsi="Arial" w:cs="Arial"/>
        </w:rPr>
      </w:pPr>
    </w:p>
    <w:p w14:paraId="67D5422C" w14:textId="77777777" w:rsidR="00010349" w:rsidRPr="00E76534" w:rsidRDefault="00010349" w:rsidP="00010349">
      <w:pPr>
        <w:pStyle w:val="Body"/>
        <w:spacing w:after="0"/>
        <w:rPr>
          <w:rFonts w:ascii="Arial" w:hAnsi="Arial" w:cs="Arial"/>
        </w:rPr>
      </w:pPr>
      <w:r w:rsidRPr="00E76534">
        <w:rPr>
          <w:rFonts w:ascii="Arial" w:hAnsi="Arial" w:cs="Arial"/>
        </w:rPr>
        <w:t>Education affects fertility timing through two channels: it raises initial human capital at labor market entry,</w:t>
      </w:r>
    </w:p>
    <w:p w14:paraId="7B587902" w14:textId="4AAA7909" w:rsidR="00010349" w:rsidRPr="00E76534" w:rsidRDefault="00010349" w:rsidP="00010349">
      <w:pPr>
        <w:pStyle w:val="Body"/>
        <w:rPr>
          <w:rFonts w:ascii="Arial" w:hAnsi="Arial" w:cs="Arial"/>
        </w:rPr>
      </w:pPr>
      <m:oMathPara>
        <m:oMath>
          <m:r>
            <w:rPr>
              <w:rFonts w:ascii="Cambria Math" w:hAnsi="Cambria Math" w:cs="Arial"/>
            </w:rPr>
            <m:t>H</m:t>
          </m:r>
          <m:d>
            <m:dPr>
              <m:ctrlPr>
                <w:rPr>
                  <w:rFonts w:ascii="Cambria Math" w:hAnsi="Cambria Math" w:cs="Arial"/>
                  <w:i/>
                </w:rPr>
              </m:ctrlPr>
            </m:dPr>
            <m:e>
              <m:limLow>
                <m:limLowPr>
                  <m:ctrlPr>
                    <w:rPr>
                      <w:rFonts w:ascii="Cambria Math" w:hAnsi="Cambria Math" w:cs="Arial"/>
                    </w:rPr>
                  </m:ctrlPr>
                </m:limLowPr>
                <m:e>
                  <m:r>
                    <w:rPr>
                      <w:rFonts w:ascii="Cambria Math" w:hAnsi="Cambria Math" w:cs="Arial"/>
                    </w:rPr>
                    <m:t>τ</m:t>
                  </m:r>
                </m:e>
                <m:lim>
                  <m:r>
                    <w:rPr>
                      <w:rFonts w:ascii="Cambria Math" w:hAnsi="Cambria Math" w:cs="Arial"/>
                    </w:rPr>
                    <m:t>‾</m:t>
                  </m:r>
                </m:lim>
              </m:limLow>
            </m:e>
          </m:d>
          <m:r>
            <w:rPr>
              <w:rFonts w:ascii="Cambria Math" w:hAnsi="Cambria Math" w:cs="Arial"/>
            </w:rPr>
            <m:t>=</m:t>
          </m:r>
          <m:sSub>
            <m:sSubPr>
              <m:ctrlPr>
                <w:rPr>
                  <w:rFonts w:ascii="Cambria Math" w:hAnsi="Cambria Math" w:cs="Arial"/>
                </w:rPr>
              </m:ctrlPr>
            </m:sSubPr>
            <m:e>
              <m:r>
                <w:rPr>
                  <w:rFonts w:ascii="Cambria Math" w:hAnsi="Cambria Math" w:cs="Arial"/>
                </w:rPr>
                <m:t>H</m:t>
              </m:r>
            </m:e>
            <m:sub>
              <m:r>
                <w:rPr>
                  <w:rFonts w:ascii="Cambria Math" w:hAnsi="Cambria Math" w:cs="Arial"/>
                </w:rPr>
                <m:t>0</m:t>
              </m:r>
            </m:sub>
          </m:sSub>
          <m:r>
            <w:rPr>
              <w:rFonts w:ascii="Cambria Math" w:hAnsi="Cambria Math" w:cs="Arial"/>
            </w:rPr>
            <m:t>+γs          (3)</m:t>
          </m:r>
        </m:oMath>
      </m:oMathPara>
    </w:p>
    <w:p w14:paraId="0C273891" w14:textId="5853078A" w:rsidR="00010349" w:rsidRPr="00E76534" w:rsidRDefault="00010349" w:rsidP="00010349">
      <w:pPr>
        <w:pStyle w:val="Body"/>
        <w:spacing w:after="0"/>
        <w:rPr>
          <w:rFonts w:ascii="Arial" w:hAnsi="Arial" w:cs="Arial"/>
        </w:rPr>
      </w:pPr>
      <w:r w:rsidRPr="00E76534">
        <w:rPr>
          <w:rFonts w:ascii="Arial" w:hAnsi="Arial" w:cs="Arial"/>
        </w:rPr>
        <w:t>and it increases the return to accumulated human capital,  </w:t>
      </w:r>
      <m:oMath>
        <m:r>
          <w:rPr>
            <w:rFonts w:ascii="Cambria Math" w:hAnsi="Cambria Math" w:cs="Arial"/>
          </w:rPr>
          <m:t>β=β(s)</m:t>
        </m:r>
      </m:oMath>
      <w:r w:rsidRPr="00E76534">
        <w:rPr>
          <w:rFonts w:ascii="Arial" w:hAnsi="Arial" w:cs="Arial"/>
        </w:rPr>
        <w:t> with </w:t>
      </w:r>
      <m:oMath>
        <m:sSup>
          <m:sSupPr>
            <m:ctrlPr>
              <w:rPr>
                <w:rFonts w:ascii="Cambria Math" w:hAnsi="Cambria Math" w:cs="Arial"/>
              </w:rPr>
            </m:ctrlPr>
          </m:sSupPr>
          <m:e>
            <m:r>
              <w:rPr>
                <w:rFonts w:ascii="Cambria Math" w:hAnsi="Cambria Math" w:cs="Arial"/>
              </w:rPr>
              <m:t>β</m:t>
            </m:r>
          </m:e>
          <m:sup>
            <m:r>
              <m:rPr>
                <m:sty m:val="p"/>
              </m:rPr>
              <w:rPr>
                <w:rFonts w:ascii="Cambria Math" w:hAnsi="Cambria Math" w:cs="Arial"/>
              </w:rPr>
              <m:t>'</m:t>
            </m:r>
          </m:sup>
        </m:sSup>
        <m:r>
          <w:rPr>
            <w:rFonts w:ascii="Cambria Math" w:hAnsi="Cambria Math" w:cs="Arial"/>
          </w:rPr>
          <m:t>(s)&gt;0</m:t>
        </m:r>
      </m:oMath>
      <w:r w:rsidRPr="00E76534">
        <w:rPr>
          <w:rFonts w:ascii="Arial" w:hAnsi="Arial" w:cs="Arial"/>
        </w:rPr>
        <w:t xml:space="preserve">. Higher education therefore steepens the earnings profile and magnifies the opportunity cost of early career interruption (Ben-Porath, 1967; Heckman </w:t>
      </w:r>
      <w:r w:rsidRPr="00E76534">
        <w:rPr>
          <w:rFonts w:ascii="Arial" w:hAnsi="Arial" w:cs="Arial"/>
          <w:i/>
          <w:iCs/>
        </w:rPr>
        <w:t>et al</w:t>
      </w:r>
      <w:r w:rsidRPr="00E76534">
        <w:rPr>
          <w:rFonts w:ascii="Arial" w:hAnsi="Arial" w:cs="Arial"/>
        </w:rPr>
        <w:t>., 2006).</w:t>
      </w:r>
    </w:p>
    <w:p w14:paraId="0EB59D6A" w14:textId="77777777" w:rsidR="00901FCA" w:rsidRPr="00E76534" w:rsidRDefault="00901FCA" w:rsidP="00010349">
      <w:pPr>
        <w:pStyle w:val="Body"/>
        <w:spacing w:after="0"/>
        <w:rPr>
          <w:rFonts w:ascii="Arial" w:hAnsi="Arial" w:cs="Arial"/>
        </w:rPr>
      </w:pPr>
    </w:p>
    <w:p w14:paraId="57B1C94C" w14:textId="77777777" w:rsidR="00010349" w:rsidRPr="00E76534" w:rsidRDefault="00010349" w:rsidP="00010349">
      <w:pPr>
        <w:pStyle w:val="Body"/>
        <w:spacing w:after="0"/>
        <w:rPr>
          <w:rFonts w:ascii="Arial" w:hAnsi="Arial" w:cs="Arial"/>
        </w:rPr>
      </w:pPr>
      <w:r w:rsidRPr="00E76534">
        <w:rPr>
          <w:rFonts w:ascii="Arial" w:hAnsi="Arial" w:cs="Arial"/>
        </w:rPr>
        <w:t>The motherhood penalty is institutionally mediated and modeled as</w:t>
      </w:r>
    </w:p>
    <w:p w14:paraId="43C8E2C5" w14:textId="77777777" w:rsidR="00901FCA" w:rsidRPr="00E76534" w:rsidRDefault="00901FCA" w:rsidP="00010349">
      <w:pPr>
        <w:pStyle w:val="Body"/>
        <w:spacing w:after="0"/>
        <w:rPr>
          <w:rFonts w:ascii="Arial" w:hAnsi="Arial" w:cs="Arial"/>
        </w:rPr>
      </w:pPr>
    </w:p>
    <w:p w14:paraId="5A845268" w14:textId="28C88D90" w:rsidR="00010349" w:rsidRPr="00E76534" w:rsidRDefault="00010349" w:rsidP="00010349">
      <w:pPr>
        <w:pStyle w:val="Body"/>
        <w:rPr>
          <w:rFonts w:ascii="Arial" w:hAnsi="Arial" w:cs="Arial"/>
        </w:rPr>
      </w:pPr>
      <m:oMathPara>
        <m:oMath>
          <m:r>
            <m:rPr>
              <m:sty m:val="p"/>
            </m:rPr>
            <w:rPr>
              <w:rFonts w:ascii="Cambria Math" w:hAnsi="Cambria Math" w:cs="Arial"/>
            </w:rPr>
            <m:t>Δ</m:t>
          </m:r>
          <m:d>
            <m:dPr>
              <m:ctrlPr>
                <w:rPr>
                  <w:rFonts w:ascii="Cambria Math" w:hAnsi="Cambria Math" w:cs="Arial"/>
                  <w:i/>
                </w:rPr>
              </m:ctrlPr>
            </m:dPr>
            <m:e>
              <m:r>
                <w:rPr>
                  <w:rFonts w:ascii="Cambria Math" w:hAnsi="Cambria Math" w:cs="Arial"/>
                </w:rPr>
                <m:t>τ,t</m:t>
              </m:r>
            </m:e>
          </m:d>
          <m:r>
            <w:rPr>
              <w:rFonts w:ascii="Cambria Math" w:hAnsi="Cambria Math" w:cs="Arial"/>
            </w:rPr>
            <m:t>=</m:t>
          </m:r>
          <m:sSub>
            <m:sSubPr>
              <m:ctrlPr>
                <w:rPr>
                  <w:rFonts w:ascii="Cambria Math" w:hAnsi="Cambria Math" w:cs="Arial"/>
                </w:rPr>
              </m:ctrlPr>
            </m:sSubPr>
            <m:e>
              <m:r>
                <w:rPr>
                  <w:rFonts w:ascii="Cambria Math" w:hAnsi="Cambria Math" w:cs="Arial"/>
                </w:rPr>
                <m:t>ϕ</m:t>
              </m:r>
            </m:e>
            <m:sub>
              <m:r>
                <w:rPr>
                  <w:rFonts w:ascii="Cambria Math" w:hAnsi="Cambria Math" w:cs="Arial"/>
                </w:rPr>
                <m:t>0</m:t>
              </m:r>
            </m:sub>
          </m:sSub>
          <m:d>
            <m:dPr>
              <m:ctrlPr>
                <w:rPr>
                  <w:rFonts w:ascii="Cambria Math" w:hAnsi="Cambria Math" w:cs="Arial"/>
                  <w:i/>
                </w:rPr>
              </m:ctrlPr>
            </m:dPr>
            <m:e>
              <m:r>
                <w:rPr>
                  <w:rFonts w:ascii="Cambria Math" w:hAnsi="Cambria Math" w:cs="Arial"/>
                </w:rPr>
                <m:t>1-P</m:t>
              </m:r>
            </m:e>
          </m:d>
          <m:r>
            <m:rPr>
              <m:nor/>
            </m:rPr>
            <w:rPr>
              <w:rFonts w:ascii="Arial" w:hAnsi="Arial" w:cs="Arial"/>
            </w:rPr>
            <m:t> </m:t>
          </m:r>
          <m:r>
            <m:rPr>
              <m:sty m:val="p"/>
            </m:rPr>
            <w:rPr>
              <w:rFonts w:ascii="Cambria Math" w:hAnsi="Cambria Math" w:cs="Arial"/>
            </w:rPr>
            <m:t>Φ</m:t>
          </m:r>
          <m:d>
            <m:dPr>
              <m:ctrlPr>
                <w:rPr>
                  <w:rFonts w:ascii="Cambria Math" w:hAnsi="Cambria Math" w:cs="Arial"/>
                  <w:i/>
                </w:rPr>
              </m:ctrlPr>
            </m:dPr>
            <m:e>
              <m:r>
                <w:rPr>
                  <w:rFonts w:ascii="Cambria Math" w:hAnsi="Cambria Math" w:cs="Arial"/>
                </w:rPr>
                <m:t>E,</m:t>
              </m:r>
              <m:acc>
                <m:accPr>
                  <m:chr m:val="ˉ"/>
                  <m:ctrlPr>
                    <w:rPr>
                      <w:rFonts w:ascii="Cambria Math" w:hAnsi="Cambria Math" w:cs="Arial"/>
                    </w:rPr>
                  </m:ctrlPr>
                </m:accPr>
                <m:e>
                  <m:r>
                    <w:rPr>
                      <w:rFonts w:ascii="Cambria Math" w:hAnsi="Cambria Math" w:cs="Arial"/>
                    </w:rPr>
                    <m:t>f</m:t>
                  </m:r>
                </m:e>
              </m:acc>
            </m:e>
          </m:d>
          <m:r>
            <m:rPr>
              <m:nor/>
            </m:rPr>
            <w:rPr>
              <w:rFonts w:ascii="Arial" w:hAnsi="Arial" w:cs="Arial"/>
            </w:rPr>
            <m:t> </m:t>
          </m:r>
          <m:r>
            <m:rPr>
              <m:sty m:val="p"/>
            </m:rPr>
            <w:rPr>
              <w:rFonts w:ascii="Cambria Math" w:hAnsi="Cambria Math" w:cs="Arial"/>
            </w:rPr>
            <m:t>Λ</m:t>
          </m:r>
          <m:d>
            <m:dPr>
              <m:ctrlPr>
                <w:rPr>
                  <w:rFonts w:ascii="Cambria Math" w:hAnsi="Cambria Math" w:cs="Arial"/>
                  <w:i/>
                </w:rPr>
              </m:ctrlPr>
            </m:dPr>
            <m:e>
              <m:r>
                <w:rPr>
                  <w:rFonts w:ascii="Cambria Math" w:hAnsi="Cambria Math" w:cs="Arial"/>
                </w:rPr>
                <m:t>s,</m:t>
              </m:r>
              <m:acc>
                <m:accPr>
                  <m:chr m:val="ˉ"/>
                  <m:ctrlPr>
                    <w:rPr>
                      <w:rFonts w:ascii="Cambria Math" w:hAnsi="Cambria Math" w:cs="Arial"/>
                    </w:rPr>
                  </m:ctrlPr>
                </m:accPr>
                <m:e>
                  <m:r>
                    <w:rPr>
                      <w:rFonts w:ascii="Cambria Math" w:hAnsi="Cambria Math" w:cs="Arial"/>
                    </w:rPr>
                    <m:t>h</m:t>
                  </m:r>
                </m:e>
              </m:acc>
            </m:e>
          </m:d>
          <m:r>
            <m:rPr>
              <m:nor/>
            </m:rPr>
            <w:rPr>
              <w:rFonts w:ascii="Arial" w:hAnsi="Arial" w:cs="Arial"/>
            </w:rPr>
            <m:t> </m:t>
          </m:r>
          <m:r>
            <w:rPr>
              <w:rFonts w:ascii="Cambria Math" w:hAnsi="Cambria Math" w:cs="Arial"/>
            </w:rPr>
            <m:t>D</m:t>
          </m:r>
          <m:d>
            <m:dPr>
              <m:ctrlPr>
                <w:rPr>
                  <w:rFonts w:ascii="Cambria Math" w:hAnsi="Cambria Math" w:cs="Arial"/>
                  <w:i/>
                </w:rPr>
              </m:ctrlPr>
            </m:dPr>
            <m:e>
              <m:r>
                <w:rPr>
                  <w:rFonts w:ascii="Cambria Math" w:hAnsi="Cambria Math" w:cs="Arial"/>
                </w:rPr>
                <m:t>τ</m:t>
              </m:r>
            </m:e>
          </m:d>
          <m:r>
            <w:rPr>
              <w:rFonts w:ascii="Cambria Math" w:hAnsi="Cambria Math" w:cs="Arial"/>
            </w:rPr>
            <m:t xml:space="preserve">          (4)</m:t>
          </m:r>
          <m:r>
            <m:rPr>
              <m:sty m:val="p"/>
            </m:rPr>
            <w:rPr>
              <w:rFonts w:ascii="Cambria Math" w:hAnsi="Cambria Math" w:cs="Arial"/>
            </w:rPr>
            <w:br/>
          </m:r>
        </m:oMath>
      </m:oMathPara>
    </w:p>
    <w:p w14:paraId="215A4BE8" w14:textId="5811A63C" w:rsidR="00010349" w:rsidRPr="00E76534" w:rsidRDefault="00010349" w:rsidP="00010349">
      <w:pPr>
        <w:pStyle w:val="Body"/>
        <w:spacing w:after="0"/>
        <w:rPr>
          <w:rFonts w:ascii="Arial" w:hAnsi="Arial" w:cs="Arial"/>
        </w:rPr>
      </w:pPr>
      <w:r w:rsidRPr="00E76534">
        <w:rPr>
          <w:rFonts w:ascii="Arial" w:hAnsi="Arial" w:cs="Arial"/>
        </w:rPr>
        <w:t xml:space="preserve">where </w:t>
      </w:r>
      <m:oMath>
        <m:r>
          <w:rPr>
            <w:rFonts w:ascii="Cambria Math" w:hAnsi="Cambria Math" w:cs="Arial"/>
          </w:rPr>
          <m:t>P∈[0,1]</m:t>
        </m:r>
        <m:r>
          <m:rPr>
            <m:sty m:val="p"/>
          </m:rPr>
          <w:rPr>
            <w:rFonts w:ascii="Cambria Math" w:hAnsi="Cambria Math" w:cs="Arial"/>
          </w:rPr>
          <m:t> </m:t>
        </m:r>
      </m:oMath>
      <w:r w:rsidRPr="00E76534">
        <w:rPr>
          <w:rFonts w:ascii="Arial" w:hAnsi="Arial" w:cs="Arial"/>
        </w:rPr>
        <w:t xml:space="preserve"> indexes family policy generosity, </w:t>
      </w:r>
      <m:oMath>
        <m:r>
          <m:rPr>
            <m:sty m:val="p"/>
          </m:rPr>
          <w:rPr>
            <w:rFonts w:ascii="Cambria Math" w:hAnsi="Cambria Math" w:cs="Arial"/>
          </w:rPr>
          <m:t>Φ</m:t>
        </m:r>
        <m:r>
          <w:rPr>
            <w:rFonts w:ascii="Cambria Math" w:hAnsi="Cambria Math" w:cs="Arial"/>
          </w:rPr>
          <m:t>(E,</m:t>
        </m:r>
        <m:acc>
          <m:accPr>
            <m:chr m:val="ˉ"/>
            <m:ctrlPr>
              <w:rPr>
                <w:rFonts w:ascii="Cambria Math" w:hAnsi="Cambria Math" w:cs="Arial"/>
              </w:rPr>
            </m:ctrlPr>
          </m:accPr>
          <m:e>
            <m:r>
              <w:rPr>
                <w:rFonts w:ascii="Cambria Math" w:hAnsi="Cambria Math" w:cs="Arial"/>
              </w:rPr>
              <m:t>f</m:t>
            </m:r>
          </m:e>
        </m:acc>
        <m:r>
          <w:rPr>
            <w:rFonts w:ascii="Cambria Math" w:hAnsi="Cambria Math" w:cs="Arial"/>
          </w:rPr>
          <m:t>)</m:t>
        </m:r>
      </m:oMath>
      <w:r w:rsidRPr="00E76534">
        <w:rPr>
          <w:rFonts w:ascii="Arial" w:hAnsi="Arial" w:cs="Arial"/>
        </w:rPr>
        <w:t xml:space="preserve">  captures ideological and normative environments, </w:t>
      </w:r>
      <m:oMath>
        <m:r>
          <m:rPr>
            <m:sty m:val="p"/>
          </m:rPr>
          <w:rPr>
            <w:rFonts w:ascii="Cambria Math" w:hAnsi="Cambria Math" w:cs="Arial"/>
          </w:rPr>
          <m:t>Λ</m:t>
        </m:r>
        <m:d>
          <m:dPr>
            <m:ctrlPr>
              <w:rPr>
                <w:rFonts w:ascii="Cambria Math" w:hAnsi="Cambria Math" w:cs="Arial"/>
                <w:i/>
              </w:rPr>
            </m:ctrlPr>
          </m:dPr>
          <m:e>
            <m:r>
              <w:rPr>
                <w:rFonts w:ascii="Cambria Math" w:hAnsi="Cambria Math" w:cs="Arial"/>
              </w:rPr>
              <m:t>s,</m:t>
            </m:r>
            <m:acc>
              <m:accPr>
                <m:chr m:val="ˉ"/>
                <m:ctrlPr>
                  <w:rPr>
                    <w:rFonts w:ascii="Cambria Math" w:hAnsi="Cambria Math" w:cs="Arial"/>
                  </w:rPr>
                </m:ctrlPr>
              </m:accPr>
              <m:e>
                <m:r>
                  <w:rPr>
                    <w:rFonts w:ascii="Cambria Math" w:hAnsi="Cambria Math" w:cs="Arial"/>
                  </w:rPr>
                  <m:t>h</m:t>
                </m:r>
              </m:e>
            </m:acc>
          </m:e>
        </m:d>
      </m:oMath>
      <w:r w:rsidRPr="00E76534">
        <w:rPr>
          <w:rFonts w:ascii="Arial" w:hAnsi="Arial" w:cs="Arial"/>
        </w:rPr>
        <w:t xml:space="preserve"> reflects exposure to career-track penalties, and </w:t>
      </w:r>
      <m:oMath>
        <m:r>
          <w:rPr>
            <w:rFonts w:ascii="Cambria Math" w:hAnsi="Cambria Math" w:cs="Arial"/>
          </w:rPr>
          <m:t>D</m:t>
        </m:r>
        <m:d>
          <m:dPr>
            <m:ctrlPr>
              <w:rPr>
                <w:rFonts w:ascii="Cambria Math" w:hAnsi="Cambria Math" w:cs="Arial"/>
                <w:i/>
              </w:rPr>
            </m:ctrlPr>
          </m:dPr>
          <m:e>
            <m:r>
              <w:rPr>
                <w:rFonts w:ascii="Cambria Math" w:hAnsi="Cambria Math" w:cs="Arial"/>
              </w:rPr>
              <m:t>τ</m:t>
            </m:r>
          </m:e>
        </m:d>
      </m:oMath>
      <w:r w:rsidRPr="00E76534">
        <w:rPr>
          <w:rFonts w:ascii="Arial" w:hAnsi="Arial" w:cs="Arial"/>
        </w:rPr>
        <w:t xml:space="preserve"> governs the timing sensitivity of career interruptions (Akerlof &amp; Kranton, 2005).</w:t>
      </w:r>
    </w:p>
    <w:p w14:paraId="201EBAE1" w14:textId="36912299" w:rsidR="00010349" w:rsidRPr="00E76534" w:rsidRDefault="00010349" w:rsidP="00010349">
      <w:pPr>
        <w:pStyle w:val="Body"/>
        <w:spacing w:after="0"/>
        <w:rPr>
          <w:rFonts w:ascii="Arial" w:hAnsi="Arial" w:cs="Arial"/>
        </w:rPr>
      </w:pPr>
      <w:r w:rsidRPr="00E76534">
        <w:rPr>
          <w:rFonts w:ascii="Arial" w:hAnsi="Arial" w:cs="Arial"/>
        </w:rPr>
        <w:t xml:space="preserve">First birth generates family-related benefits </w:t>
      </w:r>
      <m:oMath>
        <m:r>
          <w:rPr>
            <w:rFonts w:ascii="Cambria Math" w:hAnsi="Cambria Math" w:cs="Arial"/>
          </w:rPr>
          <m:t>B(τ)</m:t>
        </m:r>
      </m:oMath>
      <w:r w:rsidRPr="00E76534">
        <w:rPr>
          <w:rFonts w:ascii="Arial" w:hAnsi="Arial" w:cs="Arial"/>
        </w:rPr>
        <w:t>, which are increasing in the length of the post-birth horizon, while delayed childbearing incurs biological and psychological costs</w:t>
      </w:r>
      <w:r w:rsidRPr="00E76534">
        <w:rPr>
          <w:rFonts w:ascii="Arial" w:hAnsi="Arial" w:cs="Arial"/>
          <w:i/>
        </w:rPr>
        <w:t xml:space="preserve"> </w:t>
      </w:r>
      <m:oMath>
        <m:r>
          <w:rPr>
            <w:rFonts w:ascii="Cambria Math" w:hAnsi="Cambria Math" w:cs="Arial"/>
          </w:rPr>
          <m:t>K(τ</m:t>
        </m:r>
      </m:oMath>
      <w:r w:rsidRPr="00E76534">
        <w:rPr>
          <w:rFonts w:ascii="Arial" w:hAnsi="Arial" w:cs="Arial"/>
        </w:rPr>
        <w:t>). Lifetime utility is given by</w:t>
      </w:r>
    </w:p>
    <w:p w14:paraId="648BEE47" w14:textId="77777777" w:rsidR="00901FCA" w:rsidRPr="00E76534" w:rsidRDefault="00901FCA" w:rsidP="00010349">
      <w:pPr>
        <w:pStyle w:val="Body"/>
        <w:spacing w:after="0"/>
        <w:rPr>
          <w:rFonts w:ascii="Arial" w:hAnsi="Arial" w:cs="Arial"/>
        </w:rPr>
      </w:pPr>
    </w:p>
    <w:p w14:paraId="55F41B09" w14:textId="418F1E82" w:rsidR="00010349" w:rsidRPr="00E76534" w:rsidRDefault="00010349" w:rsidP="00010349">
      <w:pPr>
        <w:pStyle w:val="Body"/>
        <w:rPr>
          <w:rFonts w:ascii="Arial" w:hAnsi="Arial" w:cs="Arial"/>
        </w:rPr>
      </w:pPr>
      <m:oMathPara>
        <m:oMath>
          <m:r>
            <w:rPr>
              <w:rFonts w:ascii="Cambria Math" w:hAnsi="Cambria Math" w:cs="Arial"/>
            </w:rPr>
            <m:t>U=∫u</m:t>
          </m:r>
          <m:d>
            <m:dPr>
              <m:ctrlPr>
                <w:rPr>
                  <w:rFonts w:ascii="Cambria Math" w:hAnsi="Cambria Math" w:cs="Arial"/>
                  <w:i/>
                </w:rPr>
              </m:ctrlPr>
            </m:dPr>
            <m:e>
              <m:r>
                <w:rPr>
                  <w:rFonts w:ascii="Cambria Math" w:hAnsi="Cambria Math" w:cs="Arial"/>
                </w:rPr>
                <m:t>c</m:t>
              </m:r>
              <m:d>
                <m:dPr>
                  <m:ctrlPr>
                    <w:rPr>
                      <w:rFonts w:ascii="Cambria Math" w:hAnsi="Cambria Math" w:cs="Arial"/>
                      <w:i/>
                    </w:rPr>
                  </m:ctrlPr>
                </m:dPr>
                <m:e>
                  <m:r>
                    <w:rPr>
                      <w:rFonts w:ascii="Cambria Math" w:hAnsi="Cambria Math" w:cs="Arial"/>
                    </w:rPr>
                    <m:t>t</m:t>
                  </m:r>
                </m:e>
              </m:d>
            </m:e>
          </m:d>
          <m:sSup>
            <m:sSupPr>
              <m:ctrlPr>
                <w:rPr>
                  <w:rFonts w:ascii="Cambria Math" w:hAnsi="Cambria Math" w:cs="Arial"/>
                </w:rPr>
              </m:ctrlPr>
            </m:sSupPr>
            <m:e>
              <m:r>
                <w:rPr>
                  <w:rFonts w:ascii="Cambria Math" w:hAnsi="Cambria Math" w:cs="Arial"/>
                </w:rPr>
                <m:t>e</m:t>
              </m:r>
            </m:e>
            <m:sup>
              <m:r>
                <w:rPr>
                  <w:rFonts w:ascii="Cambria Math" w:hAnsi="Cambria Math" w:cs="Arial"/>
                </w:rPr>
                <m:t>-ρt</m:t>
              </m:r>
            </m:sup>
          </m:sSup>
          <m:r>
            <w:rPr>
              <w:rFonts w:ascii="Cambria Math" w:hAnsi="Cambria Math" w:cs="Arial"/>
            </w:rPr>
            <m:t>dt+η</m:t>
          </m:r>
          <m:d>
            <m:dPr>
              <m:ctrlPr>
                <w:rPr>
                  <w:rFonts w:ascii="Cambria Math" w:hAnsi="Cambria Math" w:cs="Arial"/>
                  <w:i/>
                </w:rPr>
              </m:ctrlPr>
            </m:dPr>
            <m:e>
              <m:r>
                <w:rPr>
                  <w:rFonts w:ascii="Cambria Math" w:hAnsi="Cambria Math" w:cs="Arial"/>
                </w:rPr>
                <m:t>I,E</m:t>
              </m:r>
            </m:e>
          </m:d>
          <m:d>
            <m:dPr>
              <m:begChr m:val="["/>
              <m:endChr m:val="]"/>
              <m:ctrlPr>
                <w:rPr>
                  <w:rFonts w:ascii="Cambria Math" w:hAnsi="Cambria Math" w:cs="Arial"/>
                  <w:i/>
                </w:rPr>
              </m:ctrlPr>
            </m:dPr>
            <m:e>
              <m:r>
                <w:rPr>
                  <w:rFonts w:ascii="Cambria Math" w:hAnsi="Cambria Math" w:cs="Arial"/>
                </w:rPr>
                <m:t>v</m:t>
              </m:r>
              <m:d>
                <m:dPr>
                  <m:ctrlPr>
                    <w:rPr>
                      <w:rFonts w:ascii="Cambria Math" w:hAnsi="Cambria Math" w:cs="Arial"/>
                      <w:i/>
                    </w:rPr>
                  </m:ctrlPr>
                </m:dPr>
                <m:e>
                  <m:r>
                    <w:rPr>
                      <w:rFonts w:ascii="Cambria Math" w:hAnsi="Cambria Math" w:cs="Arial"/>
                    </w:rPr>
                    <m:t>B</m:t>
                  </m:r>
                  <m:d>
                    <m:dPr>
                      <m:ctrlPr>
                        <w:rPr>
                          <w:rFonts w:ascii="Cambria Math" w:hAnsi="Cambria Math" w:cs="Arial"/>
                          <w:i/>
                        </w:rPr>
                      </m:ctrlPr>
                    </m:dPr>
                    <m:e>
                      <m:r>
                        <w:rPr>
                          <w:rFonts w:ascii="Cambria Math" w:hAnsi="Cambria Math" w:cs="Arial"/>
                        </w:rPr>
                        <m:t>τ</m:t>
                      </m:r>
                    </m:e>
                  </m:d>
                </m:e>
              </m:d>
              <m:r>
                <w:rPr>
                  <w:rFonts w:ascii="Cambria Math" w:hAnsi="Cambria Math" w:cs="Arial"/>
                </w:rPr>
                <m:t>-K</m:t>
              </m:r>
              <m:d>
                <m:dPr>
                  <m:ctrlPr>
                    <w:rPr>
                      <w:rFonts w:ascii="Cambria Math" w:hAnsi="Cambria Math" w:cs="Arial"/>
                      <w:i/>
                    </w:rPr>
                  </m:ctrlPr>
                </m:dPr>
                <m:e>
                  <m:r>
                    <w:rPr>
                      <w:rFonts w:ascii="Cambria Math" w:hAnsi="Cambria Math" w:cs="Arial"/>
                    </w:rPr>
                    <m:t>τ</m:t>
                  </m:r>
                </m:e>
              </m:d>
            </m:e>
          </m:d>
          <m:r>
            <w:rPr>
              <w:rFonts w:ascii="Cambria Math" w:hAnsi="Cambria Math" w:cs="Arial"/>
            </w:rPr>
            <m:t>-χs-∫ξ</m:t>
          </m:r>
          <m:d>
            <m:dPr>
              <m:ctrlPr>
                <w:rPr>
                  <w:rFonts w:ascii="Cambria Math" w:hAnsi="Cambria Math" w:cs="Arial"/>
                  <w:i/>
                </w:rPr>
              </m:ctrlPr>
            </m:dPr>
            <m:e>
              <m:r>
                <w:rPr>
                  <w:rFonts w:ascii="Cambria Math" w:hAnsi="Cambria Math" w:cs="Arial"/>
                </w:rPr>
                <m:t>h</m:t>
              </m:r>
              <m:d>
                <m:dPr>
                  <m:ctrlPr>
                    <w:rPr>
                      <w:rFonts w:ascii="Cambria Math" w:hAnsi="Cambria Math" w:cs="Arial"/>
                      <w:i/>
                    </w:rPr>
                  </m:ctrlPr>
                </m:dPr>
                <m:e>
                  <m:r>
                    <w:rPr>
                      <w:rFonts w:ascii="Cambria Math" w:hAnsi="Cambria Math" w:cs="Arial"/>
                    </w:rPr>
                    <m:t>t</m:t>
                  </m:r>
                </m:e>
              </m:d>
            </m:e>
          </m:d>
          <m:r>
            <w:rPr>
              <w:rFonts w:ascii="Cambria Math" w:hAnsi="Cambria Math" w:cs="Arial"/>
            </w:rPr>
            <m:t>dt          (5)</m:t>
          </m:r>
          <m:r>
            <m:rPr>
              <m:sty m:val="p"/>
            </m:rPr>
            <w:rPr>
              <w:rFonts w:ascii="Cambria Math" w:hAnsi="Cambria Math" w:cs="Arial"/>
            </w:rPr>
            <w:br/>
          </m:r>
        </m:oMath>
      </m:oMathPara>
    </w:p>
    <w:p w14:paraId="10BE052F" w14:textId="0BEFA608" w:rsidR="00010349" w:rsidRPr="00E76534" w:rsidRDefault="00010349" w:rsidP="00010349">
      <w:pPr>
        <w:pStyle w:val="Body"/>
        <w:spacing w:after="0"/>
        <w:rPr>
          <w:rFonts w:ascii="Arial" w:hAnsi="Arial" w:cs="Arial"/>
        </w:rPr>
      </w:pPr>
      <w:r w:rsidRPr="00E76534">
        <w:rPr>
          <w:rFonts w:ascii="Arial" w:hAnsi="Arial" w:cs="Arial"/>
        </w:rPr>
        <w:t xml:space="preserve">Under standard regularity conditions, the optimal timing </w:t>
      </w:r>
      <m:oMath>
        <m:sSup>
          <m:sSupPr>
            <m:ctrlPr>
              <w:rPr>
                <w:rFonts w:ascii="Cambria Math" w:hAnsi="Cambria Math" w:cs="Arial"/>
                <w:i/>
              </w:rPr>
            </m:ctrlPr>
          </m:sSupPr>
          <m:e>
            <m:r>
              <w:rPr>
                <w:rFonts w:ascii="Cambria Math" w:hAnsi="Cambria Math" w:cs="Arial"/>
              </w:rPr>
              <m:t>τ</m:t>
            </m:r>
          </m:e>
          <m:sup>
            <m:r>
              <w:rPr>
                <w:rFonts w:ascii="Cambria Math" w:hAnsi="Cambria Math" w:cs="Arial"/>
              </w:rPr>
              <m:t>*</m:t>
            </m:r>
          </m:sup>
        </m:sSup>
      </m:oMath>
      <w:r w:rsidRPr="00E76534">
        <w:rPr>
          <w:rFonts w:ascii="Arial" w:hAnsi="Arial" w:cs="Arial"/>
        </w:rPr>
        <w:t xml:space="preserve"> satisfies a wedge condition equating the marginal family benefits of earlier childbirth to the marginal human-capital loss induced by motherhood penalties.</w:t>
      </w:r>
    </w:p>
    <w:p w14:paraId="2472A1D1" w14:textId="77777777" w:rsidR="00901FCA" w:rsidRPr="00E76534" w:rsidRDefault="00901FCA" w:rsidP="00010349">
      <w:pPr>
        <w:pStyle w:val="Body"/>
        <w:spacing w:after="0"/>
        <w:rPr>
          <w:rFonts w:ascii="Arial" w:hAnsi="Arial" w:cs="Arial"/>
        </w:rPr>
      </w:pPr>
    </w:p>
    <w:p w14:paraId="64D9988A" w14:textId="63F35D02" w:rsidR="00010349" w:rsidRPr="00E76534" w:rsidRDefault="00010349" w:rsidP="00010349">
      <w:pPr>
        <w:pStyle w:val="Body"/>
        <w:spacing w:after="0"/>
        <w:rPr>
          <w:rFonts w:ascii="Arial" w:hAnsi="Arial" w:cs="Arial"/>
        </w:rPr>
      </w:pPr>
      <w:r w:rsidRPr="00E76534">
        <w:rPr>
          <w:rFonts w:ascii="Arial" w:hAnsi="Arial" w:cs="Arial"/>
        </w:rPr>
        <w:t xml:space="preserve">Crucially, institutional environments differ in the magnitude of this wedge. In high-penalty environments—characterized by binding gender constraints, limited labor-market access, and weak policy protection—the optimal </w:t>
      </w:r>
      <m:oMath>
        <m:sSup>
          <m:sSupPr>
            <m:ctrlPr>
              <w:rPr>
                <w:rFonts w:ascii="Cambria Math" w:hAnsi="Cambria Math" w:cs="Arial"/>
                <w:i/>
              </w:rPr>
            </m:ctrlPr>
          </m:sSupPr>
          <m:e>
            <m:r>
              <w:rPr>
                <w:rFonts w:ascii="Cambria Math" w:hAnsi="Cambria Math" w:cs="Arial"/>
              </w:rPr>
              <m:t>τ</m:t>
            </m:r>
          </m:e>
          <m:sup>
            <m:r>
              <w:rPr>
                <w:rFonts w:ascii="Cambria Math" w:hAnsi="Cambria Math" w:cs="Arial"/>
              </w:rPr>
              <m:t>*</m:t>
            </m:r>
          </m:sup>
        </m:sSup>
      </m:oMath>
      <w:r w:rsidRPr="00E76534">
        <w:rPr>
          <w:rFonts w:ascii="Arial" w:hAnsi="Arial" w:cs="Arial"/>
        </w:rPr>
        <w:t xml:space="preserve">  for a substantial share of women lies near the lower bound</w:t>
      </w:r>
      <m:oMath>
        <m:limLow>
          <m:limLowPr>
            <m:ctrlPr>
              <w:rPr>
                <w:rFonts w:ascii="Cambria Math" w:hAnsi="Cambria Math" w:cs="Arial"/>
              </w:rPr>
            </m:ctrlPr>
          </m:limLowPr>
          <m:e>
            <m:r>
              <w:rPr>
                <w:rFonts w:ascii="Cambria Math" w:hAnsi="Cambria Math" w:cs="Arial"/>
              </w:rPr>
              <m:t xml:space="preserve"> τ</m:t>
            </m:r>
          </m:e>
          <m:lim>
            <m:r>
              <w:rPr>
                <w:rFonts w:ascii="Cambria Math" w:hAnsi="Cambria Math" w:cs="Arial"/>
              </w:rPr>
              <m:t>‾</m:t>
            </m:r>
          </m:lim>
        </m:limLow>
      </m:oMath>
      <w:r w:rsidRPr="00E76534">
        <w:rPr>
          <w:rFonts w:ascii="Arial" w:hAnsi="Arial" w:cs="Arial"/>
        </w:rPr>
        <w:t>. In contrast, in low-penalty environments, first birth is optimally delayed.</w:t>
      </w:r>
    </w:p>
    <w:p w14:paraId="0ABDD661" w14:textId="77777777" w:rsidR="00010349" w:rsidRPr="00E76534" w:rsidRDefault="00010349" w:rsidP="00010349">
      <w:pPr>
        <w:pStyle w:val="Body"/>
        <w:spacing w:after="0"/>
        <w:rPr>
          <w:rFonts w:ascii="Arial" w:hAnsi="Arial" w:cs="Arial"/>
        </w:rPr>
      </w:pPr>
      <w:r w:rsidRPr="00E76534">
        <w:rPr>
          <w:rFonts w:ascii="Arial" w:hAnsi="Arial" w:cs="Arial"/>
        </w:rPr>
        <w:t>The model predicts variation in the mass of women selecting very early fertility</w:t>
      </w:r>
      <w:r w:rsidRPr="00E76534">
        <w:rPr>
          <w:rFonts w:ascii="Arial" w:hAnsi="Arial" w:cs="Arial"/>
          <w:b/>
          <w:bCs/>
        </w:rPr>
        <w:t>,</w:t>
      </w:r>
      <w:r w:rsidRPr="00E76534">
        <w:rPr>
          <w:rFonts w:ascii="Arial" w:hAnsi="Arial" w:cs="Arial"/>
        </w:rPr>
        <w:t xml:space="preserve"> rather than uniform shifts in mean fertility timing. This feature aligns the theory with empirical measures that capture early childbearing outcomes.</w:t>
      </w:r>
    </w:p>
    <w:p w14:paraId="1099E1F9" w14:textId="77777777" w:rsidR="00901FCA" w:rsidRPr="00E76534" w:rsidRDefault="00901FCA" w:rsidP="00010349">
      <w:pPr>
        <w:pStyle w:val="Body"/>
        <w:spacing w:after="0"/>
        <w:rPr>
          <w:rFonts w:ascii="Arial" w:hAnsi="Arial" w:cs="Arial"/>
        </w:rPr>
      </w:pPr>
    </w:p>
    <w:p w14:paraId="2FD5FE76" w14:textId="3D124951" w:rsidR="00010349" w:rsidRPr="00E76534" w:rsidRDefault="00010349" w:rsidP="00010349">
      <w:pPr>
        <w:pStyle w:val="Body"/>
        <w:rPr>
          <w:rFonts w:ascii="Arial" w:hAnsi="Arial" w:cs="Arial"/>
        </w:rPr>
      </w:pPr>
      <w:r w:rsidRPr="00E76534">
        <w:rPr>
          <w:rFonts w:ascii="Arial" w:hAnsi="Arial" w:cs="Arial"/>
        </w:rPr>
        <w:t>First birth generates family-related benefits </w:t>
      </w:r>
      <m:oMath>
        <m:r>
          <w:rPr>
            <w:rFonts w:ascii="Cambria Math" w:hAnsi="Cambria Math" w:cs="Arial"/>
          </w:rPr>
          <m:t>B(τ)</m:t>
        </m:r>
      </m:oMath>
      <w:r w:rsidRPr="00E76534">
        <w:rPr>
          <w:rFonts w:ascii="Arial" w:hAnsi="Arial" w:cs="Arial"/>
        </w:rPr>
        <w:t>, which increase with the length of the post-birth horizon. Let</w:t>
      </w:r>
    </w:p>
    <w:p w14:paraId="3F8FC9B0" w14:textId="5C4D94A3" w:rsidR="00010349" w:rsidRPr="00E76534" w:rsidRDefault="00010349" w:rsidP="00010349">
      <w:pPr>
        <w:pStyle w:val="Body"/>
        <w:rPr>
          <w:rFonts w:ascii="Arial" w:hAnsi="Arial" w:cs="Arial"/>
        </w:rPr>
      </w:pPr>
      <m:oMathPara>
        <m:oMath>
          <m:r>
            <w:rPr>
              <w:rFonts w:ascii="Cambria Math" w:hAnsi="Cambria Math" w:cs="Arial"/>
            </w:rPr>
            <m:t>B</m:t>
          </m:r>
          <m:d>
            <m:dPr>
              <m:ctrlPr>
                <w:rPr>
                  <w:rFonts w:ascii="Cambria Math" w:hAnsi="Cambria Math" w:cs="Arial"/>
                  <w:i/>
                </w:rPr>
              </m:ctrlPr>
            </m:dPr>
            <m:e>
              <m:r>
                <w:rPr>
                  <w:rFonts w:ascii="Cambria Math" w:hAnsi="Cambria Math" w:cs="Arial"/>
                </w:rPr>
                <m:t>τ</m:t>
              </m:r>
            </m:e>
          </m:d>
          <m: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1</m:t>
              </m:r>
            </m:sub>
          </m:sSub>
          <m:d>
            <m:dPr>
              <m:ctrlPr>
                <w:rPr>
                  <w:rFonts w:ascii="Cambria Math" w:hAnsi="Cambria Math" w:cs="Arial"/>
                  <w:i/>
                </w:rPr>
              </m:ctrlPr>
            </m:dPr>
            <m:e>
              <m:acc>
                <m:accPr>
                  <m:chr m:val="ˉ"/>
                  <m:ctrlPr>
                    <w:rPr>
                      <w:rFonts w:ascii="Cambria Math" w:hAnsi="Cambria Math" w:cs="Arial"/>
                    </w:rPr>
                  </m:ctrlPr>
                </m:accPr>
                <m:e>
                  <m:r>
                    <w:rPr>
                      <w:rFonts w:ascii="Cambria Math" w:hAnsi="Cambria Math" w:cs="Arial"/>
                    </w:rPr>
                    <m:t>τ</m:t>
                  </m:r>
                </m:e>
              </m:acc>
              <m:r>
                <w:rPr>
                  <w:rFonts w:ascii="Cambria Math" w:hAnsi="Cambria Math" w:cs="Arial"/>
                </w:rPr>
                <m:t>-τ</m:t>
              </m:r>
            </m:e>
          </m:d>
          <m:r>
            <w:rPr>
              <w:rFonts w:ascii="Cambria Math" w:hAnsi="Cambria Math" w:cs="Arial"/>
            </w:rPr>
            <m:t xml:space="preserve">        (6)</m:t>
          </m:r>
          <m:r>
            <m:rPr>
              <m:sty m:val="p"/>
            </m:rPr>
            <w:rPr>
              <w:rFonts w:ascii="Cambria Math" w:hAnsi="Cambria Math" w:cs="Arial"/>
            </w:rPr>
            <w:br/>
          </m:r>
        </m:oMath>
      </m:oMathPara>
    </w:p>
    <w:p w14:paraId="0A393018" w14:textId="77777777" w:rsidR="00010349" w:rsidRPr="00E76534" w:rsidRDefault="00010349" w:rsidP="00010349">
      <w:pPr>
        <w:pStyle w:val="Body"/>
        <w:spacing w:after="0"/>
        <w:rPr>
          <w:rFonts w:ascii="Arial" w:hAnsi="Arial" w:cs="Arial"/>
        </w:rPr>
      </w:pPr>
      <w:r w:rsidRPr="00E76534">
        <w:rPr>
          <w:rFonts w:ascii="Arial" w:hAnsi="Arial" w:cs="Arial"/>
        </w:rPr>
        <w:lastRenderedPageBreak/>
        <w:t>so earlier births increase the duration of family-capital accumulation and intergenerational overlap. Delaying childbirth also entails biological and psychological costs,</w:t>
      </w:r>
    </w:p>
    <w:p w14:paraId="224686A9" w14:textId="77777777" w:rsidR="00901FCA" w:rsidRPr="00E76534" w:rsidRDefault="00901FCA" w:rsidP="00010349">
      <w:pPr>
        <w:pStyle w:val="Body"/>
        <w:spacing w:after="0"/>
        <w:rPr>
          <w:rFonts w:ascii="Arial" w:hAnsi="Arial" w:cs="Arial"/>
        </w:rPr>
      </w:pPr>
    </w:p>
    <w:p w14:paraId="4EF6C350" w14:textId="40305E2B" w:rsidR="00010349" w:rsidRPr="00E76534" w:rsidRDefault="00010349" w:rsidP="00010349">
      <w:pPr>
        <w:pStyle w:val="Body"/>
        <w:rPr>
          <w:rFonts w:ascii="Arial" w:hAnsi="Arial" w:cs="Arial"/>
        </w:rPr>
      </w:pPr>
      <m:oMathPara>
        <m:oMath>
          <m:r>
            <w:rPr>
              <w:rFonts w:ascii="Cambria Math" w:hAnsi="Cambria Math" w:cs="Arial"/>
            </w:rPr>
            <m:t>K</m:t>
          </m:r>
          <m:d>
            <m:dPr>
              <m:ctrlPr>
                <w:rPr>
                  <w:rFonts w:ascii="Cambria Math" w:hAnsi="Cambria Math" w:cs="Arial"/>
                  <w:i/>
                </w:rPr>
              </m:ctrlPr>
            </m:dPr>
            <m:e>
              <m:r>
                <w:rPr>
                  <w:rFonts w:ascii="Cambria Math" w:hAnsi="Cambria Math" w:cs="Arial"/>
                </w:rPr>
                <m:t>τ</m:t>
              </m:r>
            </m:e>
          </m:d>
          <m:r>
            <w:rPr>
              <w:rFonts w:ascii="Cambria Math" w:hAnsi="Cambria Math" w:cs="Arial"/>
            </w:rPr>
            <m:t>=κ</m:t>
          </m:r>
          <m:d>
            <m:dPr>
              <m:ctrlPr>
                <w:rPr>
                  <w:rFonts w:ascii="Cambria Math" w:hAnsi="Cambria Math" w:cs="Arial"/>
                  <w:i/>
                </w:rPr>
              </m:ctrlPr>
            </m:dPr>
            <m:e>
              <m:r>
                <w:rPr>
                  <w:rFonts w:ascii="Cambria Math" w:hAnsi="Cambria Math" w:cs="Arial"/>
                </w:rPr>
                <m:t>E</m:t>
              </m:r>
            </m:e>
          </m:d>
          <m:r>
            <w:rPr>
              <w:rFonts w:ascii="Cambria Math" w:hAnsi="Cambria Math" w:cs="Arial"/>
            </w:rPr>
            <m:t>g</m:t>
          </m:r>
          <m:d>
            <m:dPr>
              <m:ctrlPr>
                <w:rPr>
                  <w:rFonts w:ascii="Cambria Math" w:hAnsi="Cambria Math" w:cs="Arial"/>
                  <w:i/>
                </w:rPr>
              </m:ctrlPr>
            </m:dPr>
            <m:e>
              <m:r>
                <w:rPr>
                  <w:rFonts w:ascii="Cambria Math" w:hAnsi="Cambria Math" w:cs="Arial"/>
                </w:rPr>
                <m:t>τ</m:t>
              </m:r>
            </m:e>
          </m:d>
          <m:r>
            <w:rPr>
              <w:rFonts w:ascii="Cambria Math" w:hAnsi="Cambria Math" w:cs="Arial"/>
            </w:rPr>
            <m:t xml:space="preserve">          (7)</m:t>
          </m:r>
          <m:r>
            <m:rPr>
              <m:sty m:val="p"/>
            </m:rPr>
            <w:rPr>
              <w:rFonts w:ascii="Cambria Math" w:hAnsi="Cambria Math" w:cs="Arial"/>
            </w:rPr>
            <w:br/>
          </m:r>
        </m:oMath>
      </m:oMathPara>
    </w:p>
    <w:p w14:paraId="6BAFAF8C" w14:textId="6567CC9A" w:rsidR="00010349" w:rsidRPr="00E76534" w:rsidRDefault="00010349" w:rsidP="00010349">
      <w:pPr>
        <w:pStyle w:val="Body"/>
        <w:spacing w:after="0"/>
        <w:rPr>
          <w:rFonts w:ascii="Arial" w:hAnsi="Arial" w:cs="Arial"/>
        </w:rPr>
      </w:pPr>
      <w:r w:rsidRPr="00E76534">
        <w:rPr>
          <w:rFonts w:ascii="Arial" w:hAnsi="Arial" w:cs="Arial"/>
        </w:rPr>
        <w:t>where </w:t>
      </w:r>
      <m:oMath>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sup>
        </m:sSup>
        <m:r>
          <w:rPr>
            <w:rFonts w:ascii="Cambria Math" w:hAnsi="Cambria Math" w:cs="Arial"/>
          </w:rPr>
          <m:t>(τ)&gt;0</m:t>
        </m:r>
      </m:oMath>
      <w:r w:rsidRPr="00E76534">
        <w:rPr>
          <w:rFonts w:ascii="Arial" w:hAnsi="Arial" w:cs="Arial"/>
        </w:rPr>
        <w:t> and </w:t>
      </w:r>
      <m:oMath>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sup>
        </m:sSup>
        <m:r>
          <w:rPr>
            <w:rFonts w:ascii="Cambria Math" w:hAnsi="Cambria Math" w:cs="Arial"/>
          </w:rPr>
          <m:t>(τ)≥0</m:t>
        </m:r>
      </m:oMath>
      <w:r w:rsidRPr="00E76534">
        <w:rPr>
          <w:rFonts w:ascii="Arial" w:hAnsi="Arial" w:cs="Arial"/>
        </w:rPr>
        <w:t>. The parameter </w:t>
      </w:r>
      <m:oMath>
        <m:r>
          <w:rPr>
            <w:rFonts w:ascii="Cambria Math" w:hAnsi="Cambria Math" w:cs="Arial"/>
          </w:rPr>
          <m:t>κ(E)</m:t>
        </m:r>
      </m:oMath>
      <w:r w:rsidRPr="00E76534">
        <w:rPr>
          <w:rFonts w:ascii="Arial" w:hAnsi="Arial" w:cs="Arial"/>
        </w:rPr>
        <w:t> captures ideological environments: conservative settings impose higher perceived or socialized costs of delay.</w:t>
      </w:r>
    </w:p>
    <w:p w14:paraId="4DEE85BE" w14:textId="77777777" w:rsidR="00010349" w:rsidRPr="00E76534" w:rsidRDefault="00010349" w:rsidP="00010349">
      <w:pPr>
        <w:pStyle w:val="Body"/>
        <w:spacing w:after="0"/>
        <w:rPr>
          <w:rFonts w:ascii="Arial" w:hAnsi="Arial" w:cs="Arial"/>
        </w:rPr>
      </w:pPr>
      <w:r w:rsidRPr="00E76534">
        <w:rPr>
          <w:rFonts w:ascii="Arial" w:hAnsi="Arial" w:cs="Arial"/>
        </w:rPr>
        <w:t>Lifetime utility is given in reduced form by</w:t>
      </w:r>
    </w:p>
    <w:p w14:paraId="64B933BE" w14:textId="77777777" w:rsidR="00901FCA" w:rsidRPr="00E76534" w:rsidRDefault="00901FCA" w:rsidP="00010349">
      <w:pPr>
        <w:pStyle w:val="Body"/>
        <w:spacing w:after="0"/>
        <w:rPr>
          <w:rFonts w:ascii="Arial" w:hAnsi="Arial" w:cs="Arial"/>
        </w:rPr>
      </w:pPr>
    </w:p>
    <w:p w14:paraId="528DBBD7" w14:textId="1CD211F0" w:rsidR="00010349" w:rsidRPr="00E76534" w:rsidRDefault="00010349" w:rsidP="00010349">
      <w:pPr>
        <w:pStyle w:val="Body"/>
        <w:rPr>
          <w:rFonts w:ascii="Arial" w:hAnsi="Arial" w:cs="Arial"/>
        </w:rPr>
      </w:pPr>
      <m:oMathPara>
        <m:oMath>
          <m:r>
            <w:rPr>
              <w:rFonts w:ascii="Cambria Math" w:hAnsi="Cambria Math" w:cs="Arial"/>
            </w:rPr>
            <m:t>U=∫u</m:t>
          </m:r>
          <m:d>
            <m:dPr>
              <m:ctrlPr>
                <w:rPr>
                  <w:rFonts w:ascii="Cambria Math" w:hAnsi="Cambria Math" w:cs="Arial"/>
                  <w:i/>
                </w:rPr>
              </m:ctrlPr>
            </m:dPr>
            <m:e>
              <m:r>
                <w:rPr>
                  <w:rFonts w:ascii="Cambria Math" w:hAnsi="Cambria Math" w:cs="Arial"/>
                </w:rPr>
                <m:t>c</m:t>
              </m:r>
              <m:d>
                <m:dPr>
                  <m:ctrlPr>
                    <w:rPr>
                      <w:rFonts w:ascii="Cambria Math" w:hAnsi="Cambria Math" w:cs="Arial"/>
                      <w:i/>
                    </w:rPr>
                  </m:ctrlPr>
                </m:dPr>
                <m:e>
                  <m:r>
                    <w:rPr>
                      <w:rFonts w:ascii="Cambria Math" w:hAnsi="Cambria Math" w:cs="Arial"/>
                    </w:rPr>
                    <m:t>t</m:t>
                  </m:r>
                </m:e>
              </m:d>
            </m:e>
          </m:d>
          <m:sSup>
            <m:sSupPr>
              <m:ctrlPr>
                <w:rPr>
                  <w:rFonts w:ascii="Cambria Math" w:hAnsi="Cambria Math" w:cs="Arial"/>
                </w:rPr>
              </m:ctrlPr>
            </m:sSupPr>
            <m:e>
              <m:r>
                <w:rPr>
                  <w:rFonts w:ascii="Cambria Math" w:hAnsi="Cambria Math" w:cs="Arial"/>
                </w:rPr>
                <m:t>e</m:t>
              </m:r>
            </m:e>
            <m:sup>
              <m:r>
                <w:rPr>
                  <w:rFonts w:ascii="Cambria Math" w:hAnsi="Cambria Math" w:cs="Arial"/>
                </w:rPr>
                <m:t>-ρt</m:t>
              </m:r>
            </m:sup>
          </m:sSup>
          <m:r>
            <w:rPr>
              <w:rFonts w:ascii="Cambria Math" w:hAnsi="Cambria Math" w:cs="Arial"/>
            </w:rPr>
            <m:t>dt+η</m:t>
          </m:r>
          <m:d>
            <m:dPr>
              <m:ctrlPr>
                <w:rPr>
                  <w:rFonts w:ascii="Cambria Math" w:hAnsi="Cambria Math" w:cs="Arial"/>
                  <w:i/>
                </w:rPr>
              </m:ctrlPr>
            </m:dPr>
            <m:e>
              <m:r>
                <w:rPr>
                  <w:rFonts w:ascii="Cambria Math" w:hAnsi="Cambria Math" w:cs="Arial"/>
                </w:rPr>
                <m:t>I,E</m:t>
              </m:r>
            </m:e>
          </m:d>
          <m:r>
            <w:rPr>
              <w:rFonts w:ascii="Cambria Math" w:hAnsi="Cambria Math" w:cs="Arial"/>
            </w:rPr>
            <m:t>v</m:t>
          </m:r>
          <m:d>
            <m:dPr>
              <m:ctrlPr>
                <w:rPr>
                  <w:rFonts w:ascii="Cambria Math" w:hAnsi="Cambria Math" w:cs="Arial"/>
                  <w:i/>
                </w:rPr>
              </m:ctrlPr>
            </m:dPr>
            <m:e>
              <m:r>
                <w:rPr>
                  <w:rFonts w:ascii="Cambria Math" w:hAnsi="Cambria Math" w:cs="Arial"/>
                </w:rPr>
                <m:t>B</m:t>
              </m:r>
              <m:d>
                <m:dPr>
                  <m:ctrlPr>
                    <w:rPr>
                      <w:rFonts w:ascii="Cambria Math" w:hAnsi="Cambria Math" w:cs="Arial"/>
                      <w:i/>
                    </w:rPr>
                  </m:ctrlPr>
                </m:dPr>
                <m:e>
                  <m:r>
                    <w:rPr>
                      <w:rFonts w:ascii="Cambria Math" w:hAnsi="Cambria Math" w:cs="Arial"/>
                    </w:rPr>
                    <m:t>τ</m:t>
                  </m:r>
                </m:e>
              </m:d>
            </m:e>
          </m:d>
          <m:r>
            <w:rPr>
              <w:rFonts w:ascii="Cambria Math" w:hAnsi="Cambria Math" w:cs="Arial"/>
            </w:rPr>
            <m:t>-η</m:t>
          </m:r>
          <m:d>
            <m:dPr>
              <m:ctrlPr>
                <w:rPr>
                  <w:rFonts w:ascii="Cambria Math" w:hAnsi="Cambria Math" w:cs="Arial"/>
                  <w:i/>
                </w:rPr>
              </m:ctrlPr>
            </m:dPr>
            <m:e>
              <m:r>
                <w:rPr>
                  <w:rFonts w:ascii="Cambria Math" w:hAnsi="Cambria Math" w:cs="Arial"/>
                </w:rPr>
                <m:t>I,E</m:t>
              </m:r>
            </m:e>
          </m:d>
          <m:r>
            <w:rPr>
              <w:rFonts w:ascii="Cambria Math" w:hAnsi="Cambria Math" w:cs="Arial"/>
            </w:rPr>
            <m:t>K</m:t>
          </m:r>
          <m:d>
            <m:dPr>
              <m:ctrlPr>
                <w:rPr>
                  <w:rFonts w:ascii="Cambria Math" w:hAnsi="Cambria Math" w:cs="Arial"/>
                  <w:i/>
                </w:rPr>
              </m:ctrlPr>
            </m:dPr>
            <m:e>
              <m:r>
                <w:rPr>
                  <w:rFonts w:ascii="Cambria Math" w:hAnsi="Cambria Math" w:cs="Arial"/>
                </w:rPr>
                <m:t>τ</m:t>
              </m:r>
            </m:e>
          </m:d>
          <m:r>
            <w:rPr>
              <w:rFonts w:ascii="Cambria Math" w:hAnsi="Cambria Math" w:cs="Arial"/>
            </w:rPr>
            <m:t>-χs-∫ξ</m:t>
          </m:r>
          <m:d>
            <m:dPr>
              <m:ctrlPr>
                <w:rPr>
                  <w:rFonts w:ascii="Cambria Math" w:hAnsi="Cambria Math" w:cs="Arial"/>
                  <w:i/>
                </w:rPr>
              </m:ctrlPr>
            </m:dPr>
            <m:e>
              <m:r>
                <w:rPr>
                  <w:rFonts w:ascii="Cambria Math" w:hAnsi="Cambria Math" w:cs="Arial"/>
                </w:rPr>
                <m:t>h</m:t>
              </m:r>
              <m:d>
                <m:dPr>
                  <m:ctrlPr>
                    <w:rPr>
                      <w:rFonts w:ascii="Cambria Math" w:hAnsi="Cambria Math" w:cs="Arial"/>
                      <w:i/>
                    </w:rPr>
                  </m:ctrlPr>
                </m:dPr>
                <m:e>
                  <m:r>
                    <w:rPr>
                      <w:rFonts w:ascii="Cambria Math" w:hAnsi="Cambria Math" w:cs="Arial"/>
                    </w:rPr>
                    <m:t>t</m:t>
                  </m:r>
                </m:e>
              </m:d>
            </m:e>
          </m:d>
          <m:r>
            <w:rPr>
              <w:rFonts w:ascii="Cambria Math" w:hAnsi="Cambria Math" w:cs="Arial"/>
            </w:rPr>
            <m:t>dt         (8)</m:t>
          </m:r>
          <m:r>
            <m:rPr>
              <m:sty m:val="p"/>
            </m:rPr>
            <w:rPr>
              <w:rFonts w:ascii="Cambria Math" w:hAnsi="Cambria Math" w:cs="Arial"/>
            </w:rPr>
            <w:br/>
          </m:r>
        </m:oMath>
      </m:oMathPara>
    </w:p>
    <w:p w14:paraId="226BFD93" w14:textId="3FB9FB44" w:rsidR="00010349" w:rsidRPr="00E76534" w:rsidRDefault="00010349" w:rsidP="00010349">
      <w:pPr>
        <w:pStyle w:val="Body"/>
        <w:spacing w:after="0"/>
        <w:rPr>
          <w:rFonts w:ascii="Arial" w:hAnsi="Arial" w:cs="Arial"/>
        </w:rPr>
      </w:pPr>
      <w:r w:rsidRPr="00E76534">
        <w:rPr>
          <w:rFonts w:ascii="Arial" w:hAnsi="Arial" w:cs="Arial"/>
        </w:rPr>
        <w:t>where </w:t>
      </w:r>
      <m:oMath>
        <m:r>
          <w:rPr>
            <w:rFonts w:ascii="Cambria Math" w:hAnsi="Cambria Math" w:cs="Arial"/>
          </w:rPr>
          <m:t>u(⋅)</m:t>
        </m:r>
      </m:oMath>
      <w:r w:rsidRPr="00E76534">
        <w:rPr>
          <w:rFonts w:ascii="Arial" w:hAnsi="Arial" w:cs="Arial"/>
        </w:rPr>
        <w:t> is instantaneous utility from consumption, </w:t>
      </w:r>
      <m:oMath>
        <m:r>
          <w:rPr>
            <w:rFonts w:ascii="Cambria Math" w:hAnsi="Cambria Math" w:cs="Arial"/>
          </w:rPr>
          <m:t>ξ(⋅)</m:t>
        </m:r>
      </m:oMath>
      <w:r w:rsidRPr="00E76534">
        <w:rPr>
          <w:rFonts w:ascii="Arial" w:hAnsi="Arial" w:cs="Arial"/>
        </w:rPr>
        <w:t> captures the disutility of career attachment, and </w:t>
      </w:r>
      <m:oMath>
        <m:r>
          <w:rPr>
            <w:rFonts w:ascii="Cambria Math" w:hAnsi="Cambria Math" w:cs="Arial"/>
          </w:rPr>
          <m:t>η(I,E)</m:t>
        </m:r>
      </m:oMath>
      <w:r w:rsidRPr="00E76534">
        <w:rPr>
          <w:rFonts w:ascii="Arial" w:hAnsi="Arial" w:cs="Arial"/>
        </w:rPr>
        <w:t> weights family-related utility relative to consumption, depending on institutions and identity-linked norms (Akerlof &amp; Kranton, 2010).</w:t>
      </w:r>
    </w:p>
    <w:p w14:paraId="23EBBB68" w14:textId="77777777" w:rsidR="00010349" w:rsidRPr="00E76534" w:rsidRDefault="00010349" w:rsidP="00010349">
      <w:pPr>
        <w:pStyle w:val="Body"/>
        <w:spacing w:after="0"/>
        <w:rPr>
          <w:rFonts w:ascii="Arial" w:hAnsi="Arial" w:cs="Arial"/>
        </w:rPr>
      </w:pPr>
      <w:r w:rsidRPr="00E76534">
        <w:rPr>
          <w:rFonts w:ascii="Arial" w:hAnsi="Arial" w:cs="Arial"/>
        </w:rPr>
        <w:t>Under standard regularity conditions, the optimal timing of first birth satisfies a wedge condition equating the marginal family benefits of earlier childbirth to the marginal human-capital loss induced by motherhood penalties:</w:t>
      </w:r>
    </w:p>
    <w:p w14:paraId="1F115FEB" w14:textId="77777777" w:rsidR="00901FCA" w:rsidRPr="00E76534" w:rsidRDefault="00901FCA" w:rsidP="00010349">
      <w:pPr>
        <w:pStyle w:val="Body"/>
        <w:spacing w:after="0"/>
        <w:rPr>
          <w:rFonts w:ascii="Arial" w:hAnsi="Arial" w:cs="Arial"/>
        </w:rPr>
      </w:pPr>
    </w:p>
    <w:p w14:paraId="258157CE" w14:textId="744E42D9" w:rsidR="00010349" w:rsidRPr="00E76534" w:rsidRDefault="00010349" w:rsidP="00010349">
      <w:pPr>
        <w:pStyle w:val="Body"/>
        <w:rPr>
          <w:rFonts w:ascii="Arial" w:hAnsi="Arial" w:cs="Arial"/>
        </w:rPr>
      </w:pPr>
      <m:oMathPara>
        <m:oMath>
          <m:r>
            <w:rPr>
              <w:rFonts w:ascii="Cambria Math" w:hAnsi="Cambria Math" w:cs="Arial"/>
            </w:rPr>
            <m:t>η(I,E)</m:t>
          </m:r>
          <m:d>
            <m:dPr>
              <m:begChr m:val="["/>
              <m:endChr m:val="]"/>
              <m:ctrlPr>
                <w:rPr>
                  <w:rFonts w:ascii="Cambria Math" w:hAnsi="Cambria Math" w:cs="Arial"/>
                </w:rPr>
              </m:ctrlPr>
            </m:dPr>
            <m:e>
              <m:sSup>
                <m:sSupPr>
                  <m:ctrlPr>
                    <w:rPr>
                      <w:rFonts w:ascii="Cambria Math" w:hAnsi="Cambria Math" w:cs="Arial"/>
                    </w:rPr>
                  </m:ctrlPr>
                </m:sSupPr>
                <m:e>
                  <m:r>
                    <w:rPr>
                      <w:rFonts w:ascii="Cambria Math" w:hAnsi="Cambria Math" w:cs="Arial"/>
                    </w:rPr>
                    <m:t>v</m:t>
                  </m:r>
                </m:e>
                <m:sup>
                  <m:r>
                    <m:rPr>
                      <m:sty m:val="p"/>
                    </m:rPr>
                    <w:rPr>
                      <w:rFonts w:ascii="Cambria Math" w:hAnsi="Cambria Math" w:cs="Arial"/>
                    </w:rPr>
                    <m:t>'</m:t>
                  </m:r>
                </m:sup>
              </m:sSup>
              <m:r>
                <w:rPr>
                  <w:rFonts w:ascii="Cambria Math" w:hAnsi="Cambria Math" w:cs="Arial"/>
                </w:rPr>
                <m:t>(B(τ))</m:t>
              </m:r>
              <m:sSup>
                <m:sSupPr>
                  <m:ctrlPr>
                    <w:rPr>
                      <w:rFonts w:ascii="Cambria Math" w:hAnsi="Cambria Math" w:cs="Arial"/>
                    </w:rPr>
                  </m:ctrlPr>
                </m:sSupPr>
                <m:e>
                  <m:r>
                    <w:rPr>
                      <w:rFonts w:ascii="Cambria Math" w:hAnsi="Cambria Math" w:cs="Arial"/>
                    </w:rPr>
                    <m:t>B</m:t>
                  </m:r>
                </m:e>
                <m:sup>
                  <m:r>
                    <m:rPr>
                      <m:sty m:val="p"/>
                    </m:rPr>
                    <w:rPr>
                      <w:rFonts w:ascii="Cambria Math" w:hAnsi="Cambria Math" w:cs="Arial"/>
                    </w:rPr>
                    <m:t>'</m:t>
                  </m:r>
                </m:sup>
              </m:sSup>
              <m:r>
                <w:rPr>
                  <w:rFonts w:ascii="Cambria Math" w:hAnsi="Cambria Math" w:cs="Arial"/>
                </w:rPr>
                <m:t>(τ)-</m:t>
              </m:r>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w:rPr>
                  <w:rFonts w:ascii="Cambria Math" w:hAnsi="Cambria Math" w:cs="Arial"/>
                </w:rPr>
                <m:t>(τ)</m:t>
              </m:r>
            </m:e>
          </m:d>
          <m:r>
            <w:rPr>
              <w:rFonts w:ascii="Cambria Math" w:hAnsi="Cambria Math" w:cs="Arial"/>
            </w:rPr>
            <m:t>=</m:t>
          </m:r>
          <m:r>
            <m:rPr>
              <m:nor/>
            </m:rPr>
            <w:rPr>
              <w:rFonts w:ascii="Arial" w:hAnsi="Arial" w:cs="Arial"/>
            </w:rPr>
            <m:t>marginal career and earnings loss from earlier birth</m:t>
          </m:r>
          <m:r>
            <w:rPr>
              <w:rFonts w:ascii="Cambria Math" w:hAnsi="Cambria Math" w:cs="Arial"/>
            </w:rPr>
            <m:t>,</m:t>
          </m:r>
          <m:r>
            <m:rPr>
              <m:sty m:val="p"/>
            </m:rPr>
            <w:rPr>
              <w:rFonts w:ascii="Cambria Math" w:hAnsi="Cambria Math" w:cs="Arial"/>
            </w:rPr>
            <w:br/>
          </m:r>
        </m:oMath>
      </m:oMathPara>
    </w:p>
    <w:p w14:paraId="6E123733" w14:textId="63687B0E" w:rsidR="00010349" w:rsidRPr="00E76534" w:rsidRDefault="00010349" w:rsidP="00010349">
      <w:pPr>
        <w:pStyle w:val="Body"/>
        <w:spacing w:after="0"/>
        <w:rPr>
          <w:rFonts w:ascii="Arial" w:hAnsi="Arial" w:cs="Arial"/>
        </w:rPr>
      </w:pPr>
      <w:r w:rsidRPr="00E76534">
        <w:rPr>
          <w:rFonts w:ascii="Arial" w:hAnsi="Arial" w:cs="Arial"/>
        </w:rPr>
        <w:t>The right-hand side is proportional to the present discounted value of </w:t>
      </w:r>
      <m:oMath>
        <m:r>
          <m:rPr>
            <m:sty m:val="p"/>
          </m:rPr>
          <w:rPr>
            <w:rFonts w:ascii="Cambria Math" w:hAnsi="Cambria Math" w:cs="Arial"/>
          </w:rPr>
          <m:t>Δ</m:t>
        </m:r>
        <m:r>
          <w:rPr>
            <w:rFonts w:ascii="Cambria Math" w:hAnsi="Cambria Math" w:cs="Arial"/>
          </w:rPr>
          <m:t>(τ,t)</m:t>
        </m:r>
      </m:oMath>
      <w:r w:rsidRPr="00E76534">
        <w:rPr>
          <w:rFonts w:ascii="Arial" w:hAnsi="Arial" w:cs="Arial"/>
        </w:rPr>
        <w:t>. Fertility timing is therefore jointly determined by education, career attachment, family policy, and ideological norms through their effects on the opportunity cost of motherhood.</w:t>
      </w:r>
    </w:p>
    <w:p w14:paraId="7CD79642" w14:textId="77777777" w:rsidR="003D0019" w:rsidRPr="00E76534" w:rsidRDefault="003D0019" w:rsidP="00010349">
      <w:pPr>
        <w:pStyle w:val="Body"/>
        <w:spacing w:after="0"/>
        <w:rPr>
          <w:rFonts w:ascii="Arial" w:hAnsi="Arial" w:cs="Arial"/>
        </w:rPr>
      </w:pPr>
    </w:p>
    <w:p w14:paraId="4BDC96AA" w14:textId="2F8ECC00" w:rsidR="00010349" w:rsidRPr="00E76534" w:rsidRDefault="00010349" w:rsidP="00010349">
      <w:pPr>
        <w:pStyle w:val="Body"/>
        <w:spacing w:after="0"/>
        <w:rPr>
          <w:rFonts w:ascii="Arial" w:hAnsi="Arial" w:cs="Arial"/>
        </w:rPr>
      </w:pPr>
      <w:r w:rsidRPr="00E76534">
        <w:rPr>
          <w:rFonts w:ascii="Arial" w:hAnsi="Arial" w:cs="Arial"/>
        </w:rPr>
        <w:t>Crucially, institutional environments differ in the magnitude of this wedge. In high-penalty environments—characterized by binding gender constraints, limited labor-market access, and weak policy protection—the optimal </w:t>
      </w:r>
      <m:oMath>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oMath>
      <w:r w:rsidRPr="00E76534">
        <w:rPr>
          <w:rFonts w:ascii="Arial" w:hAnsi="Arial" w:cs="Arial"/>
        </w:rPr>
        <w:t xml:space="preserve"> for a substantial share of women lies near the lower bound </w:t>
      </w:r>
      <m:oMath>
        <m:acc>
          <m:accPr>
            <m:chr m:val="ˉ"/>
            <m:ctrlPr>
              <w:rPr>
                <w:rFonts w:ascii="Cambria Math" w:hAnsi="Cambria Math" w:cs="Arial"/>
              </w:rPr>
            </m:ctrlPr>
          </m:accPr>
          <m:e>
            <m:r>
              <w:rPr>
                <w:rFonts w:ascii="Cambria Math" w:hAnsi="Cambria Math" w:cs="Arial"/>
              </w:rPr>
              <m:t>τ</m:t>
            </m:r>
          </m:e>
        </m:acc>
      </m:oMath>
      <w:r w:rsidRPr="00E76534">
        <w:rPr>
          <w:rFonts w:ascii="Arial" w:hAnsi="Arial" w:cs="Arial"/>
        </w:rPr>
        <w:t>. In contrast, low-penalty environments encourage delayed first birth. The model therefore predicts variation in the mass of women selecting very early fertility, rather than uniform shifts in mean fertility timing, aligning the framework with empirical measures of early childbearing outcomes.</w:t>
      </w:r>
    </w:p>
    <w:p w14:paraId="5DB0262D" w14:textId="544922B6" w:rsidR="003D0019" w:rsidRPr="00E76534" w:rsidRDefault="003D0019" w:rsidP="00010349">
      <w:pPr>
        <w:pStyle w:val="Body"/>
        <w:spacing w:after="0"/>
        <w:rPr>
          <w:rFonts w:ascii="Arial" w:hAnsi="Arial" w:cs="Arial"/>
        </w:rPr>
      </w:pPr>
    </w:p>
    <w:p w14:paraId="688CCA40" w14:textId="30195F35" w:rsidR="00010349" w:rsidRPr="00E76534" w:rsidRDefault="00010349" w:rsidP="00010349">
      <w:pPr>
        <w:pStyle w:val="Body"/>
        <w:spacing w:after="0"/>
        <w:rPr>
          <w:rFonts w:ascii="Arial" w:hAnsi="Arial" w:cs="Arial"/>
        </w:rPr>
      </w:pPr>
      <w:r w:rsidRPr="00E76534">
        <w:rPr>
          <w:rFonts w:ascii="Arial" w:hAnsi="Arial" w:cs="Arial"/>
        </w:rPr>
        <w:t>Higher education delays first birth by raising returns to human capital and by increasing exposure to interruption costs, implying </w:t>
      </w:r>
      <m:oMath>
        <m:r>
          <m:rPr>
            <m:sty m:val="p"/>
          </m:rPr>
          <w:rPr>
            <w:rFonts w:ascii="Cambria Math" w:hAnsi="Cambria Math" w:cs="Arial"/>
          </w:rPr>
          <m:t>∂</m:t>
        </m:r>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s&gt;0</m:t>
        </m:r>
      </m:oMath>
      <w:r w:rsidRPr="00E76534">
        <w:rPr>
          <w:rFonts w:ascii="Arial" w:hAnsi="Arial" w:cs="Arial"/>
        </w:rPr>
        <w:t>. Greater career attachment similarly delays childbirth, </w:t>
      </w:r>
      <m:oMath>
        <m:r>
          <m:rPr>
            <m:sty m:val="p"/>
          </m:rPr>
          <w:rPr>
            <w:rFonts w:ascii="Cambria Math" w:hAnsi="Cambria Math" w:cs="Arial"/>
          </w:rPr>
          <m:t>∂</m:t>
        </m:r>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h&gt;</m:t>
        </m:r>
        <m:r>
          <w:rPr>
            <w:rFonts w:ascii="Cambria Math" w:hAnsi="Cambria Math" w:cs="Arial"/>
          </w:rPr>
          <m:t>0</m:t>
        </m:r>
      </m:oMath>
      <w:r w:rsidRPr="00E76534">
        <w:rPr>
          <w:rFonts w:ascii="Arial" w:hAnsi="Arial" w:cs="Arial"/>
        </w:rPr>
        <w:t>, but this relationship is policy-conditional: generous family policy weakens the link between attachment and fertility timing, yielding </w:t>
      </w:r>
      <m:oMath>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h</m:t>
        </m:r>
        <m:r>
          <m:rPr>
            <m:sty m:val="p"/>
          </m:rPr>
          <w:rPr>
            <w:rFonts w:ascii="Cambria Math" w:hAnsi="Cambria Math" w:cs="Arial"/>
          </w:rPr>
          <m:t>∂</m:t>
        </m:r>
        <m:r>
          <w:rPr>
            <w:rFonts w:ascii="Cambria Math" w:hAnsi="Cambria Math" w:cs="Arial"/>
          </w:rPr>
          <m:t>P&lt;0</m:t>
        </m:r>
      </m:oMath>
      <w:r w:rsidRPr="00E76534">
        <w:rPr>
          <w:rFonts w:ascii="Arial" w:hAnsi="Arial" w:cs="Arial"/>
        </w:rPr>
        <w:t>. Finally, stronger family policy directly reduces the timing wedge, leading to earlier first birth, </w:t>
      </w:r>
      <m:oMath>
        <m:r>
          <m:rPr>
            <m:sty m:val="p"/>
          </m:rPr>
          <w:rPr>
            <w:rFonts w:ascii="Cambria Math" w:hAnsi="Cambria Math" w:cs="Arial"/>
          </w:rPr>
          <m:t>∂</m:t>
        </m:r>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P&lt;0</m:t>
        </m:r>
      </m:oMath>
      <w:r w:rsidRPr="00E76534">
        <w:rPr>
          <w:rFonts w:ascii="Arial" w:hAnsi="Arial" w:cs="Arial"/>
        </w:rPr>
        <w:t>, and higher post-birth labor supply through reduced depreciation (Lalive and Zweimüller, 2009).</w:t>
      </w:r>
    </w:p>
    <w:p w14:paraId="19455455" w14:textId="66909DEE" w:rsidR="003D0019" w:rsidRPr="00E76534" w:rsidRDefault="003D0019" w:rsidP="00010349">
      <w:pPr>
        <w:pStyle w:val="Body"/>
        <w:spacing w:after="0"/>
        <w:rPr>
          <w:rFonts w:ascii="Arial" w:hAnsi="Arial" w:cs="Arial"/>
        </w:rPr>
      </w:pPr>
    </w:p>
    <w:p w14:paraId="7C37F8ED" w14:textId="77777777" w:rsidR="00010349" w:rsidRPr="00E76534" w:rsidRDefault="00010349" w:rsidP="00010349">
      <w:pPr>
        <w:pStyle w:val="Body"/>
        <w:spacing w:after="0"/>
        <w:rPr>
          <w:rFonts w:ascii="Arial" w:hAnsi="Arial" w:cs="Arial"/>
        </w:rPr>
      </w:pPr>
      <w:r w:rsidRPr="00E76534">
        <w:rPr>
          <w:rFonts w:ascii="Arial" w:hAnsi="Arial" w:cs="Arial"/>
        </w:rPr>
        <w:t>The framework can be discretized into a two-period structure without altering its economic content by interpreting early fertility as a first-period birth probability, allowing education and policy to operate through the same penalty channel. This preserves tractability while retaining the core mechanisms.</w:t>
      </w:r>
    </w:p>
    <w:p w14:paraId="2FB8696B" w14:textId="77777777" w:rsidR="003D0019" w:rsidRPr="00E76534" w:rsidRDefault="003D0019" w:rsidP="00010349">
      <w:pPr>
        <w:pStyle w:val="Body"/>
        <w:spacing w:after="0"/>
        <w:rPr>
          <w:rFonts w:ascii="Arial" w:hAnsi="Arial" w:cs="Arial"/>
        </w:rPr>
      </w:pPr>
    </w:p>
    <w:p w14:paraId="0A5589B9" w14:textId="77777777" w:rsidR="00010349" w:rsidRPr="00E76534" w:rsidRDefault="00010349" w:rsidP="00010349">
      <w:pPr>
        <w:pStyle w:val="Body"/>
        <w:spacing w:after="0"/>
        <w:rPr>
          <w:rFonts w:ascii="Arial" w:hAnsi="Arial" w:cs="Arial"/>
        </w:rPr>
      </w:pPr>
      <w:r w:rsidRPr="00E76534">
        <w:rPr>
          <w:rFonts w:ascii="Arial" w:hAnsi="Arial" w:cs="Arial"/>
        </w:rPr>
        <w:t>Overall, the model delivers a unified theory in which education, career attachment, family policy, and ideology jointly determine fertility timing through their effects on the human-capital cost of motherhood. The approach highlights family policy as a lever that decouples career investment from fertility delay, generating testable implications for cross-country and within-country variation in first-birth timing.</w:t>
      </w:r>
    </w:p>
    <w:p w14:paraId="0C348CF0" w14:textId="77777777" w:rsidR="003D0019" w:rsidRPr="00E76534" w:rsidRDefault="003D0019" w:rsidP="00010349">
      <w:pPr>
        <w:pStyle w:val="Body"/>
        <w:spacing w:after="0"/>
        <w:rPr>
          <w:rFonts w:ascii="Arial" w:hAnsi="Arial" w:cs="Arial"/>
        </w:rPr>
      </w:pPr>
    </w:p>
    <w:p w14:paraId="0E9127CC" w14:textId="11296558" w:rsidR="00010349" w:rsidRPr="00E76534" w:rsidRDefault="00CE5B86" w:rsidP="00010349">
      <w:pPr>
        <w:pStyle w:val="Body"/>
        <w:spacing w:after="0"/>
        <w:rPr>
          <w:rFonts w:ascii="Arial" w:hAnsi="Arial" w:cs="Arial"/>
          <w:b/>
          <w:bCs/>
        </w:rPr>
      </w:pPr>
      <w:r w:rsidRPr="00E54E72">
        <w:rPr>
          <w:rFonts w:ascii="Arial" w:hAnsi="Arial" w:cs="Arial"/>
          <w:b/>
          <w:bCs/>
          <w:highlight w:val="cyan"/>
        </w:rPr>
        <w:t>2</w:t>
      </w:r>
      <w:r w:rsidR="00010349" w:rsidRPr="00E54E72">
        <w:rPr>
          <w:rFonts w:ascii="Arial" w:hAnsi="Arial" w:cs="Arial"/>
          <w:b/>
          <w:bCs/>
          <w:highlight w:val="cyan"/>
        </w:rPr>
        <w:t>.2</w:t>
      </w:r>
      <w:r w:rsidR="00010349" w:rsidRPr="00E76534">
        <w:rPr>
          <w:rFonts w:ascii="Arial" w:hAnsi="Arial" w:cs="Arial"/>
          <w:b/>
          <w:bCs/>
        </w:rPr>
        <w:t xml:space="preserve"> Empirical Interpretation of the Theory</w:t>
      </w:r>
    </w:p>
    <w:p w14:paraId="71B06950" w14:textId="77777777" w:rsidR="00010349" w:rsidRPr="00E76534" w:rsidRDefault="00010349" w:rsidP="00010349">
      <w:pPr>
        <w:pStyle w:val="Body"/>
        <w:spacing w:after="0"/>
        <w:rPr>
          <w:rFonts w:ascii="Arial" w:hAnsi="Arial" w:cs="Arial"/>
        </w:rPr>
      </w:pPr>
      <w:r w:rsidRPr="00E76534">
        <w:rPr>
          <w:rFonts w:ascii="Arial" w:hAnsi="Arial" w:cs="Arial"/>
        </w:rPr>
        <w:t>While fertility decisions are made at the household level, the empirical analysis operates at the country–year level and therefore requires an aggregate representation of the model’s predictions. The theoretical framework focuses on the probability that women select childbirth near the lower bound of the fertility-timing distribution, corresponding to very early entry into motherhood.</w:t>
      </w:r>
    </w:p>
    <w:p w14:paraId="58B83DAF" w14:textId="77777777" w:rsidR="003D0019" w:rsidRPr="00E76534" w:rsidRDefault="003D0019" w:rsidP="00010349">
      <w:pPr>
        <w:pStyle w:val="Body"/>
        <w:spacing w:after="0"/>
        <w:rPr>
          <w:rFonts w:ascii="Arial" w:hAnsi="Arial" w:cs="Arial"/>
          <w:b/>
          <w:bCs/>
        </w:rPr>
      </w:pPr>
    </w:p>
    <w:p w14:paraId="17C528B6" w14:textId="77777777" w:rsidR="00010349" w:rsidRPr="00E76534" w:rsidRDefault="00010349" w:rsidP="00010349">
      <w:pPr>
        <w:pStyle w:val="Body"/>
        <w:spacing w:after="0"/>
        <w:rPr>
          <w:rFonts w:ascii="Arial" w:hAnsi="Arial" w:cs="Arial"/>
        </w:rPr>
      </w:pPr>
      <w:r w:rsidRPr="00E76534">
        <w:rPr>
          <w:rFonts w:ascii="Arial" w:hAnsi="Arial" w:cs="Arial"/>
        </w:rPr>
        <w:t>Because complete country–year distributions of age at first birth are generally unavailable, the empirical analysis uses observed measures of very early first birth as proxies for the relative mass of women located in the extreme lower tail of the theoretical fertility-timing distribution, rather than as direct measures of fertility behavior itself.</w:t>
      </w:r>
    </w:p>
    <w:p w14:paraId="5BD79D5B" w14:textId="77777777" w:rsidR="003D0019" w:rsidRPr="00E76534" w:rsidRDefault="003D0019" w:rsidP="00010349">
      <w:pPr>
        <w:pStyle w:val="Body"/>
        <w:spacing w:after="0"/>
        <w:rPr>
          <w:rFonts w:ascii="Arial" w:hAnsi="Arial" w:cs="Arial"/>
        </w:rPr>
      </w:pPr>
    </w:p>
    <w:p w14:paraId="01B79155" w14:textId="77777777" w:rsidR="00010349" w:rsidRPr="00E76534" w:rsidRDefault="00010349" w:rsidP="00010349">
      <w:pPr>
        <w:pStyle w:val="Body"/>
        <w:spacing w:after="0"/>
        <w:rPr>
          <w:rFonts w:ascii="Arial" w:hAnsi="Arial" w:cs="Arial"/>
        </w:rPr>
      </w:pPr>
      <w:r w:rsidRPr="00E76534">
        <w:rPr>
          <w:rFonts w:ascii="Arial" w:hAnsi="Arial" w:cs="Arial"/>
        </w:rPr>
        <w:t>Accordingly, the empirical analysis interprets observed early first-birth outcomes as reduced-form indicators of the relative mass of women located in the lower tail of the theoretical fertility-timing distribution. The objective is therefore not to measure fertility behavior directly, but to capture variation in the incidence of very early transition into motherhood across institutional environments.</w:t>
      </w:r>
    </w:p>
    <w:p w14:paraId="072BD765" w14:textId="77777777" w:rsidR="003D0019" w:rsidRPr="00E76534" w:rsidRDefault="003D0019" w:rsidP="00010349">
      <w:pPr>
        <w:pStyle w:val="Body"/>
        <w:spacing w:after="0"/>
        <w:rPr>
          <w:rFonts w:ascii="Arial" w:hAnsi="Arial" w:cs="Arial"/>
        </w:rPr>
      </w:pPr>
    </w:p>
    <w:p w14:paraId="7A4F1ABB" w14:textId="77777777" w:rsidR="00010349" w:rsidRPr="00E76534" w:rsidRDefault="00010349" w:rsidP="00010349">
      <w:pPr>
        <w:pStyle w:val="Body"/>
        <w:spacing w:after="0"/>
        <w:rPr>
          <w:rFonts w:ascii="Arial" w:hAnsi="Arial" w:cs="Arial"/>
        </w:rPr>
      </w:pPr>
      <w:r w:rsidRPr="00E76534">
        <w:rPr>
          <w:rFonts w:ascii="Arial" w:hAnsi="Arial" w:cs="Arial"/>
        </w:rPr>
        <w:t>Under the model, environments characterized by high motherhood penalties, limited labor-market flexibility, weak family policy, or restrictive gender norms increase the likelihood that some women optimally choose early childbirth. By contrast, environments with stronger policy support and lower career interruption costs shift optimal fertility timing later in the life cycle.</w:t>
      </w:r>
    </w:p>
    <w:p w14:paraId="47C16242" w14:textId="77777777" w:rsidR="00010349" w:rsidRPr="00E76534" w:rsidRDefault="00010349" w:rsidP="00010349">
      <w:pPr>
        <w:pStyle w:val="Body"/>
        <w:spacing w:after="0"/>
        <w:rPr>
          <w:rFonts w:ascii="Arial" w:hAnsi="Arial" w:cs="Arial"/>
        </w:rPr>
      </w:pPr>
      <w:r w:rsidRPr="00E76534">
        <w:rPr>
          <w:rFonts w:ascii="Arial" w:hAnsi="Arial" w:cs="Arial"/>
        </w:rPr>
        <w:t>The empirical specifications therefore interpret cross-country and over-time variation in early first-birth outcomes as reduced-form manifestations of the timing wedge derived in Section 3.1.1. Educational attainment, labor-market attachment, family policy generosity, and ideological environments are treated as observable determinants of the opportunity cost of motherhood and therefore as determinants of fertility timing outcomes.</w:t>
      </w:r>
    </w:p>
    <w:p w14:paraId="21CEE33A" w14:textId="77777777" w:rsidR="003D0019" w:rsidRPr="00E76534" w:rsidRDefault="003D0019" w:rsidP="00010349">
      <w:pPr>
        <w:pStyle w:val="Body"/>
        <w:spacing w:after="0"/>
        <w:rPr>
          <w:rFonts w:ascii="Arial" w:hAnsi="Arial" w:cs="Arial"/>
        </w:rPr>
      </w:pPr>
    </w:p>
    <w:p w14:paraId="60E36527" w14:textId="52D072BF" w:rsidR="00010349" w:rsidRPr="00E76534" w:rsidRDefault="00010349" w:rsidP="00010349">
      <w:pPr>
        <w:pStyle w:val="Body"/>
        <w:spacing w:after="0"/>
        <w:rPr>
          <w:rFonts w:ascii="Arial" w:hAnsi="Arial" w:cs="Arial"/>
        </w:rPr>
      </w:pPr>
      <w:r w:rsidRPr="00E76534">
        <w:rPr>
          <w:rFonts w:ascii="Arial" w:hAnsi="Arial" w:cs="Arial"/>
        </w:rPr>
        <w:t>In the context of the model, early fertility outcomes correspond to realizations in which the optimal first-birth timing </w:t>
      </w:r>
      <m:oMath>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oMath>
      <w:r w:rsidRPr="00E76534">
        <w:rPr>
          <w:rFonts w:ascii="Arial" w:hAnsi="Arial" w:cs="Arial"/>
        </w:rPr>
        <w:t> lies sufficiently close to the lower bound of the feasible fertility window. Country–year variation in first births therefore reflects changes in the share of women whose opportunity-cost wedge favors very early first birth, rather than shifts in average fertility timing across the entire population (Bernardi &amp; Klärner, 2014;</w:t>
      </w:r>
      <w:r w:rsidRPr="00E76534">
        <w:rPr>
          <w:rFonts w:ascii="Arial" w:hAnsi="Arial" w:cs="Arial"/>
          <w:b/>
          <w:bCs/>
        </w:rPr>
        <w:t xml:space="preserve"> </w:t>
      </w:r>
      <w:r w:rsidRPr="00E76534">
        <w:rPr>
          <w:rFonts w:ascii="Arial" w:hAnsi="Arial" w:cs="Arial"/>
        </w:rPr>
        <w:t>Kohler, 1997).</w:t>
      </w:r>
    </w:p>
    <w:p w14:paraId="7858940B" w14:textId="77777777" w:rsidR="003D0019" w:rsidRPr="00E76534" w:rsidRDefault="003D0019" w:rsidP="00010349">
      <w:pPr>
        <w:pStyle w:val="Body"/>
        <w:spacing w:after="0"/>
        <w:rPr>
          <w:rFonts w:ascii="Arial" w:hAnsi="Arial" w:cs="Arial"/>
        </w:rPr>
      </w:pPr>
    </w:p>
    <w:p w14:paraId="0EAC6795" w14:textId="48AB8D4D" w:rsidR="00010349" w:rsidRPr="00E76534" w:rsidRDefault="00010349" w:rsidP="00010349">
      <w:pPr>
        <w:pStyle w:val="Body"/>
        <w:spacing w:after="0"/>
        <w:rPr>
          <w:rFonts w:ascii="Arial" w:hAnsi="Arial" w:cs="Arial"/>
        </w:rPr>
      </w:pPr>
      <w:r w:rsidRPr="00E76534">
        <w:rPr>
          <w:rFonts w:ascii="Arial" w:hAnsi="Arial" w:cs="Arial"/>
        </w:rPr>
        <w:t>Gender inequality shapes this wedge by constraining educational attainment, limiting career attachment, and amplifying motherhood penalties. In highly unequal environments, early fertility is a rational response to institutional constraints, as the foregone returns to human capital accumulation are relatively small. Conversely, reductions in gender inequality raise the opportunity cost of early childbearing, shifting mass away from the lower tail of the fertility-timing distribution.</w:t>
      </w:r>
    </w:p>
    <w:p w14:paraId="1AAD81EC" w14:textId="77777777" w:rsidR="003D0019" w:rsidRPr="00E76534" w:rsidRDefault="003D0019" w:rsidP="00010349">
      <w:pPr>
        <w:pStyle w:val="Body"/>
        <w:spacing w:after="0"/>
        <w:rPr>
          <w:rFonts w:ascii="Arial" w:hAnsi="Arial" w:cs="Arial"/>
        </w:rPr>
      </w:pPr>
    </w:p>
    <w:p w14:paraId="070E6D83" w14:textId="460075A1" w:rsidR="00010349" w:rsidRPr="00E76534" w:rsidRDefault="00010349" w:rsidP="00010349">
      <w:pPr>
        <w:pStyle w:val="Body"/>
        <w:spacing w:after="0"/>
        <w:rPr>
          <w:rFonts w:ascii="Arial" w:hAnsi="Arial" w:cs="Arial"/>
        </w:rPr>
      </w:pPr>
      <w:r w:rsidRPr="00E76534">
        <w:rPr>
          <w:rFonts w:ascii="Arial" w:hAnsi="Arial" w:cs="Arial"/>
        </w:rPr>
        <w:t>Because institutional environments, social norms, and labor-market structures evolve slowly, fertility timing may exhibit persistence and regime dependence (Munshi and Myaux, 2006). In particular, changes in gender inequality may have muted effects in highly unequal or highly egalitarian regimes, while exerting stronger influence in transitional environments. This motivates an empirical strategy that allows for nonlinear responses and path dependence without requiring identification of individual-level fertility choices.</w:t>
      </w:r>
    </w:p>
    <w:p w14:paraId="1392E617" w14:textId="77777777" w:rsidR="003D0019" w:rsidRPr="00E76534" w:rsidRDefault="003D0019" w:rsidP="00010349">
      <w:pPr>
        <w:pStyle w:val="Body"/>
        <w:spacing w:after="0"/>
        <w:rPr>
          <w:rFonts w:ascii="Arial" w:hAnsi="Arial" w:cs="Arial"/>
        </w:rPr>
      </w:pPr>
    </w:p>
    <w:p w14:paraId="4F8BFEC6" w14:textId="198B6448" w:rsidR="00010349" w:rsidRPr="00E76534" w:rsidRDefault="00010349" w:rsidP="00010349">
      <w:pPr>
        <w:pStyle w:val="Body"/>
        <w:spacing w:after="0"/>
        <w:rPr>
          <w:rFonts w:ascii="Arial" w:hAnsi="Arial" w:cs="Arial"/>
        </w:rPr>
      </w:pPr>
      <w:r w:rsidRPr="00E76534">
        <w:rPr>
          <w:rFonts w:ascii="Arial" w:hAnsi="Arial" w:cs="Arial"/>
        </w:rPr>
        <w:t xml:space="preserve">The framework also allows for regime-dependent responses of fertility timing to institutional change. When gender inequality is either very high or very low, fertility behavior may be anchored by coordination equilibria sustained by social customs and shared expectations (Akerlof, 1980). In such environments, marginal institutional reforms generate limited </w:t>
      </w:r>
      <w:r w:rsidRPr="00E76534">
        <w:rPr>
          <w:rFonts w:ascii="Arial" w:hAnsi="Arial" w:cs="Arial"/>
        </w:rPr>
        <w:lastRenderedPageBreak/>
        <w:t>behavioral responses. By contrast, in transitional regimes, small changes in institutional constraints can shift the opportunity-cost wedge sufficiently to induce large reallocations in the timing of first birth. This mechanism provides a theoretical rationale for the nonlinear empirical relationship documented below.</w:t>
      </w:r>
    </w:p>
    <w:p w14:paraId="4D466C1F" w14:textId="77777777" w:rsidR="003D0019" w:rsidRPr="00E76534" w:rsidRDefault="003D0019" w:rsidP="00010349">
      <w:pPr>
        <w:pStyle w:val="Body"/>
        <w:spacing w:after="0"/>
        <w:rPr>
          <w:rFonts w:ascii="Arial" w:hAnsi="Arial" w:cs="Arial"/>
          <w:b/>
          <w:bCs/>
          <w:sz w:val="22"/>
          <w:szCs w:val="22"/>
        </w:rPr>
      </w:pPr>
    </w:p>
    <w:p w14:paraId="48B9D702" w14:textId="2EDB7000" w:rsidR="00010349" w:rsidRPr="00E76534" w:rsidRDefault="00CE5B86" w:rsidP="00010349">
      <w:pPr>
        <w:pStyle w:val="Body"/>
        <w:spacing w:after="0"/>
        <w:rPr>
          <w:rFonts w:ascii="Arial" w:hAnsi="Arial" w:cs="Arial"/>
          <w:b/>
          <w:bCs/>
          <w:sz w:val="22"/>
          <w:szCs w:val="22"/>
        </w:rPr>
      </w:pPr>
      <w:r w:rsidRPr="00E54E72">
        <w:rPr>
          <w:rFonts w:ascii="Arial" w:hAnsi="Arial" w:cs="Arial"/>
          <w:b/>
          <w:bCs/>
          <w:sz w:val="22"/>
          <w:szCs w:val="22"/>
          <w:highlight w:val="cyan"/>
        </w:rPr>
        <w:t>2</w:t>
      </w:r>
      <w:r w:rsidR="00010349" w:rsidRPr="00E54E72">
        <w:rPr>
          <w:rFonts w:ascii="Arial" w:hAnsi="Arial" w:cs="Arial"/>
          <w:b/>
          <w:bCs/>
          <w:sz w:val="22"/>
          <w:szCs w:val="22"/>
          <w:highlight w:val="cyan"/>
        </w:rPr>
        <w:t>.</w:t>
      </w:r>
      <w:r w:rsidR="00E54E72" w:rsidRPr="00E54E72">
        <w:rPr>
          <w:rFonts w:ascii="Arial" w:hAnsi="Arial" w:cs="Arial"/>
          <w:b/>
          <w:bCs/>
          <w:sz w:val="22"/>
          <w:szCs w:val="22"/>
          <w:highlight w:val="cyan"/>
        </w:rPr>
        <w:t>3</w:t>
      </w:r>
      <w:r w:rsidR="00010349" w:rsidRPr="00E76534">
        <w:rPr>
          <w:rFonts w:ascii="Arial" w:hAnsi="Arial" w:cs="Arial"/>
          <w:b/>
          <w:bCs/>
          <w:sz w:val="22"/>
          <w:szCs w:val="22"/>
        </w:rPr>
        <w:t xml:space="preserve"> Empirical Framework</w:t>
      </w:r>
    </w:p>
    <w:p w14:paraId="1C7A42D8" w14:textId="77777777" w:rsidR="00010349" w:rsidRPr="00E76534" w:rsidRDefault="00010349" w:rsidP="00010349">
      <w:pPr>
        <w:pStyle w:val="Body"/>
        <w:spacing w:after="0"/>
        <w:rPr>
          <w:rFonts w:ascii="Arial" w:hAnsi="Arial" w:cs="Arial"/>
        </w:rPr>
      </w:pPr>
      <w:r w:rsidRPr="00E76534">
        <w:rPr>
          <w:rFonts w:ascii="Arial" w:hAnsi="Arial" w:cs="Arial"/>
        </w:rPr>
        <w:t>The relationship is likely nonlinear: fertility timing may exhibit persistence and coordination, with changes in gender inequality exerting stronger effects in transitional regimes than in highly unequal or highly egalitarian contexts. Figure 1 illustrates these regime-dependent associations.</w:t>
      </w:r>
    </w:p>
    <w:p w14:paraId="2689621B" w14:textId="77777777" w:rsidR="00F11AB9" w:rsidRPr="00E76534" w:rsidRDefault="00F11AB9" w:rsidP="00010349">
      <w:pPr>
        <w:pStyle w:val="Body"/>
        <w:spacing w:after="0"/>
        <w:rPr>
          <w:rFonts w:ascii="Arial" w:hAnsi="Arial" w:cs="Arial"/>
          <w:b/>
          <w:bCs/>
        </w:rPr>
      </w:pPr>
    </w:p>
    <w:p w14:paraId="2525323C" w14:textId="7FF69E4E" w:rsidR="00422E2F" w:rsidRDefault="00010349" w:rsidP="00010349">
      <w:pPr>
        <w:pStyle w:val="Body"/>
        <w:spacing w:after="0"/>
        <w:rPr>
          <w:rFonts w:ascii="Arial" w:hAnsi="Arial" w:cs="Arial"/>
        </w:rPr>
      </w:pPr>
      <w:r w:rsidRPr="00E76534">
        <w:rPr>
          <w:rFonts w:ascii="Arial" w:hAnsi="Arial" w:cs="Arial"/>
        </w:rPr>
        <w:t>Empirically, the paper adopts a reduced-form macro approach, exploiting within-country institutional variation over time to examine whether changes in gender inequality are systematically associated with shifts in fertility timing.</w:t>
      </w:r>
    </w:p>
    <w:p w14:paraId="07DB1C67" w14:textId="77777777" w:rsidR="00D25817" w:rsidRPr="00E76534" w:rsidRDefault="00D25817" w:rsidP="00010349">
      <w:pPr>
        <w:pStyle w:val="Body"/>
        <w:spacing w:after="0"/>
        <w:rPr>
          <w:rFonts w:ascii="Arial" w:hAnsi="Arial" w:cs="Arial"/>
        </w:rPr>
      </w:pPr>
    </w:p>
    <w:p w14:paraId="6712D2E4" w14:textId="77777777" w:rsidR="00422E2F" w:rsidRPr="00E76534" w:rsidRDefault="00422E2F" w:rsidP="00010349">
      <w:pPr>
        <w:pStyle w:val="Body"/>
        <w:spacing w:after="0"/>
        <w:rPr>
          <w:rFonts w:ascii="Arial" w:hAnsi="Arial" w:cs="Arial"/>
        </w:rPr>
      </w:pPr>
    </w:p>
    <w:p w14:paraId="25504664" w14:textId="5F631251"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6432" behindDoc="0" locked="0" layoutInCell="1" allowOverlap="1" wp14:anchorId="1C46F62B" wp14:editId="4B955DF4">
                <wp:simplePos x="0" y="0"/>
                <wp:positionH relativeFrom="column">
                  <wp:posOffset>3536769</wp:posOffset>
                </wp:positionH>
                <wp:positionV relativeFrom="paragraph">
                  <wp:posOffset>-181157</wp:posOffset>
                </wp:positionV>
                <wp:extent cx="1208405" cy="198783"/>
                <wp:effectExtent l="0" t="0" r="10795" b="17145"/>
                <wp:wrapNone/>
                <wp:docPr id="196388990" name="Text Box 11"/>
                <wp:cNvGraphicFramePr/>
                <a:graphic xmlns:a="http://schemas.openxmlformats.org/drawingml/2006/main">
                  <a:graphicData uri="http://schemas.microsoft.com/office/word/2010/wordprocessingShape">
                    <wps:wsp>
                      <wps:cNvSpPr txBox="1"/>
                      <wps:spPr>
                        <a:xfrm>
                          <a:off x="0" y="0"/>
                          <a:ext cx="1208405" cy="198783"/>
                        </a:xfrm>
                        <a:prstGeom prst="rect">
                          <a:avLst/>
                        </a:prstGeom>
                        <a:solidFill>
                          <a:schemeClr val="bg2"/>
                        </a:solidFill>
                        <a:ln w="6350">
                          <a:solidFill>
                            <a:prstClr val="black"/>
                          </a:solidFill>
                        </a:ln>
                      </wps:spPr>
                      <wps:txbx>
                        <w:txbxContent>
                          <w:p w14:paraId="17AFD71C" w14:textId="77777777" w:rsidR="00422E2F" w:rsidRPr="0070368E" w:rsidRDefault="00422E2F" w:rsidP="00422E2F">
                            <w:pPr>
                              <w:rPr>
                                <w:sz w:val="16"/>
                                <w:szCs w:val="16"/>
                              </w:rPr>
                            </w:pPr>
                            <w:r w:rsidRPr="0070368E">
                              <w:rPr>
                                <w:sz w:val="16"/>
                                <w:szCs w:val="16"/>
                              </w:rPr>
                              <w:t>Persistence &amp;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F62B" id="_x0000_t202" coordsize="21600,21600" o:spt="202" path="m,l,21600r21600,l21600,xe">
                <v:stroke joinstyle="miter"/>
                <v:path gradientshapeok="t" o:connecttype="rect"/>
              </v:shapetype>
              <v:shape id="Text Box 11" o:spid="_x0000_s1026" type="#_x0000_t202" style="position:absolute;left:0;text-align:left;margin-left:278.5pt;margin-top:-14.25pt;width:95.15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" fillcolor="#eeece1 [3214]" strokeweight=".5pt">
                <v:textbox>
                  <w:txbxContent>
                    <w:p w14:paraId="17AFD71C" w14:textId="77777777" w:rsidR="00422E2F" w:rsidRPr="0070368E" w:rsidRDefault="00422E2F" w:rsidP="00422E2F">
                      <w:pPr>
                        <w:rPr>
                          <w:sz w:val="16"/>
                          <w:szCs w:val="16"/>
                        </w:rPr>
                      </w:pPr>
                      <w:r w:rsidRPr="0070368E">
                        <w:rPr>
                          <w:sz w:val="16"/>
                          <w:szCs w:val="16"/>
                        </w:rPr>
                        <w:t>Persistence &amp; Feedback</w:t>
                      </w:r>
                    </w:p>
                  </w:txbxContent>
                </v:textbox>
              </v:shape>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64384" behindDoc="0" locked="0" layoutInCell="1" allowOverlap="1" wp14:anchorId="1D404D6F" wp14:editId="69AFDBD7">
                <wp:simplePos x="0" y="0"/>
                <wp:positionH relativeFrom="column">
                  <wp:posOffset>1747883</wp:posOffset>
                </wp:positionH>
                <wp:positionV relativeFrom="paragraph">
                  <wp:posOffset>92528</wp:posOffset>
                </wp:positionV>
                <wp:extent cx="2814320" cy="322580"/>
                <wp:effectExtent l="0" t="101600" r="843280" b="33020"/>
                <wp:wrapNone/>
                <wp:docPr id="814420328" name="Curved Connector 9"/>
                <wp:cNvGraphicFramePr/>
                <a:graphic xmlns:a="http://schemas.openxmlformats.org/drawingml/2006/main">
                  <a:graphicData uri="http://schemas.microsoft.com/office/word/2010/wordprocessingShape">
                    <wps:wsp>
                      <wps:cNvCnPr/>
                      <wps:spPr>
                        <a:xfrm flipH="1" flipV="1">
                          <a:off x="0" y="0"/>
                          <a:ext cx="2814320" cy="322580"/>
                        </a:xfrm>
                        <a:prstGeom prst="curvedConnector3">
                          <a:avLst>
                            <a:gd name="adj1" fmla="val -29059"/>
                          </a:avLst>
                        </a:prstGeom>
                        <a:ln w="50800">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95948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9" o:spid="_x0000_s1026" type="#_x0000_t38" style="position:absolute;margin-left:137.65pt;margin-top:7.3pt;width:221.6pt;height:25.4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" adj="-6277" strokecolor="#4579b8 [3044]" strokeweight="4pt">
                <v:stroke dashstyle="1 1" endarrow="block"/>
              </v:shape>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59264" behindDoc="0" locked="0" layoutInCell="1" allowOverlap="1" wp14:anchorId="5BBC6D0C" wp14:editId="2F35E2F7">
                <wp:simplePos x="0" y="0"/>
                <wp:positionH relativeFrom="column">
                  <wp:posOffset>36376</wp:posOffset>
                </wp:positionH>
                <wp:positionV relativeFrom="paragraph">
                  <wp:posOffset>16147</wp:posOffset>
                </wp:positionV>
                <wp:extent cx="1701165" cy="1454923"/>
                <wp:effectExtent l="0" t="0" r="13335" b="18415"/>
                <wp:wrapNone/>
                <wp:docPr id="1205963885" name="Rectangle 1"/>
                <wp:cNvGraphicFramePr/>
                <a:graphic xmlns:a="http://schemas.openxmlformats.org/drawingml/2006/main">
                  <a:graphicData uri="http://schemas.microsoft.com/office/word/2010/wordprocessingShape">
                    <wps:wsp>
                      <wps:cNvSpPr/>
                      <wps:spPr>
                        <a:xfrm>
                          <a:off x="0" y="0"/>
                          <a:ext cx="1701165" cy="1454923"/>
                        </a:xfrm>
                        <a:prstGeom prst="rect">
                          <a:avLst/>
                        </a:prstGeom>
                        <a:solidFill>
                          <a:schemeClr val="accent4">
                            <a:lumMod val="20000"/>
                            <a:lumOff val="80000"/>
                          </a:schemeClr>
                        </a:solidFill>
                        <a:ln>
                          <a:solidFill>
                            <a:schemeClr val="tx2">
                              <a:lumMod val="90000"/>
                              <a:lumOff val="10000"/>
                            </a:schemeClr>
                          </a:solidFill>
                        </a:ln>
                      </wps:spPr>
                      <wps:style>
                        <a:lnRef idx="2">
                          <a:schemeClr val="accent4"/>
                        </a:lnRef>
                        <a:fillRef idx="1">
                          <a:schemeClr val="lt1"/>
                        </a:fillRef>
                        <a:effectRef idx="0">
                          <a:schemeClr val="accent4"/>
                        </a:effectRef>
                        <a:fontRef idx="minor">
                          <a:schemeClr val="dk1"/>
                        </a:fontRef>
                      </wps:style>
                      <wps:txbx>
                        <w:txbxContent>
                          <w:p w14:paraId="4F77F711" w14:textId="77777777" w:rsidR="00422E2F" w:rsidRPr="000F61EE" w:rsidRDefault="00422E2F" w:rsidP="00422E2F">
                            <w:pPr>
                              <w:rPr>
                                <w:b/>
                                <w:bCs/>
                                <w:sz w:val="16"/>
                                <w:szCs w:val="16"/>
                              </w:rPr>
                            </w:pPr>
                            <w:r w:rsidRPr="000F61EE">
                              <w:rPr>
                                <w:b/>
                                <w:bCs/>
                                <w:sz w:val="16"/>
                                <w:szCs w:val="16"/>
                              </w:rPr>
                              <w:t>Gender Institutional Environment</w:t>
                            </w:r>
                          </w:p>
                          <w:p w14:paraId="484E3518" w14:textId="77777777" w:rsidR="00422E2F" w:rsidRDefault="00422E2F" w:rsidP="00422E2F">
                            <w:pPr>
                              <w:rPr>
                                <w:sz w:val="16"/>
                                <w:szCs w:val="16"/>
                              </w:rPr>
                            </w:pPr>
                          </w:p>
                          <w:p w14:paraId="7B57C576" w14:textId="77777777" w:rsidR="00422E2F" w:rsidRDefault="00422E2F" w:rsidP="00422E2F">
                            <w:pPr>
                              <w:rPr>
                                <w:sz w:val="16"/>
                                <w:szCs w:val="16"/>
                              </w:rPr>
                            </w:pPr>
                            <w:r w:rsidRPr="000F61EE">
                              <w:rPr>
                                <w:sz w:val="16"/>
                                <w:szCs w:val="16"/>
                              </w:rPr>
                              <w:t>Gender Inequality Index (GII)</w:t>
                            </w:r>
                          </w:p>
                          <w:p w14:paraId="713F47B6" w14:textId="77777777" w:rsidR="00422E2F" w:rsidRDefault="00422E2F" w:rsidP="00422E2F">
                            <w:pPr>
                              <w:rPr>
                                <w:sz w:val="16"/>
                                <w:szCs w:val="16"/>
                              </w:rPr>
                            </w:pPr>
                            <w:r>
                              <w:rPr>
                                <w:sz w:val="16"/>
                                <w:szCs w:val="16"/>
                              </w:rPr>
                              <w:t>1. Reproductive Health</w:t>
                            </w:r>
                          </w:p>
                          <w:p w14:paraId="23AEF719" w14:textId="77777777" w:rsidR="00422E2F" w:rsidRDefault="00422E2F" w:rsidP="00422E2F">
                            <w:pPr>
                              <w:rPr>
                                <w:sz w:val="16"/>
                                <w:szCs w:val="16"/>
                              </w:rPr>
                            </w:pPr>
                            <w:r>
                              <w:rPr>
                                <w:sz w:val="16"/>
                                <w:szCs w:val="16"/>
                              </w:rPr>
                              <w:t>2. Empowerment</w:t>
                            </w:r>
                          </w:p>
                          <w:p w14:paraId="0A4A35CE" w14:textId="77777777" w:rsidR="00422E2F" w:rsidRDefault="00422E2F" w:rsidP="00422E2F">
                            <w:pPr>
                              <w:rPr>
                                <w:sz w:val="16"/>
                                <w:szCs w:val="16"/>
                              </w:rPr>
                            </w:pPr>
                            <w:r>
                              <w:rPr>
                                <w:sz w:val="16"/>
                                <w:szCs w:val="16"/>
                              </w:rPr>
                              <w:t>3. Labor-Market Participation</w:t>
                            </w:r>
                          </w:p>
                          <w:p w14:paraId="5BFECA65" w14:textId="77777777" w:rsidR="00422E2F" w:rsidRDefault="00422E2F" w:rsidP="00422E2F">
                            <w:pPr>
                              <w:rPr>
                                <w:sz w:val="16"/>
                                <w:szCs w:val="16"/>
                              </w:rPr>
                            </w:pPr>
                          </w:p>
                          <w:p w14:paraId="58A7651F" w14:textId="77777777" w:rsidR="00422E2F" w:rsidRDefault="00422E2F" w:rsidP="00422E2F">
                            <w:pPr>
                              <w:rPr>
                                <w:sz w:val="16"/>
                                <w:szCs w:val="16"/>
                              </w:rPr>
                            </w:pPr>
                            <w:r>
                              <w:rPr>
                                <w:sz w:val="16"/>
                                <w:szCs w:val="16"/>
                              </w:rPr>
                              <w:t>Gender Development Index (GDI)</w:t>
                            </w:r>
                          </w:p>
                          <w:p w14:paraId="28DF4DB3" w14:textId="77777777" w:rsidR="00422E2F" w:rsidRDefault="00422E2F" w:rsidP="00422E2F">
                            <w:pPr>
                              <w:rPr>
                                <w:sz w:val="16"/>
                                <w:szCs w:val="16"/>
                              </w:rPr>
                            </w:pPr>
                            <w:r>
                              <w:rPr>
                                <w:sz w:val="16"/>
                                <w:szCs w:val="16"/>
                              </w:rPr>
                              <w:t>1. Education</w:t>
                            </w:r>
                          </w:p>
                          <w:p w14:paraId="19B49409" w14:textId="77777777" w:rsidR="00422E2F" w:rsidRDefault="00422E2F" w:rsidP="00422E2F">
                            <w:pPr>
                              <w:rPr>
                                <w:sz w:val="16"/>
                                <w:szCs w:val="16"/>
                              </w:rPr>
                            </w:pPr>
                            <w:r>
                              <w:rPr>
                                <w:sz w:val="16"/>
                                <w:szCs w:val="16"/>
                              </w:rPr>
                              <w:t>2. Health</w:t>
                            </w:r>
                          </w:p>
                          <w:p w14:paraId="3F9FE61A" w14:textId="77777777" w:rsidR="00422E2F" w:rsidRPr="000F61EE" w:rsidRDefault="00422E2F" w:rsidP="00422E2F">
                            <w:pPr>
                              <w:rPr>
                                <w:sz w:val="16"/>
                                <w:szCs w:val="16"/>
                              </w:rPr>
                            </w:pPr>
                            <w:r>
                              <w:rPr>
                                <w:sz w:val="16"/>
                                <w:szCs w:val="16"/>
                              </w:rPr>
                              <w:t>3.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C6D0C" id="Rectangle 1" o:spid="_x0000_s1027" style="position:absolute;left:0;text-align:left;margin-left:2.85pt;margin-top:1.25pt;width:133.95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" fillcolor="#e5dfec [663]" strokecolor="#265999 [2911]" strokeweight="2pt">
                <v:textbox>
                  <w:txbxContent>
                    <w:p w14:paraId="4F77F711" w14:textId="77777777" w:rsidR="00422E2F" w:rsidRPr="000F61EE" w:rsidRDefault="00422E2F" w:rsidP="00422E2F">
                      <w:pPr>
                        <w:rPr>
                          <w:b/>
                          <w:bCs/>
                          <w:sz w:val="16"/>
                          <w:szCs w:val="16"/>
                        </w:rPr>
                      </w:pPr>
                      <w:r w:rsidRPr="000F61EE">
                        <w:rPr>
                          <w:b/>
                          <w:bCs/>
                          <w:sz w:val="16"/>
                          <w:szCs w:val="16"/>
                        </w:rPr>
                        <w:t>Gender Institutional Environment</w:t>
                      </w:r>
                    </w:p>
                    <w:p w14:paraId="484E3518" w14:textId="77777777" w:rsidR="00422E2F" w:rsidRDefault="00422E2F" w:rsidP="00422E2F">
                      <w:pPr>
                        <w:rPr>
                          <w:sz w:val="16"/>
                          <w:szCs w:val="16"/>
                        </w:rPr>
                      </w:pPr>
                    </w:p>
                    <w:p w14:paraId="7B57C576" w14:textId="77777777" w:rsidR="00422E2F" w:rsidRDefault="00422E2F" w:rsidP="00422E2F">
                      <w:pPr>
                        <w:rPr>
                          <w:sz w:val="16"/>
                          <w:szCs w:val="16"/>
                        </w:rPr>
                      </w:pPr>
                      <w:r w:rsidRPr="000F61EE">
                        <w:rPr>
                          <w:sz w:val="16"/>
                          <w:szCs w:val="16"/>
                        </w:rPr>
                        <w:t>Gender Inequality Index (GII)</w:t>
                      </w:r>
                    </w:p>
                    <w:p w14:paraId="713F47B6" w14:textId="77777777" w:rsidR="00422E2F" w:rsidRDefault="00422E2F" w:rsidP="00422E2F">
                      <w:pPr>
                        <w:rPr>
                          <w:sz w:val="16"/>
                          <w:szCs w:val="16"/>
                        </w:rPr>
                      </w:pPr>
                      <w:r>
                        <w:rPr>
                          <w:sz w:val="16"/>
                          <w:szCs w:val="16"/>
                        </w:rPr>
                        <w:t>1. Reproductive Health</w:t>
                      </w:r>
                    </w:p>
                    <w:p w14:paraId="23AEF719" w14:textId="77777777" w:rsidR="00422E2F" w:rsidRDefault="00422E2F" w:rsidP="00422E2F">
                      <w:pPr>
                        <w:rPr>
                          <w:sz w:val="16"/>
                          <w:szCs w:val="16"/>
                        </w:rPr>
                      </w:pPr>
                      <w:r>
                        <w:rPr>
                          <w:sz w:val="16"/>
                          <w:szCs w:val="16"/>
                        </w:rPr>
                        <w:t>2. Empowerment</w:t>
                      </w:r>
                    </w:p>
                    <w:p w14:paraId="0A4A35CE" w14:textId="77777777" w:rsidR="00422E2F" w:rsidRDefault="00422E2F" w:rsidP="00422E2F">
                      <w:pPr>
                        <w:rPr>
                          <w:sz w:val="16"/>
                          <w:szCs w:val="16"/>
                        </w:rPr>
                      </w:pPr>
                      <w:r>
                        <w:rPr>
                          <w:sz w:val="16"/>
                          <w:szCs w:val="16"/>
                        </w:rPr>
                        <w:t>3. Labor-Market Participation</w:t>
                      </w:r>
                    </w:p>
                    <w:p w14:paraId="5BFECA65" w14:textId="77777777" w:rsidR="00422E2F" w:rsidRDefault="00422E2F" w:rsidP="00422E2F">
                      <w:pPr>
                        <w:rPr>
                          <w:sz w:val="16"/>
                          <w:szCs w:val="16"/>
                        </w:rPr>
                      </w:pPr>
                    </w:p>
                    <w:p w14:paraId="58A7651F" w14:textId="77777777" w:rsidR="00422E2F" w:rsidRDefault="00422E2F" w:rsidP="00422E2F">
                      <w:pPr>
                        <w:rPr>
                          <w:sz w:val="16"/>
                          <w:szCs w:val="16"/>
                        </w:rPr>
                      </w:pPr>
                      <w:r>
                        <w:rPr>
                          <w:sz w:val="16"/>
                          <w:szCs w:val="16"/>
                        </w:rPr>
                        <w:t>Gender Development Index (GDI)</w:t>
                      </w:r>
                    </w:p>
                    <w:p w14:paraId="28DF4DB3" w14:textId="77777777" w:rsidR="00422E2F" w:rsidRDefault="00422E2F" w:rsidP="00422E2F">
                      <w:pPr>
                        <w:rPr>
                          <w:sz w:val="16"/>
                          <w:szCs w:val="16"/>
                        </w:rPr>
                      </w:pPr>
                      <w:r>
                        <w:rPr>
                          <w:sz w:val="16"/>
                          <w:szCs w:val="16"/>
                        </w:rPr>
                        <w:t>1. Education</w:t>
                      </w:r>
                    </w:p>
                    <w:p w14:paraId="19B49409" w14:textId="77777777" w:rsidR="00422E2F" w:rsidRDefault="00422E2F" w:rsidP="00422E2F">
                      <w:pPr>
                        <w:rPr>
                          <w:sz w:val="16"/>
                          <w:szCs w:val="16"/>
                        </w:rPr>
                      </w:pPr>
                      <w:r>
                        <w:rPr>
                          <w:sz w:val="16"/>
                          <w:szCs w:val="16"/>
                        </w:rPr>
                        <w:t>2. Health</w:t>
                      </w:r>
                    </w:p>
                    <w:p w14:paraId="3F9FE61A" w14:textId="77777777" w:rsidR="00422E2F" w:rsidRPr="000F61EE" w:rsidRDefault="00422E2F" w:rsidP="00422E2F">
                      <w:pPr>
                        <w:rPr>
                          <w:sz w:val="16"/>
                          <w:szCs w:val="16"/>
                        </w:rPr>
                      </w:pPr>
                      <w:r>
                        <w:rPr>
                          <w:sz w:val="16"/>
                          <w:szCs w:val="16"/>
                        </w:rPr>
                        <w:t>3. Income</w:t>
                      </w:r>
                    </w:p>
                  </w:txbxContent>
                </v:textbox>
              </v:rect>
            </w:pict>
          </mc:Fallback>
        </mc:AlternateContent>
      </w:r>
    </w:p>
    <w:p w14:paraId="3DE7A2CA" w14:textId="4BDAD975" w:rsidR="00422E2F" w:rsidRPr="00E76534" w:rsidRDefault="00422E2F" w:rsidP="00010349">
      <w:pPr>
        <w:pStyle w:val="Body"/>
        <w:spacing w:after="0"/>
        <w:rPr>
          <w:rFonts w:ascii="Arial" w:hAnsi="Arial" w:cs="Arial"/>
        </w:rPr>
      </w:pPr>
    </w:p>
    <w:p w14:paraId="1E5924EC" w14:textId="74D11396"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44F18EE3" wp14:editId="406C68EC">
                <wp:simplePos x="0" y="0"/>
                <wp:positionH relativeFrom="column">
                  <wp:posOffset>4076337</wp:posOffset>
                </wp:positionH>
                <wp:positionV relativeFrom="paragraph">
                  <wp:posOffset>133078</wp:posOffset>
                </wp:positionV>
                <wp:extent cx="1463040" cy="643890"/>
                <wp:effectExtent l="0" t="0" r="10160" b="16510"/>
                <wp:wrapNone/>
                <wp:docPr id="713827718" name="Rectangle 3"/>
                <wp:cNvGraphicFramePr/>
                <a:graphic xmlns:a="http://schemas.openxmlformats.org/drawingml/2006/main">
                  <a:graphicData uri="http://schemas.microsoft.com/office/word/2010/wordprocessingShape">
                    <wps:wsp>
                      <wps:cNvSpPr/>
                      <wps:spPr>
                        <a:xfrm>
                          <a:off x="0" y="0"/>
                          <a:ext cx="1463040" cy="643890"/>
                        </a:xfrm>
                        <a:prstGeom prst="rect">
                          <a:avLst/>
                        </a:prstGeom>
                        <a:solidFill>
                          <a:schemeClr val="accent2">
                            <a:lumMod val="20000"/>
                            <a:lumOff val="80000"/>
                          </a:schemeClr>
                        </a:solidFill>
                      </wps:spPr>
                      <wps:style>
                        <a:lnRef idx="2">
                          <a:schemeClr val="accent2">
                            <a:shade val="15000"/>
                          </a:schemeClr>
                        </a:lnRef>
                        <a:fillRef idx="1">
                          <a:schemeClr val="accent2"/>
                        </a:fillRef>
                        <a:effectRef idx="0">
                          <a:schemeClr val="accent2"/>
                        </a:effectRef>
                        <a:fontRef idx="minor">
                          <a:schemeClr val="lt1"/>
                        </a:fontRef>
                      </wps:style>
                      <wps:txbx>
                        <w:txbxContent>
                          <w:p w14:paraId="3046BB9E" w14:textId="77777777" w:rsidR="00422E2F" w:rsidRDefault="00422E2F" w:rsidP="00422E2F">
                            <w:pPr>
                              <w:jc w:val="center"/>
                              <w:rPr>
                                <w:b/>
                                <w:bCs/>
                                <w:color w:val="000000" w:themeColor="text1"/>
                                <w:sz w:val="16"/>
                                <w:szCs w:val="16"/>
                              </w:rPr>
                            </w:pPr>
                            <w:r w:rsidRPr="00941B85">
                              <w:rPr>
                                <w:b/>
                                <w:bCs/>
                                <w:color w:val="000000" w:themeColor="text1"/>
                                <w:sz w:val="16"/>
                                <w:szCs w:val="16"/>
                              </w:rPr>
                              <w:t>Fertility Timing Outcomes</w:t>
                            </w:r>
                          </w:p>
                          <w:p w14:paraId="24986754" w14:textId="77777777" w:rsidR="00422E2F" w:rsidRPr="00941B85" w:rsidRDefault="00422E2F" w:rsidP="00422E2F">
                            <w:pPr>
                              <w:jc w:val="center"/>
                              <w:rPr>
                                <w:b/>
                                <w:bCs/>
                                <w:color w:val="000000" w:themeColor="text1"/>
                                <w:sz w:val="16"/>
                                <w:szCs w:val="16"/>
                              </w:rPr>
                            </w:pPr>
                          </w:p>
                          <w:p w14:paraId="05C0CD92" w14:textId="77777777" w:rsidR="00422E2F" w:rsidRPr="00941B85" w:rsidRDefault="00422E2F" w:rsidP="00422E2F">
                            <w:pPr>
                              <w:rPr>
                                <w:color w:val="000000" w:themeColor="text1"/>
                                <w:sz w:val="16"/>
                                <w:szCs w:val="16"/>
                              </w:rPr>
                            </w:pPr>
                            <w:r>
                              <w:rPr>
                                <w:color w:val="000000" w:themeColor="text1"/>
                                <w:sz w:val="16"/>
                                <w:szCs w:val="16"/>
                              </w:rPr>
                              <w:t xml:space="preserve">  </w:t>
                            </w:r>
                            <w:r w:rsidRPr="00941B85">
                              <w:rPr>
                                <w:color w:val="000000" w:themeColor="text1"/>
                                <w:sz w:val="16"/>
                                <w:szCs w:val="16"/>
                              </w:rPr>
                              <w:t>Early Childbearing</w:t>
                            </w:r>
                          </w:p>
                          <w:p w14:paraId="509B1B87" w14:textId="77777777" w:rsidR="00422E2F" w:rsidRPr="00941B85" w:rsidRDefault="00422E2F" w:rsidP="00422E2F">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18EE3" id="Rectangle 3" o:spid="_x0000_s1028" style="position:absolute;left:0;text-align:left;margin-left:320.95pt;margin-top:10.5pt;width:115.2pt;height: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" fillcolor="#f2dbdb [661]" strokecolor="#1d0a0a [485]" strokeweight="2pt">
                <v:textbox>
                  <w:txbxContent>
                    <w:p w14:paraId="3046BB9E" w14:textId="77777777" w:rsidR="00422E2F" w:rsidRDefault="00422E2F" w:rsidP="00422E2F">
                      <w:pPr>
                        <w:jc w:val="center"/>
                        <w:rPr>
                          <w:b/>
                          <w:bCs/>
                          <w:color w:val="000000" w:themeColor="text1"/>
                          <w:sz w:val="16"/>
                          <w:szCs w:val="16"/>
                        </w:rPr>
                      </w:pPr>
                      <w:r w:rsidRPr="00941B85">
                        <w:rPr>
                          <w:b/>
                          <w:bCs/>
                          <w:color w:val="000000" w:themeColor="text1"/>
                          <w:sz w:val="16"/>
                          <w:szCs w:val="16"/>
                        </w:rPr>
                        <w:t>Fertility Timing Outcomes</w:t>
                      </w:r>
                    </w:p>
                    <w:p w14:paraId="24986754" w14:textId="77777777" w:rsidR="00422E2F" w:rsidRPr="00941B85" w:rsidRDefault="00422E2F" w:rsidP="00422E2F">
                      <w:pPr>
                        <w:jc w:val="center"/>
                        <w:rPr>
                          <w:b/>
                          <w:bCs/>
                          <w:color w:val="000000" w:themeColor="text1"/>
                          <w:sz w:val="16"/>
                          <w:szCs w:val="16"/>
                        </w:rPr>
                      </w:pPr>
                    </w:p>
                    <w:p w14:paraId="05C0CD92" w14:textId="77777777" w:rsidR="00422E2F" w:rsidRPr="00941B85" w:rsidRDefault="00422E2F" w:rsidP="00422E2F">
                      <w:pPr>
                        <w:rPr>
                          <w:color w:val="000000" w:themeColor="text1"/>
                          <w:sz w:val="16"/>
                          <w:szCs w:val="16"/>
                        </w:rPr>
                      </w:pPr>
                      <w:r>
                        <w:rPr>
                          <w:color w:val="000000" w:themeColor="text1"/>
                          <w:sz w:val="16"/>
                          <w:szCs w:val="16"/>
                        </w:rPr>
                        <w:t xml:space="preserve">  </w:t>
                      </w:r>
                      <w:r w:rsidRPr="00941B85">
                        <w:rPr>
                          <w:color w:val="000000" w:themeColor="text1"/>
                          <w:sz w:val="16"/>
                          <w:szCs w:val="16"/>
                        </w:rPr>
                        <w:t>Early Childbearing</w:t>
                      </w:r>
                    </w:p>
                    <w:p w14:paraId="509B1B87" w14:textId="77777777" w:rsidR="00422E2F" w:rsidRPr="00941B85" w:rsidRDefault="00422E2F" w:rsidP="00422E2F">
                      <w:pPr>
                        <w:rPr>
                          <w:color w:val="000000" w:themeColor="text1"/>
                          <w:sz w:val="16"/>
                          <w:szCs w:val="16"/>
                        </w:rPr>
                      </w:pPr>
                    </w:p>
                  </w:txbxContent>
                </v:textbox>
              </v:rect>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60288" behindDoc="0" locked="0" layoutInCell="1" allowOverlap="1" wp14:anchorId="73330424" wp14:editId="70FD5A2F">
                <wp:simplePos x="0" y="0"/>
                <wp:positionH relativeFrom="column">
                  <wp:posOffset>2089785</wp:posOffset>
                </wp:positionH>
                <wp:positionV relativeFrom="paragraph">
                  <wp:posOffset>6350</wp:posOffset>
                </wp:positionV>
                <wp:extent cx="1661795" cy="922020"/>
                <wp:effectExtent l="0" t="0" r="14605" b="17780"/>
                <wp:wrapNone/>
                <wp:docPr id="1301175110" name="Rectangle 2"/>
                <wp:cNvGraphicFramePr/>
                <a:graphic xmlns:a="http://schemas.openxmlformats.org/drawingml/2006/main">
                  <a:graphicData uri="http://schemas.microsoft.com/office/word/2010/wordprocessingShape">
                    <wps:wsp>
                      <wps:cNvSpPr/>
                      <wps:spPr>
                        <a:xfrm>
                          <a:off x="0" y="0"/>
                          <a:ext cx="1661795" cy="922020"/>
                        </a:xfrm>
                        <a:prstGeom prst="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56E28B2C" w14:textId="77777777" w:rsidR="00422E2F" w:rsidRDefault="00422E2F" w:rsidP="00422E2F">
                            <w:pPr>
                              <w:jc w:val="center"/>
                              <w:rPr>
                                <w:b/>
                                <w:bCs/>
                                <w:sz w:val="16"/>
                                <w:szCs w:val="16"/>
                              </w:rPr>
                            </w:pPr>
                            <w:r w:rsidRPr="00941B85">
                              <w:rPr>
                                <w:b/>
                                <w:bCs/>
                                <w:sz w:val="16"/>
                                <w:szCs w:val="16"/>
                              </w:rPr>
                              <w:t>Fertility Timing Incendivities</w:t>
                            </w:r>
                          </w:p>
                          <w:p w14:paraId="4C02056E" w14:textId="77777777" w:rsidR="00422E2F" w:rsidRDefault="00422E2F" w:rsidP="00422E2F">
                            <w:pPr>
                              <w:jc w:val="center"/>
                              <w:rPr>
                                <w:b/>
                                <w:bCs/>
                                <w:sz w:val="16"/>
                                <w:szCs w:val="16"/>
                              </w:rPr>
                            </w:pPr>
                          </w:p>
                          <w:p w14:paraId="04971CC3" w14:textId="77777777" w:rsidR="00422E2F" w:rsidRPr="00941B85" w:rsidRDefault="00422E2F" w:rsidP="00422E2F">
                            <w:pPr>
                              <w:rPr>
                                <w:sz w:val="16"/>
                                <w:szCs w:val="16"/>
                              </w:rPr>
                            </w:pPr>
                            <w:r w:rsidRPr="00941B85">
                              <w:rPr>
                                <w:sz w:val="16"/>
                                <w:szCs w:val="16"/>
                              </w:rPr>
                              <w:t>1. Opportunity Cost of Early Fertility</w:t>
                            </w:r>
                          </w:p>
                          <w:p w14:paraId="3437297A" w14:textId="77777777" w:rsidR="00422E2F" w:rsidRPr="00941B85" w:rsidRDefault="00422E2F" w:rsidP="00422E2F">
                            <w:pPr>
                              <w:rPr>
                                <w:sz w:val="16"/>
                                <w:szCs w:val="16"/>
                              </w:rPr>
                            </w:pPr>
                            <w:r w:rsidRPr="00941B85">
                              <w:rPr>
                                <w:sz w:val="16"/>
                                <w:szCs w:val="16"/>
                              </w:rPr>
                              <w:t>2. Returns to Education &amp; Work</w:t>
                            </w:r>
                          </w:p>
                          <w:p w14:paraId="433EEF7B" w14:textId="77777777" w:rsidR="00422E2F" w:rsidRPr="00941B85" w:rsidRDefault="00422E2F" w:rsidP="00422E2F">
                            <w:pPr>
                              <w:rPr>
                                <w:sz w:val="16"/>
                                <w:szCs w:val="16"/>
                              </w:rPr>
                            </w:pPr>
                            <w:r w:rsidRPr="00941B85">
                              <w:rPr>
                                <w:sz w:val="16"/>
                                <w:szCs w:val="16"/>
                              </w:rPr>
                              <w:t>3.Constraits of Life-Cycle Choice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30424" id="Rectangle 2" o:spid="_x0000_s1029" style="position:absolute;left:0;text-align:left;margin-left:164.55pt;margin-top:.5pt;width:130.85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" fillcolor="#fde9d9 [665]" strokecolor="#f68c36 [3049]">
                <v:shadow on="t" color="black" opacity="24903f" origin=",.5" offset="0,.55556mm"/>
                <v:textbox>
                  <w:txbxContent>
                    <w:p w14:paraId="56E28B2C" w14:textId="77777777" w:rsidR="00422E2F" w:rsidRDefault="00422E2F" w:rsidP="00422E2F">
                      <w:pPr>
                        <w:jc w:val="center"/>
                        <w:rPr>
                          <w:b/>
                          <w:bCs/>
                          <w:sz w:val="16"/>
                          <w:szCs w:val="16"/>
                        </w:rPr>
                      </w:pPr>
                      <w:r w:rsidRPr="00941B85">
                        <w:rPr>
                          <w:b/>
                          <w:bCs/>
                          <w:sz w:val="16"/>
                          <w:szCs w:val="16"/>
                        </w:rPr>
                        <w:t>Fertility Timing Incendivities</w:t>
                      </w:r>
                    </w:p>
                    <w:p w14:paraId="4C02056E" w14:textId="77777777" w:rsidR="00422E2F" w:rsidRDefault="00422E2F" w:rsidP="00422E2F">
                      <w:pPr>
                        <w:jc w:val="center"/>
                        <w:rPr>
                          <w:b/>
                          <w:bCs/>
                          <w:sz w:val="16"/>
                          <w:szCs w:val="16"/>
                        </w:rPr>
                      </w:pPr>
                    </w:p>
                    <w:p w14:paraId="04971CC3" w14:textId="77777777" w:rsidR="00422E2F" w:rsidRPr="00941B85" w:rsidRDefault="00422E2F" w:rsidP="00422E2F">
                      <w:pPr>
                        <w:rPr>
                          <w:sz w:val="16"/>
                          <w:szCs w:val="16"/>
                        </w:rPr>
                      </w:pPr>
                      <w:r w:rsidRPr="00941B85">
                        <w:rPr>
                          <w:sz w:val="16"/>
                          <w:szCs w:val="16"/>
                        </w:rPr>
                        <w:t>1. Opportunity Cost of Early Fertility</w:t>
                      </w:r>
                    </w:p>
                    <w:p w14:paraId="3437297A" w14:textId="77777777" w:rsidR="00422E2F" w:rsidRPr="00941B85" w:rsidRDefault="00422E2F" w:rsidP="00422E2F">
                      <w:pPr>
                        <w:rPr>
                          <w:sz w:val="16"/>
                          <w:szCs w:val="16"/>
                        </w:rPr>
                      </w:pPr>
                      <w:r w:rsidRPr="00941B85">
                        <w:rPr>
                          <w:sz w:val="16"/>
                          <w:szCs w:val="16"/>
                        </w:rPr>
                        <w:t>2. Returns to Education &amp; Work</w:t>
                      </w:r>
                    </w:p>
                    <w:p w14:paraId="433EEF7B" w14:textId="77777777" w:rsidR="00422E2F" w:rsidRPr="00941B85" w:rsidRDefault="00422E2F" w:rsidP="00422E2F">
                      <w:pPr>
                        <w:rPr>
                          <w:sz w:val="16"/>
                          <w:szCs w:val="16"/>
                        </w:rPr>
                      </w:pPr>
                      <w:r w:rsidRPr="00941B85">
                        <w:rPr>
                          <w:sz w:val="16"/>
                          <w:szCs w:val="16"/>
                        </w:rPr>
                        <w:t>3.Constraits of Life-Cycle Choice</w:t>
                      </w:r>
                    </w:p>
                  </w:txbxContent>
                </v:textbox>
              </v:rect>
            </w:pict>
          </mc:Fallback>
        </mc:AlternateContent>
      </w:r>
    </w:p>
    <w:p w14:paraId="1F4DF8AA" w14:textId="1D969C9B" w:rsidR="00422E2F" w:rsidRPr="00E76534" w:rsidRDefault="00422E2F" w:rsidP="00010349">
      <w:pPr>
        <w:pStyle w:val="Body"/>
        <w:spacing w:after="0"/>
        <w:rPr>
          <w:rFonts w:ascii="Arial" w:hAnsi="Arial" w:cs="Arial"/>
        </w:rPr>
      </w:pPr>
    </w:p>
    <w:p w14:paraId="5EA1541B" w14:textId="2BA72400"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3360" behindDoc="0" locked="0" layoutInCell="1" allowOverlap="1" wp14:anchorId="2AC51889" wp14:editId="198F5895">
                <wp:simplePos x="0" y="0"/>
                <wp:positionH relativeFrom="column">
                  <wp:posOffset>3751580</wp:posOffset>
                </wp:positionH>
                <wp:positionV relativeFrom="paragraph">
                  <wp:posOffset>126274</wp:posOffset>
                </wp:positionV>
                <wp:extent cx="326004" cy="109966"/>
                <wp:effectExtent l="0" t="12700" r="29845" b="29845"/>
                <wp:wrapNone/>
                <wp:docPr id="1435584749" name="Right Arrow 7"/>
                <wp:cNvGraphicFramePr/>
                <a:graphic xmlns:a="http://schemas.openxmlformats.org/drawingml/2006/main">
                  <a:graphicData uri="http://schemas.microsoft.com/office/word/2010/wordprocessingShape">
                    <wps:wsp>
                      <wps:cNvSpPr/>
                      <wps:spPr>
                        <a:xfrm>
                          <a:off x="0" y="0"/>
                          <a:ext cx="326004" cy="10996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83F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95.4pt;margin-top:9.95pt;width:25.6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" adj="17957" fillcolor="#4f81bd [3204]" strokecolor="#0a121c [484]" strokeweight="2pt"/>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62336" behindDoc="0" locked="0" layoutInCell="1" allowOverlap="1" wp14:anchorId="69B7EC20" wp14:editId="737CA11F">
                <wp:simplePos x="0" y="0"/>
                <wp:positionH relativeFrom="column">
                  <wp:posOffset>1748065</wp:posOffset>
                </wp:positionH>
                <wp:positionV relativeFrom="paragraph">
                  <wp:posOffset>131082</wp:posOffset>
                </wp:positionV>
                <wp:extent cx="341630" cy="126283"/>
                <wp:effectExtent l="0" t="12700" r="26670" b="26670"/>
                <wp:wrapNone/>
                <wp:docPr id="1451021004" name="Right Arrow 7"/>
                <wp:cNvGraphicFramePr/>
                <a:graphic xmlns:a="http://schemas.openxmlformats.org/drawingml/2006/main">
                  <a:graphicData uri="http://schemas.microsoft.com/office/word/2010/wordprocessingShape">
                    <wps:wsp>
                      <wps:cNvSpPr/>
                      <wps:spPr>
                        <a:xfrm flipV="1">
                          <a:off x="0" y="0"/>
                          <a:ext cx="341630" cy="12628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045C5" id="Right Arrow 7" o:spid="_x0000_s1026" type="#_x0000_t13" style="position:absolute;margin-left:137.65pt;margin-top:10.3pt;width:26.9pt;height:9.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" adj="17608" fillcolor="#4f81bd [3204]" strokecolor="#0a121c [484]" strokeweight="2pt"/>
            </w:pict>
          </mc:Fallback>
        </mc:AlternateContent>
      </w:r>
    </w:p>
    <w:p w14:paraId="24C910E9" w14:textId="3FD9C577" w:rsidR="00422E2F" w:rsidRPr="00E76534" w:rsidRDefault="00422E2F" w:rsidP="00010349">
      <w:pPr>
        <w:pStyle w:val="Body"/>
        <w:spacing w:after="0"/>
        <w:rPr>
          <w:rFonts w:ascii="Arial" w:hAnsi="Arial" w:cs="Arial"/>
        </w:rPr>
      </w:pPr>
    </w:p>
    <w:p w14:paraId="3E27371A" w14:textId="4FF0BCB4" w:rsidR="00422E2F" w:rsidRPr="00E76534" w:rsidRDefault="00422E2F" w:rsidP="00010349">
      <w:pPr>
        <w:pStyle w:val="Body"/>
        <w:spacing w:after="0"/>
        <w:rPr>
          <w:rFonts w:ascii="Arial" w:hAnsi="Arial" w:cs="Arial"/>
        </w:rPr>
      </w:pPr>
    </w:p>
    <w:p w14:paraId="760059E7" w14:textId="176EBD8D"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5408" behindDoc="0" locked="0" layoutInCell="1" allowOverlap="1" wp14:anchorId="327F0361" wp14:editId="233C5B32">
                <wp:simplePos x="0" y="0"/>
                <wp:positionH relativeFrom="column">
                  <wp:posOffset>1742985</wp:posOffset>
                </wp:positionH>
                <wp:positionV relativeFrom="paragraph">
                  <wp:posOffset>100602</wp:posOffset>
                </wp:positionV>
                <wp:extent cx="2893805" cy="251350"/>
                <wp:effectExtent l="0" t="101600" r="751205" b="28575"/>
                <wp:wrapNone/>
                <wp:docPr id="167667578" name="Curved Connector 10"/>
                <wp:cNvGraphicFramePr/>
                <a:graphic xmlns:a="http://schemas.openxmlformats.org/drawingml/2006/main">
                  <a:graphicData uri="http://schemas.microsoft.com/office/word/2010/wordprocessingShape">
                    <wps:wsp>
                      <wps:cNvCnPr/>
                      <wps:spPr>
                        <a:xfrm flipV="1">
                          <a:off x="0" y="0"/>
                          <a:ext cx="2893805" cy="251350"/>
                        </a:xfrm>
                        <a:prstGeom prst="curvedConnector3">
                          <a:avLst>
                            <a:gd name="adj1" fmla="val 125079"/>
                          </a:avLst>
                        </a:prstGeom>
                        <a:ln w="53975">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D8A4AE" id="Curved Connector 10" o:spid="_x0000_s1026" type="#_x0000_t38" style="position:absolute;margin-left:137.25pt;margin-top:7.9pt;width:227.85pt;height:19.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" adj="27017" strokecolor="#4579b8 [3044]" strokeweight="4.25pt">
                <v:stroke dashstyle="1 1" endarrow="block"/>
              </v:shape>
            </w:pict>
          </mc:Fallback>
        </mc:AlternateContent>
      </w:r>
    </w:p>
    <w:p w14:paraId="0F5CE595" w14:textId="1486E12E" w:rsidR="00422E2F" w:rsidRPr="00E76534" w:rsidRDefault="00422E2F" w:rsidP="00010349">
      <w:pPr>
        <w:pStyle w:val="Body"/>
        <w:spacing w:after="0"/>
        <w:rPr>
          <w:rFonts w:ascii="Arial" w:hAnsi="Arial" w:cs="Arial"/>
        </w:rPr>
      </w:pPr>
    </w:p>
    <w:p w14:paraId="6A59ECD5" w14:textId="04A87EC0" w:rsidR="00422E2F" w:rsidRPr="00E76534" w:rsidRDefault="00422E2F" w:rsidP="00010349">
      <w:pPr>
        <w:pStyle w:val="Body"/>
        <w:spacing w:after="0"/>
        <w:rPr>
          <w:rFonts w:ascii="Arial" w:hAnsi="Arial" w:cs="Arial"/>
        </w:rPr>
      </w:pPr>
    </w:p>
    <w:p w14:paraId="271C05C7" w14:textId="4F133FE6"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7456" behindDoc="0" locked="0" layoutInCell="1" allowOverlap="1" wp14:anchorId="6A6AC128" wp14:editId="3D5563F3">
                <wp:simplePos x="0" y="0"/>
                <wp:positionH relativeFrom="column">
                  <wp:posOffset>3580855</wp:posOffset>
                </wp:positionH>
                <wp:positionV relativeFrom="paragraph">
                  <wp:posOffset>2812</wp:posOffset>
                </wp:positionV>
                <wp:extent cx="1208405" cy="238125"/>
                <wp:effectExtent l="0" t="0" r="10795" b="15875"/>
                <wp:wrapNone/>
                <wp:docPr id="215424566" name="Text Box 11"/>
                <wp:cNvGraphicFramePr/>
                <a:graphic xmlns:a="http://schemas.openxmlformats.org/drawingml/2006/main">
                  <a:graphicData uri="http://schemas.microsoft.com/office/word/2010/wordprocessingShape">
                    <wps:wsp>
                      <wps:cNvSpPr txBox="1"/>
                      <wps:spPr>
                        <a:xfrm>
                          <a:off x="0" y="0"/>
                          <a:ext cx="1208405" cy="238125"/>
                        </a:xfrm>
                        <a:prstGeom prst="rect">
                          <a:avLst/>
                        </a:prstGeom>
                        <a:solidFill>
                          <a:schemeClr val="bg2"/>
                        </a:solidFill>
                        <a:ln w="6350">
                          <a:solidFill>
                            <a:prstClr val="black"/>
                          </a:solidFill>
                        </a:ln>
                      </wps:spPr>
                      <wps:txbx>
                        <w:txbxContent>
                          <w:p w14:paraId="44FADE85" w14:textId="77777777" w:rsidR="00422E2F" w:rsidRPr="0070368E" w:rsidRDefault="00422E2F" w:rsidP="00422E2F">
                            <w:pPr>
                              <w:rPr>
                                <w:sz w:val="16"/>
                                <w:szCs w:val="16"/>
                              </w:rPr>
                            </w:pPr>
                            <w:r w:rsidRPr="0070368E">
                              <w:rPr>
                                <w:sz w:val="16"/>
                                <w:szCs w:val="16"/>
                              </w:rPr>
                              <w:t>Persistence &amp;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AC128" id="_x0000_s1030" type="#_x0000_t202" style="position:absolute;left:0;text-align:left;margin-left:281.95pt;margin-top:.2pt;width:95.1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" fillcolor="#eeece1 [3214]" strokeweight=".5pt">
                <v:textbox>
                  <w:txbxContent>
                    <w:p w14:paraId="44FADE85" w14:textId="77777777" w:rsidR="00422E2F" w:rsidRPr="0070368E" w:rsidRDefault="00422E2F" w:rsidP="00422E2F">
                      <w:pPr>
                        <w:rPr>
                          <w:sz w:val="16"/>
                          <w:szCs w:val="16"/>
                        </w:rPr>
                      </w:pPr>
                      <w:r w:rsidRPr="0070368E">
                        <w:rPr>
                          <w:sz w:val="16"/>
                          <w:szCs w:val="16"/>
                        </w:rPr>
                        <w:t>Persistence &amp; Feedback</w:t>
                      </w:r>
                    </w:p>
                  </w:txbxContent>
                </v:textbox>
              </v:shape>
            </w:pict>
          </mc:Fallback>
        </mc:AlternateContent>
      </w:r>
    </w:p>
    <w:p w14:paraId="45B3E672" w14:textId="68FE9350" w:rsidR="00422E2F" w:rsidRPr="00E76534" w:rsidRDefault="00422E2F" w:rsidP="00010349">
      <w:pPr>
        <w:pStyle w:val="Body"/>
        <w:spacing w:after="0"/>
        <w:rPr>
          <w:rFonts w:ascii="Arial" w:hAnsi="Arial" w:cs="Arial"/>
        </w:rPr>
      </w:pPr>
    </w:p>
    <w:p w14:paraId="5D8C8C5E" w14:textId="5186B0FB" w:rsidR="00422E2F" w:rsidRPr="00E76534" w:rsidRDefault="00422E2F" w:rsidP="00010349">
      <w:pPr>
        <w:pStyle w:val="Body"/>
        <w:spacing w:after="0"/>
        <w:rPr>
          <w:rFonts w:ascii="Arial" w:hAnsi="Arial" w:cs="Arial"/>
        </w:rPr>
      </w:pPr>
    </w:p>
    <w:p w14:paraId="52477648" w14:textId="77777777" w:rsidR="00422E2F" w:rsidRDefault="00422E2F" w:rsidP="00422E2F">
      <w:pPr>
        <w:pStyle w:val="Body"/>
        <w:spacing w:after="0"/>
        <w:rPr>
          <w:rFonts w:ascii="Arial" w:hAnsi="Arial" w:cs="Arial"/>
          <w:b/>
          <w:bCs/>
        </w:rPr>
      </w:pPr>
      <w:r w:rsidRPr="00E76534">
        <w:rPr>
          <w:rFonts w:ascii="Arial" w:hAnsi="Arial" w:cs="Arial"/>
          <w:b/>
          <w:bCs/>
        </w:rPr>
        <w:t>Figure 1. Regime-Dependent Association Between Gender Inequality and Early Childbearing</w:t>
      </w:r>
    </w:p>
    <w:p w14:paraId="244474CC" w14:textId="77777777" w:rsidR="00D25817" w:rsidRDefault="00D25817" w:rsidP="00422E2F">
      <w:pPr>
        <w:pStyle w:val="Body"/>
        <w:spacing w:after="0"/>
        <w:rPr>
          <w:rFonts w:ascii="Arial" w:hAnsi="Arial" w:cs="Arial"/>
          <w:b/>
          <w:bCs/>
        </w:rPr>
      </w:pPr>
    </w:p>
    <w:p w14:paraId="412C94AD" w14:textId="17FF8BE0" w:rsidR="00D25817" w:rsidRPr="00AB0478" w:rsidRDefault="00D25817" w:rsidP="00422E2F">
      <w:pPr>
        <w:pStyle w:val="Body"/>
        <w:spacing w:after="0"/>
        <w:rPr>
          <w:rFonts w:ascii="Arial" w:hAnsi="Arial" w:cs="Arial"/>
          <w:i/>
          <w:iCs/>
          <w:sz w:val="18"/>
          <w:szCs w:val="18"/>
        </w:rPr>
      </w:pPr>
      <w:r w:rsidRPr="00AB0478">
        <w:rPr>
          <w:rFonts w:ascii="Arial" w:hAnsi="Arial" w:cs="Arial"/>
          <w:i/>
          <w:iCs/>
          <w:sz w:val="18"/>
          <w:szCs w:val="18"/>
          <w:highlight w:val="cyan"/>
        </w:rPr>
        <w:t>Note: The figure illustrates the conceptual mechanism linking institutional gender inequality to fertility timing outcomes. Gender inequality influences reproductive health, empowerment, labor-market participation, and educational opportunity, which together shape the opportunity cost of early childbearing. These institutional constraints affect fertility timing incentives and contribute to variation in early childbearing outcomes. The framework also incorporates persistence and feedback effects arising from slow-moving institutional and social norms.</w:t>
      </w:r>
    </w:p>
    <w:p w14:paraId="14D1C61F" w14:textId="77777777" w:rsidR="00422E2F" w:rsidRPr="00E76534" w:rsidRDefault="00422E2F" w:rsidP="00422E2F">
      <w:pPr>
        <w:pStyle w:val="Body"/>
        <w:spacing w:after="0"/>
        <w:rPr>
          <w:rFonts w:ascii="Arial" w:hAnsi="Arial" w:cs="Arial"/>
          <w:b/>
          <w:bCs/>
        </w:rPr>
      </w:pPr>
    </w:p>
    <w:p w14:paraId="1A9197A7" w14:textId="33704A1F" w:rsidR="00422E2F" w:rsidRPr="00E76534" w:rsidRDefault="00CE5B86" w:rsidP="00422E2F">
      <w:pPr>
        <w:pStyle w:val="Body"/>
        <w:spacing w:after="0"/>
        <w:rPr>
          <w:rFonts w:ascii="Arial" w:hAnsi="Arial" w:cs="Arial"/>
          <w:b/>
          <w:bCs/>
          <w:sz w:val="22"/>
          <w:szCs w:val="22"/>
        </w:rPr>
      </w:pPr>
      <w:r w:rsidRPr="00E54E72">
        <w:rPr>
          <w:rFonts w:ascii="Arial" w:hAnsi="Arial" w:cs="Arial"/>
          <w:b/>
          <w:bCs/>
          <w:sz w:val="22"/>
          <w:szCs w:val="22"/>
          <w:highlight w:val="cyan"/>
        </w:rPr>
        <w:t>2</w:t>
      </w:r>
      <w:r w:rsidR="00422E2F" w:rsidRPr="00E54E72">
        <w:rPr>
          <w:rFonts w:ascii="Arial" w:hAnsi="Arial" w:cs="Arial"/>
          <w:b/>
          <w:bCs/>
          <w:sz w:val="22"/>
          <w:szCs w:val="22"/>
          <w:highlight w:val="cyan"/>
        </w:rPr>
        <w:t>.</w:t>
      </w:r>
      <w:r w:rsidR="00E54E72" w:rsidRPr="00E54E72">
        <w:rPr>
          <w:rFonts w:ascii="Arial" w:hAnsi="Arial" w:cs="Arial"/>
          <w:b/>
          <w:bCs/>
          <w:sz w:val="22"/>
          <w:szCs w:val="22"/>
          <w:highlight w:val="cyan"/>
        </w:rPr>
        <w:t>4</w:t>
      </w:r>
      <w:r w:rsidR="00422E2F" w:rsidRPr="00E76534">
        <w:rPr>
          <w:rFonts w:ascii="Arial" w:hAnsi="Arial" w:cs="Arial"/>
          <w:b/>
          <w:bCs/>
          <w:sz w:val="22"/>
          <w:szCs w:val="22"/>
        </w:rPr>
        <w:t xml:space="preserve"> Data</w:t>
      </w:r>
    </w:p>
    <w:p w14:paraId="5E739FEF" w14:textId="77777777" w:rsidR="00422E2F" w:rsidRPr="00E76534" w:rsidRDefault="00422E2F" w:rsidP="00422E2F">
      <w:pPr>
        <w:pStyle w:val="Body"/>
        <w:spacing w:after="0"/>
        <w:rPr>
          <w:rFonts w:ascii="Arial" w:hAnsi="Arial" w:cs="Arial"/>
        </w:rPr>
      </w:pPr>
      <w:r w:rsidRPr="00E76534">
        <w:rPr>
          <w:rFonts w:ascii="Arial" w:hAnsi="Arial" w:cs="Arial"/>
        </w:rPr>
        <w:t>The analysis uses a strongly balanced country–year panel of 100 countries</w:t>
      </w:r>
      <w:r w:rsidRPr="00E76534">
        <w:rPr>
          <w:rFonts w:ascii="Arial" w:hAnsi="Arial" w:cs="Arial"/>
          <w:vertAlign w:val="superscript"/>
        </w:rPr>
        <w:footnoteReference w:id="1"/>
      </w:r>
      <w:r w:rsidRPr="00E76534">
        <w:rPr>
          <w:rFonts w:ascii="Arial" w:hAnsi="Arial" w:cs="Arial"/>
        </w:rPr>
        <w:t> observed annually from 1990 to 2023</w:t>
      </w:r>
      <w:r w:rsidRPr="00E76534">
        <w:rPr>
          <w:rFonts w:ascii="Arial" w:hAnsi="Arial" w:cs="Arial"/>
          <w:b/>
          <w:bCs/>
        </w:rPr>
        <w:t>,</w:t>
      </w:r>
      <w:r w:rsidRPr="00E76534">
        <w:rPr>
          <w:rFonts w:ascii="Arial" w:hAnsi="Arial" w:cs="Arial"/>
        </w:rPr>
        <w:t xml:space="preserve"> yielding 3,400 observations (reduced to 3,300 when including one-year lags). Identification exploits within-country variation over time.</w:t>
      </w:r>
    </w:p>
    <w:p w14:paraId="14CB6B7E" w14:textId="77777777" w:rsidR="00422E2F" w:rsidRPr="00E76534" w:rsidRDefault="00422E2F" w:rsidP="00422E2F">
      <w:pPr>
        <w:pStyle w:val="Body"/>
        <w:spacing w:after="0"/>
        <w:rPr>
          <w:rFonts w:ascii="Arial" w:hAnsi="Arial" w:cs="Arial"/>
        </w:rPr>
      </w:pPr>
      <w:r w:rsidRPr="00E76534">
        <w:rPr>
          <w:rFonts w:ascii="Arial" w:hAnsi="Arial" w:cs="Arial"/>
        </w:rPr>
        <w:lastRenderedPageBreak/>
        <w:t>Because complete cross-national distributions of age at first birth are unavailable, fertility timing is proxied by first births at young ages, capturing mass in the lower tail of the timing distribution. Data are drawn from the World Bank’s </w:t>
      </w:r>
      <w:r w:rsidRPr="00E76534">
        <w:rPr>
          <w:rFonts w:ascii="Arial" w:hAnsi="Arial" w:cs="Arial"/>
          <w:i/>
          <w:iCs/>
        </w:rPr>
        <w:t>World Development Indicators</w:t>
      </w:r>
      <w:r w:rsidRPr="00E76534">
        <w:rPr>
          <w:rFonts w:ascii="Arial" w:hAnsi="Arial" w:cs="Arial"/>
        </w:rPr>
        <w:t>. To reduce skewness while retaining zeros, the dependent variable is transformed as</w:t>
      </w:r>
    </w:p>
    <w:p w14:paraId="6311A4E0" w14:textId="77777777" w:rsidR="00D264B7" w:rsidRPr="00E76534" w:rsidRDefault="00D264B7" w:rsidP="00422E2F">
      <w:pPr>
        <w:pStyle w:val="Body"/>
        <w:spacing w:after="0"/>
        <w:rPr>
          <w:rFonts w:ascii="Arial" w:hAnsi="Arial" w:cs="Arial"/>
        </w:rPr>
      </w:pPr>
    </w:p>
    <w:p w14:paraId="5AE7882E" w14:textId="072A50A4" w:rsidR="00422E2F" w:rsidRPr="00E76534" w:rsidRDefault="00000000" w:rsidP="00422E2F">
      <w:pPr>
        <w:pStyle w:val="Body"/>
        <w:rPr>
          <w:rFonts w:ascii="Arial" w:hAnsi="Arial" w:cs="Arial"/>
        </w:rPr>
      </w:pPr>
      <m:oMathPara>
        <m:oMath>
          <m:m>
            <m:mPr>
              <m:plcHide m:val="1"/>
              <m:mcs>
                <m:mc>
                  <m:mcPr>
                    <m:count m:val="4"/>
                    <m:mcJc m:val="center"/>
                  </m:mcPr>
                </m:mc>
              </m:mcs>
              <m:ctrlPr>
                <w:rPr>
                  <w:rFonts w:ascii="Cambria Math" w:hAnsi="Cambria Math" w:cs="Arial"/>
                </w:rPr>
              </m:ctrlPr>
            </m:mPr>
            <m:mr>
              <m:e/>
              <m:e>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m:t>
                </m:r>
                <m:r>
                  <m:rPr>
                    <m:sty m:val="p"/>
                  </m:rPr>
                  <w:rPr>
                    <w:rFonts w:ascii="Cambria Math" w:hAnsi="Cambria Math" w:cs="Arial"/>
                  </w:rPr>
                  <m:t>ln</m:t>
                </m:r>
                <m:r>
                  <w:rPr>
                    <w:rFonts w:ascii="Cambria Math" w:hAnsi="Cambria Math" w:cs="Arial"/>
                  </w:rPr>
                  <m:t>⁡(</m:t>
                </m:r>
                <m:sSub>
                  <m:sSubPr>
                    <m:ctrlPr>
                      <w:rPr>
                        <w:rFonts w:ascii="Cambria Math" w:hAnsi="Cambria Math" w:cs="Arial"/>
                      </w:rPr>
                    </m:ctrlPr>
                  </m:sSubPr>
                  <m:e>
                    <m:r>
                      <m:rPr>
                        <m:nor/>
                      </m:rPr>
                      <w:rPr>
                        <w:rFonts w:ascii="Arial" w:hAnsi="Arial" w:cs="Arial"/>
                      </w:rPr>
                      <m:t>BR</m:t>
                    </m:r>
                  </m:e>
                  <m:sub>
                    <m:r>
                      <w:rPr>
                        <w:rFonts w:ascii="Cambria Math" w:hAnsi="Cambria Math" w:cs="Arial"/>
                      </w:rPr>
                      <m:t>ct</m:t>
                    </m:r>
                  </m:sub>
                </m:sSub>
                <m:r>
                  <w:rPr>
                    <w:rFonts w:ascii="Cambria Math" w:hAnsi="Cambria Math" w:cs="Arial"/>
                  </w:rPr>
                  <m:t>+1)</m:t>
                </m:r>
              </m:e>
              <m:e/>
              <m:e>
                <m:r>
                  <m:rPr>
                    <m:nor/>
                  </m:rPr>
                  <w:rPr>
                    <w:rFonts w:ascii="Arial" w:hAnsi="Arial" w:cs="Arial"/>
                  </w:rPr>
                  <m:t>(9)</m:t>
                </m:r>
              </m:e>
            </m:mr>
          </m:m>
          <m:r>
            <m:rPr>
              <m:sty m:val="p"/>
            </m:rPr>
            <w:rPr>
              <w:rFonts w:ascii="Cambria Math" w:hAnsi="Cambria Math" w:cs="Arial"/>
            </w:rPr>
            <w:br/>
          </m:r>
        </m:oMath>
      </m:oMathPara>
    </w:p>
    <w:p w14:paraId="7F602A85" w14:textId="77777777" w:rsidR="00422E2F" w:rsidRPr="00E76534" w:rsidRDefault="00422E2F" w:rsidP="00422E2F">
      <w:pPr>
        <w:pStyle w:val="Body"/>
        <w:spacing w:after="0"/>
        <w:rPr>
          <w:rFonts w:ascii="Arial" w:hAnsi="Arial" w:cs="Arial"/>
        </w:rPr>
      </w:pPr>
      <w:r w:rsidRPr="00E76534">
        <w:rPr>
          <w:rFonts w:ascii="Arial" w:hAnsi="Arial" w:cs="Arial"/>
        </w:rPr>
        <w:t>so coefficients are interpreted as reduced-form semi-elasticities.</w:t>
      </w:r>
    </w:p>
    <w:p w14:paraId="274C1A0B" w14:textId="77777777" w:rsidR="00422E2F" w:rsidRPr="00E76534" w:rsidRDefault="00422E2F" w:rsidP="00422E2F">
      <w:pPr>
        <w:pStyle w:val="Body"/>
        <w:spacing w:after="0"/>
        <w:rPr>
          <w:rFonts w:ascii="Arial" w:hAnsi="Arial" w:cs="Arial"/>
        </w:rPr>
      </w:pPr>
      <w:r w:rsidRPr="00E76534">
        <w:rPr>
          <w:rFonts w:ascii="Arial" w:hAnsi="Arial" w:cs="Arial"/>
        </w:rPr>
        <w:t>The primary explanatory variables measure gendered institutional environments using United Nations Development Programme (UNDP) indices. The Gender Inequality Index (GII)</w:t>
      </w:r>
      <w:r w:rsidRPr="00E76534">
        <w:rPr>
          <w:rFonts w:ascii="Arial" w:hAnsi="Arial" w:cs="Arial"/>
          <w:b/>
          <w:bCs/>
        </w:rPr>
        <w:t>—</w:t>
      </w:r>
      <w:r w:rsidRPr="00E76534">
        <w:rPr>
          <w:rFonts w:ascii="Arial" w:hAnsi="Arial" w:cs="Arial"/>
        </w:rPr>
        <w:t>rescaled to range from 0 to 1</w:t>
      </w:r>
      <w:r w:rsidRPr="00E76534">
        <w:rPr>
          <w:rFonts w:ascii="Arial" w:hAnsi="Arial" w:cs="Arial"/>
          <w:b/>
          <w:bCs/>
        </w:rPr>
        <w:t xml:space="preserve">, </w:t>
      </w:r>
      <w:r w:rsidRPr="00E76534">
        <w:rPr>
          <w:rFonts w:ascii="Arial" w:hAnsi="Arial" w:cs="Arial"/>
        </w:rPr>
        <w:t>with higher values indicating greater inequality—captures structural constraints in reproductive health, empowerment, and labor-market participation. The Gender Development Index (GDI) measures gender parity in health, education, and income. While related, the GII reflects binding institutional constraints, whereas the GDI captures capability gaps.</w:t>
      </w:r>
    </w:p>
    <w:p w14:paraId="32CF8D3E" w14:textId="77777777" w:rsidR="00D264B7" w:rsidRPr="00E76534" w:rsidRDefault="00D264B7" w:rsidP="00422E2F">
      <w:pPr>
        <w:pStyle w:val="Body"/>
        <w:spacing w:after="0"/>
        <w:rPr>
          <w:rFonts w:ascii="Arial" w:hAnsi="Arial" w:cs="Arial"/>
        </w:rPr>
      </w:pPr>
    </w:p>
    <w:p w14:paraId="2D8FD6DD" w14:textId="77777777" w:rsidR="00422E2F" w:rsidRPr="00E76534" w:rsidRDefault="00422E2F" w:rsidP="00422E2F">
      <w:pPr>
        <w:pStyle w:val="Body"/>
        <w:spacing w:after="0"/>
        <w:rPr>
          <w:rFonts w:ascii="Arial" w:hAnsi="Arial" w:cs="Arial"/>
        </w:rPr>
      </w:pPr>
      <w:r w:rsidRPr="00E76534">
        <w:rPr>
          <w:rFonts w:ascii="Arial" w:hAnsi="Arial" w:cs="Arial"/>
        </w:rPr>
        <w:t>Although GDI includes education-related dimensions through gender parity in schooling, it differs conceptually from the schooling variable used in the analysis. GDI captures gender equality in human-development outcomes, whereas schooling measures the overall level of educational attainment associated with human-capital accumulation. Including both variables allows the analysis to distinguish institutional gender equality from aggregate human-capital levels. Within the framework of the paper, gender inequality affects fertility timing through institutional constraints that shape women’s opportunities and reproductive autonomy, while schooling captures the human-capital environment influencing the opportunity cost of early childbearing. Higher educational attainment is associated with greater incentives for labor-market attachment and delayed fertility timing, whereas stronger institutional gender inequality is associated with earlier fertility timing through reduced educational and career opportunities for women.</w:t>
      </w:r>
    </w:p>
    <w:p w14:paraId="0E1A87B5" w14:textId="77777777" w:rsidR="00D264B7" w:rsidRPr="00E76534" w:rsidRDefault="00D264B7" w:rsidP="00422E2F">
      <w:pPr>
        <w:pStyle w:val="Body"/>
        <w:spacing w:after="0"/>
        <w:rPr>
          <w:rFonts w:ascii="Arial" w:hAnsi="Arial" w:cs="Arial"/>
        </w:rPr>
      </w:pPr>
    </w:p>
    <w:p w14:paraId="02329EFA" w14:textId="77777777" w:rsidR="00422E2F" w:rsidRPr="00E76534" w:rsidRDefault="00422E2F" w:rsidP="00422E2F">
      <w:pPr>
        <w:pStyle w:val="Body"/>
        <w:spacing w:after="0"/>
        <w:rPr>
          <w:rFonts w:ascii="Arial" w:hAnsi="Arial" w:cs="Arial"/>
        </w:rPr>
      </w:pPr>
      <w:r w:rsidRPr="00E76534">
        <w:rPr>
          <w:rFonts w:ascii="Arial" w:hAnsi="Arial" w:cs="Arial"/>
        </w:rPr>
        <w:t>The analysis additionally controls for a time-varying education variable (schooling) from UNESCO data disseminated by the World Bank. All specifications include country and year fixed effects, and standard errors are clustered at the country level to account for serial correlation and heteroskedasticity.</w:t>
      </w:r>
    </w:p>
    <w:p w14:paraId="4F72AB5C" w14:textId="77777777" w:rsidR="00D264B7" w:rsidRPr="00E76534" w:rsidRDefault="00D264B7" w:rsidP="00422E2F">
      <w:pPr>
        <w:pStyle w:val="Body"/>
        <w:spacing w:after="0"/>
        <w:rPr>
          <w:rFonts w:ascii="Arial" w:hAnsi="Arial" w:cs="Arial"/>
        </w:rPr>
      </w:pPr>
    </w:p>
    <w:p w14:paraId="6B098342" w14:textId="77777777" w:rsidR="00422E2F" w:rsidRPr="00E76534" w:rsidRDefault="00422E2F" w:rsidP="00422E2F">
      <w:pPr>
        <w:pStyle w:val="Body"/>
        <w:spacing w:after="0"/>
        <w:rPr>
          <w:rFonts w:ascii="Arial" w:hAnsi="Arial" w:cs="Arial"/>
        </w:rPr>
      </w:pPr>
      <w:r w:rsidRPr="00E76534">
        <w:rPr>
          <w:rFonts w:ascii="Arial" w:hAnsi="Arial" w:cs="Arial"/>
        </w:rPr>
        <w:t>All specifications include country fixed effects and year fixed effects. Standard errors are clustered at the country level to account for serial correlation and heteroskedasticity.</w:t>
      </w:r>
    </w:p>
    <w:p w14:paraId="3861E390" w14:textId="77777777" w:rsidR="00D264B7" w:rsidRPr="00E76534" w:rsidRDefault="00D264B7" w:rsidP="00422E2F">
      <w:pPr>
        <w:pStyle w:val="Body"/>
        <w:spacing w:after="0"/>
        <w:rPr>
          <w:rFonts w:ascii="Arial" w:hAnsi="Arial" w:cs="Arial"/>
        </w:rPr>
      </w:pPr>
    </w:p>
    <w:p w14:paraId="66FD5BC9" w14:textId="09C42C1A" w:rsidR="00422E2F" w:rsidRPr="00E76534" w:rsidRDefault="00CE5B86" w:rsidP="00422E2F">
      <w:pPr>
        <w:pStyle w:val="Body"/>
        <w:spacing w:after="0"/>
        <w:rPr>
          <w:rFonts w:ascii="Arial" w:hAnsi="Arial" w:cs="Arial"/>
          <w:b/>
          <w:bCs/>
          <w:sz w:val="22"/>
          <w:szCs w:val="22"/>
        </w:rPr>
      </w:pPr>
      <w:r w:rsidRPr="00E54E72">
        <w:rPr>
          <w:rFonts w:ascii="Arial" w:hAnsi="Arial" w:cs="Arial"/>
          <w:b/>
          <w:bCs/>
          <w:sz w:val="22"/>
          <w:szCs w:val="22"/>
          <w:highlight w:val="cyan"/>
        </w:rPr>
        <w:t>2</w:t>
      </w:r>
      <w:r w:rsidR="00422E2F" w:rsidRPr="00E54E72">
        <w:rPr>
          <w:rFonts w:ascii="Arial" w:hAnsi="Arial" w:cs="Arial"/>
          <w:b/>
          <w:bCs/>
          <w:sz w:val="22"/>
          <w:szCs w:val="22"/>
          <w:highlight w:val="cyan"/>
        </w:rPr>
        <w:t>.</w:t>
      </w:r>
      <w:r w:rsidR="00E54E72" w:rsidRPr="00E54E72">
        <w:rPr>
          <w:rFonts w:ascii="Arial" w:hAnsi="Arial" w:cs="Arial"/>
          <w:b/>
          <w:bCs/>
          <w:sz w:val="22"/>
          <w:szCs w:val="22"/>
          <w:highlight w:val="cyan"/>
        </w:rPr>
        <w:t>5</w:t>
      </w:r>
      <w:r w:rsidR="00422E2F" w:rsidRPr="00E76534">
        <w:rPr>
          <w:rFonts w:ascii="Arial" w:hAnsi="Arial" w:cs="Arial"/>
          <w:b/>
          <w:bCs/>
          <w:sz w:val="22"/>
          <w:szCs w:val="22"/>
        </w:rPr>
        <w:t xml:space="preserve"> Empirical Strategy</w:t>
      </w:r>
    </w:p>
    <w:p w14:paraId="20B71280" w14:textId="45C1E8C2" w:rsidR="00422E2F" w:rsidRPr="00E76534" w:rsidRDefault="00422E2F" w:rsidP="00422E2F">
      <w:pPr>
        <w:pStyle w:val="Body"/>
        <w:spacing w:after="0"/>
        <w:rPr>
          <w:rFonts w:ascii="Arial" w:hAnsi="Arial" w:cs="Arial"/>
        </w:rPr>
      </w:pPr>
      <w:r w:rsidRPr="00E76534">
        <w:rPr>
          <w:rFonts w:ascii="Arial" w:hAnsi="Arial" w:cs="Arial"/>
        </w:rPr>
        <w:t>The empirical analysis estimates a series of reduced-form panel specifications designed to examine the relationship between gendered institutional environments and fertility timing. The baseline specification is a two-way fixed-effects model of the form</w:t>
      </w:r>
    </w:p>
    <w:p w14:paraId="0AABBF2A" w14:textId="77777777" w:rsidR="00D264B7" w:rsidRPr="00E76534" w:rsidRDefault="00D264B7" w:rsidP="00422E2F">
      <w:pPr>
        <w:pStyle w:val="Body"/>
        <w:spacing w:after="0"/>
        <w:rPr>
          <w:rFonts w:ascii="Arial" w:hAnsi="Arial" w:cs="Arial"/>
        </w:rPr>
      </w:pPr>
    </w:p>
    <w:p w14:paraId="2A4D823B" w14:textId="641B7073"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rPr>
              </m:ctrlPr>
            </m:sSubPr>
            <m:e>
              <m:r>
                <m:rPr>
                  <m:nor/>
                </m:rPr>
                <w:rPr>
                  <w:rFonts w:ascii="Arial" w:hAnsi="Arial" w:cs="Arial"/>
                </w:rPr>
                <m:t>GDI</m:t>
              </m:r>
            </m:e>
            <m:sub>
              <m:r>
                <w:rPr>
                  <w:rFonts w:ascii="Cambria Math" w:hAnsi="Cambria Math" w:cs="Arial"/>
                </w:rPr>
                <m:t>ct</m:t>
              </m:r>
            </m:sub>
          </m:sSub>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w:rPr>
              <w:rFonts w:ascii="Cambria Math" w:hAnsi="Cambria Math" w:cs="Arial"/>
            </w:rPr>
            <m:t xml:space="preserve">          (10)</m:t>
          </m:r>
          <m:r>
            <m:rPr>
              <m:sty m:val="p"/>
            </m:rPr>
            <w:rPr>
              <w:rFonts w:ascii="Cambria Math" w:hAnsi="Cambria Math" w:cs="Arial"/>
            </w:rPr>
            <w:br/>
          </m:r>
        </m:oMath>
      </m:oMathPara>
    </w:p>
    <w:p w14:paraId="7A89E114" w14:textId="4940D58E" w:rsidR="00422E2F" w:rsidRPr="00E76534" w:rsidRDefault="00422E2F" w:rsidP="00422E2F">
      <w:pPr>
        <w:pStyle w:val="Body"/>
        <w:spacing w:after="0"/>
        <w:rPr>
          <w:rFonts w:ascii="Arial" w:hAnsi="Arial" w:cs="Arial"/>
        </w:rPr>
      </w:pPr>
      <w:r w:rsidRPr="00E76534">
        <w:rPr>
          <w:rFonts w:ascii="Arial" w:hAnsi="Arial" w:cs="Arial"/>
        </w:rPr>
        <w:t>where </w:t>
      </w:r>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oMath>
      <w:r w:rsidRPr="00E76534">
        <w:rPr>
          <w:rFonts w:ascii="Arial" w:hAnsi="Arial" w:cs="Arial"/>
        </w:rPr>
        <w:t> denotes fertility timing in country </w:t>
      </w:r>
      <m:oMath>
        <m:r>
          <w:rPr>
            <w:rFonts w:ascii="Cambria Math" w:hAnsi="Cambria Math" w:cs="Arial"/>
          </w:rPr>
          <m:t>c</m:t>
        </m:r>
      </m:oMath>
      <w:r w:rsidRPr="00E76534">
        <w:rPr>
          <w:rFonts w:ascii="Arial" w:hAnsi="Arial" w:cs="Arial"/>
        </w:rPr>
        <w:t> and year </w:t>
      </w:r>
      <m:oMath>
        <m:r>
          <w:rPr>
            <w:rFonts w:ascii="Cambria Math" w:hAnsi="Cambria Math" w:cs="Arial"/>
          </w:rPr>
          <m:t>t</m:t>
        </m:r>
      </m:oMath>
      <w:r w:rsidRPr="00E76534">
        <w:rPr>
          <w:rFonts w:ascii="Arial" w:hAnsi="Arial" w:cs="Arial"/>
        </w:rPr>
        <w:t>, </w:t>
      </w:r>
      <m:oMath>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oMath>
      <w:r w:rsidRPr="00E76534">
        <w:rPr>
          <w:rFonts w:ascii="Arial" w:hAnsi="Arial" w:cs="Arial"/>
        </w:rPr>
        <w:t> are country fixed effects that absorb time-invariant heterogeneity such as cultural norms, legal origins, and historical legacies, and </w:t>
      </w:r>
      <m:oMath>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oMath>
      <w:r w:rsidRPr="00E76534">
        <w:rPr>
          <w:rFonts w:ascii="Arial" w:hAnsi="Arial" w:cs="Arial"/>
        </w:rPr>
        <w:t> are year fixed effects that capture global shocks and secular trends common across countries. Identification in this specification comes from within-country changes in gender inequality, gender development, and educational attainment over time, net of common global trends. Standard errors are clustered at the country level throughout to account for serial correlation and heteroskedasticity.</w:t>
      </w:r>
    </w:p>
    <w:p w14:paraId="7335495B" w14:textId="77777777" w:rsidR="00D264B7" w:rsidRPr="00E76534" w:rsidRDefault="00D264B7" w:rsidP="00422E2F">
      <w:pPr>
        <w:pStyle w:val="Body"/>
        <w:spacing w:after="0"/>
        <w:rPr>
          <w:rFonts w:ascii="Arial" w:hAnsi="Arial" w:cs="Arial"/>
        </w:rPr>
      </w:pPr>
    </w:p>
    <w:p w14:paraId="168CBFB1" w14:textId="77777777" w:rsidR="00422E2F" w:rsidRPr="00E76534" w:rsidRDefault="00422E2F" w:rsidP="00422E2F">
      <w:pPr>
        <w:pStyle w:val="Body"/>
        <w:spacing w:after="0"/>
        <w:rPr>
          <w:rFonts w:ascii="Arial" w:hAnsi="Arial" w:cs="Arial"/>
        </w:rPr>
      </w:pPr>
      <w:r w:rsidRPr="00E76534">
        <w:rPr>
          <w:rFonts w:ascii="Arial" w:hAnsi="Arial" w:cs="Arial"/>
        </w:rPr>
        <w:t>A central concern in cross-national fertility research is simultaneity and reverse causality, as fertility outcomes may themselves influence gender institutions through political, economic, or social channels. To mitigate this concern, the analysis estimates specifications in which gender inequality, gender development, and the education control are lagged by one period:</w:t>
      </w:r>
    </w:p>
    <w:p w14:paraId="756E16D4" w14:textId="77777777" w:rsidR="00D264B7" w:rsidRPr="00E76534" w:rsidRDefault="00D264B7" w:rsidP="00422E2F">
      <w:pPr>
        <w:pStyle w:val="Body"/>
        <w:spacing w:after="0"/>
        <w:rPr>
          <w:rFonts w:ascii="Arial" w:hAnsi="Arial" w:cs="Arial"/>
        </w:rPr>
      </w:pPr>
    </w:p>
    <w:p w14:paraId="30A2B3B5" w14:textId="4C29E66C"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rPr>
              </m:ctrlPr>
            </m:sSubPr>
            <m:e>
              <m:r>
                <m:rPr>
                  <m:nor/>
                </m:rPr>
                <w:rPr>
                  <w:rFonts w:ascii="Arial" w:hAnsi="Arial" w:cs="Arial"/>
                </w:rPr>
                <m:t>GDI</m:t>
              </m:r>
            </m:e>
            <m:sub>
              <m:r>
                <w:rPr>
                  <w:rFonts w:ascii="Cambria Math" w:hAnsi="Cambria Math" w:cs="Arial"/>
                </w:rPr>
                <m:t>c,t-1</m:t>
              </m:r>
            </m:sub>
          </m:sSub>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c,t-1</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w:rPr>
              <w:rFonts w:ascii="Cambria Math" w:hAnsi="Cambria Math" w:cs="Arial"/>
            </w:rPr>
            <m:t xml:space="preserve">          (11)</m:t>
          </m:r>
          <m:r>
            <m:rPr>
              <m:sty m:val="p"/>
            </m:rPr>
            <w:rPr>
              <w:rFonts w:ascii="Cambria Math" w:hAnsi="Cambria Math" w:cs="Arial"/>
            </w:rPr>
            <w:br/>
          </m:r>
        </m:oMath>
      </m:oMathPara>
    </w:p>
    <w:p w14:paraId="6CD4E864" w14:textId="77777777" w:rsidR="00422E2F" w:rsidRPr="00E76534" w:rsidRDefault="00422E2F" w:rsidP="00422E2F">
      <w:pPr>
        <w:pStyle w:val="Body"/>
        <w:spacing w:after="0"/>
        <w:rPr>
          <w:rFonts w:ascii="Arial" w:hAnsi="Arial" w:cs="Arial"/>
        </w:rPr>
      </w:pPr>
      <w:r w:rsidRPr="00E76534">
        <w:rPr>
          <w:rFonts w:ascii="Arial" w:hAnsi="Arial" w:cs="Arial"/>
        </w:rPr>
        <w:t>By relating current fertility timing to past institutional conditions, this specification strengthens the interpretation that changes in gender institutions precede changes in fertility behavior, though it does not fully eliminate endogeneity concerns.</w:t>
      </w:r>
    </w:p>
    <w:p w14:paraId="10C361FC" w14:textId="77777777" w:rsidR="00D264B7" w:rsidRPr="00E76534" w:rsidRDefault="00D264B7" w:rsidP="00422E2F">
      <w:pPr>
        <w:pStyle w:val="Body"/>
        <w:spacing w:after="0"/>
        <w:rPr>
          <w:rFonts w:ascii="Arial" w:hAnsi="Arial" w:cs="Arial"/>
        </w:rPr>
      </w:pPr>
    </w:p>
    <w:p w14:paraId="3EE422AA" w14:textId="77777777" w:rsidR="00422E2F" w:rsidRPr="00E76534" w:rsidRDefault="00422E2F" w:rsidP="00422E2F">
      <w:pPr>
        <w:pStyle w:val="Body"/>
        <w:spacing w:after="0"/>
        <w:rPr>
          <w:rFonts w:ascii="Arial" w:hAnsi="Arial" w:cs="Arial"/>
        </w:rPr>
      </w:pPr>
      <w:r w:rsidRPr="00E76534">
        <w:rPr>
          <w:rFonts w:ascii="Arial" w:hAnsi="Arial" w:cs="Arial"/>
        </w:rPr>
        <w:t>The conceptual framework also allows for nonlinear responses of fertility timing to institutional change. In particular, fertility behavior may respond differently to changes in gender inequality across institutional regimes. To examine this possibility, the analysis augments the baseline specification with a quadratic term in gender inequality:</w:t>
      </w:r>
    </w:p>
    <w:p w14:paraId="3FA04D3D" w14:textId="77777777" w:rsidR="00D264B7" w:rsidRPr="00E76534" w:rsidRDefault="00D264B7" w:rsidP="00422E2F">
      <w:pPr>
        <w:pStyle w:val="Body"/>
        <w:spacing w:after="0"/>
        <w:rPr>
          <w:rFonts w:ascii="Arial" w:hAnsi="Arial" w:cs="Arial"/>
        </w:rPr>
      </w:pPr>
    </w:p>
    <w:p w14:paraId="5112A19C" w14:textId="18462A7B"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m:t>
          </m:r>
          <m:sSub>
            <m:sSubPr>
              <m:ctrlPr>
                <w:rPr>
                  <w:rFonts w:ascii="Cambria Math" w:hAnsi="Cambria Math" w:cs="Arial"/>
                </w:rPr>
              </m:ctrlPr>
            </m:sSubPr>
            <m:e>
              <m:r>
                <w:rPr>
                  <w:rFonts w:ascii="Cambria Math" w:hAnsi="Cambria Math" w:cs="Arial"/>
                </w:rPr>
                <m:t>θ</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θ</m:t>
              </m:r>
            </m:e>
            <m:sub>
              <m:r>
                <w:rPr>
                  <w:rFonts w:ascii="Cambria Math" w:hAnsi="Cambria Math" w:cs="Arial"/>
                </w:rPr>
                <m:t>2</m:t>
              </m:r>
            </m:sub>
          </m:sSub>
          <m:sSubSup>
            <m:sSubSupPr>
              <m:ctrlPr>
                <w:rPr>
                  <w:rFonts w:ascii="Cambria Math" w:hAnsi="Cambria Math" w:cs="Arial"/>
                </w:rPr>
              </m:ctrlPr>
            </m:sSubSupPr>
            <m:e>
              <m:r>
                <m:rPr>
                  <m:nor/>
                </m:rPr>
                <w:rPr>
                  <w:rFonts w:ascii="Arial" w:hAnsi="Arial" w:cs="Arial"/>
                </w:rPr>
                <m:t>GII</m:t>
              </m:r>
            </m:e>
            <m:sub>
              <m:r>
                <w:rPr>
                  <w:rFonts w:ascii="Cambria Math" w:hAnsi="Cambria Math" w:cs="Arial"/>
                </w:rPr>
                <m:t>ct</m:t>
              </m:r>
            </m:sub>
            <m:sup>
              <m:r>
                <w:rPr>
                  <w:rFonts w:ascii="Cambria Math" w:hAnsi="Cambria Math" w:cs="Arial"/>
                </w:rPr>
                <m:t>2</m:t>
              </m:r>
            </m:sup>
          </m:sSubSup>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m:rPr>
              <m:sty m:val="p"/>
            </m:rPr>
            <w:rPr>
              <w:rFonts w:ascii="Cambria Math" w:hAnsi="Cambria Math" w:cs="Arial"/>
            </w:rPr>
            <m:t xml:space="preserve">          (12)</m:t>
          </m:r>
          <m:r>
            <m:rPr>
              <m:sty m:val="p"/>
            </m:rPr>
            <w:rPr>
              <w:rFonts w:ascii="Cambria Math" w:hAnsi="Cambria Math" w:cs="Arial"/>
            </w:rPr>
            <w:br/>
          </m:r>
        </m:oMath>
      </m:oMathPara>
    </w:p>
    <w:p w14:paraId="52CEACF2" w14:textId="39091ABB" w:rsidR="00422E2F" w:rsidRPr="00E76534" w:rsidRDefault="00422E2F" w:rsidP="00422E2F">
      <w:pPr>
        <w:pStyle w:val="Body"/>
        <w:spacing w:after="0"/>
        <w:rPr>
          <w:rFonts w:ascii="Arial" w:hAnsi="Arial" w:cs="Arial"/>
        </w:rPr>
      </w:pPr>
      <w:r w:rsidRPr="00E76534">
        <w:rPr>
          <w:rFonts w:ascii="Arial" w:hAnsi="Arial" w:cs="Arial"/>
        </w:rPr>
        <w:t>In this specification, the marginal effect of gender inequality on fertility timing is given by </w:t>
      </w:r>
      <m:oMath>
        <m:sSub>
          <m:sSubPr>
            <m:ctrlPr>
              <w:rPr>
                <w:rFonts w:ascii="Cambria Math" w:hAnsi="Cambria Math" w:cs="Arial"/>
              </w:rPr>
            </m:ctrlPr>
          </m:sSubPr>
          <m:e>
            <m:r>
              <w:rPr>
                <w:rFonts w:ascii="Cambria Math" w:hAnsi="Cambria Math" w:cs="Arial"/>
              </w:rPr>
              <m:t>θ</m:t>
            </m:r>
          </m:e>
          <m:sub>
            <m:r>
              <w:rPr>
                <w:rFonts w:ascii="Cambria Math" w:hAnsi="Cambria Math" w:cs="Arial"/>
              </w:rPr>
              <m:t>1</m:t>
            </m:r>
          </m:sub>
        </m:sSub>
        <m:r>
          <w:rPr>
            <w:rFonts w:ascii="Cambria Math" w:hAnsi="Cambria Math" w:cs="Arial"/>
          </w:rPr>
          <m:t>+2</m:t>
        </m:r>
        <m:sSub>
          <m:sSubPr>
            <m:ctrlPr>
              <w:rPr>
                <w:rFonts w:ascii="Cambria Math" w:hAnsi="Cambria Math" w:cs="Arial"/>
              </w:rPr>
            </m:ctrlPr>
          </m:sSubPr>
          <m:e>
            <m:r>
              <w:rPr>
                <w:rFonts w:ascii="Cambria Math" w:hAnsi="Cambria Math" w:cs="Arial"/>
              </w:rPr>
              <m:t>θ</m:t>
            </m:r>
          </m:e>
          <m:sub>
            <m:r>
              <w:rPr>
                <w:rFonts w:ascii="Cambria Math" w:hAnsi="Cambria Math" w:cs="Arial"/>
              </w:rPr>
              <m:t>2</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oMath>
      <w:r w:rsidRPr="00E76534">
        <w:rPr>
          <w:rFonts w:ascii="Arial" w:hAnsi="Arial" w:cs="Arial"/>
        </w:rPr>
        <w:t>, and the implied turning point occurs at </w:t>
      </w:r>
      <m:oMath>
        <m:sSup>
          <m:sSupPr>
            <m:ctrlPr>
              <w:rPr>
                <w:rFonts w:ascii="Cambria Math" w:hAnsi="Cambria Math" w:cs="Arial"/>
              </w:rPr>
            </m:ctrlPr>
          </m:sSupPr>
          <m:e>
            <m:r>
              <m:rPr>
                <m:nor/>
              </m:rPr>
              <w:rPr>
                <w:rFonts w:ascii="Arial" w:hAnsi="Arial" w:cs="Arial"/>
              </w:rPr>
              <m:t>GII</m:t>
            </m:r>
          </m:e>
          <m:sup>
            <m:r>
              <w:rPr>
                <w:rFonts w:ascii="Cambria Math" w:hAnsi="Cambria Math" w:cs="Arial"/>
              </w:rPr>
              <m:t>*</m:t>
            </m:r>
          </m:sup>
        </m:sSup>
        <m:r>
          <w:rPr>
            <w:rFonts w:ascii="Cambria Math" w:hAnsi="Cambria Math" w:cs="Arial"/>
          </w:rPr>
          <m:t>=-</m:t>
        </m:r>
        <m:sSub>
          <m:sSubPr>
            <m:ctrlPr>
              <w:rPr>
                <w:rFonts w:ascii="Cambria Math" w:hAnsi="Cambria Math" w:cs="Arial"/>
              </w:rPr>
            </m:ctrlPr>
          </m:sSubPr>
          <m:e>
            <m:r>
              <w:rPr>
                <w:rFonts w:ascii="Cambria Math" w:hAnsi="Cambria Math" w:cs="Arial"/>
              </w:rPr>
              <m:t>θ</m:t>
            </m:r>
          </m:e>
          <m:sub>
            <m:r>
              <w:rPr>
                <w:rFonts w:ascii="Cambria Math" w:hAnsi="Cambria Math" w:cs="Arial"/>
              </w:rPr>
              <m:t>1</m:t>
            </m:r>
          </m:sub>
        </m:sSub>
        <m:r>
          <m:rPr>
            <m:sty m:val="p"/>
          </m:rPr>
          <w:rPr>
            <w:rFonts w:ascii="Cambria Math" w:hAnsi="Cambria Math" w:cs="Arial"/>
          </w:rPr>
          <m:t>/</m:t>
        </m:r>
        <m:r>
          <w:rPr>
            <w:rFonts w:ascii="Cambria Math" w:hAnsi="Cambria Math" w:cs="Arial"/>
          </w:rPr>
          <m:t>(2</m:t>
        </m:r>
        <m:sSub>
          <m:sSubPr>
            <m:ctrlPr>
              <w:rPr>
                <w:rFonts w:ascii="Cambria Math" w:hAnsi="Cambria Math" w:cs="Arial"/>
              </w:rPr>
            </m:ctrlPr>
          </m:sSubPr>
          <m:e>
            <m:r>
              <w:rPr>
                <w:rFonts w:ascii="Cambria Math" w:hAnsi="Cambria Math" w:cs="Arial"/>
              </w:rPr>
              <m:t>θ</m:t>
            </m:r>
          </m:e>
          <m:sub>
            <m:r>
              <w:rPr>
                <w:rFonts w:ascii="Cambria Math" w:hAnsi="Cambria Math" w:cs="Arial"/>
              </w:rPr>
              <m:t>2</m:t>
            </m:r>
          </m:sub>
        </m:sSub>
        <m:r>
          <w:rPr>
            <w:rFonts w:ascii="Cambria Math" w:hAnsi="Cambria Math" w:cs="Arial"/>
          </w:rPr>
          <m:t>)</m:t>
        </m:r>
      </m:oMath>
      <w:r w:rsidRPr="00E76534">
        <w:rPr>
          <w:rFonts w:ascii="Arial" w:hAnsi="Arial" w:cs="Arial"/>
        </w:rPr>
        <w:t>. Evidence of statistically significant curvature is interpreted as consistent with regime-dependent institutional effects and coordination frictions emphasized in the theoretical framework.</w:t>
      </w:r>
    </w:p>
    <w:p w14:paraId="2E7C5E96" w14:textId="77777777" w:rsidR="00D264B7" w:rsidRPr="00E76534" w:rsidRDefault="00D264B7" w:rsidP="00422E2F">
      <w:pPr>
        <w:pStyle w:val="Body"/>
        <w:spacing w:after="0"/>
        <w:rPr>
          <w:rFonts w:ascii="Arial" w:hAnsi="Arial" w:cs="Arial"/>
        </w:rPr>
      </w:pPr>
    </w:p>
    <w:p w14:paraId="5DCDA07F" w14:textId="77777777" w:rsidR="00422E2F" w:rsidRPr="00E76534" w:rsidRDefault="00422E2F" w:rsidP="00422E2F">
      <w:pPr>
        <w:pStyle w:val="Body"/>
        <w:spacing w:after="0"/>
        <w:rPr>
          <w:rFonts w:ascii="Arial" w:hAnsi="Arial" w:cs="Arial"/>
        </w:rPr>
      </w:pPr>
      <w:r w:rsidRPr="00E76534">
        <w:rPr>
          <w:rFonts w:ascii="Arial" w:hAnsi="Arial" w:cs="Arial"/>
        </w:rPr>
        <w:t>Finally, to assess persistence and path dependence in fertility timing, the analysis estimates a dynamic fixed-effects specification that includes a lagged dependent variable:</w:t>
      </w:r>
    </w:p>
    <w:p w14:paraId="115D5124" w14:textId="77777777" w:rsidR="00D264B7" w:rsidRPr="00E76534" w:rsidRDefault="00D264B7" w:rsidP="00422E2F">
      <w:pPr>
        <w:pStyle w:val="Body"/>
        <w:spacing w:after="0"/>
        <w:rPr>
          <w:rFonts w:ascii="Arial" w:hAnsi="Arial" w:cs="Arial"/>
        </w:rPr>
      </w:pPr>
    </w:p>
    <w:p w14:paraId="34930726" w14:textId="5F93CA08"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=α+ρ</m:t>
          </m:r>
          <m:sSub>
            <m:sSubPr>
              <m:ctrlPr>
                <w:rPr>
                  <w:rFonts w:ascii="Cambria Math" w:hAnsi="Cambria Math" w:cs="Arial"/>
                </w:rPr>
              </m:ctrlPr>
            </m:sSubPr>
            <m:e>
              <m:r>
                <w:rPr>
                  <w:rFonts w:ascii="Cambria Math" w:hAnsi="Cambria Math" w:cs="Arial"/>
                </w:rPr>
                <m:t>y</m:t>
              </m:r>
            </m:e>
            <m:sub>
              <m:r>
                <w:rPr>
                  <w:rFonts w:ascii="Cambria Math" w:hAnsi="Cambria Math" w:cs="Arial"/>
                </w:rPr>
                <m:t>c,t-1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m:rPr>
              <m:sty m:val="p"/>
            </m:rPr>
            <w:rPr>
              <w:rFonts w:ascii="Cambria Math" w:hAnsi="Cambria Math" w:cs="Arial"/>
            </w:rPr>
            <m:t xml:space="preserve">          (13)</m:t>
          </m:r>
          <m:r>
            <m:rPr>
              <m:sty m:val="p"/>
            </m:rPr>
            <w:rPr>
              <w:rFonts w:ascii="Cambria Math" w:hAnsi="Cambria Math" w:cs="Arial"/>
            </w:rPr>
            <w:br/>
          </m:r>
        </m:oMath>
      </m:oMathPara>
    </w:p>
    <w:p w14:paraId="0785FC93" w14:textId="79A5D468" w:rsidR="00422E2F" w:rsidRPr="00E76534" w:rsidRDefault="00422E2F" w:rsidP="00422E2F">
      <w:pPr>
        <w:pStyle w:val="Body"/>
        <w:spacing w:after="0"/>
        <w:rPr>
          <w:rFonts w:ascii="Arial" w:hAnsi="Arial" w:cs="Arial"/>
        </w:rPr>
      </w:pPr>
      <w:r w:rsidRPr="00E76534">
        <w:rPr>
          <w:rFonts w:ascii="Arial" w:hAnsi="Arial" w:cs="Arial"/>
        </w:rPr>
        <w:t>A positive and statistically significant coefficient on the lagged outcome indicates persistence in fertility timing, consistent with slow-moving institutional change and intergenerational transmission of fertility norms. Given that including a lagged dependent variable in a fixed-effects model can introduce Nickell bias when the time dimension is short, this specification is interpreted cautiously. With </w:t>
      </w:r>
      <m:oMath>
        <m:r>
          <w:rPr>
            <w:rFonts w:ascii="Cambria Math" w:hAnsi="Cambria Math" w:cs="Arial"/>
          </w:rPr>
          <m:t>T=34</m:t>
        </m:r>
      </m:oMath>
      <w:r w:rsidRPr="00E76534">
        <w:rPr>
          <w:rFonts w:ascii="Arial" w:hAnsi="Arial" w:cs="Arial"/>
        </w:rPr>
        <w:t>, the bias is mitigated but not eliminated, and the results are therefore viewed as descriptive evidence on persistence rather than as causal estimates.</w:t>
      </w:r>
    </w:p>
    <w:p w14:paraId="5A4F7672" w14:textId="755D71C6" w:rsidR="00422E2F" w:rsidRPr="00E76534" w:rsidRDefault="00422E2F" w:rsidP="00010349">
      <w:pPr>
        <w:pStyle w:val="Body"/>
        <w:spacing w:after="0"/>
        <w:rPr>
          <w:rFonts w:ascii="Arial" w:hAnsi="Arial" w:cs="Arial"/>
        </w:rPr>
      </w:pPr>
    </w:p>
    <w:p w14:paraId="0217EDED" w14:textId="74468138" w:rsidR="001B5C19" w:rsidRPr="00E76534" w:rsidRDefault="00CE5B86" w:rsidP="001B5C19">
      <w:pPr>
        <w:pStyle w:val="Body"/>
        <w:spacing w:after="0"/>
        <w:rPr>
          <w:rFonts w:ascii="Arial" w:hAnsi="Arial" w:cs="Arial"/>
          <w:b/>
          <w:bCs/>
          <w:sz w:val="22"/>
          <w:szCs w:val="22"/>
        </w:rPr>
      </w:pPr>
      <w:r w:rsidRPr="00E76534">
        <w:rPr>
          <w:rFonts w:ascii="Arial" w:hAnsi="Arial" w:cs="Arial"/>
          <w:b/>
          <w:bCs/>
          <w:sz w:val="22"/>
          <w:szCs w:val="22"/>
        </w:rPr>
        <w:t>3</w:t>
      </w:r>
      <w:r w:rsidR="001B5C19" w:rsidRPr="00E76534">
        <w:rPr>
          <w:rFonts w:ascii="Arial" w:hAnsi="Arial" w:cs="Arial"/>
          <w:b/>
          <w:bCs/>
          <w:sz w:val="22"/>
          <w:szCs w:val="22"/>
        </w:rPr>
        <w:t>. Results</w:t>
      </w:r>
    </w:p>
    <w:p w14:paraId="41868E8B" w14:textId="77777777" w:rsidR="00CE5B86" w:rsidRPr="00E76534" w:rsidRDefault="00CE5B86" w:rsidP="001B5C19">
      <w:pPr>
        <w:pStyle w:val="Body"/>
        <w:spacing w:after="0"/>
        <w:rPr>
          <w:rFonts w:ascii="Arial" w:hAnsi="Arial" w:cs="Arial"/>
          <w:b/>
          <w:bCs/>
          <w:sz w:val="22"/>
          <w:szCs w:val="22"/>
        </w:rPr>
      </w:pPr>
    </w:p>
    <w:p w14:paraId="68A7B54F" w14:textId="0677EB32" w:rsidR="00CE5B86" w:rsidRPr="00E76534" w:rsidRDefault="00CE5B86" w:rsidP="001B5C19">
      <w:pPr>
        <w:pStyle w:val="Body"/>
        <w:spacing w:after="0"/>
        <w:rPr>
          <w:rFonts w:ascii="Arial" w:hAnsi="Arial" w:cs="Arial"/>
          <w:b/>
          <w:bCs/>
          <w:sz w:val="22"/>
          <w:szCs w:val="22"/>
        </w:rPr>
      </w:pPr>
      <w:r w:rsidRPr="00E76534">
        <w:rPr>
          <w:rFonts w:ascii="Arial" w:hAnsi="Arial" w:cs="Arial"/>
          <w:b/>
          <w:bCs/>
          <w:sz w:val="22"/>
          <w:szCs w:val="22"/>
        </w:rPr>
        <w:t>3.1 Results</w:t>
      </w:r>
    </w:p>
    <w:p w14:paraId="4CF72208" w14:textId="24A41E21" w:rsidR="00422E2F" w:rsidRPr="00E76534" w:rsidRDefault="001B5C19" w:rsidP="001B5C19">
      <w:pPr>
        <w:pStyle w:val="Body"/>
        <w:spacing w:after="0"/>
        <w:rPr>
          <w:rFonts w:ascii="Arial" w:hAnsi="Arial" w:cs="Arial"/>
          <w:color w:val="000000"/>
        </w:rPr>
      </w:pPr>
      <w:r w:rsidRPr="00E76534">
        <w:rPr>
          <w:rFonts w:ascii="Arial" w:hAnsi="Arial" w:cs="Arial"/>
        </w:rPr>
        <w:t xml:space="preserve">Table 1 reports fixed-effects estimates of the relationship between gender inequality and fertility timing. Across specifications, the results consistently indicate that higher gender </w:t>
      </w:r>
      <w:r w:rsidRPr="00E76534">
        <w:rPr>
          <w:rFonts w:ascii="Arial" w:hAnsi="Arial" w:cs="Arial"/>
          <w:color w:val="000000"/>
        </w:rPr>
        <w:t>inequality is associated with earlier fertility timing within countries.</w:t>
      </w:r>
    </w:p>
    <w:p w14:paraId="263573AB" w14:textId="77777777" w:rsidR="001B5C19" w:rsidRPr="00E76534" w:rsidRDefault="001B5C19" w:rsidP="001B5C19">
      <w:pPr>
        <w:pStyle w:val="Body"/>
        <w:spacing w:after="0"/>
        <w:rPr>
          <w:rFonts w:ascii="Arial" w:hAnsi="Arial" w:cs="Arial"/>
          <w:color w:val="000000"/>
        </w:rPr>
      </w:pPr>
    </w:p>
    <w:p w14:paraId="38DE9CD3" w14:textId="77777777" w:rsidR="001B5C19" w:rsidRPr="00E76534" w:rsidRDefault="001B5C19" w:rsidP="001B5C19">
      <w:pPr>
        <w:pStyle w:val="Heading2"/>
        <w:rPr>
          <w:rFonts w:ascii="Arial" w:hAnsi="Arial" w:cs="Arial"/>
          <w:b/>
          <w:bCs/>
          <w:color w:val="000000"/>
          <w:sz w:val="20"/>
          <w:szCs w:val="20"/>
        </w:rPr>
      </w:pPr>
      <w:r w:rsidRPr="00E76534">
        <w:rPr>
          <w:rFonts w:ascii="Arial" w:hAnsi="Arial" w:cs="Arial"/>
          <w:b/>
          <w:bCs/>
          <w:color w:val="000000"/>
          <w:sz w:val="20"/>
          <w:szCs w:val="20"/>
        </w:rPr>
        <w:t>Table 1. Gender Inequality and Childbearing</w:t>
      </w:r>
    </w:p>
    <w:p w14:paraId="7D6105AB" w14:textId="77777777" w:rsidR="001B5C19" w:rsidRPr="00E76534" w:rsidRDefault="001B5C19" w:rsidP="001B5C19">
      <w:pPr>
        <w:pStyle w:val="Body"/>
        <w:spacing w:after="0"/>
        <w:rPr>
          <w:rFonts w:ascii="Arial" w:hAnsi="Arial" w:cs="Arial"/>
        </w:rPr>
      </w:pPr>
    </w:p>
    <w:p w14:paraId="7727F655" w14:textId="77777777" w:rsidR="00D25817" w:rsidRDefault="00D25817" w:rsidP="001B5C19">
      <w:pPr>
        <w:pStyle w:val="Body"/>
        <w:spacing w:after="0"/>
        <w:rPr>
          <w:rFonts w:ascii="Arial" w:hAnsi="Arial" w:cs="Arial"/>
          <w:b/>
          <w:bCs/>
          <w:i/>
          <w:iCs/>
          <w:sz w:val="18"/>
          <w:szCs w:val="18"/>
          <w:highlight w:val="cyan"/>
        </w:rPr>
      </w:pPr>
    </w:p>
    <w:p w14:paraId="5A7C3428" w14:textId="77777777" w:rsidR="00D25817" w:rsidRDefault="00D25817" w:rsidP="001B5C19">
      <w:pPr>
        <w:pStyle w:val="Body"/>
        <w:spacing w:after="0"/>
        <w:rPr>
          <w:rFonts w:ascii="Arial" w:hAnsi="Arial" w:cs="Arial"/>
          <w:b/>
          <w:bCs/>
          <w:i/>
          <w:iCs/>
          <w:sz w:val="18"/>
          <w:szCs w:val="18"/>
          <w:highlight w:val="cyan"/>
        </w:rPr>
      </w:pPr>
    </w:p>
    <w:p w14:paraId="480EAD1F" w14:textId="77777777" w:rsidR="00D25817" w:rsidRDefault="00D25817" w:rsidP="001B5C19">
      <w:pPr>
        <w:pStyle w:val="Body"/>
        <w:spacing w:after="0"/>
        <w:rPr>
          <w:rFonts w:ascii="Arial" w:hAnsi="Arial" w:cs="Arial"/>
          <w:b/>
          <w:bCs/>
          <w:i/>
          <w:iCs/>
          <w:sz w:val="18"/>
          <w:szCs w:val="18"/>
          <w:highlight w:val="cyan"/>
        </w:rPr>
      </w:pPr>
    </w:p>
    <w:p w14:paraId="0650C5F0" w14:textId="77777777" w:rsidR="00D25817" w:rsidRDefault="00D25817" w:rsidP="001B5C19">
      <w:pPr>
        <w:pStyle w:val="Body"/>
        <w:spacing w:after="0"/>
        <w:rPr>
          <w:rFonts w:ascii="Arial" w:hAnsi="Arial" w:cs="Arial"/>
          <w:b/>
          <w:bCs/>
          <w:i/>
          <w:iCs/>
          <w:sz w:val="18"/>
          <w:szCs w:val="18"/>
          <w:highlight w:val="cyan"/>
        </w:rPr>
      </w:pPr>
    </w:p>
    <w:p w14:paraId="49026260" w14:textId="77777777" w:rsidR="00D25817" w:rsidRDefault="00D25817" w:rsidP="001B5C19">
      <w:pPr>
        <w:pStyle w:val="Body"/>
        <w:spacing w:after="0"/>
        <w:rPr>
          <w:rFonts w:ascii="Arial" w:hAnsi="Arial" w:cs="Arial"/>
          <w:b/>
          <w:bCs/>
          <w:i/>
          <w:iCs/>
          <w:sz w:val="18"/>
          <w:szCs w:val="18"/>
          <w:highlight w:val="cyan"/>
        </w:rPr>
      </w:pPr>
    </w:p>
    <w:tbl>
      <w:tblPr>
        <w:tblpPr w:leftFromText="180" w:rightFromText="180" w:vertAnchor="page" w:horzAnchor="margin" w:tblpY="1430"/>
        <w:tblW w:w="8183" w:type="dxa"/>
        <w:tblLook w:val="04A0" w:firstRow="1" w:lastRow="0" w:firstColumn="1" w:lastColumn="0" w:noHBand="0" w:noVBand="1"/>
      </w:tblPr>
      <w:tblGrid>
        <w:gridCol w:w="1395"/>
        <w:gridCol w:w="221"/>
        <w:gridCol w:w="859"/>
        <w:gridCol w:w="1074"/>
        <w:gridCol w:w="1074"/>
        <w:gridCol w:w="1074"/>
        <w:gridCol w:w="1192"/>
        <w:gridCol w:w="1294"/>
      </w:tblGrid>
      <w:tr w:rsidR="00D25817" w:rsidRPr="00E76534" w14:paraId="2EAA4FE1" w14:textId="77777777" w:rsidTr="00D25817">
        <w:trPr>
          <w:trHeight w:val="138"/>
        </w:trPr>
        <w:tc>
          <w:tcPr>
            <w:tcW w:w="1616" w:type="dxa"/>
            <w:gridSpan w:val="2"/>
            <w:tcBorders>
              <w:top w:val="nil"/>
              <w:left w:val="nil"/>
              <w:bottom w:val="double" w:sz="6" w:space="0" w:color="auto"/>
              <w:right w:val="nil"/>
            </w:tcBorders>
            <w:noWrap/>
            <w:vAlign w:val="center"/>
            <w:hideMark/>
          </w:tcPr>
          <w:p w14:paraId="164809A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lastRenderedPageBreak/>
              <w:t>Variables</w:t>
            </w:r>
          </w:p>
        </w:tc>
        <w:tc>
          <w:tcPr>
            <w:tcW w:w="859" w:type="dxa"/>
            <w:tcBorders>
              <w:top w:val="nil"/>
              <w:left w:val="nil"/>
              <w:bottom w:val="double" w:sz="6" w:space="0" w:color="auto"/>
              <w:right w:val="nil"/>
            </w:tcBorders>
            <w:noWrap/>
            <w:vAlign w:val="center"/>
            <w:hideMark/>
          </w:tcPr>
          <w:p w14:paraId="64A7438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(1)</w:t>
            </w:r>
          </w:p>
        </w:tc>
        <w:tc>
          <w:tcPr>
            <w:tcW w:w="1074" w:type="dxa"/>
            <w:tcBorders>
              <w:top w:val="nil"/>
              <w:left w:val="nil"/>
              <w:bottom w:val="double" w:sz="6" w:space="0" w:color="auto"/>
              <w:right w:val="nil"/>
            </w:tcBorders>
            <w:noWrap/>
            <w:vAlign w:val="center"/>
            <w:hideMark/>
          </w:tcPr>
          <w:p w14:paraId="7FD76A0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w:t>
            </w:r>
          </w:p>
        </w:tc>
        <w:tc>
          <w:tcPr>
            <w:tcW w:w="1074" w:type="dxa"/>
            <w:tcBorders>
              <w:top w:val="nil"/>
              <w:left w:val="nil"/>
              <w:bottom w:val="double" w:sz="6" w:space="0" w:color="auto"/>
              <w:right w:val="nil"/>
            </w:tcBorders>
            <w:noWrap/>
            <w:vAlign w:val="center"/>
            <w:hideMark/>
          </w:tcPr>
          <w:p w14:paraId="060BD81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w:t>
            </w:r>
          </w:p>
        </w:tc>
        <w:tc>
          <w:tcPr>
            <w:tcW w:w="1074" w:type="dxa"/>
            <w:tcBorders>
              <w:top w:val="nil"/>
              <w:left w:val="nil"/>
              <w:bottom w:val="double" w:sz="6" w:space="0" w:color="auto"/>
              <w:right w:val="nil"/>
            </w:tcBorders>
            <w:noWrap/>
            <w:vAlign w:val="center"/>
            <w:hideMark/>
          </w:tcPr>
          <w:p w14:paraId="0F6E287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(4)</w:t>
            </w:r>
          </w:p>
        </w:tc>
        <w:tc>
          <w:tcPr>
            <w:tcW w:w="1192" w:type="dxa"/>
            <w:tcBorders>
              <w:top w:val="nil"/>
              <w:left w:val="nil"/>
              <w:bottom w:val="double" w:sz="6" w:space="0" w:color="auto"/>
              <w:right w:val="nil"/>
            </w:tcBorders>
            <w:noWrap/>
            <w:vAlign w:val="center"/>
            <w:hideMark/>
          </w:tcPr>
          <w:p w14:paraId="101296C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(5)</w:t>
            </w:r>
          </w:p>
        </w:tc>
        <w:tc>
          <w:tcPr>
            <w:tcW w:w="1294" w:type="dxa"/>
            <w:tcBorders>
              <w:top w:val="nil"/>
              <w:left w:val="nil"/>
              <w:bottom w:val="double" w:sz="6" w:space="0" w:color="auto"/>
              <w:right w:val="nil"/>
            </w:tcBorders>
            <w:noWrap/>
            <w:vAlign w:val="center"/>
            <w:hideMark/>
          </w:tcPr>
          <w:p w14:paraId="342FF3D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(6)</w:t>
            </w:r>
          </w:p>
        </w:tc>
      </w:tr>
      <w:tr w:rsidR="00D25817" w:rsidRPr="00E76534" w14:paraId="7EFFBA8E" w14:textId="77777777" w:rsidTr="00D25817">
        <w:trPr>
          <w:trHeight w:val="138"/>
        </w:trPr>
        <w:tc>
          <w:tcPr>
            <w:tcW w:w="1395" w:type="dxa"/>
            <w:tcBorders>
              <w:top w:val="nil"/>
              <w:left w:val="nil"/>
              <w:bottom w:val="nil"/>
              <w:right w:val="nil"/>
            </w:tcBorders>
            <w:noWrap/>
            <w:vAlign w:val="center"/>
            <w:hideMark/>
          </w:tcPr>
          <w:p w14:paraId="56C73D3C"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GII</w:t>
            </w:r>
          </w:p>
        </w:tc>
        <w:tc>
          <w:tcPr>
            <w:tcW w:w="1080" w:type="dxa"/>
            <w:gridSpan w:val="2"/>
            <w:tcBorders>
              <w:top w:val="nil"/>
              <w:left w:val="nil"/>
              <w:bottom w:val="nil"/>
              <w:right w:val="nil"/>
            </w:tcBorders>
            <w:noWrap/>
            <w:vAlign w:val="center"/>
            <w:hideMark/>
          </w:tcPr>
          <w:p w14:paraId="3485001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0.0126**</w:t>
            </w:r>
          </w:p>
          <w:p w14:paraId="6D621FCA"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(0.0057)</w:t>
            </w:r>
          </w:p>
        </w:tc>
        <w:tc>
          <w:tcPr>
            <w:tcW w:w="1074" w:type="dxa"/>
            <w:tcBorders>
              <w:top w:val="nil"/>
              <w:left w:val="nil"/>
              <w:bottom w:val="nil"/>
              <w:right w:val="nil"/>
            </w:tcBorders>
            <w:noWrap/>
            <w:vAlign w:val="center"/>
            <w:hideMark/>
          </w:tcPr>
          <w:p w14:paraId="686A7E9E"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0.0125**</w:t>
            </w:r>
          </w:p>
          <w:p w14:paraId="5888655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(0.0057)</w:t>
            </w:r>
          </w:p>
        </w:tc>
        <w:tc>
          <w:tcPr>
            <w:tcW w:w="1074" w:type="dxa"/>
            <w:tcBorders>
              <w:top w:val="nil"/>
              <w:left w:val="nil"/>
              <w:bottom w:val="nil"/>
              <w:right w:val="nil"/>
            </w:tcBorders>
            <w:noWrap/>
            <w:vAlign w:val="center"/>
            <w:hideMark/>
          </w:tcPr>
          <w:p w14:paraId="03A5853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0.0121**</w:t>
            </w:r>
          </w:p>
          <w:p w14:paraId="7FF36B8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(0.0057)</w:t>
            </w:r>
          </w:p>
        </w:tc>
        <w:tc>
          <w:tcPr>
            <w:tcW w:w="1074" w:type="dxa"/>
            <w:tcBorders>
              <w:top w:val="nil"/>
              <w:left w:val="nil"/>
              <w:bottom w:val="nil"/>
              <w:right w:val="nil"/>
            </w:tcBorders>
            <w:noWrap/>
            <w:vAlign w:val="center"/>
            <w:hideMark/>
          </w:tcPr>
          <w:p w14:paraId="38724715" w14:textId="77777777" w:rsidR="00D25817" w:rsidRPr="00E76534" w:rsidRDefault="00D25817" w:rsidP="00D25817">
            <w:pPr>
              <w:jc w:val="center"/>
              <w:rPr>
                <w:rFonts w:ascii="Arial" w:eastAsia="Yu Gothic" w:hAnsi="Arial" w:cs="Arial"/>
                <w:color w:val="000000"/>
              </w:rPr>
            </w:pPr>
          </w:p>
        </w:tc>
        <w:tc>
          <w:tcPr>
            <w:tcW w:w="1192" w:type="dxa"/>
            <w:tcBorders>
              <w:top w:val="nil"/>
              <w:left w:val="nil"/>
              <w:bottom w:val="nil"/>
              <w:right w:val="nil"/>
            </w:tcBorders>
            <w:noWrap/>
            <w:vAlign w:val="center"/>
            <w:hideMark/>
          </w:tcPr>
          <w:p w14:paraId="131DCD5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−0.0428***</w:t>
            </w:r>
          </w:p>
          <w:p w14:paraId="795A6A5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(0.0100)</w:t>
            </w:r>
          </w:p>
        </w:tc>
        <w:tc>
          <w:tcPr>
            <w:tcW w:w="1294" w:type="dxa"/>
            <w:tcBorders>
              <w:top w:val="nil"/>
              <w:left w:val="nil"/>
              <w:bottom w:val="nil"/>
              <w:right w:val="nil"/>
            </w:tcBorders>
            <w:noWrap/>
            <w:vAlign w:val="center"/>
            <w:hideMark/>
          </w:tcPr>
          <w:p w14:paraId="1CAED4F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−0.00116***</w:t>
            </w:r>
          </w:p>
          <w:p w14:paraId="7A2BD7B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(0.00037)</w:t>
            </w:r>
          </w:p>
        </w:tc>
      </w:tr>
      <w:tr w:rsidR="00D25817" w:rsidRPr="00E76534" w14:paraId="5F4380DA" w14:textId="77777777" w:rsidTr="00D25817">
        <w:trPr>
          <w:trHeight w:val="133"/>
        </w:trPr>
        <w:tc>
          <w:tcPr>
            <w:tcW w:w="1395" w:type="dxa"/>
            <w:tcBorders>
              <w:top w:val="nil"/>
              <w:left w:val="nil"/>
              <w:bottom w:val="nil"/>
              <w:right w:val="nil"/>
            </w:tcBorders>
            <w:noWrap/>
            <w:vAlign w:val="center"/>
            <w:hideMark/>
          </w:tcPr>
          <w:p w14:paraId="33A4DE6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GII²</w:t>
            </w:r>
          </w:p>
        </w:tc>
        <w:tc>
          <w:tcPr>
            <w:tcW w:w="1080" w:type="dxa"/>
            <w:gridSpan w:val="2"/>
            <w:tcBorders>
              <w:top w:val="nil"/>
              <w:left w:val="nil"/>
              <w:bottom w:val="nil"/>
              <w:right w:val="nil"/>
            </w:tcBorders>
            <w:noWrap/>
            <w:vAlign w:val="center"/>
            <w:hideMark/>
          </w:tcPr>
          <w:p w14:paraId="56F6241C" w14:textId="77777777" w:rsidR="00D25817" w:rsidRPr="00E76534" w:rsidRDefault="00D25817" w:rsidP="00D25817">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3BD43391"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56CB2302"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4A0ADBB1" w14:textId="77777777" w:rsidR="00D25817" w:rsidRPr="00E76534" w:rsidRDefault="00D25817" w:rsidP="00D25817">
            <w:pPr>
              <w:jc w:val="center"/>
              <w:rPr>
                <w:rFonts w:ascii="Arial" w:hAnsi="Arial" w:cs="Arial"/>
              </w:rPr>
            </w:pPr>
          </w:p>
        </w:tc>
        <w:tc>
          <w:tcPr>
            <w:tcW w:w="1192" w:type="dxa"/>
            <w:tcBorders>
              <w:top w:val="nil"/>
              <w:left w:val="nil"/>
              <w:bottom w:val="nil"/>
              <w:right w:val="nil"/>
            </w:tcBorders>
            <w:noWrap/>
            <w:vAlign w:val="center"/>
            <w:hideMark/>
          </w:tcPr>
          <w:p w14:paraId="1D9AF89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0.00028***</w:t>
            </w:r>
          </w:p>
          <w:p w14:paraId="5D3F397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(0.00005)</w:t>
            </w:r>
          </w:p>
        </w:tc>
        <w:tc>
          <w:tcPr>
            <w:tcW w:w="1294" w:type="dxa"/>
            <w:tcBorders>
              <w:top w:val="nil"/>
              <w:left w:val="nil"/>
              <w:bottom w:val="nil"/>
              <w:right w:val="nil"/>
            </w:tcBorders>
            <w:noWrap/>
            <w:vAlign w:val="center"/>
            <w:hideMark/>
          </w:tcPr>
          <w:p w14:paraId="5D8C025D" w14:textId="77777777" w:rsidR="00D25817" w:rsidRPr="00E76534" w:rsidRDefault="00D25817" w:rsidP="00D25817">
            <w:pPr>
              <w:jc w:val="center"/>
              <w:rPr>
                <w:rFonts w:ascii="Arial" w:eastAsia="Yu Gothic" w:hAnsi="Arial" w:cs="Arial"/>
                <w:color w:val="000000"/>
              </w:rPr>
            </w:pPr>
          </w:p>
        </w:tc>
      </w:tr>
      <w:tr w:rsidR="00D25817" w:rsidRPr="00E76534" w14:paraId="6B4E08F0" w14:textId="77777777" w:rsidTr="00D25817">
        <w:trPr>
          <w:trHeight w:val="133"/>
        </w:trPr>
        <w:tc>
          <w:tcPr>
            <w:tcW w:w="1395" w:type="dxa"/>
            <w:tcBorders>
              <w:top w:val="nil"/>
              <w:left w:val="nil"/>
              <w:bottom w:val="nil"/>
              <w:right w:val="nil"/>
            </w:tcBorders>
            <w:noWrap/>
            <w:vAlign w:val="center"/>
            <w:hideMark/>
          </w:tcPr>
          <w:p w14:paraId="3BB3079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GDI</w:t>
            </w:r>
          </w:p>
        </w:tc>
        <w:tc>
          <w:tcPr>
            <w:tcW w:w="1080" w:type="dxa"/>
            <w:gridSpan w:val="2"/>
            <w:tcBorders>
              <w:top w:val="nil"/>
              <w:left w:val="nil"/>
              <w:bottom w:val="nil"/>
              <w:right w:val="nil"/>
            </w:tcBorders>
            <w:noWrap/>
            <w:vAlign w:val="center"/>
            <w:hideMark/>
          </w:tcPr>
          <w:p w14:paraId="5E36B78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−0.006</w:t>
            </w:r>
          </w:p>
          <w:p w14:paraId="742C3638"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(0.051)</w:t>
            </w:r>
          </w:p>
        </w:tc>
        <w:tc>
          <w:tcPr>
            <w:tcW w:w="1074" w:type="dxa"/>
            <w:tcBorders>
              <w:top w:val="nil"/>
              <w:left w:val="nil"/>
              <w:bottom w:val="nil"/>
              <w:right w:val="nil"/>
            </w:tcBorders>
            <w:noWrap/>
            <w:vAlign w:val="center"/>
            <w:hideMark/>
          </w:tcPr>
          <w:p w14:paraId="5F2903A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−0.024</w:t>
            </w:r>
          </w:p>
          <w:p w14:paraId="437EA49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(0.049)</w:t>
            </w:r>
          </w:p>
        </w:tc>
        <w:tc>
          <w:tcPr>
            <w:tcW w:w="1074" w:type="dxa"/>
            <w:tcBorders>
              <w:top w:val="nil"/>
              <w:left w:val="nil"/>
              <w:bottom w:val="nil"/>
              <w:right w:val="nil"/>
            </w:tcBorders>
            <w:noWrap/>
            <w:vAlign w:val="center"/>
            <w:hideMark/>
          </w:tcPr>
          <w:p w14:paraId="6C7D1D2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−0.024</w:t>
            </w:r>
          </w:p>
          <w:p w14:paraId="16D45B6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(0.049)</w:t>
            </w:r>
          </w:p>
        </w:tc>
        <w:tc>
          <w:tcPr>
            <w:tcW w:w="1074" w:type="dxa"/>
            <w:tcBorders>
              <w:top w:val="nil"/>
              <w:left w:val="nil"/>
              <w:bottom w:val="nil"/>
              <w:right w:val="nil"/>
            </w:tcBorders>
            <w:noWrap/>
            <w:vAlign w:val="center"/>
            <w:hideMark/>
          </w:tcPr>
          <w:p w14:paraId="6BC2559A" w14:textId="77777777" w:rsidR="00D25817" w:rsidRPr="00E76534" w:rsidRDefault="00D25817" w:rsidP="00D25817">
            <w:pPr>
              <w:jc w:val="center"/>
              <w:rPr>
                <w:rFonts w:ascii="Arial" w:eastAsia="Yu Gothic" w:hAnsi="Arial" w:cs="Arial"/>
                <w:color w:val="000000"/>
              </w:rPr>
            </w:pPr>
          </w:p>
        </w:tc>
        <w:tc>
          <w:tcPr>
            <w:tcW w:w="1192" w:type="dxa"/>
            <w:tcBorders>
              <w:top w:val="nil"/>
              <w:left w:val="nil"/>
              <w:bottom w:val="nil"/>
              <w:right w:val="nil"/>
            </w:tcBorders>
            <w:noWrap/>
            <w:vAlign w:val="center"/>
            <w:hideMark/>
          </w:tcPr>
          <w:p w14:paraId="195AEC15" w14:textId="77777777" w:rsidR="00D25817" w:rsidRPr="00E76534" w:rsidRDefault="00D25817" w:rsidP="00D25817">
            <w:pPr>
              <w:jc w:val="center"/>
              <w:rPr>
                <w:rFonts w:ascii="Arial" w:hAnsi="Arial" w:cs="Arial"/>
              </w:rPr>
            </w:pPr>
          </w:p>
        </w:tc>
        <w:tc>
          <w:tcPr>
            <w:tcW w:w="1294" w:type="dxa"/>
            <w:tcBorders>
              <w:top w:val="nil"/>
              <w:left w:val="nil"/>
              <w:bottom w:val="nil"/>
              <w:right w:val="nil"/>
            </w:tcBorders>
            <w:noWrap/>
            <w:vAlign w:val="center"/>
            <w:hideMark/>
          </w:tcPr>
          <w:p w14:paraId="501FB420" w14:textId="77777777" w:rsidR="00D25817" w:rsidRPr="00E76534" w:rsidRDefault="00D25817" w:rsidP="00D25817">
            <w:pPr>
              <w:jc w:val="center"/>
              <w:rPr>
                <w:rFonts w:ascii="Arial" w:hAnsi="Arial" w:cs="Arial"/>
              </w:rPr>
            </w:pPr>
          </w:p>
        </w:tc>
      </w:tr>
      <w:tr w:rsidR="00D25817" w:rsidRPr="00E76534" w14:paraId="5B0CDB20" w14:textId="77777777" w:rsidTr="00D25817">
        <w:trPr>
          <w:trHeight w:val="133"/>
        </w:trPr>
        <w:tc>
          <w:tcPr>
            <w:tcW w:w="1395" w:type="dxa"/>
            <w:tcBorders>
              <w:top w:val="nil"/>
              <w:left w:val="nil"/>
              <w:bottom w:val="nil"/>
              <w:right w:val="nil"/>
            </w:tcBorders>
            <w:noWrap/>
            <w:vAlign w:val="center"/>
            <w:hideMark/>
          </w:tcPr>
          <w:p w14:paraId="2BB9CCC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Schooling</w:t>
            </w:r>
          </w:p>
        </w:tc>
        <w:tc>
          <w:tcPr>
            <w:tcW w:w="1080" w:type="dxa"/>
            <w:gridSpan w:val="2"/>
            <w:tcBorders>
              <w:top w:val="nil"/>
              <w:left w:val="nil"/>
              <w:bottom w:val="nil"/>
              <w:right w:val="nil"/>
            </w:tcBorders>
            <w:noWrap/>
            <w:vAlign w:val="center"/>
            <w:hideMark/>
          </w:tcPr>
          <w:p w14:paraId="11F2F127" w14:textId="77777777" w:rsidR="00D25817" w:rsidRPr="00E76534" w:rsidRDefault="00D25817" w:rsidP="00D25817">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301A116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0.206**</w:t>
            </w:r>
          </w:p>
          <w:p w14:paraId="73197028"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(0.103)</w:t>
            </w:r>
          </w:p>
        </w:tc>
        <w:tc>
          <w:tcPr>
            <w:tcW w:w="1074" w:type="dxa"/>
            <w:tcBorders>
              <w:top w:val="nil"/>
              <w:left w:val="nil"/>
              <w:bottom w:val="nil"/>
              <w:right w:val="nil"/>
            </w:tcBorders>
            <w:noWrap/>
            <w:vAlign w:val="center"/>
            <w:hideMark/>
          </w:tcPr>
          <w:p w14:paraId="31F09808"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0.206**</w:t>
            </w:r>
          </w:p>
          <w:p w14:paraId="76053B2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(0.103)</w:t>
            </w:r>
          </w:p>
        </w:tc>
        <w:tc>
          <w:tcPr>
            <w:tcW w:w="1074" w:type="dxa"/>
            <w:tcBorders>
              <w:top w:val="nil"/>
              <w:left w:val="nil"/>
              <w:bottom w:val="nil"/>
              <w:right w:val="nil"/>
            </w:tcBorders>
            <w:noWrap/>
            <w:vAlign w:val="center"/>
            <w:hideMark/>
          </w:tcPr>
          <w:p w14:paraId="41BB359D" w14:textId="77777777" w:rsidR="00D25817" w:rsidRPr="00E76534" w:rsidRDefault="00D25817" w:rsidP="00D25817">
            <w:pPr>
              <w:jc w:val="center"/>
              <w:rPr>
                <w:rFonts w:ascii="Arial" w:eastAsia="Yu Gothic" w:hAnsi="Arial" w:cs="Arial"/>
                <w:color w:val="000000"/>
              </w:rPr>
            </w:pPr>
          </w:p>
        </w:tc>
        <w:tc>
          <w:tcPr>
            <w:tcW w:w="1192" w:type="dxa"/>
            <w:tcBorders>
              <w:top w:val="nil"/>
              <w:left w:val="nil"/>
              <w:bottom w:val="nil"/>
              <w:right w:val="nil"/>
            </w:tcBorders>
            <w:noWrap/>
            <w:vAlign w:val="center"/>
            <w:hideMark/>
          </w:tcPr>
          <w:p w14:paraId="460497D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0.103</w:t>
            </w:r>
          </w:p>
          <w:p w14:paraId="3941B16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(0.096)</w:t>
            </w:r>
          </w:p>
        </w:tc>
        <w:tc>
          <w:tcPr>
            <w:tcW w:w="1294" w:type="dxa"/>
            <w:tcBorders>
              <w:top w:val="nil"/>
              <w:left w:val="nil"/>
              <w:bottom w:val="nil"/>
              <w:right w:val="nil"/>
            </w:tcBorders>
            <w:noWrap/>
            <w:vAlign w:val="center"/>
            <w:hideMark/>
          </w:tcPr>
          <w:p w14:paraId="283E986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0.008</w:t>
            </w:r>
          </w:p>
          <w:p w14:paraId="046969C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(0.005)</w:t>
            </w:r>
          </w:p>
        </w:tc>
      </w:tr>
      <w:tr w:rsidR="00D25817" w:rsidRPr="00E76534" w14:paraId="510321FC" w14:textId="77777777" w:rsidTr="00D25817">
        <w:trPr>
          <w:trHeight w:val="133"/>
        </w:trPr>
        <w:tc>
          <w:tcPr>
            <w:tcW w:w="1395" w:type="dxa"/>
            <w:tcBorders>
              <w:top w:val="nil"/>
              <w:left w:val="nil"/>
              <w:bottom w:val="nil"/>
              <w:right w:val="nil"/>
            </w:tcBorders>
            <w:noWrap/>
            <w:vAlign w:val="center"/>
            <w:hideMark/>
          </w:tcPr>
          <w:p w14:paraId="173F4BE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L1. GII</w:t>
            </w:r>
          </w:p>
        </w:tc>
        <w:tc>
          <w:tcPr>
            <w:tcW w:w="1080" w:type="dxa"/>
            <w:gridSpan w:val="2"/>
            <w:tcBorders>
              <w:top w:val="nil"/>
              <w:left w:val="nil"/>
              <w:bottom w:val="nil"/>
              <w:right w:val="nil"/>
            </w:tcBorders>
            <w:noWrap/>
            <w:vAlign w:val="center"/>
            <w:hideMark/>
          </w:tcPr>
          <w:p w14:paraId="7250426C" w14:textId="77777777" w:rsidR="00D25817" w:rsidRPr="00E76534" w:rsidRDefault="00D25817" w:rsidP="00D25817">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0C111117"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05C94965"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1611575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0.0108*</w:t>
            </w:r>
          </w:p>
          <w:p w14:paraId="3250B8E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(0.0056)</w:t>
            </w:r>
          </w:p>
        </w:tc>
        <w:tc>
          <w:tcPr>
            <w:tcW w:w="1192" w:type="dxa"/>
            <w:tcBorders>
              <w:top w:val="nil"/>
              <w:left w:val="nil"/>
              <w:bottom w:val="nil"/>
              <w:right w:val="nil"/>
            </w:tcBorders>
            <w:noWrap/>
            <w:vAlign w:val="center"/>
            <w:hideMark/>
          </w:tcPr>
          <w:p w14:paraId="5DD1C836" w14:textId="77777777" w:rsidR="00D25817" w:rsidRPr="00E76534" w:rsidRDefault="00D25817" w:rsidP="00D25817">
            <w:pPr>
              <w:jc w:val="center"/>
              <w:rPr>
                <w:rFonts w:ascii="Arial" w:eastAsia="Yu Gothic" w:hAnsi="Arial" w:cs="Arial"/>
                <w:color w:val="000000"/>
              </w:rPr>
            </w:pPr>
          </w:p>
        </w:tc>
        <w:tc>
          <w:tcPr>
            <w:tcW w:w="1294" w:type="dxa"/>
            <w:tcBorders>
              <w:top w:val="nil"/>
              <w:left w:val="nil"/>
              <w:bottom w:val="nil"/>
              <w:right w:val="nil"/>
            </w:tcBorders>
            <w:noWrap/>
            <w:vAlign w:val="center"/>
            <w:hideMark/>
          </w:tcPr>
          <w:p w14:paraId="53FAA119" w14:textId="77777777" w:rsidR="00D25817" w:rsidRPr="00E76534" w:rsidRDefault="00D25817" w:rsidP="00D25817">
            <w:pPr>
              <w:jc w:val="center"/>
              <w:rPr>
                <w:rFonts w:ascii="Arial" w:hAnsi="Arial" w:cs="Arial"/>
              </w:rPr>
            </w:pPr>
          </w:p>
        </w:tc>
      </w:tr>
      <w:tr w:rsidR="00D25817" w:rsidRPr="00E76534" w14:paraId="2A649451" w14:textId="77777777" w:rsidTr="00D25817">
        <w:trPr>
          <w:trHeight w:val="133"/>
        </w:trPr>
        <w:tc>
          <w:tcPr>
            <w:tcW w:w="1395" w:type="dxa"/>
            <w:tcBorders>
              <w:top w:val="nil"/>
              <w:left w:val="nil"/>
              <w:bottom w:val="nil"/>
              <w:right w:val="nil"/>
            </w:tcBorders>
            <w:noWrap/>
            <w:vAlign w:val="center"/>
            <w:hideMark/>
          </w:tcPr>
          <w:p w14:paraId="003B9B9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L1. GDI</w:t>
            </w:r>
          </w:p>
        </w:tc>
        <w:tc>
          <w:tcPr>
            <w:tcW w:w="1080" w:type="dxa"/>
            <w:gridSpan w:val="2"/>
            <w:tcBorders>
              <w:top w:val="nil"/>
              <w:left w:val="nil"/>
              <w:bottom w:val="nil"/>
              <w:right w:val="nil"/>
            </w:tcBorders>
            <w:noWrap/>
            <w:vAlign w:val="center"/>
            <w:hideMark/>
          </w:tcPr>
          <w:p w14:paraId="09CC9792" w14:textId="77777777" w:rsidR="00D25817" w:rsidRPr="00E76534" w:rsidRDefault="00D25817" w:rsidP="00D25817">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08DF79DC"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0052A929"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7E302F9C"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−0.020</w:t>
            </w:r>
          </w:p>
          <w:p w14:paraId="199F62E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(0.047)</w:t>
            </w:r>
          </w:p>
        </w:tc>
        <w:tc>
          <w:tcPr>
            <w:tcW w:w="1192" w:type="dxa"/>
            <w:tcBorders>
              <w:top w:val="nil"/>
              <w:left w:val="nil"/>
              <w:bottom w:val="nil"/>
              <w:right w:val="nil"/>
            </w:tcBorders>
            <w:noWrap/>
            <w:vAlign w:val="center"/>
            <w:hideMark/>
          </w:tcPr>
          <w:p w14:paraId="12A339BA" w14:textId="77777777" w:rsidR="00D25817" w:rsidRPr="00E76534" w:rsidRDefault="00D25817" w:rsidP="00D25817">
            <w:pPr>
              <w:jc w:val="center"/>
              <w:rPr>
                <w:rFonts w:ascii="Arial" w:eastAsia="Yu Gothic" w:hAnsi="Arial" w:cs="Arial"/>
                <w:color w:val="000000"/>
              </w:rPr>
            </w:pPr>
          </w:p>
        </w:tc>
        <w:tc>
          <w:tcPr>
            <w:tcW w:w="1294" w:type="dxa"/>
            <w:tcBorders>
              <w:top w:val="nil"/>
              <w:left w:val="nil"/>
              <w:bottom w:val="nil"/>
              <w:right w:val="nil"/>
            </w:tcBorders>
            <w:noWrap/>
            <w:vAlign w:val="center"/>
            <w:hideMark/>
          </w:tcPr>
          <w:p w14:paraId="1AEA5250" w14:textId="77777777" w:rsidR="00D25817" w:rsidRPr="00E76534" w:rsidRDefault="00D25817" w:rsidP="00D25817">
            <w:pPr>
              <w:jc w:val="center"/>
              <w:rPr>
                <w:rFonts w:ascii="Arial" w:hAnsi="Arial" w:cs="Arial"/>
              </w:rPr>
            </w:pPr>
          </w:p>
        </w:tc>
      </w:tr>
      <w:tr w:rsidR="00D25817" w:rsidRPr="00E76534" w14:paraId="19D07DA1" w14:textId="77777777" w:rsidTr="00D25817">
        <w:trPr>
          <w:trHeight w:val="133"/>
        </w:trPr>
        <w:tc>
          <w:tcPr>
            <w:tcW w:w="1395" w:type="dxa"/>
            <w:tcBorders>
              <w:top w:val="nil"/>
              <w:left w:val="nil"/>
              <w:bottom w:val="nil"/>
              <w:right w:val="nil"/>
            </w:tcBorders>
            <w:noWrap/>
            <w:vAlign w:val="center"/>
            <w:hideMark/>
          </w:tcPr>
          <w:p w14:paraId="6F9AA550"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L1. Schooling</w:t>
            </w:r>
          </w:p>
        </w:tc>
        <w:tc>
          <w:tcPr>
            <w:tcW w:w="1080" w:type="dxa"/>
            <w:gridSpan w:val="2"/>
            <w:tcBorders>
              <w:top w:val="nil"/>
              <w:left w:val="nil"/>
              <w:bottom w:val="nil"/>
              <w:right w:val="nil"/>
            </w:tcBorders>
            <w:noWrap/>
            <w:vAlign w:val="center"/>
            <w:hideMark/>
          </w:tcPr>
          <w:p w14:paraId="1AC4EF9E" w14:textId="77777777" w:rsidR="00D25817" w:rsidRPr="00E76534" w:rsidRDefault="00D25817" w:rsidP="00D25817">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10293620"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180E262B" w14:textId="77777777" w:rsidR="00D25817" w:rsidRPr="00E76534" w:rsidRDefault="00D25817" w:rsidP="00D25817">
            <w:pPr>
              <w:jc w:val="center"/>
              <w:rPr>
                <w:rFonts w:ascii="Arial" w:hAnsi="Arial" w:cs="Arial"/>
              </w:rPr>
            </w:pPr>
          </w:p>
        </w:tc>
        <w:tc>
          <w:tcPr>
            <w:tcW w:w="1074" w:type="dxa"/>
            <w:tcBorders>
              <w:top w:val="nil"/>
              <w:left w:val="nil"/>
              <w:bottom w:val="nil"/>
              <w:right w:val="nil"/>
            </w:tcBorders>
            <w:noWrap/>
            <w:vAlign w:val="center"/>
            <w:hideMark/>
          </w:tcPr>
          <w:p w14:paraId="71DB107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0.224**</w:t>
            </w:r>
          </w:p>
          <w:p w14:paraId="7C13A50E"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(0.102)</w:t>
            </w:r>
          </w:p>
        </w:tc>
        <w:tc>
          <w:tcPr>
            <w:tcW w:w="1192" w:type="dxa"/>
            <w:tcBorders>
              <w:top w:val="nil"/>
              <w:left w:val="nil"/>
              <w:bottom w:val="nil"/>
              <w:right w:val="nil"/>
            </w:tcBorders>
            <w:noWrap/>
            <w:vAlign w:val="center"/>
            <w:hideMark/>
          </w:tcPr>
          <w:p w14:paraId="18B005A5" w14:textId="77777777" w:rsidR="00D25817" w:rsidRPr="00E76534" w:rsidRDefault="00D25817" w:rsidP="00D25817">
            <w:pPr>
              <w:jc w:val="center"/>
              <w:rPr>
                <w:rFonts w:ascii="Arial" w:eastAsia="Yu Gothic" w:hAnsi="Arial" w:cs="Arial"/>
                <w:color w:val="000000"/>
              </w:rPr>
            </w:pPr>
          </w:p>
        </w:tc>
        <w:tc>
          <w:tcPr>
            <w:tcW w:w="1294" w:type="dxa"/>
            <w:tcBorders>
              <w:top w:val="nil"/>
              <w:left w:val="nil"/>
              <w:bottom w:val="nil"/>
              <w:right w:val="nil"/>
            </w:tcBorders>
            <w:noWrap/>
            <w:vAlign w:val="center"/>
            <w:hideMark/>
          </w:tcPr>
          <w:p w14:paraId="33D552A6" w14:textId="77777777" w:rsidR="00D25817" w:rsidRPr="00E76534" w:rsidRDefault="00D25817" w:rsidP="00D25817">
            <w:pPr>
              <w:jc w:val="center"/>
              <w:rPr>
                <w:rFonts w:ascii="Arial" w:hAnsi="Arial" w:cs="Arial"/>
              </w:rPr>
            </w:pPr>
          </w:p>
        </w:tc>
      </w:tr>
      <w:tr w:rsidR="00D25817" w:rsidRPr="00E76534" w14:paraId="6E0C3540" w14:textId="77777777" w:rsidTr="00D25817">
        <w:trPr>
          <w:trHeight w:val="133"/>
        </w:trPr>
        <w:tc>
          <w:tcPr>
            <w:tcW w:w="1395" w:type="dxa"/>
            <w:tcBorders>
              <w:top w:val="nil"/>
              <w:left w:val="nil"/>
              <w:bottom w:val="single" w:sz="4" w:space="0" w:color="auto"/>
              <w:right w:val="nil"/>
            </w:tcBorders>
            <w:noWrap/>
            <w:vAlign w:val="center"/>
            <w:hideMark/>
          </w:tcPr>
          <w:p w14:paraId="6E703C5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L1. Childbearing</w:t>
            </w:r>
          </w:p>
        </w:tc>
        <w:tc>
          <w:tcPr>
            <w:tcW w:w="1080" w:type="dxa"/>
            <w:gridSpan w:val="2"/>
            <w:tcBorders>
              <w:top w:val="nil"/>
              <w:left w:val="nil"/>
              <w:bottom w:val="single" w:sz="4" w:space="0" w:color="auto"/>
              <w:right w:val="nil"/>
            </w:tcBorders>
            <w:noWrap/>
            <w:vAlign w:val="center"/>
            <w:hideMark/>
          </w:tcPr>
          <w:p w14:paraId="62C8A26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 xml:space="preserve">　</w:t>
            </w:r>
          </w:p>
        </w:tc>
        <w:tc>
          <w:tcPr>
            <w:tcW w:w="1074" w:type="dxa"/>
            <w:tcBorders>
              <w:top w:val="nil"/>
              <w:left w:val="nil"/>
              <w:bottom w:val="single" w:sz="4" w:space="0" w:color="auto"/>
              <w:right w:val="nil"/>
            </w:tcBorders>
            <w:noWrap/>
            <w:vAlign w:val="center"/>
            <w:hideMark/>
          </w:tcPr>
          <w:p w14:paraId="460C76A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 xml:space="preserve">　</w:t>
            </w:r>
          </w:p>
        </w:tc>
        <w:tc>
          <w:tcPr>
            <w:tcW w:w="1074" w:type="dxa"/>
            <w:tcBorders>
              <w:top w:val="nil"/>
              <w:left w:val="nil"/>
              <w:bottom w:val="single" w:sz="4" w:space="0" w:color="auto"/>
              <w:right w:val="nil"/>
            </w:tcBorders>
            <w:noWrap/>
            <w:vAlign w:val="center"/>
            <w:hideMark/>
          </w:tcPr>
          <w:p w14:paraId="6731E2C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 xml:space="preserve">　</w:t>
            </w:r>
          </w:p>
        </w:tc>
        <w:tc>
          <w:tcPr>
            <w:tcW w:w="1074" w:type="dxa"/>
            <w:tcBorders>
              <w:top w:val="nil"/>
              <w:left w:val="nil"/>
              <w:bottom w:val="single" w:sz="4" w:space="0" w:color="auto"/>
              <w:right w:val="nil"/>
            </w:tcBorders>
            <w:noWrap/>
            <w:vAlign w:val="center"/>
            <w:hideMark/>
          </w:tcPr>
          <w:p w14:paraId="7FD6BA6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 xml:space="preserve">　</w:t>
            </w:r>
          </w:p>
        </w:tc>
        <w:tc>
          <w:tcPr>
            <w:tcW w:w="1192" w:type="dxa"/>
            <w:tcBorders>
              <w:top w:val="nil"/>
              <w:left w:val="nil"/>
              <w:bottom w:val="single" w:sz="4" w:space="0" w:color="auto"/>
              <w:right w:val="nil"/>
            </w:tcBorders>
            <w:noWrap/>
            <w:vAlign w:val="center"/>
            <w:hideMark/>
          </w:tcPr>
          <w:p w14:paraId="6BB9B26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 xml:space="preserve">　</w:t>
            </w:r>
          </w:p>
        </w:tc>
        <w:tc>
          <w:tcPr>
            <w:tcW w:w="1294" w:type="dxa"/>
            <w:tcBorders>
              <w:top w:val="nil"/>
              <w:left w:val="nil"/>
              <w:bottom w:val="single" w:sz="4" w:space="0" w:color="auto"/>
              <w:right w:val="nil"/>
            </w:tcBorders>
            <w:noWrap/>
            <w:vAlign w:val="center"/>
            <w:hideMark/>
          </w:tcPr>
          <w:p w14:paraId="4DFEAB2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0.981***</w:t>
            </w:r>
          </w:p>
          <w:p w14:paraId="3DF7FF5C"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(0.004)</w:t>
            </w:r>
          </w:p>
        </w:tc>
      </w:tr>
      <w:tr w:rsidR="00D25817" w:rsidRPr="00E76534" w14:paraId="6A0B789B" w14:textId="77777777" w:rsidTr="00D25817">
        <w:trPr>
          <w:trHeight w:val="133"/>
        </w:trPr>
        <w:tc>
          <w:tcPr>
            <w:tcW w:w="1395" w:type="dxa"/>
            <w:tcBorders>
              <w:top w:val="nil"/>
              <w:left w:val="nil"/>
              <w:bottom w:val="nil"/>
              <w:right w:val="nil"/>
            </w:tcBorders>
            <w:noWrap/>
            <w:vAlign w:val="center"/>
            <w:hideMark/>
          </w:tcPr>
          <w:p w14:paraId="6563C75E"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Year Fixed Effects</w:t>
            </w:r>
          </w:p>
        </w:tc>
        <w:tc>
          <w:tcPr>
            <w:tcW w:w="1080" w:type="dxa"/>
            <w:gridSpan w:val="2"/>
            <w:tcBorders>
              <w:top w:val="nil"/>
              <w:left w:val="nil"/>
              <w:bottom w:val="nil"/>
              <w:right w:val="nil"/>
            </w:tcBorders>
            <w:noWrap/>
            <w:vAlign w:val="center"/>
            <w:hideMark/>
          </w:tcPr>
          <w:p w14:paraId="3FE44960"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c>
          <w:tcPr>
            <w:tcW w:w="1074" w:type="dxa"/>
            <w:tcBorders>
              <w:top w:val="nil"/>
              <w:left w:val="nil"/>
              <w:bottom w:val="nil"/>
              <w:right w:val="nil"/>
            </w:tcBorders>
            <w:noWrap/>
            <w:vAlign w:val="center"/>
            <w:hideMark/>
          </w:tcPr>
          <w:p w14:paraId="33DFB4C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c>
          <w:tcPr>
            <w:tcW w:w="1074" w:type="dxa"/>
            <w:tcBorders>
              <w:top w:val="nil"/>
              <w:left w:val="nil"/>
              <w:bottom w:val="nil"/>
              <w:right w:val="nil"/>
            </w:tcBorders>
            <w:noWrap/>
            <w:vAlign w:val="center"/>
            <w:hideMark/>
          </w:tcPr>
          <w:p w14:paraId="2826118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c>
          <w:tcPr>
            <w:tcW w:w="1074" w:type="dxa"/>
            <w:tcBorders>
              <w:top w:val="nil"/>
              <w:left w:val="nil"/>
              <w:bottom w:val="nil"/>
              <w:right w:val="nil"/>
            </w:tcBorders>
            <w:noWrap/>
            <w:vAlign w:val="center"/>
            <w:hideMark/>
          </w:tcPr>
          <w:p w14:paraId="577B317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c>
          <w:tcPr>
            <w:tcW w:w="1192" w:type="dxa"/>
            <w:tcBorders>
              <w:top w:val="nil"/>
              <w:left w:val="nil"/>
              <w:bottom w:val="nil"/>
              <w:right w:val="nil"/>
            </w:tcBorders>
            <w:noWrap/>
            <w:vAlign w:val="center"/>
            <w:hideMark/>
          </w:tcPr>
          <w:p w14:paraId="2C25C91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c>
          <w:tcPr>
            <w:tcW w:w="1294" w:type="dxa"/>
            <w:tcBorders>
              <w:top w:val="nil"/>
              <w:left w:val="nil"/>
              <w:bottom w:val="nil"/>
              <w:right w:val="nil"/>
            </w:tcBorders>
            <w:noWrap/>
            <w:vAlign w:val="center"/>
            <w:hideMark/>
          </w:tcPr>
          <w:p w14:paraId="40A08B4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Yes</w:t>
            </w:r>
          </w:p>
        </w:tc>
      </w:tr>
      <w:tr w:rsidR="00D25817" w:rsidRPr="00E76534" w14:paraId="0349BE27" w14:textId="77777777" w:rsidTr="00D25817">
        <w:trPr>
          <w:trHeight w:val="133"/>
        </w:trPr>
        <w:tc>
          <w:tcPr>
            <w:tcW w:w="1395" w:type="dxa"/>
            <w:tcBorders>
              <w:top w:val="nil"/>
              <w:left w:val="nil"/>
              <w:bottom w:val="nil"/>
              <w:right w:val="nil"/>
            </w:tcBorders>
            <w:noWrap/>
            <w:vAlign w:val="center"/>
            <w:hideMark/>
          </w:tcPr>
          <w:p w14:paraId="551EC86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Constant</w:t>
            </w:r>
          </w:p>
        </w:tc>
        <w:tc>
          <w:tcPr>
            <w:tcW w:w="1080" w:type="dxa"/>
            <w:gridSpan w:val="2"/>
            <w:tcBorders>
              <w:top w:val="nil"/>
              <w:left w:val="nil"/>
              <w:bottom w:val="nil"/>
              <w:right w:val="nil"/>
            </w:tcBorders>
            <w:noWrap/>
            <w:vAlign w:val="center"/>
            <w:hideMark/>
          </w:tcPr>
          <w:p w14:paraId="18FAAEB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27.502***</w:t>
            </w:r>
          </w:p>
          <w:p w14:paraId="640DB57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(0.424)</w:t>
            </w:r>
          </w:p>
        </w:tc>
        <w:tc>
          <w:tcPr>
            <w:tcW w:w="1074" w:type="dxa"/>
            <w:tcBorders>
              <w:top w:val="nil"/>
              <w:left w:val="nil"/>
              <w:bottom w:val="nil"/>
              <w:right w:val="nil"/>
            </w:tcBorders>
            <w:noWrap/>
            <w:vAlign w:val="center"/>
            <w:hideMark/>
          </w:tcPr>
          <w:p w14:paraId="7CF864C8"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27.567***</w:t>
            </w:r>
          </w:p>
          <w:p w14:paraId="603F4DD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(0.726)</w:t>
            </w:r>
          </w:p>
        </w:tc>
        <w:tc>
          <w:tcPr>
            <w:tcW w:w="1074" w:type="dxa"/>
            <w:tcBorders>
              <w:top w:val="nil"/>
              <w:left w:val="nil"/>
              <w:bottom w:val="nil"/>
              <w:right w:val="nil"/>
            </w:tcBorders>
            <w:noWrap/>
            <w:vAlign w:val="center"/>
            <w:hideMark/>
          </w:tcPr>
          <w:p w14:paraId="7799C3E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26.503***</w:t>
            </w:r>
          </w:p>
          <w:p w14:paraId="60FDB22F"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(0.960)</w:t>
            </w:r>
          </w:p>
        </w:tc>
        <w:tc>
          <w:tcPr>
            <w:tcW w:w="1074" w:type="dxa"/>
            <w:tcBorders>
              <w:top w:val="nil"/>
              <w:left w:val="nil"/>
              <w:bottom w:val="nil"/>
              <w:right w:val="nil"/>
            </w:tcBorders>
            <w:noWrap/>
            <w:vAlign w:val="center"/>
            <w:hideMark/>
          </w:tcPr>
          <w:p w14:paraId="7FA9AE88"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26.440***</w:t>
            </w:r>
          </w:p>
          <w:p w14:paraId="2B99821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(0.942)</w:t>
            </w:r>
          </w:p>
        </w:tc>
        <w:tc>
          <w:tcPr>
            <w:tcW w:w="1192" w:type="dxa"/>
            <w:tcBorders>
              <w:top w:val="nil"/>
              <w:left w:val="nil"/>
              <w:bottom w:val="nil"/>
              <w:right w:val="nil"/>
            </w:tcBorders>
            <w:noWrap/>
            <w:vAlign w:val="center"/>
            <w:hideMark/>
          </w:tcPr>
          <w:p w14:paraId="3B211276"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28.654***</w:t>
            </w:r>
          </w:p>
          <w:p w14:paraId="7ECE0BBC"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(0.750)</w:t>
            </w:r>
          </w:p>
        </w:tc>
        <w:tc>
          <w:tcPr>
            <w:tcW w:w="1294" w:type="dxa"/>
            <w:tcBorders>
              <w:top w:val="nil"/>
              <w:left w:val="nil"/>
              <w:bottom w:val="nil"/>
              <w:right w:val="nil"/>
            </w:tcBorders>
            <w:noWrap/>
            <w:vAlign w:val="center"/>
            <w:hideMark/>
          </w:tcPr>
          <w:p w14:paraId="41A5277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0.568***</w:t>
            </w:r>
          </w:p>
          <w:p w14:paraId="77E7663A"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(0.119)</w:t>
            </w:r>
          </w:p>
        </w:tc>
      </w:tr>
      <w:tr w:rsidR="00D25817" w:rsidRPr="00E76534" w14:paraId="1755E4C3" w14:textId="77777777" w:rsidTr="00D25817">
        <w:trPr>
          <w:trHeight w:val="133"/>
        </w:trPr>
        <w:tc>
          <w:tcPr>
            <w:tcW w:w="1395" w:type="dxa"/>
            <w:tcBorders>
              <w:top w:val="nil"/>
              <w:left w:val="nil"/>
              <w:bottom w:val="nil"/>
              <w:right w:val="nil"/>
            </w:tcBorders>
            <w:noWrap/>
            <w:vAlign w:val="center"/>
            <w:hideMark/>
          </w:tcPr>
          <w:p w14:paraId="3F10940B"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Observations</w:t>
            </w:r>
          </w:p>
        </w:tc>
        <w:tc>
          <w:tcPr>
            <w:tcW w:w="1080" w:type="dxa"/>
            <w:gridSpan w:val="2"/>
            <w:tcBorders>
              <w:top w:val="nil"/>
              <w:left w:val="nil"/>
              <w:bottom w:val="nil"/>
              <w:right w:val="nil"/>
            </w:tcBorders>
            <w:noWrap/>
            <w:vAlign w:val="center"/>
            <w:hideMark/>
          </w:tcPr>
          <w:p w14:paraId="7A0C3479"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3,400</w:t>
            </w:r>
          </w:p>
        </w:tc>
        <w:tc>
          <w:tcPr>
            <w:tcW w:w="1074" w:type="dxa"/>
            <w:tcBorders>
              <w:top w:val="nil"/>
              <w:left w:val="nil"/>
              <w:bottom w:val="nil"/>
              <w:right w:val="nil"/>
            </w:tcBorders>
            <w:noWrap/>
            <w:vAlign w:val="center"/>
            <w:hideMark/>
          </w:tcPr>
          <w:p w14:paraId="41460BEE"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3,400</w:t>
            </w:r>
          </w:p>
        </w:tc>
        <w:tc>
          <w:tcPr>
            <w:tcW w:w="1074" w:type="dxa"/>
            <w:tcBorders>
              <w:top w:val="nil"/>
              <w:left w:val="nil"/>
              <w:bottom w:val="nil"/>
              <w:right w:val="nil"/>
            </w:tcBorders>
            <w:noWrap/>
            <w:vAlign w:val="center"/>
            <w:hideMark/>
          </w:tcPr>
          <w:p w14:paraId="37447A9C"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3,400</w:t>
            </w:r>
          </w:p>
        </w:tc>
        <w:tc>
          <w:tcPr>
            <w:tcW w:w="1074" w:type="dxa"/>
            <w:tcBorders>
              <w:top w:val="nil"/>
              <w:left w:val="nil"/>
              <w:bottom w:val="nil"/>
              <w:right w:val="nil"/>
            </w:tcBorders>
            <w:noWrap/>
            <w:vAlign w:val="center"/>
            <w:hideMark/>
          </w:tcPr>
          <w:p w14:paraId="592081A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3,300</w:t>
            </w:r>
          </w:p>
        </w:tc>
        <w:tc>
          <w:tcPr>
            <w:tcW w:w="1192" w:type="dxa"/>
            <w:tcBorders>
              <w:top w:val="nil"/>
              <w:left w:val="nil"/>
              <w:bottom w:val="nil"/>
              <w:right w:val="nil"/>
            </w:tcBorders>
            <w:noWrap/>
            <w:vAlign w:val="center"/>
            <w:hideMark/>
          </w:tcPr>
          <w:p w14:paraId="4F1A8203"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3,400</w:t>
            </w:r>
          </w:p>
        </w:tc>
        <w:tc>
          <w:tcPr>
            <w:tcW w:w="1294" w:type="dxa"/>
            <w:tcBorders>
              <w:top w:val="nil"/>
              <w:left w:val="nil"/>
              <w:bottom w:val="nil"/>
              <w:right w:val="nil"/>
            </w:tcBorders>
            <w:noWrap/>
            <w:vAlign w:val="center"/>
            <w:hideMark/>
          </w:tcPr>
          <w:p w14:paraId="46FA9C95"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3,300</w:t>
            </w:r>
          </w:p>
        </w:tc>
      </w:tr>
      <w:tr w:rsidR="00D25817" w:rsidRPr="00E76534" w14:paraId="7FFE165F" w14:textId="77777777" w:rsidTr="00D25817">
        <w:trPr>
          <w:trHeight w:val="133"/>
        </w:trPr>
        <w:tc>
          <w:tcPr>
            <w:tcW w:w="1395" w:type="dxa"/>
            <w:tcBorders>
              <w:top w:val="nil"/>
              <w:left w:val="nil"/>
              <w:bottom w:val="nil"/>
              <w:right w:val="nil"/>
            </w:tcBorders>
            <w:noWrap/>
            <w:vAlign w:val="center"/>
            <w:hideMark/>
          </w:tcPr>
          <w:p w14:paraId="5535BE2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Within R²</w:t>
            </w:r>
          </w:p>
        </w:tc>
        <w:tc>
          <w:tcPr>
            <w:tcW w:w="1080" w:type="dxa"/>
            <w:gridSpan w:val="2"/>
            <w:tcBorders>
              <w:top w:val="nil"/>
              <w:left w:val="nil"/>
              <w:bottom w:val="nil"/>
              <w:right w:val="nil"/>
            </w:tcBorders>
            <w:noWrap/>
            <w:vAlign w:val="center"/>
            <w:hideMark/>
          </w:tcPr>
          <w:p w14:paraId="09CC58DA"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0.2846</w:t>
            </w:r>
          </w:p>
        </w:tc>
        <w:tc>
          <w:tcPr>
            <w:tcW w:w="1074" w:type="dxa"/>
            <w:tcBorders>
              <w:top w:val="nil"/>
              <w:left w:val="nil"/>
              <w:bottom w:val="nil"/>
              <w:right w:val="nil"/>
            </w:tcBorders>
            <w:noWrap/>
            <w:vAlign w:val="center"/>
            <w:hideMark/>
          </w:tcPr>
          <w:p w14:paraId="7F795AA4"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0.2847</w:t>
            </w:r>
          </w:p>
        </w:tc>
        <w:tc>
          <w:tcPr>
            <w:tcW w:w="1074" w:type="dxa"/>
            <w:tcBorders>
              <w:top w:val="nil"/>
              <w:left w:val="nil"/>
              <w:bottom w:val="nil"/>
              <w:right w:val="nil"/>
            </w:tcBorders>
            <w:noWrap/>
            <w:vAlign w:val="center"/>
            <w:hideMark/>
          </w:tcPr>
          <w:p w14:paraId="6D972F4D"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0.3014</w:t>
            </w:r>
          </w:p>
        </w:tc>
        <w:tc>
          <w:tcPr>
            <w:tcW w:w="1074" w:type="dxa"/>
            <w:tcBorders>
              <w:top w:val="nil"/>
              <w:left w:val="nil"/>
              <w:bottom w:val="nil"/>
              <w:right w:val="nil"/>
            </w:tcBorders>
            <w:noWrap/>
            <w:vAlign w:val="center"/>
            <w:hideMark/>
          </w:tcPr>
          <w:p w14:paraId="5BFE8233"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0.306</w:t>
            </w:r>
          </w:p>
        </w:tc>
        <w:tc>
          <w:tcPr>
            <w:tcW w:w="1192" w:type="dxa"/>
            <w:tcBorders>
              <w:top w:val="nil"/>
              <w:left w:val="nil"/>
              <w:bottom w:val="nil"/>
              <w:right w:val="nil"/>
            </w:tcBorders>
            <w:noWrap/>
            <w:vAlign w:val="center"/>
            <w:hideMark/>
          </w:tcPr>
          <w:p w14:paraId="4DD5C7A7"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0.4066</w:t>
            </w:r>
          </w:p>
        </w:tc>
        <w:tc>
          <w:tcPr>
            <w:tcW w:w="1294" w:type="dxa"/>
            <w:tcBorders>
              <w:top w:val="nil"/>
              <w:left w:val="nil"/>
              <w:bottom w:val="nil"/>
              <w:right w:val="nil"/>
            </w:tcBorders>
            <w:noWrap/>
            <w:vAlign w:val="center"/>
            <w:hideMark/>
          </w:tcPr>
          <w:p w14:paraId="1D592571" w14:textId="77777777" w:rsidR="00D25817" w:rsidRPr="00E76534" w:rsidRDefault="00D25817" w:rsidP="00D25817">
            <w:pPr>
              <w:jc w:val="center"/>
              <w:rPr>
                <w:rFonts w:ascii="Arial" w:eastAsia="Yu Gothic" w:hAnsi="Arial" w:cs="Arial"/>
                <w:color w:val="000000"/>
              </w:rPr>
            </w:pPr>
            <w:r w:rsidRPr="00E76534">
              <w:rPr>
                <w:rFonts w:ascii="Arial" w:eastAsia="Yu Gothic" w:hAnsi="Arial" w:cs="Arial"/>
                <w:color w:val="000000"/>
              </w:rPr>
              <w:t>0.9898</w:t>
            </w:r>
          </w:p>
        </w:tc>
      </w:tr>
    </w:tbl>
    <w:p w14:paraId="32397BA3" w14:textId="77777777" w:rsidR="00D25817" w:rsidRDefault="00D25817" w:rsidP="001B5C19">
      <w:pPr>
        <w:pStyle w:val="Body"/>
        <w:spacing w:after="0"/>
        <w:rPr>
          <w:rFonts w:ascii="Arial" w:hAnsi="Arial" w:cs="Arial"/>
          <w:b/>
          <w:bCs/>
          <w:i/>
          <w:iCs/>
          <w:sz w:val="18"/>
          <w:szCs w:val="18"/>
          <w:highlight w:val="cyan"/>
        </w:rPr>
      </w:pPr>
    </w:p>
    <w:p w14:paraId="5E238FAE" w14:textId="7B84D703" w:rsidR="00D25817" w:rsidRDefault="001B5C19" w:rsidP="001B5C19">
      <w:pPr>
        <w:pStyle w:val="Body"/>
        <w:spacing w:after="0"/>
        <w:rPr>
          <w:rFonts w:ascii="Arial" w:hAnsi="Arial" w:cs="Arial"/>
          <w:i/>
          <w:iCs/>
          <w:sz w:val="18"/>
          <w:szCs w:val="18"/>
        </w:rPr>
      </w:pPr>
      <w:r w:rsidRPr="00D25817">
        <w:rPr>
          <w:rFonts w:ascii="Arial" w:hAnsi="Arial" w:cs="Arial"/>
          <w:b/>
          <w:bCs/>
          <w:i/>
          <w:iCs/>
          <w:sz w:val="18"/>
          <w:szCs w:val="18"/>
          <w:highlight w:val="cyan"/>
        </w:rPr>
        <w:t>Notes:</w:t>
      </w:r>
      <w:r w:rsidRPr="00D25817">
        <w:rPr>
          <w:rFonts w:ascii="Arial" w:hAnsi="Arial" w:cs="Arial"/>
          <w:i/>
          <w:iCs/>
          <w:sz w:val="18"/>
          <w:szCs w:val="18"/>
          <w:highlight w:val="cyan"/>
        </w:rPr>
        <w:t xml:space="preserve">  </w:t>
      </w:r>
      <w:r w:rsidR="00D25817" w:rsidRPr="00D25817">
        <w:rPr>
          <w:rFonts w:ascii="Arial" w:hAnsi="Arial" w:cs="Arial"/>
          <w:i/>
          <w:iCs/>
          <w:sz w:val="18"/>
          <w:szCs w:val="18"/>
          <w:highlight w:val="cyan"/>
        </w:rPr>
        <w:t>Dependent variable is the transformed measure of early childbearing, interpreted as a proxy for fertility timing outcomes. All specifications include country and year fixed effects. Standard errors clustered at the country level are reported in parentheses. Columns (1)–(3) report contemporaneous fixed-effects specifications. Column (4) reports one-period lagged institutional variables to mitigate simultaneity concerns. Column (5) includes a quadratic specification for the Gender Inequality Index (GII) to test for nonlinear institutional effects. Column (6) presents a dynamic fixed-effects specification including the lagged dependent variable to assess persistence in fertility timing outcomes. Statistical significance is denoted by * p &lt; 0.10, ** p &lt; 0.05, and *** p &lt; 0.01.</w:t>
      </w:r>
    </w:p>
    <w:p w14:paraId="43BB45EA" w14:textId="45B2A728" w:rsidR="00422E2F" w:rsidRPr="00E76534" w:rsidRDefault="00422E2F" w:rsidP="00010349">
      <w:pPr>
        <w:pStyle w:val="Body"/>
        <w:spacing w:after="0"/>
        <w:rPr>
          <w:rFonts w:ascii="Arial" w:hAnsi="Arial" w:cs="Arial"/>
        </w:rPr>
      </w:pPr>
    </w:p>
    <w:p w14:paraId="7510918A" w14:textId="06A1DAA2" w:rsidR="001B5C19" w:rsidRPr="00E76534" w:rsidRDefault="001B5C19" w:rsidP="001B5C19">
      <w:pPr>
        <w:pStyle w:val="Body"/>
        <w:spacing w:after="0"/>
        <w:rPr>
          <w:rFonts w:ascii="Arial" w:hAnsi="Arial" w:cs="Arial"/>
        </w:rPr>
      </w:pPr>
      <w:r w:rsidRPr="00E76534">
        <w:rPr>
          <w:rFonts w:ascii="Arial" w:hAnsi="Arial" w:cs="Arial"/>
        </w:rPr>
        <w:t xml:space="preserve">Column (1) presents the baseline specification, which includes the Gender Inequality Index (GII) and year fixed effects. The estimated coefficient on GII is 0.0126 </w:t>
      </w:r>
      <m:oMath>
        <m:d>
          <m:dPr>
            <m:ctrlPr>
              <w:rPr>
                <w:rFonts w:ascii="Cambria Math" w:hAnsi="Cambria Math" w:cs="Arial"/>
                <w:i/>
              </w:rPr>
            </m:ctrlPr>
          </m:dPr>
          <m:e>
            <m:r>
              <w:rPr>
                <w:rFonts w:ascii="Cambria Math" w:hAnsi="Cambria Math" w:cs="Arial"/>
              </w:rPr>
              <m:t>standard error 0.0057</m:t>
            </m:r>
          </m:e>
        </m:d>
      </m:oMath>
      <w:r w:rsidRPr="00E76534">
        <w:rPr>
          <w:rFonts w:ascii="Arial" w:hAnsi="Arial" w:cs="Arial"/>
        </w:rPr>
        <w:t>, statistically significant at the 5% level because the dependent variable is transformed as </w:t>
      </w:r>
      <m:oMath>
        <m:r>
          <m:rPr>
            <m:sty m:val="p"/>
          </m:rPr>
          <w:rPr>
            <w:rFonts w:ascii="Cambria Math" w:hAnsi="Cambria Math" w:cs="Arial"/>
          </w:rPr>
          <m:t>ln</m:t>
        </m:r>
        <m:r>
          <w:rPr>
            <w:rFonts w:ascii="Cambria Math" w:hAnsi="Cambria Math" w:cs="Arial"/>
          </w:rPr>
          <m:t>⁡(</m:t>
        </m:r>
        <m:r>
          <m:rPr>
            <m:nor/>
          </m:rPr>
          <w:rPr>
            <w:rFonts w:ascii="Arial" w:hAnsi="Arial" w:cs="Arial"/>
          </w:rPr>
          <m:t>BR</m:t>
        </m:r>
        <m:r>
          <w:rPr>
            <w:rFonts w:ascii="Cambria Math" w:hAnsi="Cambria Math" w:cs="Arial"/>
          </w:rPr>
          <m:t>+1)</m:t>
        </m:r>
      </m:oMath>
      <w:r w:rsidRPr="00E76534">
        <w:rPr>
          <w:rFonts w:ascii="Arial" w:hAnsi="Arial" w:cs="Arial"/>
        </w:rPr>
        <w:t>, effects are reported in log points rather than converted to percentage changes, since the </w:t>
      </w:r>
      <m:oMath>
        <m:r>
          <w:rPr>
            <w:rFonts w:ascii="Cambria Math" w:hAnsi="Cambria Math" w:cs="Arial"/>
          </w:rPr>
          <m:t>+1</m:t>
        </m:r>
      </m:oMath>
      <w:r w:rsidRPr="00E76534">
        <w:rPr>
          <w:rFonts w:ascii="Arial" w:hAnsi="Arial" w:cs="Arial"/>
        </w:rPr>
        <w:t> transformation makes percent interpretations depend on the level of </w:t>
      </w:r>
      <m:oMath>
        <m:r>
          <m:rPr>
            <m:nor/>
          </m:rPr>
          <w:rPr>
            <w:rFonts w:ascii="Arial" w:hAnsi="Arial" w:cs="Arial"/>
          </w:rPr>
          <m:t>BR</m:t>
        </m:r>
      </m:oMath>
      <w:r w:rsidRPr="00E76534">
        <w:rPr>
          <w:rFonts w:ascii="Arial" w:hAnsi="Arial" w:cs="Arial"/>
        </w:rPr>
        <w:t>. Year fixed effects are jointly significant in all specifications, indicating strong global trends in fertility timing that are absorbed by the model.</w:t>
      </w:r>
    </w:p>
    <w:p w14:paraId="55FDE954" w14:textId="77777777" w:rsidR="001B5C19" w:rsidRPr="00E76534" w:rsidRDefault="001B5C19" w:rsidP="001B5C19">
      <w:pPr>
        <w:pStyle w:val="Body"/>
        <w:spacing w:after="0"/>
        <w:rPr>
          <w:rFonts w:ascii="Arial" w:hAnsi="Arial" w:cs="Arial"/>
        </w:rPr>
      </w:pPr>
    </w:p>
    <w:p w14:paraId="17AC471B" w14:textId="77777777" w:rsidR="001B5C19" w:rsidRPr="00E76534" w:rsidRDefault="001B5C19" w:rsidP="001B5C19">
      <w:pPr>
        <w:pStyle w:val="Body"/>
        <w:spacing w:after="0"/>
        <w:rPr>
          <w:rFonts w:ascii="Arial" w:hAnsi="Arial" w:cs="Arial"/>
        </w:rPr>
      </w:pPr>
      <w:r w:rsidRPr="00E76534">
        <w:rPr>
          <w:rFonts w:ascii="Arial" w:hAnsi="Arial" w:cs="Arial"/>
        </w:rPr>
        <w:t>Column (2) augments the baseline specification by adding the Gender Development Index (GDI). The coefficient on GII remains virtually unchanged in magnitude and statistical significance, while the coefficient on GDI is small and statistically indistinguishable from zero. This pattern persists in column (3), which further controls for schooling. The stability of the GII coefficient suggests that the estimated relationship is not driven by correlated changes in human development outcomes or educational expansion. By contrast, within-country variation in GDI does not appear to predict fertility timing once country fixed effects and global shocks are accounted for.</w:t>
      </w:r>
    </w:p>
    <w:p w14:paraId="33533F41" w14:textId="77777777" w:rsidR="001B5C19" w:rsidRPr="00E76534" w:rsidRDefault="001B5C19" w:rsidP="001B5C19">
      <w:pPr>
        <w:pStyle w:val="Body"/>
        <w:spacing w:after="0"/>
        <w:rPr>
          <w:rFonts w:ascii="Arial" w:hAnsi="Arial" w:cs="Arial"/>
        </w:rPr>
      </w:pPr>
    </w:p>
    <w:p w14:paraId="4730A6E8" w14:textId="77777777" w:rsidR="001B5C19" w:rsidRPr="00E76534" w:rsidRDefault="001B5C19" w:rsidP="001B5C19">
      <w:pPr>
        <w:pStyle w:val="Body"/>
        <w:spacing w:after="0"/>
        <w:rPr>
          <w:rFonts w:ascii="Arial" w:hAnsi="Arial" w:cs="Arial"/>
        </w:rPr>
      </w:pPr>
      <w:r w:rsidRPr="00E76534">
        <w:rPr>
          <w:rFonts w:ascii="Arial" w:hAnsi="Arial" w:cs="Arial"/>
        </w:rPr>
        <w:t xml:space="preserve">Column (3) is the preferred static specification, as it includes the full set of contemporaneous controls available in the data. The coefficient on GII remains positive and statistically significant, while schooling enters positively and is marginally significant. This positive contemporaneous association should not be interpreted as contradicting the model’s </w:t>
      </w:r>
      <w:r w:rsidRPr="00E76534">
        <w:rPr>
          <w:rFonts w:ascii="Arial" w:hAnsi="Arial" w:cs="Arial"/>
        </w:rPr>
        <w:lastRenderedPageBreak/>
        <w:t>prediction that education raises the opportunity cost of early childbearing. The schooling variable captures aggregate educational attainment rather than individual returns to human capital. Within-country increases in schooling often reflect cohort replacement or expansion at lower levels of education, which may coincide with delayed labor-market and fertility responses not fully captured contemporaneously in a fixed-effects framework. Importantly, the inclusion of schooling does not attenuate the estimated effect of gender inequality, indicating that institutional constraints operate independently of aggregate educational expansion.</w:t>
      </w:r>
    </w:p>
    <w:p w14:paraId="0E695A7D" w14:textId="77777777" w:rsidR="001B5C19" w:rsidRPr="00E76534" w:rsidRDefault="001B5C19" w:rsidP="001B5C19">
      <w:pPr>
        <w:pStyle w:val="Body"/>
        <w:spacing w:after="0"/>
        <w:rPr>
          <w:rFonts w:ascii="Arial" w:hAnsi="Arial" w:cs="Arial"/>
        </w:rPr>
      </w:pPr>
    </w:p>
    <w:p w14:paraId="307FF2CA" w14:textId="348AEA72" w:rsidR="001B5C19" w:rsidRPr="00E76534" w:rsidRDefault="001B5C19" w:rsidP="001B5C19">
      <w:pPr>
        <w:pStyle w:val="Body"/>
        <w:spacing w:after="0"/>
        <w:rPr>
          <w:rFonts w:ascii="Arial" w:hAnsi="Arial" w:cs="Arial"/>
        </w:rPr>
      </w:pPr>
      <w:r w:rsidRPr="00E76534">
        <w:rPr>
          <w:rFonts w:ascii="Arial" w:hAnsi="Arial" w:cs="Arial"/>
        </w:rPr>
        <w:t xml:space="preserve">Column (4) addresses concerns about simultaneity and reverse causality by replacing contemporaneous institutional variables with their one-period lags. The coefficient on lagged GII remains positive and marginally statistically significant </w:t>
      </w:r>
      <m:oMath>
        <m:d>
          <m:dPr>
            <m:ctrlPr>
              <w:rPr>
                <w:rFonts w:ascii="Cambria Math" w:hAnsi="Cambria Math" w:cs="Arial"/>
                <w:i/>
              </w:rPr>
            </m:ctrlPr>
          </m:dPr>
          <m:e>
            <m:r>
              <w:rPr>
                <w:rFonts w:ascii="Cambria Math" w:hAnsi="Cambria Math" w:cs="Arial"/>
              </w:rPr>
              <m:t>0.018;standard error 0.0056</m:t>
            </m:r>
          </m:e>
        </m:d>
      </m:oMath>
      <w:r w:rsidRPr="00E76534">
        <w:rPr>
          <w:rFonts w:ascii="Arial" w:hAnsi="Arial" w:cs="Arial"/>
        </w:rPr>
        <w:t xml:space="preserve">, indicating that higher gender inequality in the previous period predicts earlier fertility timing in the current period. Lagged schooling enters positively and significantly, while lagged GDI remains insignificant. A joint cluster-robust Wald test rejects the null hypothesis that the lagged institutional variables are jointly equal to zero </w:t>
      </w:r>
      <m:oMath>
        <m:d>
          <m:dPr>
            <m:ctrlPr>
              <w:rPr>
                <w:rFonts w:ascii="Cambria Math" w:hAnsi="Cambria Math" w:cs="Arial"/>
                <w:i/>
              </w:rPr>
            </m:ctrlPr>
          </m:dPr>
          <m:e>
            <m:r>
              <w:rPr>
                <w:rFonts w:ascii="Cambria Math" w:hAnsi="Cambria Math" w:cs="Arial"/>
              </w:rPr>
              <m:t>F=3.22, p=0.026</m:t>
            </m:r>
          </m:e>
        </m:d>
      </m:oMath>
      <w:r w:rsidRPr="00E76534">
        <w:rPr>
          <w:rFonts w:ascii="Arial" w:hAnsi="Arial" w:cs="Arial"/>
        </w:rPr>
        <w:t>, strengthening the temporal interpretation that changes in gender inequality precede changes in fertility behavior.</w:t>
      </w:r>
    </w:p>
    <w:p w14:paraId="3792076D" w14:textId="71D36532" w:rsidR="001B5C19" w:rsidRPr="00E76534" w:rsidRDefault="001B5C19" w:rsidP="001B5C19">
      <w:pPr>
        <w:pStyle w:val="Body"/>
        <w:spacing w:after="0"/>
        <w:rPr>
          <w:rFonts w:ascii="Arial" w:hAnsi="Arial" w:cs="Arial"/>
        </w:rPr>
      </w:pPr>
      <w:r w:rsidRPr="00E76534">
        <w:rPr>
          <w:rFonts w:ascii="Arial" w:hAnsi="Arial" w:cs="Arial"/>
        </w:rPr>
        <w:t>Column (5)</w:t>
      </w:r>
      <w:r w:rsidRPr="00E76534">
        <w:rPr>
          <w:rFonts w:ascii="Arial" w:hAnsi="Arial" w:cs="Arial"/>
          <w:vertAlign w:val="superscript"/>
        </w:rPr>
        <w:t xml:space="preserve"> </w:t>
      </w:r>
      <w:r w:rsidRPr="00E76534">
        <w:rPr>
          <w:rFonts w:ascii="Arial" w:hAnsi="Arial" w:cs="Arial"/>
          <w:vertAlign w:val="superscript"/>
        </w:rPr>
        <w:footnoteReference w:id="2"/>
      </w:r>
      <w:r w:rsidRPr="00E76534">
        <w:rPr>
          <w:rFonts w:ascii="Arial" w:hAnsi="Arial" w:cs="Arial"/>
        </w:rPr>
        <w:t xml:space="preserve"> allows for nonlinear effects of gender inequality by augmenting the baseline fixed-effects specification with a quadratic term in GII. The linear and squared terms are jointly statistically significant</w:t>
      </w:r>
      <m:oMath>
        <m:d>
          <m:dPr>
            <m:ctrlPr>
              <w:rPr>
                <w:rFonts w:ascii="Cambria Math" w:hAnsi="Cambria Math" w:cs="Arial"/>
                <w:i/>
              </w:rPr>
            </m:ctrlPr>
          </m:dPr>
          <m:e>
            <m:r>
              <w:rPr>
                <w:rFonts w:ascii="Cambria Math" w:hAnsi="Cambria Math" w:cs="Arial"/>
              </w:rPr>
              <m:t>F=18.90. p&lt;0.001</m:t>
            </m:r>
          </m:e>
        </m:d>
      </m:oMath>
      <w:r w:rsidRPr="00E76534">
        <w:rPr>
          <w:rFonts w:ascii="Arial" w:hAnsi="Arial" w:cs="Arial"/>
        </w:rPr>
        <w:t xml:space="preserve">, rejecting a purely linear relationship. The implied turning point occurs at </w:t>
      </w:r>
      <m:oMath>
        <m:r>
          <w:rPr>
            <w:rFonts w:ascii="Cambria Math" w:hAnsi="Cambria Math" w:cs="Arial"/>
          </w:rPr>
          <m:t xml:space="preserve">GII≈0.76 </m:t>
        </m:r>
        <m:d>
          <m:dPr>
            <m:ctrlPr>
              <w:rPr>
                <w:rFonts w:ascii="Cambria Math" w:hAnsi="Cambria Math" w:cs="Arial"/>
                <w:i/>
              </w:rPr>
            </m:ctrlPr>
          </m:dPr>
          <m:e>
            <m:r>
              <w:rPr>
                <w:rFonts w:ascii="Cambria Math" w:hAnsi="Cambria Math" w:cs="Arial"/>
              </w:rPr>
              <m:t>95% confidence interval:0.59-0.94</m:t>
            </m:r>
          </m:e>
        </m:d>
      </m:oMath>
      <w:r w:rsidRPr="00E76534">
        <w:rPr>
          <w:rFonts w:ascii="Arial" w:hAnsi="Arial" w:cs="Arial"/>
        </w:rPr>
        <w:t>, which lies well within the support of the data. A direct evaluation of the marginal effect at this point confirms that it is statistically indistinguishable from zero, indicating a genuine extremum rather than a mechanical artifact of the quadratic specification.</w:t>
      </w:r>
    </w:p>
    <w:p w14:paraId="5E8E3DA7" w14:textId="77777777" w:rsidR="001B5C19" w:rsidRPr="00E76534" w:rsidRDefault="001B5C19" w:rsidP="001B5C19">
      <w:pPr>
        <w:pStyle w:val="Body"/>
        <w:spacing w:after="0"/>
        <w:rPr>
          <w:rFonts w:ascii="Arial" w:hAnsi="Arial" w:cs="Arial"/>
        </w:rPr>
      </w:pPr>
    </w:p>
    <w:p w14:paraId="7833A47B" w14:textId="30E25688" w:rsidR="001B5C19" w:rsidRPr="00E76534" w:rsidRDefault="001B5C19" w:rsidP="001B5C19">
      <w:pPr>
        <w:pStyle w:val="Body"/>
        <w:spacing w:after="0"/>
        <w:rPr>
          <w:rFonts w:ascii="Arial" w:hAnsi="Arial" w:cs="Arial"/>
        </w:rPr>
      </w:pPr>
      <w:r w:rsidRPr="00E76534">
        <w:rPr>
          <w:rFonts w:ascii="Arial" w:hAnsi="Arial" w:cs="Arial"/>
        </w:rPr>
        <w:t xml:space="preserve">Figure 2 plots the fitted relationship implied by the nonlinear model. At low to moderate levels of gender inequality, marginal changes in GII are associated with little change in childbearing. At high levels of gender inequality, however, additional increases in inequality are associated with substantially higher rates of early childbearing. Allowing for this nonlinear structure increases the within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E76534">
        <w:rPr>
          <w:rFonts w:ascii="Arial" w:hAnsi="Arial" w:cs="Arial"/>
        </w:rPr>
        <w:t xml:space="preserve"> from approximately 0.30 in linear specifications to 0.41, revealing heterogeneity that is masked when inequality is constrained to have a constant marginal effect.</w:t>
      </w:r>
    </w:p>
    <w:p w14:paraId="188721BD" w14:textId="77777777" w:rsidR="00CE5B86" w:rsidRPr="00E76534" w:rsidRDefault="00CE5B86" w:rsidP="001B5C19">
      <w:pPr>
        <w:pStyle w:val="Body"/>
        <w:spacing w:after="0"/>
        <w:rPr>
          <w:rFonts w:ascii="Arial" w:hAnsi="Arial" w:cs="Arial"/>
        </w:rPr>
      </w:pPr>
    </w:p>
    <w:p w14:paraId="7039F240" w14:textId="77777777" w:rsidR="001B5C19" w:rsidRPr="00E76534" w:rsidRDefault="001B5C19" w:rsidP="001B5C19">
      <w:pPr>
        <w:pStyle w:val="Body"/>
        <w:spacing w:after="0"/>
        <w:rPr>
          <w:rFonts w:ascii="Arial" w:hAnsi="Arial" w:cs="Arial"/>
        </w:rPr>
      </w:pPr>
      <w:r w:rsidRPr="00E76534">
        <w:rPr>
          <w:rFonts w:ascii="Arial" w:hAnsi="Arial" w:cs="Arial"/>
        </w:rPr>
        <w:t xml:space="preserve">Importantly, the nonlinear pattern should not be interpreted as suggesting that gender inequality reduces early childbearing at intermediate levels (Kohler </w:t>
      </w:r>
      <w:r w:rsidRPr="00E76534">
        <w:rPr>
          <w:rFonts w:ascii="Arial" w:hAnsi="Arial" w:cs="Arial"/>
          <w:i/>
          <w:iCs/>
        </w:rPr>
        <w:t>et. al</w:t>
      </w:r>
      <w:r w:rsidRPr="00E76534">
        <w:rPr>
          <w:rFonts w:ascii="Arial" w:hAnsi="Arial" w:cs="Arial"/>
        </w:rPr>
        <w:t>., 2002). Rather, it indicates that the association between gender inequality and fertility timing is state-dependent, with the strongest relationship concentrated in high-inequality institutional environments. This interpretation aligns closely with the theoretical framework, in which gendered constraints on education, labor-market participation, and reproductive autonomy become binding only beyond a sufficiently high level of inequality (Silva and Klasen, 2021). The confidence bands in Figure 2 further suggest that the observed curvature reflects systematic variation across institutional regimes rather than being driven by a small number of extreme observations.</w:t>
      </w:r>
    </w:p>
    <w:p w14:paraId="63668F9C" w14:textId="47D551A8" w:rsidR="00422E2F" w:rsidRPr="00E76534" w:rsidRDefault="00422E2F" w:rsidP="00010349">
      <w:pPr>
        <w:pStyle w:val="Body"/>
        <w:spacing w:after="0"/>
        <w:rPr>
          <w:rFonts w:ascii="Arial" w:hAnsi="Arial" w:cs="Arial"/>
        </w:rPr>
      </w:pPr>
    </w:p>
    <w:p w14:paraId="570477C4" w14:textId="0AA74086" w:rsidR="00422E2F" w:rsidRPr="00E76534" w:rsidRDefault="001B5C19" w:rsidP="00010349">
      <w:pPr>
        <w:pStyle w:val="Body"/>
        <w:spacing w:after="0"/>
        <w:rPr>
          <w:rFonts w:ascii="Arial" w:hAnsi="Arial" w:cs="Arial"/>
        </w:rPr>
      </w:pPr>
      <w:r w:rsidRPr="00E76534">
        <w:rPr>
          <w:b/>
          <w:bCs/>
          <w:noProof/>
          <w:color w:val="000000"/>
        </w:rPr>
        <w:lastRenderedPageBreak/>
        <w:drawing>
          <wp:inline distT="0" distB="0" distL="0" distR="0" wp14:anchorId="4D63089B" wp14:editId="0613F7FF">
            <wp:extent cx="5212080" cy="3127248"/>
            <wp:effectExtent l="0" t="0" r="0" b="0"/>
            <wp:docPr id="21452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3084" name=""/>
                    <pic:cNvPicPr/>
                  </pic:nvPicPr>
                  <pic:blipFill>
                    <a:blip r:embed="rId14"/>
                    <a:stretch>
                      <a:fillRect/>
                    </a:stretch>
                  </pic:blipFill>
                  <pic:spPr>
                    <a:xfrm>
                      <a:off x="0" y="0"/>
                      <a:ext cx="5212080" cy="3127248"/>
                    </a:xfrm>
                    <a:prstGeom prst="rect">
                      <a:avLst/>
                    </a:prstGeom>
                  </pic:spPr>
                </pic:pic>
              </a:graphicData>
            </a:graphic>
          </wp:inline>
        </w:drawing>
      </w:r>
    </w:p>
    <w:p w14:paraId="0E75767F" w14:textId="2B1CF542" w:rsidR="001B5C19" w:rsidRPr="00E76534" w:rsidRDefault="001B5C19" w:rsidP="001B5C19">
      <w:pPr>
        <w:pStyle w:val="Body"/>
        <w:spacing w:after="0"/>
        <w:rPr>
          <w:rFonts w:ascii="Arial" w:hAnsi="Arial" w:cs="Arial"/>
          <w:b/>
          <w:bCs/>
        </w:rPr>
      </w:pPr>
      <w:r w:rsidRPr="00E76534">
        <w:rPr>
          <w:rFonts w:ascii="Arial" w:hAnsi="Arial" w:cs="Arial"/>
          <w:b/>
          <w:bCs/>
        </w:rPr>
        <w:t xml:space="preserve">Figure 2. Nonlinear Effect of Gender Inequality on </w:t>
      </w:r>
      <w:r w:rsidR="008F7670" w:rsidRPr="00E76534">
        <w:rPr>
          <w:rFonts w:ascii="Arial" w:hAnsi="Arial" w:cs="Arial"/>
          <w:b/>
          <w:bCs/>
        </w:rPr>
        <w:t>Childbearing</w:t>
      </w:r>
    </w:p>
    <w:p w14:paraId="3B36ED5B" w14:textId="77777777" w:rsidR="008F7670" w:rsidRPr="00E76534" w:rsidRDefault="008F7670" w:rsidP="001B5C19">
      <w:pPr>
        <w:pStyle w:val="Body"/>
        <w:spacing w:after="0"/>
        <w:rPr>
          <w:rFonts w:ascii="Arial" w:hAnsi="Arial" w:cs="Arial"/>
          <w:i/>
          <w:iCs/>
          <w:sz w:val="18"/>
          <w:szCs w:val="18"/>
        </w:rPr>
      </w:pPr>
    </w:p>
    <w:p w14:paraId="68277F03" w14:textId="25FECE23" w:rsidR="001B5C19" w:rsidRPr="00E76534" w:rsidRDefault="001B5C19" w:rsidP="001B5C19">
      <w:pPr>
        <w:pStyle w:val="Body"/>
        <w:spacing w:after="0"/>
        <w:rPr>
          <w:rFonts w:ascii="Arial" w:hAnsi="Arial" w:cs="Arial"/>
          <w:i/>
          <w:iCs/>
          <w:sz w:val="18"/>
          <w:szCs w:val="18"/>
        </w:rPr>
      </w:pPr>
      <w:r w:rsidRPr="00E76534">
        <w:rPr>
          <w:rFonts w:ascii="Arial" w:hAnsi="Arial" w:cs="Arial"/>
          <w:i/>
          <w:iCs/>
          <w:sz w:val="18"/>
          <w:szCs w:val="18"/>
        </w:rPr>
        <w:t xml:space="preserve">Note: The figure plots the fitted relationship implied by the quadratic fixed-effects specification in column (5), with shaded confidence bands. The relationship exhibits regime dependence: marginal changes in gender inequality have limited association with childbearing at low to moderate levels of inequality but are strongly associated with higher early fertility in high-inequality environments. The turning point occurs at </w:t>
      </w:r>
      <m:oMath>
        <m:r>
          <w:rPr>
            <w:rFonts w:ascii="Cambria Math" w:hAnsi="Cambria Math" w:cs="Arial"/>
            <w:sz w:val="18"/>
            <w:szCs w:val="18"/>
          </w:rPr>
          <m:t xml:space="preserve">GII≈0.76 </m:t>
        </m:r>
        <m:d>
          <m:dPr>
            <m:ctrlPr>
              <w:rPr>
                <w:rFonts w:ascii="Cambria Math" w:hAnsi="Cambria Math" w:cs="Arial"/>
                <w:i/>
                <w:iCs/>
                <w:sz w:val="18"/>
                <w:szCs w:val="18"/>
              </w:rPr>
            </m:ctrlPr>
          </m:dPr>
          <m:e>
            <m:r>
              <w:rPr>
                <w:rFonts w:ascii="Cambria Math" w:hAnsi="Cambria Math" w:cs="Arial"/>
                <w:sz w:val="18"/>
                <w:szCs w:val="18"/>
              </w:rPr>
              <m:t>95% CI:0.56-0.94</m:t>
            </m:r>
          </m:e>
        </m:d>
      </m:oMath>
      <w:r w:rsidRPr="00E76534">
        <w:rPr>
          <w:rFonts w:ascii="Arial" w:hAnsi="Arial" w:cs="Arial"/>
          <w:i/>
          <w:iCs/>
          <w:sz w:val="18"/>
          <w:szCs w:val="18"/>
        </w:rPr>
        <w:t>.</w:t>
      </w:r>
    </w:p>
    <w:p w14:paraId="53AF4F2B" w14:textId="77777777" w:rsidR="001B5C19" w:rsidRPr="00E76534" w:rsidRDefault="001B5C19" w:rsidP="001B5C19">
      <w:pPr>
        <w:pStyle w:val="Body"/>
        <w:spacing w:after="0"/>
        <w:rPr>
          <w:rFonts w:ascii="Arial" w:hAnsi="Arial" w:cs="Arial"/>
          <w:b/>
          <w:bCs/>
        </w:rPr>
      </w:pPr>
    </w:p>
    <w:p w14:paraId="4E408CED" w14:textId="5E0A7ECC" w:rsidR="001B5C19" w:rsidRPr="00E76534" w:rsidRDefault="001B5C19" w:rsidP="001B5C19">
      <w:pPr>
        <w:pStyle w:val="Body"/>
        <w:spacing w:after="0"/>
        <w:rPr>
          <w:rFonts w:ascii="Arial" w:hAnsi="Arial" w:cs="Arial"/>
          <w:b/>
          <w:bCs/>
        </w:rPr>
      </w:pPr>
      <w:r w:rsidRPr="00E76534">
        <w:rPr>
          <w:rFonts w:ascii="Arial" w:hAnsi="Arial" w:cs="Arial"/>
          <w:b/>
          <w:bCs/>
        </w:rPr>
        <w:t>Robustness Checks and Diagnostics</w:t>
      </w:r>
    </w:p>
    <w:p w14:paraId="1D6B3D16" w14:textId="3F8A52E2" w:rsidR="001B5C19" w:rsidRPr="00E76534" w:rsidRDefault="001B5C19" w:rsidP="001B5C19">
      <w:pPr>
        <w:pStyle w:val="Body"/>
        <w:spacing w:after="0"/>
        <w:rPr>
          <w:rFonts w:ascii="Arial" w:hAnsi="Arial" w:cs="Arial"/>
        </w:rPr>
      </w:pPr>
      <w:r w:rsidRPr="00E76534">
        <w:rPr>
          <w:rFonts w:ascii="Arial" w:hAnsi="Arial" w:cs="Arial"/>
        </w:rPr>
        <w:t>Column (6) reports a dynamic fixed-effects specification that includes lagged </w:t>
      </w:r>
      <m:oMath>
        <m:r>
          <m:rPr>
            <m:sty m:val="p"/>
          </m:rPr>
          <w:rPr>
            <w:rFonts w:ascii="Cambria Math" w:hAnsi="Cambria Math" w:cs="Arial"/>
          </w:rPr>
          <m:t>ln</m:t>
        </m:r>
        <m:r>
          <w:rPr>
            <w:rFonts w:ascii="Cambria Math" w:hAnsi="Cambria Math" w:cs="Arial"/>
          </w:rPr>
          <m:t>⁡(</m:t>
        </m:r>
        <m:r>
          <m:rPr>
            <m:nor/>
          </m:rPr>
          <w:rPr>
            <w:rFonts w:ascii="Arial" w:hAnsi="Arial" w:cs="Arial"/>
          </w:rPr>
          <m:t>BR</m:t>
        </m:r>
        <m:r>
          <w:rPr>
            <w:rFonts w:ascii="Cambria Math" w:hAnsi="Cambria Math" w:cs="Arial"/>
          </w:rPr>
          <m:t>+1)</m:t>
        </m:r>
      </m:oMath>
      <w:r w:rsidRPr="00E76534">
        <w:rPr>
          <w:rFonts w:ascii="Arial" w:hAnsi="Arial" w:cs="Arial"/>
        </w:rPr>
        <w:t> to document persistence in very early first-birth outcomes (proxied by BR). The estimated coefficient on the lagged dependent variable is close to unity, indicating substantial inertia in fertility timing within countries. Because dynamic fixed-effects models with near-unit-root outcomes can be sensitive to specification and interpretation, Column (6) is treated as descriptive evidence of persistence rather than as a preferred model for quantifying institutional effects. The paper’s main reduced-form evidence is therefore based on the static and nonlinear specifications.</w:t>
      </w:r>
    </w:p>
    <w:p w14:paraId="7D2FA1E2" w14:textId="77777777" w:rsidR="001B5C19" w:rsidRPr="00E76534" w:rsidRDefault="001B5C19" w:rsidP="001B5C19">
      <w:pPr>
        <w:pStyle w:val="Body"/>
        <w:spacing w:after="0"/>
        <w:rPr>
          <w:rFonts w:ascii="Arial" w:hAnsi="Arial" w:cs="Arial"/>
        </w:rPr>
      </w:pPr>
    </w:p>
    <w:p w14:paraId="3613386E" w14:textId="49D48003" w:rsidR="001B5C19" w:rsidRPr="00E76534" w:rsidRDefault="001B5C19" w:rsidP="001B5C19">
      <w:pPr>
        <w:pStyle w:val="Body"/>
        <w:spacing w:after="0"/>
        <w:rPr>
          <w:rFonts w:ascii="Arial" w:hAnsi="Arial" w:cs="Arial"/>
        </w:rPr>
      </w:pPr>
      <w:r w:rsidRPr="00E76534">
        <w:rPr>
          <w:rFonts w:ascii="Arial" w:hAnsi="Arial" w:cs="Arial"/>
        </w:rPr>
        <w:t>A range of diagnostic tests supports the empirical strategy. The modified Wald test for groupwise heteroskedasticity strongly rejects homoskedasticity</w:t>
      </w:r>
      <m:oMath>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
              <m:dPr>
                <m:ctrlPr>
                  <w:rPr>
                    <w:rFonts w:ascii="Cambria Math" w:hAnsi="Cambria Math" w:cs="Arial"/>
                    <w:i/>
                  </w:rPr>
                </m:ctrlPr>
              </m:dPr>
              <m:e>
                <m:r>
                  <w:rPr>
                    <w:rFonts w:ascii="Cambria Math" w:hAnsi="Cambria Math" w:cs="Arial"/>
                  </w:rPr>
                  <m:t>100</m:t>
                </m:r>
              </m:e>
            </m:d>
            <m:r>
              <w:rPr>
                <w:rFonts w:ascii="Cambria Math" w:hAnsi="Cambria Math" w:cs="Arial"/>
              </w:rPr>
              <m:t>=33,229.03, p&lt;0.001</m:t>
            </m:r>
          </m:e>
        </m:d>
      </m:oMath>
      <w:r w:rsidRPr="00E76534">
        <w:rPr>
          <w:rFonts w:ascii="Arial" w:hAnsi="Arial" w:cs="Arial"/>
        </w:rPr>
        <w:t>, justifying the use of heteroskedasticity-robust standard errors clustered at the country level. Tests for cross-sectional dependence using Pesaran’s cross-sectional dependence (CD) test</w:t>
      </w:r>
      <w:r w:rsidRPr="00E76534">
        <w:rPr>
          <w:rFonts w:ascii="Arial" w:hAnsi="Arial" w:cs="Arial"/>
          <w:b/>
          <w:bCs/>
        </w:rPr>
        <w:t xml:space="preserve"> </w:t>
      </w:r>
      <w:r w:rsidRPr="00E76534">
        <w:rPr>
          <w:rFonts w:ascii="Arial" w:hAnsi="Arial" w:cs="Arial"/>
        </w:rPr>
        <w:t>also reject independence (</w:t>
      </w:r>
      <m:oMath>
        <m:r>
          <w:rPr>
            <w:rFonts w:ascii="Cambria Math" w:hAnsi="Cambria Math" w:cs="Arial"/>
          </w:rPr>
          <m:t>CD=-3.422, p=0.0006)</m:t>
        </m:r>
      </m:oMath>
      <w:r w:rsidRPr="00E76534">
        <w:rPr>
          <w:rFonts w:ascii="Arial" w:hAnsi="Arial" w:cs="Arial"/>
        </w:rPr>
        <w:t>, with an average absolute off-diagonal correlation of 0.749 (Pearson, 2004). While year fixed effects absorb common global shocks, some cross-sectional dependence likely reflects regional spillovers or diffusion processes. Importantly, the estimated coefficients on gender inequality are stable across specifications, suggesting that the main findings are not driven by misspecified inference (Bongaarts and Watkins, 1996). </w:t>
      </w:r>
    </w:p>
    <w:p w14:paraId="344EE59F" w14:textId="07CAC51A" w:rsidR="00422E2F" w:rsidRPr="00E76534" w:rsidRDefault="00422E2F" w:rsidP="00010349">
      <w:pPr>
        <w:pStyle w:val="Body"/>
        <w:spacing w:after="0"/>
        <w:rPr>
          <w:rFonts w:ascii="Arial" w:hAnsi="Arial" w:cs="Arial"/>
        </w:rPr>
      </w:pPr>
    </w:p>
    <w:p w14:paraId="4BB48DFC" w14:textId="40E21D55" w:rsidR="001B5C19" w:rsidRPr="00E76534" w:rsidRDefault="00CE5B86" w:rsidP="00010349">
      <w:pPr>
        <w:pStyle w:val="Body"/>
        <w:spacing w:after="0"/>
        <w:rPr>
          <w:rFonts w:ascii="Arial" w:hAnsi="Arial" w:cs="Arial"/>
        </w:rPr>
      </w:pPr>
      <w:r w:rsidRPr="00E76534">
        <w:rPr>
          <w:rFonts w:ascii="Arial" w:hAnsi="Arial" w:cs="Arial"/>
          <w:b/>
          <w:bCs/>
          <w:sz w:val="22"/>
          <w:szCs w:val="22"/>
        </w:rPr>
        <w:t>3.2 Discussion</w:t>
      </w:r>
    </w:p>
    <w:p w14:paraId="6A76DA87" w14:textId="77777777" w:rsidR="00CE5B86" w:rsidRDefault="00CE5B86" w:rsidP="00CE5B86">
      <w:pPr>
        <w:pStyle w:val="Body"/>
        <w:spacing w:after="0"/>
        <w:rPr>
          <w:rFonts w:ascii="Arial" w:hAnsi="Arial" w:cs="Arial"/>
        </w:rPr>
      </w:pPr>
      <w:r w:rsidRPr="00E76534">
        <w:rPr>
          <w:rFonts w:ascii="Arial" w:hAnsi="Arial" w:cs="Arial"/>
        </w:rPr>
        <w:t xml:space="preserve">Taken together, the results provide consistent evidence that gender inequality is systematically associated with earlier fertility timing within countries. This relationship remains </w:t>
      </w:r>
      <w:r w:rsidRPr="00E76534">
        <w:rPr>
          <w:rFonts w:ascii="Arial" w:hAnsi="Arial" w:cs="Arial"/>
        </w:rPr>
        <w:lastRenderedPageBreak/>
        <w:t>robust when institutional measures are lagged, exhibits pronounced nonlinearity and is characterized by strong persistence over time. These patterns suggest that fertility timing responds primarily to slow-moving institutional environments rather than to short-run fluctuations in economic conditions or policy changes.</w:t>
      </w:r>
    </w:p>
    <w:p w14:paraId="086AD5F5" w14:textId="77777777" w:rsidR="001F540A" w:rsidRDefault="001F540A" w:rsidP="00CE5B86">
      <w:pPr>
        <w:pStyle w:val="Body"/>
        <w:spacing w:after="0"/>
        <w:rPr>
          <w:rFonts w:ascii="Arial" w:hAnsi="Arial" w:cs="Arial"/>
        </w:rPr>
      </w:pPr>
    </w:p>
    <w:p w14:paraId="2C9BB92C" w14:textId="77777777" w:rsidR="001F540A" w:rsidRDefault="001F540A" w:rsidP="001F540A">
      <w:pPr>
        <w:pStyle w:val="Body"/>
        <w:spacing w:after="0"/>
        <w:rPr>
          <w:rFonts w:ascii="Arial" w:hAnsi="Arial" w:cs="Arial"/>
          <w:highlight w:val="cyan"/>
        </w:rPr>
      </w:pPr>
      <w:r w:rsidRPr="001F540A">
        <w:rPr>
          <w:rFonts w:ascii="Arial" w:hAnsi="Arial" w:cs="Arial"/>
          <w:highlight w:val="cyan"/>
        </w:rPr>
        <w:t>The findings closely align with recent research emphasizing the institutional foundations of gender inequality and fertility behavior. Goldin (2021) argues that modern labor markets continue to reward inflexible career structures characterized by long and continuous work hours, generating substantial motherhood penalties following childbirth. The results of this paper support this interpretation by showing that institutional gender inequality is associated not simply with fertility levels, but with the timing of first birth itself. In environments where women face limited educational opportunities, weaker labor-market attachment, and greater career interruption costs, early childbearing becomes a rational response to constrained life-cycle incentives.</w:t>
      </w:r>
    </w:p>
    <w:p w14:paraId="6C95FA4B" w14:textId="77777777" w:rsidR="001F540A" w:rsidRPr="001F540A" w:rsidRDefault="001F540A" w:rsidP="001F540A">
      <w:pPr>
        <w:pStyle w:val="Body"/>
        <w:spacing w:after="0"/>
        <w:rPr>
          <w:rFonts w:ascii="Arial" w:hAnsi="Arial" w:cs="Arial"/>
          <w:highlight w:val="cyan"/>
        </w:rPr>
      </w:pPr>
    </w:p>
    <w:p w14:paraId="6D1B9477" w14:textId="77777777" w:rsidR="001F540A" w:rsidRDefault="001F540A" w:rsidP="001F540A">
      <w:pPr>
        <w:pStyle w:val="Body"/>
        <w:spacing w:after="0"/>
        <w:rPr>
          <w:rFonts w:ascii="Arial" w:hAnsi="Arial" w:cs="Arial"/>
          <w:highlight w:val="cyan"/>
        </w:rPr>
      </w:pPr>
      <w:r w:rsidRPr="001F540A">
        <w:rPr>
          <w:rFonts w:ascii="Arial" w:hAnsi="Arial" w:cs="Arial"/>
          <w:highlight w:val="cyan"/>
        </w:rPr>
        <w:t>The results are also consistent with Kleven et al.’s (2019; 2024a; 2024b) literature on child penalties and long-run gender inequality. Their work demonstrates that persistent gender gaps emerge primarily after first birth and are reinforced through labor-market and institutional structures. The strong persistence observed in fertility timing outcomes in this study similarly suggests that fertility behavior reflects slow-moving institutional and normative equilibria rather than purely individual preferences. The nonlinear findings further reinforce this interpretation by indicating that institutional constraints become particularly binding in highly unequal environments.</w:t>
      </w:r>
    </w:p>
    <w:p w14:paraId="0B8D14B4" w14:textId="3E5FEE18" w:rsidR="001F540A" w:rsidRPr="001F540A" w:rsidRDefault="001F540A" w:rsidP="001F540A">
      <w:pPr>
        <w:pStyle w:val="Body"/>
        <w:spacing w:after="0"/>
        <w:rPr>
          <w:rFonts w:ascii="Arial" w:hAnsi="Arial" w:cs="Arial"/>
          <w:highlight w:val="cyan"/>
        </w:rPr>
      </w:pPr>
      <w:r>
        <w:rPr>
          <w:rFonts w:ascii="Arial" w:hAnsi="Arial" w:cs="Arial"/>
          <w:highlight w:val="cyan"/>
        </w:rPr>
        <w:t>\</w:t>
      </w:r>
    </w:p>
    <w:p w14:paraId="561B7E02" w14:textId="77777777" w:rsidR="001F540A" w:rsidRDefault="001F540A" w:rsidP="001F540A">
      <w:pPr>
        <w:pStyle w:val="Body"/>
        <w:spacing w:after="0"/>
        <w:rPr>
          <w:rFonts w:ascii="Arial" w:hAnsi="Arial" w:cs="Arial"/>
          <w:highlight w:val="cyan"/>
        </w:rPr>
      </w:pPr>
      <w:r w:rsidRPr="001F540A">
        <w:rPr>
          <w:rFonts w:ascii="Arial" w:hAnsi="Arial" w:cs="Arial"/>
          <w:highlight w:val="cyan"/>
        </w:rPr>
        <w:t>More broadly, the findings support the policy-oriented literature emphasizing the role of family policy and institutional compatibility between employment and childbearing. Olivetti and Petrongolo (2017) show that family-supportive institutions can reduce the trade-off between fertility and labor-market participation by lowering career interruption costs for women. The present findings extend this logic by suggesting that institutional gender inequality shifts fertility timing toward earlier ages when supportive structures are weak or absent.</w:t>
      </w:r>
    </w:p>
    <w:p w14:paraId="3F714339" w14:textId="77777777" w:rsidR="001F540A" w:rsidRPr="001F540A" w:rsidRDefault="001F540A" w:rsidP="001F540A">
      <w:pPr>
        <w:pStyle w:val="Body"/>
        <w:spacing w:after="0"/>
        <w:rPr>
          <w:rFonts w:ascii="Arial" w:hAnsi="Arial" w:cs="Arial"/>
          <w:highlight w:val="cyan"/>
        </w:rPr>
      </w:pPr>
    </w:p>
    <w:p w14:paraId="77BDF867" w14:textId="77777777" w:rsidR="001F540A" w:rsidRPr="001F540A" w:rsidRDefault="001F540A" w:rsidP="001F540A">
      <w:pPr>
        <w:pStyle w:val="Body"/>
        <w:spacing w:after="0"/>
        <w:rPr>
          <w:rFonts w:ascii="Arial" w:hAnsi="Arial" w:cs="Arial"/>
        </w:rPr>
      </w:pPr>
      <w:r w:rsidRPr="001F540A">
        <w:rPr>
          <w:rFonts w:ascii="Arial" w:hAnsi="Arial" w:cs="Arial"/>
          <w:highlight w:val="cyan"/>
        </w:rPr>
        <w:t>The results additionally align with the United Nations Development Programme (UNDP, 2023) and World Bank (2012) literature emphasizing that gender inequality constrains long-run human-capital development and economic participation. Early childbearing may therefore function not only as a demographic outcome but also as a mechanism through which institutional inequality reproduces intergenerational disparities in education, labor-market outcomes, and economic opportunity.</w:t>
      </w:r>
    </w:p>
    <w:p w14:paraId="46F007F9" w14:textId="77777777" w:rsidR="00CE5B86" w:rsidRPr="00E76534" w:rsidRDefault="00CE5B86" w:rsidP="00CE5B86">
      <w:pPr>
        <w:pStyle w:val="Body"/>
        <w:spacing w:after="0"/>
        <w:rPr>
          <w:rFonts w:ascii="Arial" w:hAnsi="Arial" w:cs="Arial"/>
        </w:rPr>
      </w:pPr>
    </w:p>
    <w:p w14:paraId="6CAA4F59" w14:textId="77777777" w:rsidR="00CE5B86" w:rsidRPr="00E76534" w:rsidRDefault="00CE5B86" w:rsidP="00CE5B86">
      <w:pPr>
        <w:pStyle w:val="Body"/>
        <w:spacing w:after="0"/>
        <w:rPr>
          <w:rFonts w:ascii="Arial" w:hAnsi="Arial" w:cs="Arial"/>
        </w:rPr>
      </w:pPr>
      <w:r w:rsidRPr="00E76534">
        <w:rPr>
          <w:rFonts w:ascii="Arial" w:hAnsi="Arial" w:cs="Arial"/>
        </w:rPr>
        <w:t xml:space="preserve">From an economic perspective, these findings highlight fertility timing as a critical channel through which gender inequality translates into long-run losses in female human capital and aggregate productivity. Early entry into motherhood is closely linked to lower educational attainment, reduced experience accumulation, and weaker labor-market attachment over the life cycle (Adda </w:t>
      </w:r>
      <w:r w:rsidRPr="00E76534">
        <w:rPr>
          <w:rFonts w:ascii="Arial" w:hAnsi="Arial" w:cs="Arial"/>
          <w:i/>
          <w:iCs/>
        </w:rPr>
        <w:t>et al</w:t>
      </w:r>
      <w:r w:rsidRPr="00E76534">
        <w:rPr>
          <w:rFonts w:ascii="Arial" w:hAnsi="Arial" w:cs="Arial"/>
        </w:rPr>
        <w:t xml:space="preserve">., 2017). By shifting first births toward younger ages, gender inequality effectively shortens the period during which women can invest in human capital and establish stable career trajectories. When this mechanism operates at scale, it generates persistent cohort-level reductions in female labor supply and earnings, with adverse implications for long-run growth. Importantly, this channel operates through when children are born rather than how many are born, underscoring the economic relevance of fertility timing as distinct from fertility levels (Jones </w:t>
      </w:r>
      <w:r w:rsidRPr="00E76534">
        <w:rPr>
          <w:rFonts w:ascii="Arial" w:hAnsi="Arial" w:cs="Arial"/>
          <w:i/>
          <w:iCs/>
        </w:rPr>
        <w:t>et al</w:t>
      </w:r>
      <w:r w:rsidRPr="00E76534">
        <w:rPr>
          <w:rFonts w:ascii="Arial" w:hAnsi="Arial" w:cs="Arial"/>
        </w:rPr>
        <w:t>., 2011).</w:t>
      </w:r>
    </w:p>
    <w:p w14:paraId="7708A5DA" w14:textId="77777777" w:rsidR="00CE5B86" w:rsidRPr="00E76534" w:rsidRDefault="00CE5B86" w:rsidP="00CE5B86">
      <w:pPr>
        <w:pStyle w:val="Body"/>
        <w:spacing w:after="0"/>
        <w:rPr>
          <w:rFonts w:ascii="Arial" w:hAnsi="Arial" w:cs="Arial"/>
        </w:rPr>
      </w:pPr>
    </w:p>
    <w:p w14:paraId="5CB2EF28" w14:textId="77777777" w:rsidR="00CE5B86" w:rsidRPr="00E76534" w:rsidRDefault="00CE5B86" w:rsidP="00CE5B86">
      <w:pPr>
        <w:pStyle w:val="Body"/>
        <w:spacing w:after="0"/>
        <w:rPr>
          <w:rFonts w:ascii="Arial" w:hAnsi="Arial" w:cs="Arial"/>
        </w:rPr>
      </w:pPr>
      <w:r w:rsidRPr="00E76534">
        <w:rPr>
          <w:rFonts w:ascii="Arial" w:hAnsi="Arial" w:cs="Arial"/>
        </w:rPr>
        <w:t xml:space="preserve">The strong persistence documented in the dynamic specification implies that the economic costs associated with gender inequality are likely to be long lived. Fertility timing appears to be embedded in institutional and normative equilibria that evolve slowly through educational </w:t>
      </w:r>
      <w:r w:rsidRPr="00E76534">
        <w:rPr>
          <w:rFonts w:ascii="Arial" w:hAnsi="Arial" w:cs="Arial"/>
        </w:rPr>
        <w:lastRenderedPageBreak/>
        <w:t>systems, labor-market structures, and intergenerational transmission of expectations (Acemoglu and Robinson, 2012). As a result, temporary or narrowly targeted reforms are unlikely to generate immediate changes in fertility behavior. Instead, sustained institutional change—such as durable improvements in women’s legal rights, employment protection around childbirth, and access to reproductive autonomy—is more likely to yield compounding effects over time by gradually shifting life-cycle incentives and expectations across cohorts.</w:t>
      </w:r>
    </w:p>
    <w:p w14:paraId="578DCC0A" w14:textId="77777777" w:rsidR="00CE5B86" w:rsidRPr="00E76534" w:rsidRDefault="00CE5B86" w:rsidP="00CE5B86">
      <w:pPr>
        <w:pStyle w:val="Body"/>
        <w:spacing w:after="0"/>
        <w:rPr>
          <w:rFonts w:ascii="Arial" w:hAnsi="Arial" w:cs="Arial"/>
        </w:rPr>
      </w:pPr>
      <w:r w:rsidRPr="00E76534">
        <w:rPr>
          <w:rFonts w:ascii="Arial" w:hAnsi="Arial" w:cs="Arial"/>
        </w:rPr>
        <w:t>The nonlinear and regime-dependent nature of the relationship between gender inequality and fertility timing helps explain why empirical evidence in the cross-country fertility literature has often appeared mixed. In environments characterized by very high or very low gender inequality, fertility behavior may be anchored by coordination equilibria sustained by complementary institutions and norms, limiting responses to marginal reforms (Bisin and Verdier, 2017). By contrast, in intermediate regimes, small changes in institutional constraints can substantially alter the opportunity-cost wedge facing women, leading to large reallocations in the timing of first birth. This heterogeneity implies that the economic returns to gender-equality reforms are highly context-dependent and cautions against uniform policy prescriptions.</w:t>
      </w:r>
    </w:p>
    <w:p w14:paraId="63F4AEC1" w14:textId="77777777" w:rsidR="00CE5B86" w:rsidRPr="00E76534" w:rsidRDefault="00CE5B86" w:rsidP="00CE5B86">
      <w:pPr>
        <w:pStyle w:val="Body"/>
        <w:spacing w:after="0"/>
        <w:rPr>
          <w:rFonts w:ascii="Arial" w:hAnsi="Arial" w:cs="Arial"/>
        </w:rPr>
      </w:pPr>
    </w:p>
    <w:p w14:paraId="75D974CB" w14:textId="77777777" w:rsidR="00CE5B86" w:rsidRPr="00E76534" w:rsidRDefault="00CE5B86" w:rsidP="00CE5B86">
      <w:pPr>
        <w:pStyle w:val="Body"/>
        <w:spacing w:after="0"/>
        <w:rPr>
          <w:rFonts w:ascii="Arial" w:hAnsi="Arial" w:cs="Arial"/>
        </w:rPr>
      </w:pPr>
      <w:r w:rsidRPr="00E76534">
        <w:rPr>
          <w:rFonts w:ascii="Arial" w:hAnsi="Arial" w:cs="Arial"/>
        </w:rPr>
        <w:t>Finally, the weak association between gender development and fertility timing underscores the distinction between capabilities and constraints. Improvements in health, education, and income parity, while necessary, may be insufficient to alter fertility behavior if institutional barriers such as limited reproductive autonomy, insecure employment, or rigid labor-market structures remain binding (Jayachandran, 2021).</w:t>
      </w:r>
    </w:p>
    <w:p w14:paraId="57B4789D" w14:textId="77777777" w:rsidR="00CE5B86" w:rsidRPr="00E76534" w:rsidRDefault="00CE5B86" w:rsidP="00CE5B86">
      <w:pPr>
        <w:pStyle w:val="Body"/>
        <w:spacing w:after="0"/>
        <w:rPr>
          <w:rFonts w:ascii="Arial" w:hAnsi="Arial" w:cs="Arial"/>
        </w:rPr>
      </w:pPr>
    </w:p>
    <w:p w14:paraId="326295CB" w14:textId="77777777" w:rsidR="00CE5B86" w:rsidRPr="00E76534" w:rsidRDefault="00CE5B86" w:rsidP="00CE5B86">
      <w:pPr>
        <w:pStyle w:val="Body"/>
        <w:spacing w:after="0"/>
        <w:rPr>
          <w:rFonts w:ascii="Arial" w:hAnsi="Arial" w:cs="Arial"/>
        </w:rPr>
      </w:pPr>
      <w:r w:rsidRPr="00E76534">
        <w:rPr>
          <w:rFonts w:ascii="Arial" w:hAnsi="Arial" w:cs="Arial"/>
        </w:rPr>
        <w:t>Overall, the findings suggest that gender inequality affects long-run development not only by influencing women’s participation in education and labor markets, but also by shaping the timing of family formation in ways that have persistent economic consequences. The results indicate that institutional environments which reduce gender inequality and relax constraints on women’s life-cycle choices are associated with stronger human-capital accumulation and productivity over time, extending beyond their immediate relationship with fertility behavior.</w:t>
      </w:r>
    </w:p>
    <w:p w14:paraId="0B1964F1" w14:textId="77777777" w:rsidR="00CE5B86" w:rsidRPr="00E76534" w:rsidRDefault="00CE5B86" w:rsidP="00CE5B86">
      <w:pPr>
        <w:pStyle w:val="Body"/>
        <w:spacing w:after="0"/>
        <w:rPr>
          <w:rFonts w:ascii="Arial" w:hAnsi="Arial" w:cs="Arial"/>
        </w:rPr>
      </w:pPr>
      <w:r w:rsidRPr="00E76534">
        <w:rPr>
          <w:rFonts w:ascii="Arial" w:hAnsi="Arial" w:cs="Arial"/>
        </w:rPr>
        <w:t>The findings should be interpreted primarily within institutional environments where access constraints remain binding. In advanced economies operating closer to the educational frontier, fertility behavior may instead be shaped more strongly by opportunity costs and child-rearing expenses rather than by institutional inequality itself. The present results therefore speak most directly to the timing channel of fertility under heterogeneous institutional regimes and do not imply that gender equality uniformly increases fertility levels. Distinguishing between fertility timing and overall fertility outcomes helps reconcile these results with evidence from advanced economies emphasizing delayed and reduced childbearing.</w:t>
      </w:r>
    </w:p>
    <w:p w14:paraId="021D3CF5" w14:textId="77777777" w:rsidR="00CE5B86" w:rsidRPr="00E76534" w:rsidRDefault="00CE5B86" w:rsidP="00CE5B86">
      <w:pPr>
        <w:pStyle w:val="Body"/>
        <w:spacing w:after="0"/>
        <w:rPr>
          <w:rFonts w:ascii="Arial" w:hAnsi="Arial" w:cs="Arial"/>
        </w:rPr>
      </w:pPr>
    </w:p>
    <w:p w14:paraId="68421D02" w14:textId="1B1B14B0" w:rsidR="00CE5B86" w:rsidRPr="00AB0478" w:rsidRDefault="00CE5B86" w:rsidP="00CE5B86">
      <w:pPr>
        <w:pStyle w:val="Body"/>
        <w:spacing w:after="0"/>
        <w:rPr>
          <w:rFonts w:ascii="Arial" w:hAnsi="Arial" w:cs="Arial"/>
          <w:b/>
          <w:bCs/>
          <w:sz w:val="22"/>
          <w:szCs w:val="22"/>
        </w:rPr>
      </w:pPr>
      <w:r w:rsidRPr="00AB0478">
        <w:rPr>
          <w:rFonts w:ascii="Arial" w:hAnsi="Arial" w:cs="Arial"/>
          <w:b/>
          <w:bCs/>
          <w:sz w:val="22"/>
          <w:szCs w:val="22"/>
        </w:rPr>
        <w:t xml:space="preserve">4. Conclusion </w:t>
      </w:r>
    </w:p>
    <w:p w14:paraId="33B3C62C" w14:textId="77777777" w:rsidR="00CE5B86" w:rsidRPr="00E76534" w:rsidRDefault="00CE5B86" w:rsidP="00CE5B86">
      <w:pPr>
        <w:pStyle w:val="Body"/>
        <w:spacing w:after="0"/>
        <w:rPr>
          <w:rFonts w:ascii="Arial" w:hAnsi="Arial" w:cs="Arial"/>
        </w:rPr>
      </w:pPr>
    </w:p>
    <w:p w14:paraId="4B5FBD0D" w14:textId="3281AC17" w:rsidR="00CE5B86" w:rsidRPr="00E76534" w:rsidRDefault="00CE5B86" w:rsidP="00CE5B86">
      <w:pPr>
        <w:pStyle w:val="Body"/>
        <w:spacing w:after="0"/>
        <w:rPr>
          <w:rFonts w:ascii="Arial" w:hAnsi="Arial" w:cs="Arial"/>
        </w:rPr>
      </w:pPr>
      <w:r w:rsidRPr="00E76534">
        <w:rPr>
          <w:rFonts w:ascii="Arial" w:hAnsi="Arial" w:cs="Arial"/>
        </w:rPr>
        <w:t>From an economic perspective, these findings are consistent with an important mechanism through which gender inequality can depress long-run productivity and growth. Very early entry into motherhood (</w:t>
      </w:r>
      <w:r w:rsidRPr="00E76534">
        <w:rPr>
          <w:rFonts w:ascii="Arial" w:hAnsi="Arial" w:cs="Arial"/>
          <w:i/>
          <w:iCs/>
        </w:rPr>
        <w:t>i.e.</w:t>
      </w:r>
      <w:r w:rsidRPr="00E76534">
        <w:rPr>
          <w:rFonts w:ascii="Arial" w:hAnsi="Arial" w:cs="Arial"/>
        </w:rPr>
        <w:t>, first births occurring at young ages) is closely linked to lower educational attainment, weaker labor-market attachment, and reduced lifetime earnings for women. By shifting the ability to conceive children toward earlier ages, gender inequality shortens the period of human capital accumulation and weakens women’s attachment to the labor market over the life cycle. When widespread, these individual-level effects aggregate into persistent losses in human capital and output, particularly in economies where early first fertility remains prevalent.</w:t>
      </w:r>
    </w:p>
    <w:p w14:paraId="2123B196" w14:textId="77777777" w:rsidR="00CE5B86" w:rsidRPr="00E76534" w:rsidRDefault="00CE5B86" w:rsidP="00CE5B86">
      <w:pPr>
        <w:pStyle w:val="Body"/>
        <w:spacing w:after="0"/>
        <w:rPr>
          <w:rFonts w:ascii="Arial" w:hAnsi="Arial" w:cs="Arial"/>
        </w:rPr>
      </w:pPr>
    </w:p>
    <w:p w14:paraId="32E48812" w14:textId="77777777" w:rsidR="00CE5B86" w:rsidRPr="00E76534" w:rsidRDefault="00CE5B86" w:rsidP="00CE5B86">
      <w:pPr>
        <w:pStyle w:val="Body"/>
        <w:spacing w:after="0"/>
        <w:rPr>
          <w:rFonts w:ascii="Arial" w:hAnsi="Arial" w:cs="Arial"/>
        </w:rPr>
      </w:pPr>
      <w:r w:rsidRPr="00E76534">
        <w:rPr>
          <w:rFonts w:ascii="Arial" w:hAnsi="Arial" w:cs="Arial"/>
        </w:rPr>
        <w:t xml:space="preserve">The strong persistence in fertility timing documented in the dynamic specifications suggests that these economic costs are likely to be long lived. Institutional environments that encourage early fertility can become self-reinforcing through educational systems, labor-market </w:t>
      </w:r>
      <w:r w:rsidRPr="00E76534">
        <w:rPr>
          <w:rFonts w:ascii="Arial" w:hAnsi="Arial" w:cs="Arial"/>
        </w:rPr>
        <w:lastRenderedPageBreak/>
        <w:t>structures, and social norms, limiting the effectiveness of short-lived or narrowly targeted policy interventions. Conversely, sustained institutional reforms that expand women’s educational and labor-market opportunities can generate compounding benefits over time by gradually shifting fertility timing and strengthening human capital accumulation across cohorts.</w:t>
      </w:r>
    </w:p>
    <w:p w14:paraId="0444E70B" w14:textId="77777777" w:rsidR="00CE5B86" w:rsidRPr="00E76534" w:rsidRDefault="00CE5B86" w:rsidP="00CE5B86">
      <w:pPr>
        <w:pStyle w:val="Body"/>
        <w:spacing w:after="0"/>
        <w:rPr>
          <w:rFonts w:ascii="Arial" w:hAnsi="Arial" w:cs="Arial"/>
        </w:rPr>
      </w:pPr>
      <w:r w:rsidRPr="00E76534">
        <w:rPr>
          <w:rFonts w:ascii="Arial" w:hAnsi="Arial" w:cs="Arial"/>
        </w:rPr>
        <w:t>The results also carry important policy implications. First, policies that focus solely on improving aggregate outcomes—such as increasing average educational attainment or income parity—may be insufficient to alter fertility behavior if underlying institutional constraints remain binding. The weak and unstable association between the Gender Development Index and fertility timing highlights the distinction between capabilities and constraints: expanding access to education and health services is necessary but not sufficient if women continue to face limited reproductive autonomy or exclusion from stable employment.</w:t>
      </w:r>
    </w:p>
    <w:p w14:paraId="626055EE" w14:textId="77777777" w:rsidR="00CE5B86" w:rsidRPr="00E76534" w:rsidRDefault="00CE5B86" w:rsidP="00CE5B86">
      <w:pPr>
        <w:pStyle w:val="Body"/>
        <w:spacing w:after="0"/>
        <w:rPr>
          <w:rFonts w:ascii="Arial" w:hAnsi="Arial" w:cs="Arial"/>
        </w:rPr>
      </w:pPr>
      <w:r w:rsidRPr="00E76534">
        <w:rPr>
          <w:rFonts w:ascii="Arial" w:hAnsi="Arial" w:cs="Arial"/>
        </w:rPr>
        <w:t>Second, the nonlinear and regime-dependent nature of the results implies that the returns to gender-equality reforms are highly context dependent. In moderately unequal environments, incremental reforms may yield limited short-run changes in fertility behavior. In contrast, in high-inequality settings—where institutional constraints are most binding—reforms that strengthen women’s rights, protect post-birth employment, and expand access to reproductive health services can generate large shifts in fertility timing. Policy prioritization should therefore differ across countries depending on their position in the gender-inequality distribution.</w:t>
      </w:r>
    </w:p>
    <w:p w14:paraId="7A5034D1" w14:textId="77777777" w:rsidR="00CE5B86" w:rsidRPr="00E76534" w:rsidRDefault="00CE5B86" w:rsidP="00CE5B86">
      <w:pPr>
        <w:pStyle w:val="Body"/>
        <w:spacing w:after="0"/>
        <w:rPr>
          <w:rFonts w:ascii="Arial" w:hAnsi="Arial" w:cs="Arial"/>
        </w:rPr>
      </w:pPr>
    </w:p>
    <w:p w14:paraId="24CD697F" w14:textId="77777777" w:rsidR="00CE5B86" w:rsidRPr="00E76534" w:rsidRDefault="00CE5B86" w:rsidP="00CE5B86">
      <w:pPr>
        <w:pStyle w:val="Body"/>
        <w:spacing w:after="0"/>
        <w:rPr>
          <w:rFonts w:ascii="Arial" w:hAnsi="Arial" w:cs="Arial"/>
        </w:rPr>
      </w:pPr>
      <w:r w:rsidRPr="00E76534">
        <w:rPr>
          <w:rFonts w:ascii="Arial" w:hAnsi="Arial" w:cs="Arial"/>
        </w:rPr>
        <w:t>Finally, the persistence of fertility timing underscores the importance of credibility and durability in policy design. Temporary interventions are unlikely to overturn entrenched norms or coordination equilibria. Instead, sustained reforms that jointly address education, labor-market institutions, and reproductive autonomy are more likely to decouple career investment from fertility timing, enabling women to delay childbearing without sacrificing family outcomes.</w:t>
      </w:r>
    </w:p>
    <w:p w14:paraId="00AFA6D8" w14:textId="27AC1B63" w:rsidR="00992933" w:rsidRDefault="00CE5B86" w:rsidP="00CE5B86">
      <w:pPr>
        <w:pStyle w:val="Body"/>
        <w:spacing w:after="0"/>
        <w:rPr>
          <w:rFonts w:ascii="Arial" w:hAnsi="Arial" w:cs="Arial"/>
        </w:rPr>
      </w:pPr>
      <w:r w:rsidRPr="00E76534">
        <w:rPr>
          <w:rFonts w:ascii="Arial" w:hAnsi="Arial" w:cs="Arial"/>
        </w:rPr>
        <w:t xml:space="preserve">Overall, the analysis highlights fertility timing as an underexplored mechanism linking institutional environments to long-run human-capital dynamics. By distinguishing between the timing and overall fertility outcomes of fertility, this paper contributes to bridging micro-level demographic behavior with macroeconomic development outcomes. The results should be interpreted as evidence of institutional transmission channels rather than causal policy prescriptions. Future research may extend the framework by incorporating cost-based mechanisms and advanced-economy dynamics where opportunity costs dominate fertility decisions. </w:t>
      </w:r>
    </w:p>
    <w:p w14:paraId="7BB8077A" w14:textId="5E53187A" w:rsidR="00AB0478" w:rsidRPr="00AB0478" w:rsidRDefault="00AB0478" w:rsidP="00AB0478">
      <w:pPr>
        <w:pStyle w:val="isselectedend"/>
        <w:rPr>
          <w:rFonts w:ascii="Arial" w:hAnsi="Arial" w:cs="Arial"/>
          <w:b/>
          <w:bCs/>
          <w:color w:val="000000"/>
          <w:sz w:val="22"/>
          <w:szCs w:val="22"/>
          <w:highlight w:val="cyan"/>
        </w:rPr>
      </w:pPr>
      <w:r w:rsidRPr="00AB0478">
        <w:rPr>
          <w:rFonts w:ascii="Arial" w:hAnsi="Arial" w:cs="Arial"/>
          <w:b/>
          <w:bCs/>
          <w:color w:val="000000"/>
          <w:sz w:val="22"/>
          <w:szCs w:val="22"/>
          <w:highlight w:val="cyan"/>
        </w:rPr>
        <w:t>Limitations</w:t>
      </w:r>
    </w:p>
    <w:p w14:paraId="677FDB75" w14:textId="1142C3E0" w:rsidR="008F7670" w:rsidRPr="00AB0478" w:rsidRDefault="00AB0478" w:rsidP="00AB0478">
      <w:pPr>
        <w:pStyle w:val="NormalWeb"/>
        <w:rPr>
          <w:rFonts w:ascii="Arial" w:hAnsi="Arial" w:cs="Arial"/>
          <w:color w:val="000000"/>
          <w:sz w:val="20"/>
          <w:szCs w:val="20"/>
        </w:rPr>
      </w:pPr>
      <w:r w:rsidRPr="00AB0478">
        <w:rPr>
          <w:rFonts w:ascii="Arial" w:hAnsi="Arial" w:cs="Arial"/>
          <w:color w:val="000000"/>
          <w:sz w:val="20"/>
          <w:szCs w:val="20"/>
          <w:highlight w:val="cyan"/>
        </w:rPr>
        <w:t>This study has several limitations. First, the analysis uses macro-level country-year data and therefore cannot directly identify individual-level fertility decisions. Second, early childbearing is used as a proxy for fertility timing because consistent cross-country first-birth distribution data are limited. Third, although fixed-effects models reduce omitted-variable bias, endogeneity concerns may still remain. Fourth, the dynamic fixed-effects specification is interpreted cautiously because it may be affected by Nickell bias. Finally, differences in data quality and reporting standards across countries may influence the results.</w:t>
      </w:r>
    </w:p>
    <w:p w14:paraId="644B9709" w14:textId="77777777" w:rsidR="00992933" w:rsidRPr="00992933" w:rsidRDefault="00992933" w:rsidP="00992933">
      <w:pPr>
        <w:autoSpaceDE w:val="0"/>
        <w:autoSpaceDN w:val="0"/>
        <w:adjustRightInd w:val="0"/>
        <w:rPr>
          <w:rFonts w:ascii="Arial" w:eastAsiaTheme="minorEastAsia" w:hAnsi="Arial" w:cs="Arial"/>
          <w:b/>
          <w:bCs/>
          <w:color w:val="000000"/>
          <w:sz w:val="22"/>
          <w:szCs w:val="22"/>
        </w:rPr>
      </w:pPr>
      <w:r w:rsidRPr="00992933">
        <w:rPr>
          <w:rFonts w:ascii="Arial" w:eastAsiaTheme="minorEastAsia" w:hAnsi="Arial" w:cs="Arial"/>
          <w:b/>
          <w:bCs/>
          <w:color w:val="000000"/>
          <w:sz w:val="22"/>
          <w:szCs w:val="22"/>
        </w:rPr>
        <w:t xml:space="preserve">Acknowledgement </w:t>
      </w:r>
    </w:p>
    <w:p w14:paraId="42EE2D6E" w14:textId="77777777" w:rsidR="00992933" w:rsidRPr="00992933" w:rsidRDefault="00992933" w:rsidP="00992933">
      <w:pPr>
        <w:autoSpaceDE w:val="0"/>
        <w:autoSpaceDN w:val="0"/>
        <w:adjustRightInd w:val="0"/>
        <w:rPr>
          <w:rFonts w:ascii="Arial" w:eastAsiaTheme="minorEastAsia" w:hAnsi="Arial" w:cs="Arial"/>
          <w:color w:val="000000"/>
          <w:sz w:val="22"/>
          <w:szCs w:val="22"/>
        </w:rPr>
      </w:pPr>
    </w:p>
    <w:p w14:paraId="57006A92" w14:textId="1A436CA8" w:rsidR="00992933" w:rsidRPr="00482CCD" w:rsidRDefault="00992933" w:rsidP="00482CCD">
      <w:pPr>
        <w:rPr>
          <w:rFonts w:ascii="Arial" w:hAnsi="Arial" w:cs="Arial"/>
        </w:rPr>
      </w:pPr>
      <w:r w:rsidRPr="00992933">
        <w:rPr>
          <w:rFonts w:ascii="Arial" w:eastAsiaTheme="minorEastAsia" w:hAnsi="Arial" w:cs="Arial"/>
          <w:color w:val="000000"/>
        </w:rPr>
        <w:t>I gratefully acknowledge Dr. Stephen Wolff for his insightful guidance and critical feedback, which significantly enhanced the conceptual clarity and analytical rigor of this study</w:t>
      </w:r>
      <w:r w:rsidRPr="00992933">
        <w:rPr>
          <w:rFonts w:ascii="Arial" w:eastAsiaTheme="minorEastAsia" w:hAnsi="Arial" w:cs="Arial"/>
          <w:color w:val="000000"/>
          <w:highlight w:val="cyan"/>
        </w:rPr>
        <w:t>.</w:t>
      </w:r>
    </w:p>
    <w:p w14:paraId="300F48A5" w14:textId="77777777" w:rsidR="00992933" w:rsidRDefault="00992933" w:rsidP="00CE5B86">
      <w:pPr>
        <w:pStyle w:val="Body"/>
        <w:spacing w:after="0"/>
        <w:rPr>
          <w:rFonts w:ascii="Arial" w:hAnsi="Arial" w:cs="Arial"/>
          <w:b/>
          <w:bCs/>
        </w:rPr>
      </w:pPr>
    </w:p>
    <w:p w14:paraId="25E0D701" w14:textId="3E77CF9F" w:rsidR="00CE5B86" w:rsidRPr="00E76534" w:rsidRDefault="00CE5B86" w:rsidP="00CE5B86">
      <w:pPr>
        <w:pStyle w:val="Body"/>
        <w:spacing w:after="0"/>
        <w:rPr>
          <w:rFonts w:ascii="Arial" w:hAnsi="Arial" w:cs="Arial"/>
          <w:b/>
          <w:bCs/>
        </w:rPr>
      </w:pPr>
      <w:r w:rsidRPr="00E76534">
        <w:rPr>
          <w:rFonts w:ascii="Arial" w:hAnsi="Arial" w:cs="Arial"/>
          <w:b/>
          <w:bCs/>
        </w:rPr>
        <w:t>COMPETING INTERESTS</w:t>
      </w:r>
    </w:p>
    <w:p w14:paraId="06167B3E" w14:textId="77777777" w:rsidR="00CE5B86" w:rsidRPr="00E76534" w:rsidRDefault="00CE5B86" w:rsidP="00CE5B86">
      <w:pPr>
        <w:pStyle w:val="Body"/>
        <w:spacing w:after="0"/>
        <w:rPr>
          <w:rFonts w:ascii="Arial" w:hAnsi="Arial" w:cs="Arial"/>
        </w:rPr>
      </w:pPr>
    </w:p>
    <w:p w14:paraId="3DA5033A" w14:textId="5CA6CD15" w:rsidR="00CE5B86" w:rsidRPr="00E76534" w:rsidRDefault="00CE5B86" w:rsidP="00CE5B86">
      <w:pPr>
        <w:pStyle w:val="Body"/>
        <w:spacing w:after="0"/>
        <w:rPr>
          <w:rFonts w:ascii="Arial" w:hAnsi="Arial" w:cs="Arial"/>
        </w:rPr>
      </w:pPr>
      <w:r w:rsidRPr="00E76534">
        <w:rPr>
          <w:rFonts w:ascii="Arial" w:hAnsi="Arial" w:cs="Arial"/>
        </w:rPr>
        <w:t>Authors have declared that no competing interests exist.</w:t>
      </w:r>
    </w:p>
    <w:p w14:paraId="2BDB23F9" w14:textId="77777777" w:rsidR="005A2F54" w:rsidRPr="00E76534" w:rsidRDefault="005A2F54" w:rsidP="00CE5B86">
      <w:pPr>
        <w:pStyle w:val="Body"/>
        <w:spacing w:after="0"/>
        <w:rPr>
          <w:rFonts w:ascii="Arial" w:hAnsi="Arial" w:cs="Arial"/>
          <w:b/>
          <w:bCs/>
        </w:rPr>
      </w:pPr>
    </w:p>
    <w:p w14:paraId="02901F2B" w14:textId="19C43DFD" w:rsidR="00CE5B86" w:rsidRPr="00E76534" w:rsidRDefault="00CE5B86" w:rsidP="00CE5B86">
      <w:pPr>
        <w:pStyle w:val="Body"/>
        <w:spacing w:after="0"/>
        <w:rPr>
          <w:rFonts w:ascii="Arial" w:hAnsi="Arial" w:cs="Arial"/>
          <w:b/>
          <w:bCs/>
        </w:rPr>
      </w:pPr>
      <w:r w:rsidRPr="00E76534">
        <w:rPr>
          <w:rFonts w:ascii="Arial" w:hAnsi="Arial" w:cs="Arial"/>
          <w:b/>
          <w:bCs/>
        </w:rPr>
        <w:lastRenderedPageBreak/>
        <w:t>CONSENT</w:t>
      </w:r>
    </w:p>
    <w:p w14:paraId="142E8646" w14:textId="77777777" w:rsidR="00CE5B86" w:rsidRPr="00E76534" w:rsidRDefault="00CE5B86" w:rsidP="00CE5B86">
      <w:pPr>
        <w:pStyle w:val="Body"/>
        <w:spacing w:after="0"/>
        <w:rPr>
          <w:rFonts w:ascii="Arial" w:hAnsi="Arial" w:cs="Arial"/>
        </w:rPr>
      </w:pPr>
    </w:p>
    <w:p w14:paraId="6E086852" w14:textId="535237AB" w:rsidR="00CE5B86" w:rsidRPr="00E76534" w:rsidRDefault="00CE5B86" w:rsidP="00CE5B86">
      <w:pPr>
        <w:pStyle w:val="Body"/>
        <w:spacing w:after="0"/>
        <w:rPr>
          <w:rFonts w:ascii="Arial" w:hAnsi="Arial" w:cs="Arial"/>
        </w:rPr>
      </w:pPr>
      <w:r w:rsidRPr="00E76534">
        <w:rPr>
          <w:rFonts w:ascii="Arial" w:hAnsi="Arial" w:cs="Arial"/>
        </w:rPr>
        <w:t>Not applicable. The study used aggregated secondary country-level data obtained from publicly available international databases and did not involve individual patients, case reports, or identifiable personal information.</w:t>
      </w:r>
    </w:p>
    <w:p w14:paraId="52D03FD9" w14:textId="77777777" w:rsidR="00CE5B86" w:rsidRPr="00E76534" w:rsidRDefault="00CE5B86" w:rsidP="00CE5B86">
      <w:pPr>
        <w:pStyle w:val="Body"/>
        <w:spacing w:after="0"/>
        <w:rPr>
          <w:rFonts w:ascii="Arial" w:hAnsi="Arial" w:cs="Arial"/>
        </w:rPr>
      </w:pPr>
    </w:p>
    <w:p w14:paraId="5396F85E" w14:textId="77777777" w:rsidR="00CE5B86" w:rsidRPr="00E76534" w:rsidRDefault="00CE5B86" w:rsidP="00CE5B86">
      <w:pPr>
        <w:pStyle w:val="Body"/>
        <w:spacing w:after="0"/>
        <w:rPr>
          <w:rFonts w:ascii="Arial" w:hAnsi="Arial" w:cs="Arial"/>
          <w:b/>
          <w:bCs/>
        </w:rPr>
      </w:pPr>
      <w:r w:rsidRPr="00E76534">
        <w:rPr>
          <w:rFonts w:ascii="Arial" w:hAnsi="Arial" w:cs="Arial"/>
          <w:b/>
          <w:bCs/>
        </w:rPr>
        <w:t>ETHICAL APPROVAL</w:t>
      </w:r>
    </w:p>
    <w:p w14:paraId="5BB8C288" w14:textId="77777777" w:rsidR="00CE5B86" w:rsidRPr="00E76534" w:rsidRDefault="00CE5B86" w:rsidP="00CE5B86">
      <w:pPr>
        <w:pStyle w:val="Body"/>
        <w:spacing w:after="0"/>
        <w:rPr>
          <w:rFonts w:ascii="Arial" w:hAnsi="Arial" w:cs="Arial"/>
        </w:rPr>
      </w:pPr>
    </w:p>
    <w:p w14:paraId="7C93E0E1" w14:textId="50270702" w:rsidR="00AB0478" w:rsidRDefault="00CE5B86" w:rsidP="00CE5B86">
      <w:pPr>
        <w:pStyle w:val="Body"/>
        <w:spacing w:after="0"/>
        <w:rPr>
          <w:rFonts w:ascii="Arial" w:hAnsi="Arial" w:cs="Arial"/>
        </w:rPr>
      </w:pPr>
      <w:r w:rsidRPr="00E76534">
        <w:rPr>
          <w:rFonts w:ascii="Arial" w:hAnsi="Arial" w:cs="Arial"/>
        </w:rPr>
        <w:t>Ethical approval was not required for this study because the analysis was based exclusively on publicly available secondary country-level data from international databases, including the World Bank, UNESCO, and the United Nations Development Programme (UNDP). No human participants, patient records, or identifiable personal data were involved in the research.</w:t>
      </w:r>
    </w:p>
    <w:p w14:paraId="038CC71D" w14:textId="77777777" w:rsidR="009B3007" w:rsidRDefault="009B3007" w:rsidP="00CE5B86">
      <w:pPr>
        <w:pStyle w:val="Body"/>
        <w:spacing w:after="0"/>
        <w:rPr>
          <w:rFonts w:ascii="Arial" w:hAnsi="Arial" w:cs="Arial"/>
        </w:rPr>
      </w:pPr>
    </w:p>
    <w:p w14:paraId="76729C2B" w14:textId="77777777" w:rsidR="009B3007" w:rsidRPr="00AB0478" w:rsidRDefault="009B3007" w:rsidP="009B3007">
      <w:pPr>
        <w:pStyle w:val="NoSpacing"/>
        <w:rPr>
          <w:rFonts w:ascii="Arial" w:hAnsi="Arial" w:cs="Arial"/>
          <w:b/>
          <w:bCs/>
          <w:highlight w:val="cyan"/>
        </w:rPr>
      </w:pPr>
      <w:bookmarkStart w:id="0" w:name="_Hlk221624953"/>
      <w:r w:rsidRPr="00AB0478">
        <w:rPr>
          <w:rFonts w:ascii="Arial" w:hAnsi="Arial" w:cs="Arial"/>
          <w:b/>
          <w:bCs/>
          <w:highlight w:val="cyan"/>
        </w:rPr>
        <w:t>Disclaimer (Artificial intelligence)</w:t>
      </w:r>
    </w:p>
    <w:p w14:paraId="25DE264B" w14:textId="77777777" w:rsidR="009B3007" w:rsidRPr="00AB0478" w:rsidRDefault="009B3007" w:rsidP="009B3007">
      <w:pPr>
        <w:pStyle w:val="NoSpacing"/>
        <w:rPr>
          <w:rFonts w:ascii="Arial" w:hAnsi="Arial" w:cs="Arial"/>
          <w:highlight w:val="cyan"/>
        </w:rPr>
      </w:pPr>
    </w:p>
    <w:p w14:paraId="2B3A4B97" w14:textId="780D8D79" w:rsidR="009B3007" w:rsidRPr="00AB0478" w:rsidRDefault="009B3007" w:rsidP="00AB0478">
      <w:pPr>
        <w:pStyle w:val="NoSpacing"/>
        <w:rPr>
          <w:rFonts w:ascii="Arial" w:hAnsi="Arial" w:cs="Arial"/>
          <w:highlight w:val="cyan"/>
        </w:rPr>
      </w:pPr>
      <w:r w:rsidRPr="00AB0478">
        <w:rPr>
          <w:rFonts w:ascii="Arial" w:hAnsi="Arial" w:cs="Arial"/>
          <w:highlight w:val="cyan"/>
        </w:rPr>
        <w:t>Author</w:t>
      </w:r>
      <w:r w:rsidR="00AB0478">
        <w:rPr>
          <w:rFonts w:ascii="Arial" w:hAnsi="Arial" w:cs="Arial"/>
          <w:highlight w:val="cyan"/>
        </w:rPr>
        <w:t xml:space="preserve"> </w:t>
      </w:r>
      <w:r w:rsidRPr="00AB0478">
        <w:rPr>
          <w:rFonts w:ascii="Arial" w:hAnsi="Arial" w:cs="Arial"/>
          <w:highlight w:val="cyan"/>
        </w:rPr>
        <w:t xml:space="preserve">hereby </w:t>
      </w:r>
      <w:r w:rsidR="00AB0478" w:rsidRPr="00AB0478">
        <w:rPr>
          <w:rFonts w:ascii="Arial" w:hAnsi="Arial" w:cs="Arial"/>
          <w:highlight w:val="cyan"/>
        </w:rPr>
        <w:t>declares</w:t>
      </w:r>
      <w:r w:rsidRPr="00AB0478">
        <w:rPr>
          <w:rFonts w:ascii="Arial" w:hAnsi="Arial" w:cs="Arial"/>
          <w:highlight w:val="cyan"/>
        </w:rPr>
        <w:t xml:space="preserve"> that NO generative AI technologies such as Large Language Models (ChatGPT, COPILOT, etc.) and text-to-image generators have been used during the writing or editing of this manuscript. </w:t>
      </w:r>
      <w:bookmarkEnd w:id="0"/>
    </w:p>
    <w:p w14:paraId="652A70D2" w14:textId="77777777" w:rsidR="008F7670" w:rsidRPr="00E76534" w:rsidRDefault="008F7670" w:rsidP="00CE5B86">
      <w:pPr>
        <w:pStyle w:val="Body"/>
        <w:spacing w:after="0"/>
        <w:rPr>
          <w:rFonts w:ascii="Arial" w:hAnsi="Arial" w:cs="Arial"/>
        </w:rPr>
      </w:pPr>
    </w:p>
    <w:p w14:paraId="17E6C74F" w14:textId="77777777" w:rsidR="00EB543B" w:rsidRPr="00E76534" w:rsidRDefault="00EB543B" w:rsidP="00EB543B">
      <w:pPr>
        <w:pStyle w:val="Heading2"/>
        <w:rPr>
          <w:rFonts w:ascii="Times New Roman" w:hAnsi="Times New Roman" w:cs="Times New Roman"/>
          <w:b/>
          <w:bCs/>
          <w:color w:val="000000"/>
          <w:sz w:val="24"/>
          <w:szCs w:val="24"/>
        </w:rPr>
      </w:pPr>
      <w:r w:rsidRPr="00E76534">
        <w:rPr>
          <w:rFonts w:ascii="Times New Roman" w:hAnsi="Times New Roman" w:cs="Times New Roman"/>
          <w:b/>
          <w:bCs/>
          <w:color w:val="000000"/>
          <w:sz w:val="24"/>
          <w:szCs w:val="24"/>
        </w:rPr>
        <w:t xml:space="preserve">References </w:t>
      </w:r>
    </w:p>
    <w:p w14:paraId="3D1BEEE7" w14:textId="77777777" w:rsidR="00EB543B" w:rsidRPr="00E76534" w:rsidRDefault="00EB543B" w:rsidP="00EB543B"/>
    <w:p w14:paraId="0B78F15A" w14:textId="77777777" w:rsidR="00EB543B" w:rsidRPr="00E76534" w:rsidRDefault="00EB543B" w:rsidP="00EB543B">
      <w:pPr>
        <w:rPr>
          <w:rFonts w:ascii="Arial" w:hAnsi="Arial" w:cs="Arial"/>
        </w:rPr>
      </w:pPr>
      <w:r w:rsidRPr="00E76534">
        <w:rPr>
          <w:rFonts w:ascii="Arial" w:hAnsi="Arial" w:cs="Arial"/>
        </w:rPr>
        <w:t>Acemoglu, D., &amp; Robinson, J. A. (2012). </w:t>
      </w:r>
      <w:r w:rsidRPr="00E76534">
        <w:rPr>
          <w:rFonts w:ascii="Arial" w:hAnsi="Arial" w:cs="Arial"/>
          <w:i/>
          <w:iCs/>
        </w:rPr>
        <w:t>Why nations fail: The origins of power, prosperity, and poverty</w:t>
      </w:r>
      <w:r w:rsidRPr="00E76534">
        <w:rPr>
          <w:rFonts w:ascii="Arial" w:hAnsi="Arial" w:cs="Arial"/>
        </w:rPr>
        <w:t>. Crown Publishing.</w:t>
      </w:r>
    </w:p>
    <w:p w14:paraId="39CFC065" w14:textId="77777777" w:rsidR="00EB543B" w:rsidRPr="00E76534" w:rsidRDefault="00EB543B" w:rsidP="00EB543B">
      <w:pPr>
        <w:rPr>
          <w:rFonts w:ascii="Arial" w:hAnsi="Arial" w:cs="Arial"/>
        </w:rPr>
      </w:pPr>
      <w:r w:rsidRPr="00E76534">
        <w:rPr>
          <w:rFonts w:ascii="Arial" w:hAnsi="Arial" w:cs="Arial"/>
        </w:rPr>
        <w:t>Adda, J., Dustmann, C., &amp; Stevens, K. (2017). The career costs of children. </w:t>
      </w:r>
      <w:r w:rsidRPr="00E76534">
        <w:rPr>
          <w:rFonts w:ascii="Arial" w:hAnsi="Arial" w:cs="Arial"/>
          <w:i/>
          <w:iCs/>
        </w:rPr>
        <w:t>Journal of Political Economy, 125</w:t>
      </w:r>
      <w:r w:rsidRPr="00E76534">
        <w:rPr>
          <w:rFonts w:ascii="Arial" w:hAnsi="Arial" w:cs="Arial"/>
        </w:rPr>
        <w:t>(2), 293–337. </w:t>
      </w:r>
      <w:hyperlink r:id="rId15" w:tgtFrame="_new" w:history="1">
        <w:r w:rsidRPr="00E76534">
          <w:rPr>
            <w:rStyle w:val="Hyperlink"/>
            <w:rFonts w:ascii="Arial" w:hAnsi="Arial" w:cs="Arial"/>
          </w:rPr>
          <w:t>https://doi.org/10.1086/690952</w:t>
        </w:r>
      </w:hyperlink>
    </w:p>
    <w:p w14:paraId="7214AD18" w14:textId="77777777" w:rsidR="00EB543B" w:rsidRPr="00E76534" w:rsidRDefault="00EB543B" w:rsidP="00EB543B">
      <w:pPr>
        <w:rPr>
          <w:rFonts w:ascii="Arial" w:hAnsi="Arial" w:cs="Arial"/>
        </w:rPr>
      </w:pPr>
      <w:r w:rsidRPr="00E76534">
        <w:rPr>
          <w:rFonts w:ascii="Arial" w:hAnsi="Arial" w:cs="Arial"/>
        </w:rPr>
        <w:t>Akerlof, G. A. (1980). A theory of social custom, of which unemployment may be one consequence. </w:t>
      </w:r>
      <w:r w:rsidRPr="00E76534">
        <w:rPr>
          <w:rFonts w:ascii="Arial" w:hAnsi="Arial" w:cs="Arial"/>
          <w:i/>
          <w:iCs/>
        </w:rPr>
        <w:t>The Quarterly Journal of Economics, 94</w:t>
      </w:r>
      <w:r w:rsidRPr="00E76534">
        <w:rPr>
          <w:rFonts w:ascii="Arial" w:hAnsi="Arial" w:cs="Arial"/>
        </w:rPr>
        <w:t>(4), 749–775. </w:t>
      </w:r>
      <w:hyperlink r:id="rId16" w:tgtFrame="_new" w:history="1">
        <w:r w:rsidRPr="00E76534">
          <w:rPr>
            <w:rStyle w:val="Hyperlink"/>
            <w:rFonts w:ascii="Arial" w:hAnsi="Arial" w:cs="Arial"/>
          </w:rPr>
          <w:t>https://doi.org/10.2307/1885667</w:t>
        </w:r>
      </w:hyperlink>
    </w:p>
    <w:p w14:paraId="1E4159B9" w14:textId="77777777" w:rsidR="00EB543B" w:rsidRPr="00E76534" w:rsidRDefault="00EB543B" w:rsidP="00EB543B">
      <w:pPr>
        <w:rPr>
          <w:rFonts w:ascii="Arial" w:hAnsi="Arial" w:cs="Arial"/>
        </w:rPr>
      </w:pPr>
      <w:r w:rsidRPr="00E76534">
        <w:rPr>
          <w:rFonts w:ascii="Arial" w:hAnsi="Arial" w:cs="Arial"/>
        </w:rPr>
        <w:t>Akerlof, G. A., &amp; Kranton, R. E. (2005). Identity and the economics of organizations. </w:t>
      </w:r>
      <w:r w:rsidRPr="00E76534">
        <w:rPr>
          <w:rFonts w:ascii="Arial" w:hAnsi="Arial" w:cs="Arial"/>
          <w:i/>
          <w:iCs/>
        </w:rPr>
        <w:t>Journal of Economic Perspectives, 19</w:t>
      </w:r>
      <w:r w:rsidRPr="00E76534">
        <w:rPr>
          <w:rFonts w:ascii="Arial" w:hAnsi="Arial" w:cs="Arial"/>
        </w:rPr>
        <w:t>(1), 9–32. </w:t>
      </w:r>
      <w:hyperlink r:id="rId17" w:tgtFrame="_new" w:history="1">
        <w:r w:rsidRPr="00E76534">
          <w:rPr>
            <w:rStyle w:val="Hyperlink"/>
            <w:rFonts w:ascii="Arial" w:hAnsi="Arial" w:cs="Arial"/>
          </w:rPr>
          <w:t>https://doi.org/10.1257/0895330053147958</w:t>
        </w:r>
      </w:hyperlink>
    </w:p>
    <w:p w14:paraId="4C1BC62E" w14:textId="77777777" w:rsidR="00EB543B" w:rsidRPr="00E76534" w:rsidRDefault="00EB543B" w:rsidP="00EB543B">
      <w:pPr>
        <w:rPr>
          <w:rFonts w:ascii="Arial" w:hAnsi="Arial" w:cs="Arial"/>
        </w:rPr>
      </w:pPr>
      <w:r w:rsidRPr="00E76534">
        <w:rPr>
          <w:rFonts w:ascii="Arial" w:hAnsi="Arial" w:cs="Arial"/>
        </w:rPr>
        <w:t>Akerlof, G. A., &amp; Kranton, R. E. (2010). </w:t>
      </w:r>
      <w:r w:rsidRPr="00E76534">
        <w:rPr>
          <w:rFonts w:ascii="Arial" w:hAnsi="Arial" w:cs="Arial"/>
          <w:i/>
          <w:iCs/>
        </w:rPr>
        <w:t>Identity economics: How our identities shape our work, wages, and well-being</w:t>
      </w:r>
      <w:r w:rsidRPr="00E76534">
        <w:rPr>
          <w:rFonts w:ascii="Arial" w:hAnsi="Arial" w:cs="Arial"/>
        </w:rPr>
        <w:t>. Princeton University Press.</w:t>
      </w:r>
    </w:p>
    <w:p w14:paraId="608EA07C" w14:textId="77777777" w:rsidR="00EB543B" w:rsidRPr="00E76534" w:rsidRDefault="00EB543B" w:rsidP="00EB543B">
      <w:pPr>
        <w:rPr>
          <w:rFonts w:ascii="Arial" w:hAnsi="Arial" w:cs="Arial"/>
        </w:rPr>
      </w:pPr>
      <w:r w:rsidRPr="00E76534">
        <w:rPr>
          <w:rFonts w:ascii="Arial" w:hAnsi="Arial" w:cs="Arial"/>
        </w:rPr>
        <w:t>Alesina, A., Giuliano, P., &amp; Nunn, N. (2013). On the origins of gender roles: Women and the plough. </w:t>
      </w:r>
      <w:r w:rsidRPr="00E76534">
        <w:rPr>
          <w:rFonts w:ascii="Arial" w:hAnsi="Arial" w:cs="Arial"/>
          <w:i/>
          <w:iCs/>
        </w:rPr>
        <w:t>The Quarterly Journal of Economics, 128</w:t>
      </w:r>
      <w:r w:rsidRPr="00E76534">
        <w:rPr>
          <w:rFonts w:ascii="Arial" w:hAnsi="Arial" w:cs="Arial"/>
        </w:rPr>
        <w:t>(2), 469–530. </w:t>
      </w:r>
      <w:hyperlink r:id="rId18" w:tgtFrame="_new" w:history="1">
        <w:r w:rsidRPr="00E76534">
          <w:rPr>
            <w:rStyle w:val="Hyperlink"/>
            <w:rFonts w:ascii="Arial" w:hAnsi="Arial" w:cs="Arial"/>
          </w:rPr>
          <w:t>https://doi.org/10.1093/qje/qjt005</w:t>
        </w:r>
      </w:hyperlink>
    </w:p>
    <w:p w14:paraId="5AAFA3B7" w14:textId="77777777" w:rsidR="00EB543B" w:rsidRPr="00E76534" w:rsidRDefault="00EB543B" w:rsidP="00EB543B">
      <w:pPr>
        <w:rPr>
          <w:rFonts w:ascii="Arial" w:hAnsi="Arial" w:cs="Arial"/>
        </w:rPr>
      </w:pPr>
      <w:r w:rsidRPr="00E76534">
        <w:rPr>
          <w:rFonts w:ascii="Arial" w:hAnsi="Arial" w:cs="Arial"/>
        </w:rPr>
        <w:t>Amuedo-Dorantes, C., &amp; Kimmel, J. (2005). The motherhood wage gap for women in the United States: The importance of college and fertility delay. </w:t>
      </w:r>
      <w:r w:rsidRPr="00E76534">
        <w:rPr>
          <w:rFonts w:ascii="Arial" w:hAnsi="Arial" w:cs="Arial"/>
          <w:i/>
          <w:iCs/>
        </w:rPr>
        <w:t>Review of Economics of the Household, 3</w:t>
      </w:r>
      <w:r w:rsidRPr="00E76534">
        <w:rPr>
          <w:rFonts w:ascii="Arial" w:hAnsi="Arial" w:cs="Arial"/>
        </w:rPr>
        <w:t>(1), 17–48. </w:t>
      </w:r>
      <w:hyperlink r:id="rId19" w:tgtFrame="_new" w:history="1">
        <w:r w:rsidRPr="00E76534">
          <w:rPr>
            <w:rStyle w:val="Hyperlink"/>
            <w:rFonts w:ascii="Arial" w:hAnsi="Arial" w:cs="Arial"/>
          </w:rPr>
          <w:t>https://doi.org/10.1007/s11150-004-0978-9</w:t>
        </w:r>
      </w:hyperlink>
    </w:p>
    <w:p w14:paraId="1F288830" w14:textId="77777777" w:rsidR="00EB543B" w:rsidRPr="00E76534" w:rsidRDefault="00EB543B" w:rsidP="00EB543B">
      <w:pPr>
        <w:rPr>
          <w:rFonts w:ascii="Arial" w:hAnsi="Arial" w:cs="Arial"/>
        </w:rPr>
      </w:pPr>
      <w:r w:rsidRPr="00E76534">
        <w:rPr>
          <w:rFonts w:ascii="Arial" w:hAnsi="Arial" w:cs="Arial"/>
        </w:rPr>
        <w:t>Baizán, P., Arpino, B., &amp; Delclós, C. (2016). The effect of gender policies on fertility: The moderating role of education and normative context. </w:t>
      </w:r>
      <w:r w:rsidRPr="00E76534">
        <w:rPr>
          <w:rFonts w:ascii="Arial" w:hAnsi="Arial" w:cs="Arial"/>
          <w:i/>
          <w:iCs/>
        </w:rPr>
        <w:t>European Journal of Population / Revue européenne de démographie, 32</w:t>
      </w:r>
      <w:r w:rsidRPr="00E76534">
        <w:rPr>
          <w:rFonts w:ascii="Arial" w:hAnsi="Arial" w:cs="Arial"/>
        </w:rPr>
        <w:t>, 1–30. </w:t>
      </w:r>
      <w:hyperlink r:id="rId20" w:tgtFrame="_new" w:history="1">
        <w:r w:rsidRPr="00E76534">
          <w:rPr>
            <w:rStyle w:val="Hyperlink"/>
            <w:rFonts w:ascii="Arial" w:hAnsi="Arial" w:cs="Arial"/>
          </w:rPr>
          <w:t>https://doi.org/10.1007/s10680-015-9356-y</w:t>
        </w:r>
      </w:hyperlink>
    </w:p>
    <w:p w14:paraId="70FD51B5" w14:textId="77777777" w:rsidR="00EB543B" w:rsidRPr="00E76534" w:rsidRDefault="00EB543B" w:rsidP="00EB543B">
      <w:pPr>
        <w:rPr>
          <w:rFonts w:ascii="Arial" w:hAnsi="Arial" w:cs="Arial"/>
        </w:rPr>
      </w:pPr>
      <w:r w:rsidRPr="00E76534">
        <w:rPr>
          <w:rFonts w:ascii="Arial" w:hAnsi="Arial" w:cs="Arial"/>
        </w:rPr>
        <w:t>Becker, G. S. (1960). An economic analysis of fertility. In </w:t>
      </w:r>
      <w:r w:rsidRPr="00E76534">
        <w:rPr>
          <w:rFonts w:ascii="Arial" w:hAnsi="Arial" w:cs="Arial"/>
          <w:i/>
          <w:iCs/>
        </w:rPr>
        <w:t>Demographic and economic change in developed countries</w:t>
      </w:r>
      <w:r w:rsidRPr="00E76534">
        <w:rPr>
          <w:rFonts w:ascii="Arial" w:hAnsi="Arial" w:cs="Arial"/>
        </w:rPr>
        <w:t>(pp. 209–240). Princeton University Press.</w:t>
      </w:r>
    </w:p>
    <w:p w14:paraId="41347667" w14:textId="77777777" w:rsidR="00EB543B" w:rsidRPr="00E76534" w:rsidRDefault="00EB543B" w:rsidP="00EB543B">
      <w:pPr>
        <w:rPr>
          <w:rFonts w:ascii="Arial" w:hAnsi="Arial" w:cs="Arial"/>
        </w:rPr>
      </w:pPr>
      <w:r w:rsidRPr="00E76534">
        <w:rPr>
          <w:rFonts w:ascii="Arial" w:hAnsi="Arial" w:cs="Arial"/>
        </w:rPr>
        <w:t>Ben-Porath, Y. (1967). The production of human capital and the life cycle of earnings. </w:t>
      </w:r>
      <w:r w:rsidRPr="00E76534">
        <w:rPr>
          <w:rFonts w:ascii="Arial" w:hAnsi="Arial" w:cs="Arial"/>
          <w:i/>
          <w:iCs/>
        </w:rPr>
        <w:t>Journal of Political Economy, 75</w:t>
      </w:r>
      <w:r w:rsidRPr="00E76534">
        <w:rPr>
          <w:rFonts w:ascii="Arial" w:hAnsi="Arial" w:cs="Arial"/>
        </w:rPr>
        <w:t>(4), 352–365. </w:t>
      </w:r>
      <w:hyperlink r:id="rId21" w:tgtFrame="_new" w:history="1">
        <w:r w:rsidRPr="00E76534">
          <w:rPr>
            <w:rStyle w:val="Hyperlink"/>
            <w:rFonts w:ascii="Arial" w:hAnsi="Arial" w:cs="Arial"/>
          </w:rPr>
          <w:t>https://www.jstor.org/stable/1828596</w:t>
        </w:r>
      </w:hyperlink>
    </w:p>
    <w:p w14:paraId="14AF2B9B" w14:textId="77777777" w:rsidR="00EB543B" w:rsidRPr="00E76534" w:rsidRDefault="00EB543B" w:rsidP="00EB543B">
      <w:pPr>
        <w:rPr>
          <w:rFonts w:ascii="Arial" w:hAnsi="Arial" w:cs="Arial"/>
        </w:rPr>
      </w:pPr>
      <w:r w:rsidRPr="00E76534">
        <w:rPr>
          <w:rFonts w:ascii="Arial" w:hAnsi="Arial" w:cs="Arial"/>
        </w:rPr>
        <w:t>Berg, V., Lawson, D., &amp; Rotkirch, A. (2020). Financial opportunity costs and deaths among close kin are independently associated with reproductive timing in a contemporary high-income society. </w:t>
      </w:r>
      <w:r w:rsidRPr="00E76534">
        <w:rPr>
          <w:rFonts w:ascii="Arial" w:hAnsi="Arial" w:cs="Arial"/>
          <w:i/>
          <w:iCs/>
        </w:rPr>
        <w:t>Proceedings of the Royal Society B: Biological Sciences, 287</w:t>
      </w:r>
      <w:r w:rsidRPr="00E76534">
        <w:rPr>
          <w:rFonts w:ascii="Arial" w:hAnsi="Arial" w:cs="Arial"/>
        </w:rPr>
        <w:t>, Article 20192478. </w:t>
      </w:r>
      <w:hyperlink r:id="rId22" w:tgtFrame="_new" w:history="1">
        <w:r w:rsidRPr="00E76534">
          <w:rPr>
            <w:rStyle w:val="Hyperlink"/>
            <w:rFonts w:ascii="Arial" w:hAnsi="Arial" w:cs="Arial"/>
          </w:rPr>
          <w:t>https://doi.org/10.1098/rspb.2019.2478</w:t>
        </w:r>
      </w:hyperlink>
    </w:p>
    <w:p w14:paraId="1F289926" w14:textId="77777777" w:rsidR="00EB543B" w:rsidRPr="00E76534" w:rsidRDefault="00EB543B" w:rsidP="00EB543B">
      <w:pPr>
        <w:rPr>
          <w:rFonts w:ascii="Arial" w:hAnsi="Arial" w:cs="Arial"/>
        </w:rPr>
      </w:pPr>
      <w:r w:rsidRPr="00E76534">
        <w:rPr>
          <w:rFonts w:ascii="Arial" w:hAnsi="Arial" w:cs="Arial"/>
        </w:rPr>
        <w:t>Bernardi, L., &amp; Klärner, A. (2014). Social networks and fertility. </w:t>
      </w:r>
      <w:r w:rsidRPr="00E76534">
        <w:rPr>
          <w:rFonts w:ascii="Arial" w:hAnsi="Arial" w:cs="Arial"/>
          <w:i/>
          <w:iCs/>
        </w:rPr>
        <w:t>Demographic Research, 30</w:t>
      </w:r>
      <w:r w:rsidRPr="00E76534">
        <w:rPr>
          <w:rFonts w:ascii="Arial" w:hAnsi="Arial" w:cs="Arial"/>
        </w:rPr>
        <w:t>, 641–670. </w:t>
      </w:r>
      <w:hyperlink r:id="rId23" w:tgtFrame="_new" w:history="1">
        <w:r w:rsidRPr="00E76534">
          <w:rPr>
            <w:rStyle w:val="Hyperlink"/>
            <w:rFonts w:ascii="Arial" w:hAnsi="Arial" w:cs="Arial"/>
          </w:rPr>
          <w:t>https://doi.org/10.4054/DemRes.2014.30.22</w:t>
        </w:r>
      </w:hyperlink>
    </w:p>
    <w:p w14:paraId="7388175A" w14:textId="77777777" w:rsidR="00EB543B" w:rsidRPr="00E76534" w:rsidRDefault="00EB543B" w:rsidP="00EB543B">
      <w:pPr>
        <w:rPr>
          <w:rFonts w:ascii="Arial" w:hAnsi="Arial" w:cs="Arial"/>
        </w:rPr>
      </w:pPr>
      <w:r w:rsidRPr="00E76534">
        <w:rPr>
          <w:rFonts w:ascii="Arial" w:hAnsi="Arial" w:cs="Arial"/>
        </w:rPr>
        <w:lastRenderedPageBreak/>
        <w:t>Berthelon, M., &amp; Kruger, D. (2017). Does adolescent motherhood affect education and labor market outcomes of mothers? A study on young adult women in Chile during 1990–2013. </w:t>
      </w:r>
      <w:r w:rsidRPr="00E76534">
        <w:rPr>
          <w:rFonts w:ascii="Arial" w:hAnsi="Arial" w:cs="Arial"/>
          <w:i/>
          <w:iCs/>
        </w:rPr>
        <w:t>International Journal of Public Health, 62</w:t>
      </w:r>
      <w:r w:rsidRPr="00E76534">
        <w:rPr>
          <w:rFonts w:ascii="Arial" w:hAnsi="Arial" w:cs="Arial"/>
        </w:rPr>
        <w:t>, 293–303. </w:t>
      </w:r>
      <w:hyperlink r:id="rId24" w:tgtFrame="_new" w:history="1">
        <w:r w:rsidRPr="00E76534">
          <w:rPr>
            <w:rStyle w:val="Hyperlink"/>
            <w:rFonts w:ascii="Arial" w:hAnsi="Arial" w:cs="Arial"/>
          </w:rPr>
          <w:t>https://doi.org/10.1007/s00038-016-0926-5</w:t>
        </w:r>
      </w:hyperlink>
    </w:p>
    <w:p w14:paraId="46F4BBA6" w14:textId="77777777" w:rsidR="00EB543B" w:rsidRPr="00E76534" w:rsidRDefault="00EB543B" w:rsidP="00EB543B">
      <w:pPr>
        <w:rPr>
          <w:rFonts w:ascii="Arial" w:hAnsi="Arial" w:cs="Arial"/>
        </w:rPr>
      </w:pPr>
      <w:r w:rsidRPr="00E76534">
        <w:rPr>
          <w:rFonts w:ascii="Arial" w:hAnsi="Arial" w:cs="Arial"/>
        </w:rPr>
        <w:t>Billingsley, S., Neyer, G., &amp; Wesolowski, K. (2022). Social investment policies and childbearing across 20 countries: Longitudinal and micro-level analyses. </w:t>
      </w:r>
      <w:r w:rsidRPr="00E76534">
        <w:rPr>
          <w:rFonts w:ascii="Arial" w:hAnsi="Arial" w:cs="Arial"/>
          <w:i/>
          <w:iCs/>
        </w:rPr>
        <w:t>European Journal of Population / Revue européenne de démographie, 38</w:t>
      </w:r>
      <w:r w:rsidRPr="00E76534">
        <w:rPr>
          <w:rFonts w:ascii="Arial" w:hAnsi="Arial" w:cs="Arial"/>
        </w:rPr>
        <w:t>, 951–974. </w:t>
      </w:r>
      <w:hyperlink r:id="rId25" w:tgtFrame="_new" w:history="1">
        <w:r w:rsidRPr="00E76534">
          <w:rPr>
            <w:rStyle w:val="Hyperlink"/>
            <w:rFonts w:ascii="Arial" w:hAnsi="Arial" w:cs="Arial"/>
          </w:rPr>
          <w:t>https://doi.org/10.1007/s10680-022-09626-3</w:t>
        </w:r>
      </w:hyperlink>
    </w:p>
    <w:p w14:paraId="35CFB4FC" w14:textId="77777777" w:rsidR="00EB543B" w:rsidRPr="00E76534" w:rsidRDefault="00EB543B" w:rsidP="00EB543B">
      <w:pPr>
        <w:rPr>
          <w:rFonts w:ascii="Arial" w:hAnsi="Arial" w:cs="Arial"/>
        </w:rPr>
      </w:pPr>
      <w:r w:rsidRPr="00E76534">
        <w:rPr>
          <w:rFonts w:ascii="Arial" w:hAnsi="Arial" w:cs="Arial"/>
        </w:rPr>
        <w:t>Bisin, A., &amp; Verdier, T. (2017). </w:t>
      </w:r>
      <w:r w:rsidRPr="00E76534">
        <w:rPr>
          <w:rFonts w:ascii="Arial" w:hAnsi="Arial" w:cs="Arial"/>
          <w:i/>
          <w:iCs/>
        </w:rPr>
        <w:t>On the joint evolution of culture and institutions</w:t>
      </w:r>
      <w:r w:rsidRPr="00E76534">
        <w:rPr>
          <w:rFonts w:ascii="Arial" w:hAnsi="Arial" w:cs="Arial"/>
        </w:rPr>
        <w:t> (NBER Working Paper No. 23375). National Bureau of Economic Research. </w:t>
      </w:r>
      <w:hyperlink r:id="rId26" w:tgtFrame="_new" w:history="1">
        <w:r w:rsidRPr="00E76534">
          <w:rPr>
            <w:rStyle w:val="Hyperlink"/>
            <w:rFonts w:ascii="Arial" w:hAnsi="Arial" w:cs="Arial"/>
          </w:rPr>
          <w:t>https://www.nber.org/papers/w23375</w:t>
        </w:r>
      </w:hyperlink>
    </w:p>
    <w:p w14:paraId="7C5EEDAD" w14:textId="77777777" w:rsidR="00EB543B" w:rsidRPr="00E76534" w:rsidRDefault="00EB543B" w:rsidP="00EB543B">
      <w:pPr>
        <w:rPr>
          <w:rFonts w:ascii="Arial" w:hAnsi="Arial" w:cs="Arial"/>
        </w:rPr>
      </w:pPr>
      <w:r w:rsidRPr="00E76534">
        <w:rPr>
          <w:rFonts w:ascii="Arial" w:hAnsi="Arial" w:cs="Arial"/>
        </w:rPr>
        <w:t>Bisin, A., &amp; Verdier, T. (2001). The economics of cultural transmission and the dynamics of preferences. </w:t>
      </w:r>
      <w:r w:rsidRPr="00E76534">
        <w:rPr>
          <w:rFonts w:ascii="Arial" w:hAnsi="Arial" w:cs="Arial"/>
          <w:i/>
          <w:iCs/>
        </w:rPr>
        <w:t>Journal of Economic Theory, 97</w:t>
      </w:r>
      <w:r w:rsidRPr="00E76534">
        <w:rPr>
          <w:rFonts w:ascii="Arial" w:hAnsi="Arial" w:cs="Arial"/>
        </w:rPr>
        <w:t>(2), 298–319. https://doi.org/10.1006/jeth.2000.2678</w:t>
      </w:r>
    </w:p>
    <w:p w14:paraId="60D106A6" w14:textId="77777777" w:rsidR="00EB543B" w:rsidRPr="00E76534" w:rsidRDefault="00EB543B" w:rsidP="00EB543B">
      <w:pPr>
        <w:rPr>
          <w:rFonts w:ascii="Arial" w:hAnsi="Arial" w:cs="Arial"/>
        </w:rPr>
      </w:pPr>
      <w:r w:rsidRPr="00E76534">
        <w:rPr>
          <w:rFonts w:ascii="Arial" w:hAnsi="Arial" w:cs="Arial"/>
        </w:rPr>
        <w:t>Björklund, A., &amp; Salvanes, K. G. (2010). </w:t>
      </w:r>
      <w:r w:rsidRPr="00E76534">
        <w:rPr>
          <w:rFonts w:ascii="Arial" w:hAnsi="Arial" w:cs="Arial"/>
          <w:i/>
          <w:iCs/>
        </w:rPr>
        <w:t>Education and family background: Mechanisms and policies</w:t>
      </w:r>
      <w:r w:rsidRPr="00E76534">
        <w:rPr>
          <w:rFonts w:ascii="Arial" w:hAnsi="Arial" w:cs="Arial"/>
        </w:rPr>
        <w:t> (IZA Discussion Paper No. 5002). Institute of Labor Economics. </w:t>
      </w:r>
      <w:hyperlink r:id="rId27" w:tgtFrame="_new" w:history="1">
        <w:r w:rsidRPr="00E76534">
          <w:rPr>
            <w:rStyle w:val="Hyperlink"/>
            <w:rFonts w:ascii="Arial" w:hAnsi="Arial" w:cs="Arial"/>
          </w:rPr>
          <w:t>https://docs.iza.org/dp5002.pdf</w:t>
        </w:r>
      </w:hyperlink>
    </w:p>
    <w:p w14:paraId="4DF8F16F" w14:textId="77777777" w:rsidR="00EB543B" w:rsidRPr="00E76534" w:rsidRDefault="00EB543B" w:rsidP="00EB543B">
      <w:pPr>
        <w:rPr>
          <w:rFonts w:ascii="Arial" w:hAnsi="Arial" w:cs="Arial"/>
        </w:rPr>
      </w:pPr>
      <w:r w:rsidRPr="00E76534">
        <w:rPr>
          <w:rFonts w:ascii="Arial" w:hAnsi="Arial" w:cs="Arial"/>
        </w:rPr>
        <w:t>Bloome, D. (2014). Racial inequality trends and the intergenerational persistence of income and family structure. </w:t>
      </w:r>
      <w:r w:rsidRPr="00E76534">
        <w:rPr>
          <w:rFonts w:ascii="Arial" w:hAnsi="Arial" w:cs="Arial"/>
          <w:i/>
          <w:iCs/>
        </w:rPr>
        <w:t>American Sociological Review, 79</w:t>
      </w:r>
      <w:r w:rsidRPr="00E76534">
        <w:rPr>
          <w:rFonts w:ascii="Arial" w:hAnsi="Arial" w:cs="Arial"/>
        </w:rPr>
        <w:t>(6), 1196–1225. </w:t>
      </w:r>
      <w:hyperlink r:id="rId28" w:tgtFrame="_new" w:history="1">
        <w:r w:rsidRPr="00E76534">
          <w:rPr>
            <w:rStyle w:val="Hyperlink"/>
            <w:rFonts w:ascii="Arial" w:hAnsi="Arial" w:cs="Arial"/>
          </w:rPr>
          <w:t>https://doi.org/10.1177/0003122414554947</w:t>
        </w:r>
      </w:hyperlink>
    </w:p>
    <w:p w14:paraId="62531513" w14:textId="77777777" w:rsidR="00EB543B" w:rsidRPr="00E76534" w:rsidRDefault="00EB543B" w:rsidP="00EB543B">
      <w:pPr>
        <w:rPr>
          <w:rFonts w:ascii="Arial" w:hAnsi="Arial" w:cs="Arial"/>
        </w:rPr>
      </w:pPr>
      <w:r w:rsidRPr="00E76534">
        <w:rPr>
          <w:rFonts w:ascii="Arial" w:hAnsi="Arial" w:cs="Arial"/>
        </w:rPr>
        <w:t>Bongaarts, J., &amp; Watkins, S. C. (1996). Social interactions and contemporary fertility transitions. </w:t>
      </w:r>
      <w:r w:rsidRPr="00E76534">
        <w:rPr>
          <w:rFonts w:ascii="Arial" w:hAnsi="Arial" w:cs="Arial"/>
          <w:i/>
          <w:iCs/>
        </w:rPr>
        <w:t>Population and Development Review, 22</w:t>
      </w:r>
      <w:r w:rsidRPr="00E76534">
        <w:rPr>
          <w:rFonts w:ascii="Arial" w:hAnsi="Arial" w:cs="Arial"/>
        </w:rPr>
        <w:t>(4), 639–682. </w:t>
      </w:r>
      <w:hyperlink r:id="rId29" w:tgtFrame="_new" w:history="1">
        <w:r w:rsidRPr="00E76534">
          <w:rPr>
            <w:rStyle w:val="Hyperlink"/>
            <w:rFonts w:ascii="Arial" w:hAnsi="Arial" w:cs="Arial"/>
          </w:rPr>
          <w:t>https://doi.org/10.2307/2137804</w:t>
        </w:r>
      </w:hyperlink>
    </w:p>
    <w:p w14:paraId="285C6D5E" w14:textId="77777777" w:rsidR="00EB543B" w:rsidRPr="00E76534" w:rsidRDefault="00EB543B" w:rsidP="00EB543B">
      <w:pPr>
        <w:rPr>
          <w:rFonts w:ascii="Arial" w:hAnsi="Arial" w:cs="Arial"/>
        </w:rPr>
      </w:pPr>
      <w:r w:rsidRPr="00E76534">
        <w:rPr>
          <w:rFonts w:ascii="Arial" w:hAnsi="Arial" w:cs="Arial"/>
        </w:rPr>
        <w:t>Bratti, M. (2023). Fertility postponement and labour market outcomes. </w:t>
      </w:r>
      <w:r w:rsidRPr="00E76534">
        <w:rPr>
          <w:rFonts w:ascii="Arial" w:hAnsi="Arial" w:cs="Arial"/>
          <w:i/>
          <w:iCs/>
        </w:rPr>
        <w:t>IZA World of Labor</w:t>
      </w:r>
      <w:r w:rsidRPr="00E76534">
        <w:rPr>
          <w:rFonts w:ascii="Arial" w:hAnsi="Arial" w:cs="Arial"/>
        </w:rPr>
        <w:t>, Article 117. </w:t>
      </w:r>
      <w:hyperlink r:id="rId30" w:tgtFrame="_new" w:history="1">
        <w:r w:rsidRPr="00E76534">
          <w:rPr>
            <w:rStyle w:val="Hyperlink"/>
            <w:rFonts w:ascii="Arial" w:hAnsi="Arial" w:cs="Arial"/>
          </w:rPr>
          <w:t>https://wol.iza.org/articles/fertility-postponement-and-labor-market-outcomes/long</w:t>
        </w:r>
      </w:hyperlink>
    </w:p>
    <w:p w14:paraId="7CDC8576" w14:textId="77777777" w:rsidR="00EB543B" w:rsidRPr="00E76534" w:rsidRDefault="00EB543B" w:rsidP="00EB543B">
      <w:pPr>
        <w:rPr>
          <w:rFonts w:ascii="Arial" w:hAnsi="Arial" w:cs="Arial"/>
        </w:rPr>
      </w:pPr>
      <w:r w:rsidRPr="00E76534">
        <w:rPr>
          <w:rFonts w:ascii="Arial" w:hAnsi="Arial" w:cs="Arial"/>
        </w:rPr>
        <w:t>Budig, M. J., &amp; England, P. (2001). The wage penalty for motherhood. </w:t>
      </w:r>
      <w:r w:rsidRPr="00E76534">
        <w:rPr>
          <w:rFonts w:ascii="Arial" w:hAnsi="Arial" w:cs="Arial"/>
          <w:i/>
          <w:iCs/>
        </w:rPr>
        <w:t>American Sociological Review, 66</w:t>
      </w:r>
      <w:r w:rsidRPr="00E76534">
        <w:rPr>
          <w:rFonts w:ascii="Arial" w:hAnsi="Arial" w:cs="Arial"/>
        </w:rPr>
        <w:t>(2), 204–225. </w:t>
      </w:r>
      <w:hyperlink r:id="rId31" w:tgtFrame="_new" w:history="1">
        <w:r w:rsidRPr="00E76534">
          <w:rPr>
            <w:rStyle w:val="Hyperlink"/>
            <w:rFonts w:ascii="Arial" w:hAnsi="Arial" w:cs="Arial"/>
          </w:rPr>
          <w:t>https://www.jstor.org/stable/2657415</w:t>
        </w:r>
      </w:hyperlink>
    </w:p>
    <w:p w14:paraId="32F909A9" w14:textId="77777777" w:rsidR="00EB543B" w:rsidRPr="00E76534" w:rsidRDefault="00EB543B" w:rsidP="00EB543B">
      <w:pPr>
        <w:rPr>
          <w:rFonts w:ascii="Arial" w:hAnsi="Arial" w:cs="Arial"/>
        </w:rPr>
      </w:pPr>
      <w:r w:rsidRPr="00E76534">
        <w:rPr>
          <w:rFonts w:ascii="Arial" w:hAnsi="Arial" w:cs="Arial"/>
        </w:rPr>
        <w:t>Buckles, K. (2008). Understanding the returns to delayed childbearing for working women. </w:t>
      </w:r>
      <w:r w:rsidRPr="00E76534">
        <w:rPr>
          <w:rFonts w:ascii="Arial" w:hAnsi="Arial" w:cs="Arial"/>
          <w:i/>
          <w:iCs/>
        </w:rPr>
        <w:t>American Economic Review: Papers &amp; Proceedings, 98</w:t>
      </w:r>
      <w:r w:rsidRPr="00E76534">
        <w:rPr>
          <w:rFonts w:ascii="Arial" w:hAnsi="Arial" w:cs="Arial"/>
        </w:rPr>
        <w:t>(2), 403–407. </w:t>
      </w:r>
      <w:hyperlink r:id="rId32" w:tgtFrame="_new" w:history="1">
        <w:r w:rsidRPr="00E76534">
          <w:rPr>
            <w:rStyle w:val="Hyperlink"/>
            <w:rFonts w:ascii="Arial" w:hAnsi="Arial" w:cs="Arial"/>
          </w:rPr>
          <w:t>https://doi.org/10.1257/aer.98.2.403</w:t>
        </w:r>
      </w:hyperlink>
    </w:p>
    <w:p w14:paraId="16F473BC" w14:textId="77777777" w:rsidR="00EB543B" w:rsidRPr="00E76534" w:rsidRDefault="00EB543B" w:rsidP="00EB543B">
      <w:pPr>
        <w:rPr>
          <w:rFonts w:ascii="Arial" w:hAnsi="Arial" w:cs="Arial"/>
        </w:rPr>
      </w:pPr>
      <w:r w:rsidRPr="00E76534">
        <w:rPr>
          <w:rFonts w:ascii="Arial" w:hAnsi="Arial" w:cs="Arial"/>
        </w:rPr>
        <w:t>Comolli, C. L., Spini, D., &amp; Bernardi, L. (2021). The long-term effects of employment uncertainty on fertility trajectories. </w:t>
      </w:r>
      <w:r w:rsidRPr="00E76534">
        <w:rPr>
          <w:rFonts w:ascii="Arial" w:hAnsi="Arial" w:cs="Arial"/>
          <w:i/>
          <w:iCs/>
        </w:rPr>
        <w:t>Demographic Research, 44</w:t>
      </w:r>
      <w:r w:rsidRPr="00E76534">
        <w:rPr>
          <w:rFonts w:ascii="Arial" w:hAnsi="Arial" w:cs="Arial"/>
        </w:rPr>
        <w:t>, 1305–1338. https://doi.org/10.4054/DemRes.2021.44.47</w:t>
      </w:r>
    </w:p>
    <w:p w14:paraId="3B08B6E2" w14:textId="77777777" w:rsidR="00EB543B" w:rsidRPr="00E76534" w:rsidRDefault="00EB543B" w:rsidP="00EB543B">
      <w:pPr>
        <w:rPr>
          <w:rFonts w:ascii="Arial" w:hAnsi="Arial" w:cs="Arial"/>
        </w:rPr>
      </w:pPr>
      <w:r w:rsidRPr="00E76534">
        <w:rPr>
          <w:rFonts w:ascii="Arial" w:hAnsi="Arial" w:cs="Arial"/>
        </w:rPr>
        <w:t>Cukrowska-Torzewska, E., &amp; Matysiak, A. (2020). The motherhood wage penalty: A meta-analysis. </w:t>
      </w:r>
      <w:r w:rsidRPr="00E76534">
        <w:rPr>
          <w:rFonts w:ascii="Arial" w:hAnsi="Arial" w:cs="Arial"/>
          <w:i/>
          <w:iCs/>
        </w:rPr>
        <w:t>Social Science Research, 88</w:t>
      </w:r>
      <w:r w:rsidRPr="00E76534">
        <w:rPr>
          <w:rFonts w:ascii="Arial" w:hAnsi="Arial" w:cs="Arial"/>
        </w:rPr>
        <w:t>, Article 102416. </w:t>
      </w:r>
      <w:hyperlink r:id="rId33" w:tgtFrame="_new" w:history="1">
        <w:r w:rsidRPr="00E76534">
          <w:rPr>
            <w:rStyle w:val="Hyperlink"/>
            <w:rFonts w:ascii="Arial" w:hAnsi="Arial" w:cs="Arial"/>
          </w:rPr>
          <w:t>https://doi.org/10.1016/j.ssresearch.2020.102416</w:t>
        </w:r>
      </w:hyperlink>
    </w:p>
    <w:p w14:paraId="585CCFCC" w14:textId="77777777" w:rsidR="00EB543B" w:rsidRPr="00E76534" w:rsidRDefault="00EB543B" w:rsidP="00EB543B">
      <w:pPr>
        <w:rPr>
          <w:rFonts w:ascii="Arial" w:hAnsi="Arial" w:cs="Arial"/>
        </w:rPr>
      </w:pPr>
      <w:r w:rsidRPr="00E76534">
        <w:rPr>
          <w:rFonts w:ascii="Arial" w:hAnsi="Arial" w:cs="Arial"/>
        </w:rPr>
        <w:t>Fernández, R. (2013). Cultural change as learning: The evolution of female labor force participation over a century. </w:t>
      </w:r>
      <w:r w:rsidRPr="00E76534">
        <w:rPr>
          <w:rFonts w:ascii="Arial" w:hAnsi="Arial" w:cs="Arial"/>
          <w:i/>
          <w:iCs/>
        </w:rPr>
        <w:t>American Economic Review, 103</w:t>
      </w:r>
      <w:r w:rsidRPr="00E76534">
        <w:rPr>
          <w:rFonts w:ascii="Arial" w:hAnsi="Arial" w:cs="Arial"/>
        </w:rPr>
        <w:t>(1), 472–500. </w:t>
      </w:r>
      <w:hyperlink r:id="rId34" w:tgtFrame="_new" w:history="1">
        <w:r w:rsidRPr="00E76534">
          <w:rPr>
            <w:rStyle w:val="Hyperlink"/>
            <w:rFonts w:ascii="Arial" w:hAnsi="Arial" w:cs="Arial"/>
          </w:rPr>
          <w:t>https://doi.org/10.1257/aer.103.1.472</w:t>
        </w:r>
      </w:hyperlink>
    </w:p>
    <w:p w14:paraId="7B9C9AD3" w14:textId="77777777" w:rsidR="00EB543B" w:rsidRPr="00E76534" w:rsidRDefault="00EB543B" w:rsidP="00EB543B">
      <w:pPr>
        <w:rPr>
          <w:rFonts w:ascii="Arial" w:hAnsi="Arial" w:cs="Arial"/>
        </w:rPr>
      </w:pPr>
      <w:r w:rsidRPr="00E76534">
        <w:rPr>
          <w:rFonts w:ascii="Arial" w:hAnsi="Arial" w:cs="Arial"/>
        </w:rPr>
        <w:t>Florida, R. (2020). </w:t>
      </w:r>
      <w:r w:rsidRPr="00E76534">
        <w:rPr>
          <w:rFonts w:ascii="Arial" w:hAnsi="Arial" w:cs="Arial"/>
          <w:i/>
          <w:iCs/>
        </w:rPr>
        <w:t>The new urban crisis: How our cities are increasing inequality, deepening segregation, and failing the middle class</w:t>
      </w:r>
      <w:r w:rsidRPr="00E76534">
        <w:rPr>
          <w:rFonts w:ascii="Arial" w:hAnsi="Arial" w:cs="Arial"/>
        </w:rPr>
        <w:t>. Basic Books.</w:t>
      </w:r>
    </w:p>
    <w:p w14:paraId="41EC8910" w14:textId="77777777" w:rsidR="00EB543B" w:rsidRPr="00E76534" w:rsidRDefault="00EB543B" w:rsidP="00EB543B">
      <w:pPr>
        <w:rPr>
          <w:rFonts w:ascii="Arial" w:hAnsi="Arial" w:cs="Arial"/>
        </w:rPr>
      </w:pPr>
      <w:r w:rsidRPr="00E76534">
        <w:rPr>
          <w:rFonts w:ascii="Arial" w:hAnsi="Arial" w:cs="Arial"/>
        </w:rPr>
        <w:t>Galor, O., &amp; Weil, D. N. (1996). The gender gap, fertility, and growth. </w:t>
      </w:r>
      <w:r w:rsidRPr="00E76534">
        <w:rPr>
          <w:rFonts w:ascii="Arial" w:hAnsi="Arial" w:cs="Arial"/>
          <w:i/>
          <w:iCs/>
        </w:rPr>
        <w:t>American Economic Review, 86</w:t>
      </w:r>
      <w:r w:rsidRPr="00E76534">
        <w:rPr>
          <w:rFonts w:ascii="Arial" w:hAnsi="Arial" w:cs="Arial"/>
        </w:rPr>
        <w:t>(3), 374–387.</w:t>
      </w:r>
    </w:p>
    <w:p w14:paraId="2A5300C2" w14:textId="77777777" w:rsidR="00EB543B" w:rsidRPr="00E76534" w:rsidRDefault="00EB543B" w:rsidP="00EB543B">
      <w:pPr>
        <w:rPr>
          <w:rFonts w:ascii="Arial" w:hAnsi="Arial" w:cs="Arial"/>
        </w:rPr>
      </w:pPr>
      <w:r w:rsidRPr="00E76534">
        <w:rPr>
          <w:rFonts w:ascii="Arial" w:hAnsi="Arial" w:cs="Arial"/>
        </w:rPr>
        <w:t>Goldin, C. (2021). </w:t>
      </w:r>
      <w:r w:rsidRPr="00E76534">
        <w:rPr>
          <w:rFonts w:ascii="Arial" w:hAnsi="Arial" w:cs="Arial"/>
          <w:i/>
          <w:iCs/>
        </w:rPr>
        <w:t>Career and family: Women’s century-long journey toward equity</w:t>
      </w:r>
      <w:r w:rsidRPr="00E76534">
        <w:rPr>
          <w:rFonts w:ascii="Arial" w:hAnsi="Arial" w:cs="Arial"/>
        </w:rPr>
        <w:t>. Princeton University Press.</w:t>
      </w:r>
    </w:p>
    <w:p w14:paraId="4D50D310" w14:textId="77777777" w:rsidR="00EB543B" w:rsidRPr="00E76534" w:rsidRDefault="00EB543B" w:rsidP="00EB543B">
      <w:pPr>
        <w:rPr>
          <w:rFonts w:ascii="Arial" w:hAnsi="Arial" w:cs="Arial"/>
        </w:rPr>
      </w:pPr>
      <w:r w:rsidRPr="00E76534">
        <w:rPr>
          <w:rFonts w:ascii="Arial" w:hAnsi="Arial" w:cs="Arial"/>
        </w:rPr>
        <w:t>Gustafsson, S. (2001). Optimal age at motherhood: Theoretical and empirical considerations. </w:t>
      </w:r>
      <w:r w:rsidRPr="00E76534">
        <w:rPr>
          <w:rFonts w:ascii="Arial" w:hAnsi="Arial" w:cs="Arial"/>
          <w:i/>
          <w:iCs/>
        </w:rPr>
        <w:t>Journal of Population Economics, 14</w:t>
      </w:r>
      <w:r w:rsidRPr="00E76534">
        <w:rPr>
          <w:rFonts w:ascii="Arial" w:hAnsi="Arial" w:cs="Arial"/>
        </w:rPr>
        <w:t>(2), 225–247. </w:t>
      </w:r>
      <w:hyperlink r:id="rId35" w:tgtFrame="_new" w:history="1">
        <w:r w:rsidRPr="00E76534">
          <w:rPr>
            <w:rStyle w:val="Hyperlink"/>
            <w:rFonts w:ascii="Arial" w:hAnsi="Arial" w:cs="Arial"/>
          </w:rPr>
          <w:t>https://doi.org/10.1007/s001480000051</w:t>
        </w:r>
      </w:hyperlink>
    </w:p>
    <w:p w14:paraId="30BDFCAF" w14:textId="77777777" w:rsidR="00EB543B" w:rsidRPr="00E76534" w:rsidRDefault="00EB543B" w:rsidP="00EB543B">
      <w:pPr>
        <w:rPr>
          <w:rFonts w:ascii="Arial" w:hAnsi="Arial" w:cs="Arial"/>
        </w:rPr>
      </w:pPr>
      <w:r w:rsidRPr="00E76534">
        <w:rPr>
          <w:rFonts w:ascii="Arial" w:hAnsi="Arial" w:cs="Arial"/>
        </w:rPr>
        <w:t>Halpern-Manners, A. (2015). The consequences of unconventional family transitions on children’s educational outcomes. </w:t>
      </w:r>
      <w:r w:rsidRPr="00E76534">
        <w:rPr>
          <w:rFonts w:ascii="Arial" w:hAnsi="Arial" w:cs="Arial"/>
          <w:i/>
          <w:iCs/>
        </w:rPr>
        <w:t>American Sociological Review, 80</w:t>
      </w:r>
      <w:r w:rsidRPr="00E76534">
        <w:rPr>
          <w:rFonts w:ascii="Arial" w:hAnsi="Arial" w:cs="Arial"/>
        </w:rPr>
        <w:t>(4), 805–832. https://doi.org/10.1177/0003122415592124</w:t>
      </w:r>
    </w:p>
    <w:p w14:paraId="03938052" w14:textId="77777777" w:rsidR="00EB543B" w:rsidRPr="00E76534" w:rsidRDefault="00EB543B" w:rsidP="00EB543B">
      <w:pPr>
        <w:rPr>
          <w:rFonts w:ascii="Arial" w:hAnsi="Arial" w:cs="Arial"/>
        </w:rPr>
      </w:pPr>
      <w:r w:rsidRPr="00E76534">
        <w:rPr>
          <w:rFonts w:ascii="Arial" w:hAnsi="Arial" w:cs="Arial"/>
        </w:rPr>
        <w:lastRenderedPageBreak/>
        <w:t>Hayford, S. R., Guzzo, K. B., Kusunoki, Y., &amp; Barber, J. S. (2016). Perceived costs and benefits of early childbearing: New dimensions and predictive power. </w:t>
      </w:r>
      <w:r w:rsidRPr="00E76534">
        <w:rPr>
          <w:rFonts w:ascii="Arial" w:hAnsi="Arial" w:cs="Arial"/>
          <w:i/>
          <w:iCs/>
        </w:rPr>
        <w:t>Perspectives on Sexual and Reproductive Health, 48</w:t>
      </w:r>
      <w:r w:rsidRPr="00E76534">
        <w:rPr>
          <w:rFonts w:ascii="Arial" w:hAnsi="Arial" w:cs="Arial"/>
        </w:rPr>
        <w:t>(2), 83–91. </w:t>
      </w:r>
      <w:hyperlink r:id="rId36" w:tgtFrame="_new" w:history="1">
        <w:r w:rsidRPr="00E76534">
          <w:rPr>
            <w:rStyle w:val="Hyperlink"/>
            <w:rFonts w:ascii="Arial" w:hAnsi="Arial" w:cs="Arial"/>
          </w:rPr>
          <w:t>https://doi.org/10.1363/48e9116</w:t>
        </w:r>
      </w:hyperlink>
    </w:p>
    <w:p w14:paraId="4CAE8CD9" w14:textId="77777777" w:rsidR="00EB543B" w:rsidRPr="00E76534" w:rsidRDefault="00EB543B" w:rsidP="00EB543B">
      <w:pPr>
        <w:rPr>
          <w:rFonts w:ascii="Arial" w:hAnsi="Arial" w:cs="Arial"/>
        </w:rPr>
      </w:pPr>
      <w:r w:rsidRPr="00E76534">
        <w:rPr>
          <w:rFonts w:ascii="Arial" w:hAnsi="Arial" w:cs="Arial"/>
        </w:rPr>
        <w:t>Hayford, S. R., &amp; Morgan, S. P. (2008). Religiosity and fertility in the United States: The role of fertility intentions. </w:t>
      </w:r>
      <w:r w:rsidRPr="00E76534">
        <w:rPr>
          <w:rFonts w:ascii="Arial" w:hAnsi="Arial" w:cs="Arial"/>
          <w:i/>
          <w:iCs/>
        </w:rPr>
        <w:t>Social Forces, 86</w:t>
      </w:r>
      <w:r w:rsidRPr="00E76534">
        <w:rPr>
          <w:rFonts w:ascii="Arial" w:hAnsi="Arial" w:cs="Arial"/>
        </w:rPr>
        <w:t>(3), 1163–1188. </w:t>
      </w:r>
      <w:hyperlink r:id="rId37" w:tgtFrame="_new" w:history="1">
        <w:r w:rsidRPr="00E76534">
          <w:rPr>
            <w:rStyle w:val="Hyperlink"/>
            <w:rFonts w:ascii="Arial" w:hAnsi="Arial" w:cs="Arial"/>
          </w:rPr>
          <w:t>https://doi.org/10.1353/sof.0.0000</w:t>
        </w:r>
      </w:hyperlink>
    </w:p>
    <w:p w14:paraId="5F5E5079" w14:textId="77777777" w:rsidR="00EB543B" w:rsidRPr="00E76534" w:rsidRDefault="00EB543B" w:rsidP="00EB543B">
      <w:pPr>
        <w:rPr>
          <w:rFonts w:ascii="Arial" w:hAnsi="Arial" w:cs="Arial"/>
        </w:rPr>
      </w:pPr>
      <w:r w:rsidRPr="00E76534">
        <w:rPr>
          <w:rFonts w:ascii="Arial" w:hAnsi="Arial" w:cs="Arial"/>
        </w:rPr>
        <w:t>Heckman, J. J., Lochner, L. J., &amp; Todd, P. E. (2006). Earnings functions, rates of return, and treatment effects. In E. Hanushek &amp; F. Welch (Eds.), </w:t>
      </w:r>
      <w:r w:rsidRPr="00E76534">
        <w:rPr>
          <w:rFonts w:ascii="Arial" w:hAnsi="Arial" w:cs="Arial"/>
          <w:i/>
          <w:iCs/>
        </w:rPr>
        <w:t>Handbook of the economics of education</w:t>
      </w:r>
      <w:r w:rsidRPr="00E76534">
        <w:rPr>
          <w:rFonts w:ascii="Arial" w:hAnsi="Arial" w:cs="Arial"/>
        </w:rPr>
        <w:t> (Vol. 1, pp. 307–458). Elsevier. </w:t>
      </w:r>
      <w:hyperlink r:id="rId38" w:tgtFrame="_new" w:history="1">
        <w:r w:rsidRPr="00E76534">
          <w:rPr>
            <w:rStyle w:val="Hyperlink"/>
            <w:rFonts w:ascii="Arial" w:hAnsi="Arial" w:cs="Arial"/>
          </w:rPr>
          <w:t>https://doi.org/10.1016/S1574-0692(06)01007-5</w:t>
        </w:r>
      </w:hyperlink>
    </w:p>
    <w:p w14:paraId="40422486" w14:textId="77777777" w:rsidR="00EB543B" w:rsidRPr="00E76534" w:rsidRDefault="00EB543B" w:rsidP="00EB543B">
      <w:pPr>
        <w:rPr>
          <w:rFonts w:ascii="Arial" w:hAnsi="Arial" w:cs="Arial"/>
        </w:rPr>
      </w:pPr>
      <w:r w:rsidRPr="00E76534">
        <w:rPr>
          <w:rFonts w:ascii="Arial" w:hAnsi="Arial" w:cs="Arial"/>
        </w:rPr>
        <w:t>Heckman, J. J., &amp; Walker, J. R. (1990). The relationship between wages and income and the timing and spacing of births: Evidence from Swedish longitudinal data. </w:t>
      </w:r>
      <w:r w:rsidRPr="00E76534">
        <w:rPr>
          <w:rFonts w:ascii="Arial" w:hAnsi="Arial" w:cs="Arial"/>
          <w:i/>
          <w:iCs/>
        </w:rPr>
        <w:t>Econometrica, 58</w:t>
      </w:r>
      <w:r w:rsidRPr="00E76534">
        <w:rPr>
          <w:rFonts w:ascii="Arial" w:hAnsi="Arial" w:cs="Arial"/>
        </w:rPr>
        <w:t>(6), 1411–1441. </w:t>
      </w:r>
      <w:hyperlink r:id="rId39" w:tgtFrame="_new" w:history="1">
        <w:r w:rsidRPr="00E76534">
          <w:rPr>
            <w:rStyle w:val="Hyperlink"/>
            <w:rFonts w:ascii="Arial" w:hAnsi="Arial" w:cs="Arial"/>
          </w:rPr>
          <w:t>https://doi.org/10.2307/2938322</w:t>
        </w:r>
      </w:hyperlink>
    </w:p>
    <w:p w14:paraId="447FF81B" w14:textId="77777777" w:rsidR="00EB543B" w:rsidRPr="00E76534" w:rsidRDefault="00EB543B" w:rsidP="00EB543B">
      <w:pPr>
        <w:rPr>
          <w:rFonts w:ascii="Arial" w:hAnsi="Arial" w:cs="Arial"/>
        </w:rPr>
      </w:pPr>
      <w:r w:rsidRPr="00E76534">
        <w:rPr>
          <w:rFonts w:ascii="Arial" w:hAnsi="Arial" w:cs="Arial"/>
        </w:rPr>
        <w:t>Jayachandran, S. (2021). Social norms as a barrier to women’s employment in developing countries. </w:t>
      </w:r>
      <w:r w:rsidRPr="00E76534">
        <w:rPr>
          <w:rFonts w:ascii="Arial" w:hAnsi="Arial" w:cs="Arial"/>
          <w:i/>
          <w:iCs/>
        </w:rPr>
        <w:t>IMF Economic Review, 69</w:t>
      </w:r>
      <w:r w:rsidRPr="00E76534">
        <w:rPr>
          <w:rFonts w:ascii="Arial" w:hAnsi="Arial" w:cs="Arial"/>
        </w:rPr>
        <w:t>(3), 576–595. </w:t>
      </w:r>
      <w:hyperlink r:id="rId40" w:tgtFrame="_new" w:history="1">
        <w:r w:rsidRPr="00E76534">
          <w:rPr>
            <w:rStyle w:val="Hyperlink"/>
            <w:rFonts w:ascii="Arial" w:hAnsi="Arial" w:cs="Arial"/>
          </w:rPr>
          <w:t>https://doi.org/10.1057/s41308-021-00140-w</w:t>
        </w:r>
      </w:hyperlink>
    </w:p>
    <w:p w14:paraId="7C5DEBF6" w14:textId="77777777" w:rsidR="00EB543B" w:rsidRPr="00E76534" w:rsidRDefault="00EB543B" w:rsidP="00EB543B">
      <w:pPr>
        <w:rPr>
          <w:rFonts w:ascii="Arial" w:hAnsi="Arial" w:cs="Arial"/>
        </w:rPr>
      </w:pPr>
      <w:r w:rsidRPr="00E76534">
        <w:rPr>
          <w:rFonts w:ascii="Arial" w:hAnsi="Arial" w:cs="Arial"/>
        </w:rPr>
        <w:t>Jennings, M. K., Stoker, L., &amp; Bowers, J. (2009). Politics across generations: Family transmission reexamined. </w:t>
      </w:r>
      <w:r w:rsidRPr="00E76534">
        <w:rPr>
          <w:rFonts w:ascii="Arial" w:hAnsi="Arial" w:cs="Arial"/>
          <w:i/>
          <w:iCs/>
        </w:rPr>
        <w:t>The Journal of Politics, 71</w:t>
      </w:r>
      <w:r w:rsidRPr="00E76534">
        <w:rPr>
          <w:rFonts w:ascii="Arial" w:hAnsi="Arial" w:cs="Arial"/>
        </w:rPr>
        <w:t>(3), 782–799. https://doi.org/10.1017/S0022381609090719</w:t>
      </w:r>
    </w:p>
    <w:p w14:paraId="3A323980" w14:textId="77777777" w:rsidR="00EB543B" w:rsidRPr="00E76534" w:rsidRDefault="00EB543B" w:rsidP="00EB543B">
      <w:pPr>
        <w:rPr>
          <w:rFonts w:ascii="Arial" w:hAnsi="Arial" w:cs="Arial"/>
        </w:rPr>
      </w:pPr>
      <w:r w:rsidRPr="00E76534">
        <w:rPr>
          <w:rFonts w:ascii="Arial" w:hAnsi="Arial" w:cs="Arial"/>
        </w:rPr>
        <w:t>Jones, L. E., Schoonbroodt, A., &amp; Tertilt, M. (2011). Fertility theories: Can they explain the negative fertility–income relationship? In P. Aghion &amp; S. Durlauf (Eds.), </w:t>
      </w:r>
      <w:r w:rsidRPr="00E76534">
        <w:rPr>
          <w:rFonts w:ascii="Arial" w:hAnsi="Arial" w:cs="Arial"/>
          <w:i/>
          <w:iCs/>
        </w:rPr>
        <w:t>Handbook of economic growth</w:t>
      </w:r>
      <w:r w:rsidRPr="00E76534">
        <w:rPr>
          <w:rFonts w:ascii="Arial" w:hAnsi="Arial" w:cs="Arial"/>
        </w:rPr>
        <w:t> (Vol. 1A, pp. 269–315). Elsevier.</w:t>
      </w:r>
    </w:p>
    <w:p w14:paraId="33D4A404" w14:textId="77777777" w:rsidR="00EB543B" w:rsidRPr="00E76534" w:rsidRDefault="00EB543B" w:rsidP="00EB543B">
      <w:pPr>
        <w:rPr>
          <w:rFonts w:ascii="Arial" w:hAnsi="Arial" w:cs="Arial"/>
        </w:rPr>
      </w:pPr>
      <w:r w:rsidRPr="00E76534">
        <w:rPr>
          <w:rFonts w:ascii="Arial" w:hAnsi="Arial" w:cs="Arial"/>
        </w:rPr>
        <w:t>Kearney, M. S., &amp; Levine, P. B. (2012). Why is the teen birth rate in the United States so high and why does it matter? </w:t>
      </w:r>
      <w:r w:rsidRPr="00E76534">
        <w:rPr>
          <w:rFonts w:ascii="Arial" w:hAnsi="Arial" w:cs="Arial"/>
          <w:i/>
          <w:iCs/>
        </w:rPr>
        <w:t>Journal of Economic Perspectives, 26</w:t>
      </w:r>
      <w:r w:rsidRPr="00E76534">
        <w:rPr>
          <w:rFonts w:ascii="Arial" w:hAnsi="Arial" w:cs="Arial"/>
        </w:rPr>
        <w:t>(2), 141–166. </w:t>
      </w:r>
      <w:hyperlink r:id="rId41" w:tgtFrame="_new" w:history="1">
        <w:r w:rsidRPr="00E76534">
          <w:rPr>
            <w:rStyle w:val="Hyperlink"/>
            <w:rFonts w:ascii="Arial" w:hAnsi="Arial" w:cs="Arial"/>
          </w:rPr>
          <w:t>https://doi.org/10.1257/jep.26.2.141</w:t>
        </w:r>
      </w:hyperlink>
    </w:p>
    <w:p w14:paraId="7FA4EFFC" w14:textId="77777777" w:rsidR="00EB543B" w:rsidRPr="00E76534" w:rsidRDefault="00EB543B" w:rsidP="00EB543B">
      <w:pPr>
        <w:rPr>
          <w:rFonts w:ascii="Arial" w:hAnsi="Arial" w:cs="Arial"/>
        </w:rPr>
      </w:pPr>
      <w:r w:rsidRPr="00E76534">
        <w:rPr>
          <w:rFonts w:ascii="Arial" w:hAnsi="Arial" w:cs="Arial"/>
        </w:rPr>
        <w:t>Klepinger, D., Lundberg, S., &amp; Plotnick, R. (1999). How does adolescent fertility affect the human capital and wages of young women? </w:t>
      </w:r>
      <w:r w:rsidRPr="00E76534">
        <w:rPr>
          <w:rFonts w:ascii="Arial" w:hAnsi="Arial" w:cs="Arial"/>
          <w:i/>
          <w:iCs/>
        </w:rPr>
        <w:t>Journal of Human Resources, 34</w:t>
      </w:r>
      <w:r w:rsidRPr="00E76534">
        <w:rPr>
          <w:rFonts w:ascii="Arial" w:hAnsi="Arial" w:cs="Arial"/>
        </w:rPr>
        <w:t>(3), 421–448. </w:t>
      </w:r>
      <w:hyperlink r:id="rId42" w:tgtFrame="_new" w:history="1">
        <w:r w:rsidRPr="00E76534">
          <w:rPr>
            <w:rStyle w:val="Hyperlink"/>
            <w:rFonts w:ascii="Arial" w:hAnsi="Arial" w:cs="Arial"/>
          </w:rPr>
          <w:t>https://doi.org/10.2307/146375</w:t>
        </w:r>
      </w:hyperlink>
    </w:p>
    <w:p w14:paraId="7597A223" w14:textId="77777777" w:rsidR="00EB543B" w:rsidRPr="00E76534" w:rsidRDefault="00EB543B" w:rsidP="00EB543B">
      <w:pPr>
        <w:rPr>
          <w:rFonts w:ascii="Arial" w:hAnsi="Arial" w:cs="Arial"/>
        </w:rPr>
      </w:pPr>
      <w:r w:rsidRPr="00E76534">
        <w:rPr>
          <w:rFonts w:ascii="Arial" w:hAnsi="Arial" w:cs="Arial"/>
        </w:rPr>
        <w:t>Kleven, H., Landais, C., &amp; Søgaard, J. E. (2019). Children and gender inequality: Evidence from Denmark. </w:t>
      </w:r>
      <w:r w:rsidRPr="00E76534">
        <w:rPr>
          <w:rFonts w:ascii="Arial" w:hAnsi="Arial" w:cs="Arial"/>
          <w:i/>
          <w:iCs/>
        </w:rPr>
        <w:t>American Economic Journal: Applied Economics, 11</w:t>
      </w:r>
      <w:r w:rsidRPr="00E76534">
        <w:rPr>
          <w:rFonts w:ascii="Arial" w:hAnsi="Arial" w:cs="Arial"/>
        </w:rPr>
        <w:t>(4), 181–209. </w:t>
      </w:r>
      <w:hyperlink r:id="rId43" w:tgtFrame="_new" w:history="1">
        <w:r w:rsidRPr="00E76534">
          <w:rPr>
            <w:rStyle w:val="Hyperlink"/>
            <w:rFonts w:ascii="Arial" w:hAnsi="Arial" w:cs="Arial"/>
          </w:rPr>
          <w:t>https://doi.org/10.1257/app.20180010</w:t>
        </w:r>
      </w:hyperlink>
    </w:p>
    <w:p w14:paraId="553401D7" w14:textId="77777777" w:rsidR="00EB543B" w:rsidRPr="00E76534" w:rsidRDefault="00EB543B" w:rsidP="00EB543B">
      <w:pPr>
        <w:rPr>
          <w:rFonts w:ascii="Arial" w:hAnsi="Arial" w:cs="Arial"/>
        </w:rPr>
      </w:pPr>
      <w:r w:rsidRPr="00E76534">
        <w:rPr>
          <w:rFonts w:ascii="Arial" w:hAnsi="Arial" w:cs="Arial"/>
        </w:rPr>
        <w:t>Kleven, H., Landais, C., Posch, J., Steinhauer, A., &amp; Zweimüller, J. (2024a). Do family policies reduce gender inequality? Evidence from 60 years of policy experimentation. </w:t>
      </w:r>
      <w:r w:rsidRPr="00E76534">
        <w:rPr>
          <w:rFonts w:ascii="Arial" w:hAnsi="Arial" w:cs="Arial"/>
          <w:i/>
          <w:iCs/>
        </w:rPr>
        <w:t>American Economic Journal: Economic Policy, 16</w:t>
      </w:r>
      <w:r w:rsidRPr="00E76534">
        <w:rPr>
          <w:rFonts w:ascii="Arial" w:hAnsi="Arial" w:cs="Arial"/>
        </w:rPr>
        <w:t>(2), 110–149. </w:t>
      </w:r>
      <w:hyperlink r:id="rId44" w:tgtFrame="_new" w:history="1">
        <w:r w:rsidRPr="00E76534">
          <w:rPr>
            <w:rStyle w:val="Hyperlink"/>
            <w:rFonts w:ascii="Arial" w:hAnsi="Arial" w:cs="Arial"/>
          </w:rPr>
          <w:t>https://doi.org/10.1257/pol.20210346</w:t>
        </w:r>
      </w:hyperlink>
    </w:p>
    <w:p w14:paraId="473768F3" w14:textId="77777777" w:rsidR="00EB543B" w:rsidRPr="00E76534" w:rsidRDefault="00EB543B" w:rsidP="00EB543B">
      <w:pPr>
        <w:rPr>
          <w:rFonts w:ascii="Arial" w:hAnsi="Arial" w:cs="Arial"/>
        </w:rPr>
      </w:pPr>
      <w:r w:rsidRPr="00E76534">
        <w:rPr>
          <w:rFonts w:ascii="Arial" w:hAnsi="Arial" w:cs="Arial"/>
        </w:rPr>
        <w:t>Kleven, H., Landais, C., Søgaard, J. E., &amp; Steinhauer, A. (2024b). The child penalty atlas. </w:t>
      </w:r>
      <w:r w:rsidRPr="00E76534">
        <w:rPr>
          <w:rFonts w:ascii="Arial" w:hAnsi="Arial" w:cs="Arial"/>
          <w:i/>
          <w:iCs/>
        </w:rPr>
        <w:t>American Economic Review</w:t>
      </w:r>
      <w:r w:rsidRPr="00E76534">
        <w:rPr>
          <w:rFonts w:ascii="Arial" w:hAnsi="Arial" w:cs="Arial"/>
        </w:rPr>
        <w:t>. Advance online publication. </w:t>
      </w:r>
      <w:hyperlink r:id="rId45" w:tgtFrame="_new" w:history="1">
        <w:r w:rsidRPr="00E76534">
          <w:rPr>
            <w:rStyle w:val="Hyperlink"/>
            <w:rFonts w:ascii="Arial" w:hAnsi="Arial" w:cs="Arial"/>
          </w:rPr>
          <w:t>https://www.henrikkleven.com/view/research/published/Child_Penalty_Atlas_June2024.pdf</w:t>
        </w:r>
      </w:hyperlink>
    </w:p>
    <w:p w14:paraId="33C215EF" w14:textId="77777777" w:rsidR="00EB543B" w:rsidRPr="00E76534" w:rsidRDefault="00EB543B" w:rsidP="00EB543B">
      <w:pPr>
        <w:rPr>
          <w:rFonts w:ascii="Arial" w:hAnsi="Arial" w:cs="Arial"/>
        </w:rPr>
      </w:pPr>
      <w:r w:rsidRPr="00E76534">
        <w:rPr>
          <w:rFonts w:ascii="Arial" w:hAnsi="Arial" w:cs="Arial"/>
        </w:rPr>
        <w:t>Kohler, H.-P. (1997). Learning in social networks and contraceptive choice. </w:t>
      </w:r>
      <w:r w:rsidRPr="00E76534">
        <w:rPr>
          <w:rFonts w:ascii="Arial" w:hAnsi="Arial" w:cs="Arial"/>
          <w:i/>
          <w:iCs/>
        </w:rPr>
        <w:t>Demography, 34</w:t>
      </w:r>
      <w:r w:rsidRPr="00E76534">
        <w:rPr>
          <w:rFonts w:ascii="Arial" w:hAnsi="Arial" w:cs="Arial"/>
        </w:rPr>
        <w:t>(3), 369–383. </w:t>
      </w:r>
      <w:hyperlink r:id="rId46" w:tgtFrame="_new" w:history="1">
        <w:r w:rsidRPr="00E76534">
          <w:rPr>
            <w:rStyle w:val="Hyperlink"/>
            <w:rFonts w:ascii="Arial" w:hAnsi="Arial" w:cs="Arial"/>
          </w:rPr>
          <w:t>https://doi.org/10.2307/3038290</w:t>
        </w:r>
      </w:hyperlink>
    </w:p>
    <w:p w14:paraId="37D03BA1" w14:textId="77777777" w:rsidR="00EB543B" w:rsidRPr="00E76534" w:rsidRDefault="00EB543B" w:rsidP="00EB543B">
      <w:pPr>
        <w:rPr>
          <w:rFonts w:ascii="Arial" w:hAnsi="Arial" w:cs="Arial"/>
        </w:rPr>
      </w:pPr>
      <w:r w:rsidRPr="00E76534">
        <w:rPr>
          <w:rFonts w:ascii="Arial" w:hAnsi="Arial" w:cs="Arial"/>
        </w:rPr>
        <w:t>Kohler, H.-P., Billari, F. C., &amp; Ortega, J. A. (2002). The emergence of lowest-low fertility in Europe during the 1990s. </w:t>
      </w:r>
      <w:r w:rsidRPr="00E76534">
        <w:rPr>
          <w:rFonts w:ascii="Arial" w:hAnsi="Arial" w:cs="Arial"/>
          <w:i/>
          <w:iCs/>
        </w:rPr>
        <w:t>Population and Development Review, 28</w:t>
      </w:r>
      <w:r w:rsidRPr="00E76534">
        <w:rPr>
          <w:rFonts w:ascii="Arial" w:hAnsi="Arial" w:cs="Arial"/>
        </w:rPr>
        <w:t>(4), 641–680. </w:t>
      </w:r>
      <w:hyperlink r:id="rId47" w:tgtFrame="_new" w:history="1">
        <w:r w:rsidRPr="00E76534">
          <w:rPr>
            <w:rStyle w:val="Hyperlink"/>
            <w:rFonts w:ascii="Arial" w:hAnsi="Arial" w:cs="Arial"/>
          </w:rPr>
          <w:t>https://doi.org/10.1111/j.1728-4457.2002.00641.x</w:t>
        </w:r>
      </w:hyperlink>
    </w:p>
    <w:p w14:paraId="4A8C661B" w14:textId="77777777" w:rsidR="00EB543B" w:rsidRPr="00E76534" w:rsidRDefault="00EB543B" w:rsidP="00EB543B">
      <w:pPr>
        <w:rPr>
          <w:rFonts w:ascii="Arial" w:hAnsi="Arial" w:cs="Arial"/>
        </w:rPr>
      </w:pPr>
      <w:r w:rsidRPr="00E76534">
        <w:rPr>
          <w:rFonts w:ascii="Arial" w:hAnsi="Arial" w:cs="Arial"/>
        </w:rPr>
        <w:t>Kreyenfeld, M., Andersson, G., &amp; Pailhé, A. (2012). Economic uncertainty and family dynamics in Europe. </w:t>
      </w:r>
      <w:r w:rsidRPr="00E76534">
        <w:rPr>
          <w:rFonts w:ascii="Arial" w:hAnsi="Arial" w:cs="Arial"/>
          <w:i/>
          <w:iCs/>
        </w:rPr>
        <w:t>Demographic Research, 27</w:t>
      </w:r>
      <w:r w:rsidRPr="00E76534">
        <w:rPr>
          <w:rFonts w:ascii="Arial" w:hAnsi="Arial" w:cs="Arial"/>
        </w:rPr>
        <w:t>, 835–852. </w:t>
      </w:r>
      <w:hyperlink r:id="rId48" w:tgtFrame="_new" w:history="1">
        <w:r w:rsidRPr="00E76534">
          <w:rPr>
            <w:rStyle w:val="Hyperlink"/>
            <w:rFonts w:ascii="Arial" w:hAnsi="Arial" w:cs="Arial"/>
          </w:rPr>
          <w:t>https://doi.org/10.4054/DemRes.2012.27.28</w:t>
        </w:r>
      </w:hyperlink>
    </w:p>
    <w:p w14:paraId="0735F2C1" w14:textId="77777777" w:rsidR="00EB543B" w:rsidRPr="00E76534" w:rsidRDefault="00EB543B" w:rsidP="00EB543B">
      <w:pPr>
        <w:rPr>
          <w:rFonts w:ascii="Arial" w:hAnsi="Arial" w:cs="Arial"/>
        </w:rPr>
      </w:pPr>
      <w:r w:rsidRPr="00E76534">
        <w:rPr>
          <w:rFonts w:ascii="Arial" w:hAnsi="Arial" w:cs="Arial"/>
        </w:rPr>
        <w:t>Landivar, L. C. (2020). Maternal employment trajectories and earnings growth. </w:t>
      </w:r>
      <w:r w:rsidRPr="00E76534">
        <w:rPr>
          <w:rFonts w:ascii="Arial" w:hAnsi="Arial" w:cs="Arial"/>
          <w:i/>
          <w:iCs/>
        </w:rPr>
        <w:t>Gender &amp; Society, 34</w:t>
      </w:r>
      <w:r w:rsidRPr="00E76534">
        <w:rPr>
          <w:rFonts w:ascii="Arial" w:hAnsi="Arial" w:cs="Arial"/>
        </w:rPr>
        <w:t>(2), 282–309. </w:t>
      </w:r>
      <w:hyperlink r:id="rId49" w:tgtFrame="_new" w:history="1">
        <w:r w:rsidRPr="00E76534">
          <w:rPr>
            <w:rStyle w:val="Hyperlink"/>
            <w:rFonts w:ascii="Arial" w:hAnsi="Arial" w:cs="Arial"/>
          </w:rPr>
          <w:t>https://doi.org/10.1177/2378023120939424</w:t>
        </w:r>
      </w:hyperlink>
    </w:p>
    <w:p w14:paraId="3BAE7A87" w14:textId="77777777" w:rsidR="00EB543B" w:rsidRPr="00E76534" w:rsidRDefault="00EB543B" w:rsidP="00EB543B">
      <w:pPr>
        <w:rPr>
          <w:rFonts w:ascii="Arial" w:hAnsi="Arial" w:cs="Arial"/>
        </w:rPr>
      </w:pPr>
      <w:r w:rsidRPr="00E76534">
        <w:rPr>
          <w:rFonts w:ascii="Arial" w:hAnsi="Arial" w:cs="Arial"/>
        </w:rPr>
        <w:t>Lalive, R., &amp; Zweimüller, J. (2009). How does parental leave affect fertility and return to work? Evidence from two natural experiments. </w:t>
      </w:r>
      <w:r w:rsidRPr="00E76534">
        <w:rPr>
          <w:rFonts w:ascii="Arial" w:hAnsi="Arial" w:cs="Arial"/>
          <w:i/>
          <w:iCs/>
        </w:rPr>
        <w:t>The Quarterly Journal of Economics, 124</w:t>
      </w:r>
      <w:r w:rsidRPr="00E76534">
        <w:rPr>
          <w:rFonts w:ascii="Arial" w:hAnsi="Arial" w:cs="Arial"/>
        </w:rPr>
        <w:t>(3), 1363–1402. </w:t>
      </w:r>
      <w:hyperlink r:id="rId50" w:tgtFrame="_new" w:history="1">
        <w:r w:rsidRPr="00E76534">
          <w:rPr>
            <w:rStyle w:val="Hyperlink"/>
            <w:rFonts w:ascii="Arial" w:hAnsi="Arial" w:cs="Arial"/>
          </w:rPr>
          <w:t>https://doi.org/10.1162/qjec.2009.124.3.1363</w:t>
        </w:r>
      </w:hyperlink>
    </w:p>
    <w:p w14:paraId="2F9F7186" w14:textId="77777777" w:rsidR="00EB543B" w:rsidRPr="00E76534" w:rsidRDefault="00EB543B" w:rsidP="00EB543B">
      <w:pPr>
        <w:rPr>
          <w:rFonts w:ascii="Arial" w:hAnsi="Arial" w:cs="Arial"/>
        </w:rPr>
      </w:pPr>
      <w:r w:rsidRPr="00E76534">
        <w:rPr>
          <w:rFonts w:ascii="Arial" w:hAnsi="Arial" w:cs="Arial"/>
        </w:rPr>
        <w:t>Machů, V., Arends, I., Veldman, K., &amp; Bültmann, U. (2022). Work–family trajectories and health: A systematic review. </w:t>
      </w:r>
      <w:r w:rsidRPr="00E76534">
        <w:rPr>
          <w:rFonts w:ascii="Arial" w:hAnsi="Arial" w:cs="Arial"/>
          <w:i/>
          <w:iCs/>
        </w:rPr>
        <w:t>Advances in Life Course Research, 52</w:t>
      </w:r>
      <w:r w:rsidRPr="00E76534">
        <w:rPr>
          <w:rFonts w:ascii="Arial" w:hAnsi="Arial" w:cs="Arial"/>
        </w:rPr>
        <w:t>, Article 100466. </w:t>
      </w:r>
      <w:hyperlink r:id="rId51" w:tgtFrame="_new" w:history="1">
        <w:r w:rsidRPr="00E76534">
          <w:rPr>
            <w:rStyle w:val="Hyperlink"/>
            <w:rFonts w:ascii="Arial" w:hAnsi="Arial" w:cs="Arial"/>
          </w:rPr>
          <w:t>https://doi.org/10.1016/j.alcr.2022.100466</w:t>
        </w:r>
      </w:hyperlink>
    </w:p>
    <w:p w14:paraId="12D2EB6A" w14:textId="77777777" w:rsidR="00EB543B" w:rsidRPr="00E76534" w:rsidRDefault="00EB543B" w:rsidP="00EB543B">
      <w:pPr>
        <w:rPr>
          <w:rFonts w:ascii="Arial" w:hAnsi="Arial" w:cs="Arial"/>
        </w:rPr>
      </w:pPr>
      <w:r w:rsidRPr="00E76534">
        <w:rPr>
          <w:rFonts w:ascii="Arial" w:hAnsi="Arial" w:cs="Arial"/>
        </w:rPr>
        <w:lastRenderedPageBreak/>
        <w:t>Miller, A. R. (2011). The effects of motherhood timing on career path. </w:t>
      </w:r>
      <w:r w:rsidRPr="00E76534">
        <w:rPr>
          <w:rFonts w:ascii="Arial" w:hAnsi="Arial" w:cs="Arial"/>
          <w:i/>
          <w:iCs/>
        </w:rPr>
        <w:t>Journal of Population Economics, 24</w:t>
      </w:r>
      <w:r w:rsidRPr="00E76534">
        <w:rPr>
          <w:rFonts w:ascii="Arial" w:hAnsi="Arial" w:cs="Arial"/>
        </w:rPr>
        <w:t>(3), 1071–1100. </w:t>
      </w:r>
      <w:hyperlink r:id="rId52" w:tgtFrame="_new" w:history="1">
        <w:r w:rsidRPr="00E76534">
          <w:rPr>
            <w:rStyle w:val="Hyperlink"/>
            <w:rFonts w:ascii="Arial" w:hAnsi="Arial" w:cs="Arial"/>
          </w:rPr>
          <w:t>https://doi.org/10.1007/s00148-009-0296-x</w:t>
        </w:r>
      </w:hyperlink>
    </w:p>
    <w:p w14:paraId="409DEACB" w14:textId="77777777" w:rsidR="00EB543B" w:rsidRPr="00E76534" w:rsidRDefault="00EB543B" w:rsidP="00EB543B">
      <w:pPr>
        <w:rPr>
          <w:rFonts w:ascii="Arial" w:hAnsi="Arial" w:cs="Arial"/>
        </w:rPr>
      </w:pPr>
      <w:r w:rsidRPr="00E76534">
        <w:rPr>
          <w:rFonts w:ascii="Arial" w:hAnsi="Arial" w:cs="Arial"/>
        </w:rPr>
        <w:t>Mincer, J., &amp; Polachek, S. (1974). Family investments in human capital: Earnings of women. </w:t>
      </w:r>
      <w:r w:rsidRPr="00E76534">
        <w:rPr>
          <w:rFonts w:ascii="Arial" w:hAnsi="Arial" w:cs="Arial"/>
          <w:i/>
          <w:iCs/>
        </w:rPr>
        <w:t>Journal of Political Economy, 82</w:t>
      </w:r>
      <w:r w:rsidRPr="00E76534">
        <w:rPr>
          <w:rFonts w:ascii="Arial" w:hAnsi="Arial" w:cs="Arial"/>
        </w:rPr>
        <w:t>(2, Part 2), S76–S108. </w:t>
      </w:r>
      <w:hyperlink r:id="rId53" w:tgtFrame="_new" w:history="1">
        <w:r w:rsidRPr="00E76534">
          <w:rPr>
            <w:rStyle w:val="Hyperlink"/>
            <w:rFonts w:ascii="Arial" w:hAnsi="Arial" w:cs="Arial"/>
          </w:rPr>
          <w:t>https://www.jstor.org/stable/1829993</w:t>
        </w:r>
      </w:hyperlink>
    </w:p>
    <w:p w14:paraId="05454AD0" w14:textId="77777777" w:rsidR="00EB543B" w:rsidRPr="00E76534" w:rsidRDefault="00EB543B" w:rsidP="00EB543B">
      <w:pPr>
        <w:rPr>
          <w:rFonts w:ascii="Arial" w:hAnsi="Arial" w:cs="Arial"/>
        </w:rPr>
      </w:pPr>
      <w:r w:rsidRPr="00E76534">
        <w:rPr>
          <w:rFonts w:ascii="Arial" w:hAnsi="Arial" w:cs="Arial"/>
        </w:rPr>
        <w:t>Munshi, K., &amp; Myaux, J. (2006). Social norms and the fertility transition. </w:t>
      </w:r>
      <w:r w:rsidRPr="00E76534">
        <w:rPr>
          <w:rFonts w:ascii="Arial" w:hAnsi="Arial" w:cs="Arial"/>
          <w:i/>
          <w:iCs/>
        </w:rPr>
        <w:t>Journal of Development Economics, 80</w:t>
      </w:r>
      <w:r w:rsidRPr="00E76534">
        <w:rPr>
          <w:rFonts w:ascii="Arial" w:hAnsi="Arial" w:cs="Arial"/>
        </w:rPr>
        <w:t>(1), 1–38. </w:t>
      </w:r>
      <w:hyperlink r:id="rId54" w:tgtFrame="_new" w:history="1">
        <w:r w:rsidRPr="00E76534">
          <w:rPr>
            <w:rStyle w:val="Hyperlink"/>
            <w:rFonts w:ascii="Arial" w:hAnsi="Arial" w:cs="Arial"/>
          </w:rPr>
          <w:t>https://doi.org/10.1016/j.jdeveco.2005.01.002</w:t>
        </w:r>
      </w:hyperlink>
    </w:p>
    <w:p w14:paraId="4E53B19A" w14:textId="77777777" w:rsidR="00EB543B" w:rsidRPr="00E76534" w:rsidRDefault="00EB543B" w:rsidP="00EB543B">
      <w:pPr>
        <w:rPr>
          <w:rFonts w:ascii="Arial" w:hAnsi="Arial" w:cs="Arial"/>
        </w:rPr>
      </w:pPr>
      <w:r w:rsidRPr="00E76534">
        <w:rPr>
          <w:rFonts w:ascii="Arial" w:hAnsi="Arial" w:cs="Arial"/>
        </w:rPr>
        <w:t>Myrskylä, M., Hellstrand, J., Lappo, S., Lorenti, A., Nisén, J., Rao, Z., &amp; Tikanmäki, H. (2024). Declining fertility, human capital investment, and economic sustainability. </w:t>
      </w:r>
      <w:r w:rsidRPr="00E76534">
        <w:rPr>
          <w:rFonts w:ascii="Arial" w:hAnsi="Arial" w:cs="Arial"/>
          <w:i/>
          <w:iCs/>
        </w:rPr>
        <w:t>Demography</w:t>
      </w:r>
      <w:r w:rsidRPr="00E76534">
        <w:rPr>
          <w:rFonts w:ascii="Arial" w:hAnsi="Arial" w:cs="Arial"/>
        </w:rPr>
        <w:t>. Advance online publication. </w:t>
      </w:r>
      <w:hyperlink r:id="rId55" w:tgtFrame="_new" w:history="1">
        <w:r w:rsidRPr="00E76534">
          <w:rPr>
            <w:rStyle w:val="Hyperlink"/>
            <w:rFonts w:ascii="Arial" w:hAnsi="Arial" w:cs="Arial"/>
          </w:rPr>
          <w:t>https://doi.org/10.4054/mpidr-wp-2024-002</w:t>
        </w:r>
      </w:hyperlink>
    </w:p>
    <w:p w14:paraId="7BD148F1" w14:textId="77777777" w:rsidR="00EB543B" w:rsidRPr="00E76534" w:rsidRDefault="00EB543B" w:rsidP="00EB543B">
      <w:pPr>
        <w:rPr>
          <w:rFonts w:ascii="Arial" w:hAnsi="Arial" w:cs="Arial"/>
        </w:rPr>
      </w:pPr>
      <w:r w:rsidRPr="00E76534">
        <w:rPr>
          <w:rFonts w:ascii="Arial" w:hAnsi="Arial" w:cs="Arial"/>
        </w:rPr>
        <w:t>Narita, R., &amp; Diaz, M. (2016). Teenage motherhood, education, and labor market outcomes of the mother: Evidence from Brazilian data. </w:t>
      </w:r>
      <w:r w:rsidRPr="00E76534">
        <w:rPr>
          <w:rFonts w:ascii="Arial" w:hAnsi="Arial" w:cs="Arial"/>
          <w:i/>
          <w:iCs/>
        </w:rPr>
        <w:t>Economics of Education Review, 54</w:t>
      </w:r>
      <w:r w:rsidRPr="00E76534">
        <w:rPr>
          <w:rFonts w:ascii="Arial" w:hAnsi="Arial" w:cs="Arial"/>
        </w:rPr>
        <w:t>, 238–252. https://doi.org/10.1016/j.econedurev.2016.05.003</w:t>
      </w:r>
    </w:p>
    <w:p w14:paraId="26E84A40" w14:textId="77777777" w:rsidR="00EB543B" w:rsidRPr="00E76534" w:rsidRDefault="00EB543B" w:rsidP="00EB543B">
      <w:pPr>
        <w:rPr>
          <w:rFonts w:ascii="Arial" w:hAnsi="Arial" w:cs="Arial"/>
        </w:rPr>
      </w:pPr>
      <w:r w:rsidRPr="00E76534">
        <w:rPr>
          <w:rFonts w:ascii="Arial" w:hAnsi="Arial" w:cs="Arial"/>
        </w:rPr>
        <w:t>Ní Bhrolcháin, M., &amp; Beaujouan, É. (2012). Fertility postponement is largely due to rising educational enrolment. </w:t>
      </w:r>
      <w:r w:rsidRPr="00E76534">
        <w:rPr>
          <w:rFonts w:ascii="Arial" w:hAnsi="Arial" w:cs="Arial"/>
          <w:i/>
          <w:iCs/>
        </w:rPr>
        <w:t>Population Studies, 66</w:t>
      </w:r>
      <w:r w:rsidRPr="00E76534">
        <w:rPr>
          <w:rFonts w:ascii="Arial" w:hAnsi="Arial" w:cs="Arial"/>
        </w:rPr>
        <w:t>(3), 311–327. </w:t>
      </w:r>
      <w:hyperlink r:id="rId56" w:tgtFrame="_new" w:history="1">
        <w:r w:rsidRPr="00E76534">
          <w:rPr>
            <w:rStyle w:val="Hyperlink"/>
            <w:rFonts w:ascii="Arial" w:hAnsi="Arial" w:cs="Arial"/>
          </w:rPr>
          <w:t>https://doi.org/10.1080/00324728.2012.697569</w:t>
        </w:r>
      </w:hyperlink>
    </w:p>
    <w:p w14:paraId="3875471A" w14:textId="77777777" w:rsidR="00EB543B" w:rsidRPr="00E76534" w:rsidRDefault="00EB543B" w:rsidP="00EB543B">
      <w:pPr>
        <w:rPr>
          <w:rFonts w:ascii="Arial" w:hAnsi="Arial" w:cs="Arial"/>
        </w:rPr>
      </w:pPr>
      <w:r w:rsidRPr="00E76534">
        <w:rPr>
          <w:rFonts w:ascii="Arial" w:hAnsi="Arial" w:cs="Arial"/>
        </w:rPr>
        <w:t>Olivetti, C., &amp; Petrongolo, B. (2017). The economic consequences of family policies: Lessons from a century of legislation in high-income countries. </w:t>
      </w:r>
      <w:r w:rsidRPr="00E76534">
        <w:rPr>
          <w:rFonts w:ascii="Arial" w:hAnsi="Arial" w:cs="Arial"/>
          <w:i/>
          <w:iCs/>
        </w:rPr>
        <w:t>Journal of Economic Perspectives, 31</w:t>
      </w:r>
      <w:r w:rsidRPr="00E76534">
        <w:rPr>
          <w:rFonts w:ascii="Arial" w:hAnsi="Arial" w:cs="Arial"/>
        </w:rPr>
        <w:t>(1), 205–230. </w:t>
      </w:r>
      <w:hyperlink r:id="rId57" w:tgtFrame="_new" w:history="1">
        <w:r w:rsidRPr="00E76534">
          <w:rPr>
            <w:rStyle w:val="Hyperlink"/>
            <w:rFonts w:ascii="Arial" w:hAnsi="Arial" w:cs="Arial"/>
          </w:rPr>
          <w:t>https://doi.org/10.1257/jep.31.1.205</w:t>
        </w:r>
      </w:hyperlink>
    </w:p>
    <w:p w14:paraId="06357FB9" w14:textId="77777777" w:rsidR="00EB543B" w:rsidRPr="00E76534" w:rsidRDefault="00EB543B" w:rsidP="00EB543B">
      <w:pPr>
        <w:rPr>
          <w:rFonts w:ascii="Arial" w:hAnsi="Arial" w:cs="Arial"/>
        </w:rPr>
      </w:pPr>
      <w:r w:rsidRPr="00E76534">
        <w:rPr>
          <w:rFonts w:ascii="Arial" w:hAnsi="Arial" w:cs="Arial"/>
        </w:rPr>
        <w:t>Pesaran, M. H. (2004). </w:t>
      </w:r>
      <w:r w:rsidRPr="00E76534">
        <w:rPr>
          <w:rFonts w:ascii="Arial" w:hAnsi="Arial" w:cs="Arial"/>
          <w:i/>
          <w:iCs/>
        </w:rPr>
        <w:t>General diagnostic tests for cross section dependence in panels</w:t>
      </w:r>
      <w:r w:rsidRPr="00E76534">
        <w:rPr>
          <w:rFonts w:ascii="Arial" w:hAnsi="Arial" w:cs="Arial"/>
        </w:rPr>
        <w:t> (CESifo Working Paper No. 1229). CESifo. https://www.cesifo.org/en/publications/2004/working-paper/general-diagnostic-tests-cross-section-dependence</w:t>
      </w:r>
    </w:p>
    <w:p w14:paraId="4D71966D" w14:textId="77777777" w:rsidR="00EB543B" w:rsidRPr="00E76534" w:rsidRDefault="00EB543B" w:rsidP="00EB543B">
      <w:pPr>
        <w:rPr>
          <w:rFonts w:ascii="Arial" w:hAnsi="Arial" w:cs="Arial"/>
        </w:rPr>
      </w:pPr>
      <w:r w:rsidRPr="00E76534">
        <w:rPr>
          <w:rFonts w:ascii="Arial" w:hAnsi="Arial" w:cs="Arial"/>
        </w:rPr>
        <w:t>Perry, S. L. (2022). </w:t>
      </w:r>
      <w:r w:rsidRPr="00E76534">
        <w:rPr>
          <w:rFonts w:ascii="Arial" w:hAnsi="Arial" w:cs="Arial"/>
          <w:i/>
          <w:iCs/>
        </w:rPr>
        <w:t>Growing God’s family: The global politics of Christian nationalism</w:t>
      </w:r>
      <w:r w:rsidRPr="00E76534">
        <w:rPr>
          <w:rFonts w:ascii="Arial" w:hAnsi="Arial" w:cs="Arial"/>
        </w:rPr>
        <w:t>. NYU Press.</w:t>
      </w:r>
    </w:p>
    <w:p w14:paraId="19A4B29C" w14:textId="77777777" w:rsidR="00EB543B" w:rsidRPr="00E76534" w:rsidRDefault="00EB543B" w:rsidP="00EB543B">
      <w:pPr>
        <w:rPr>
          <w:rFonts w:ascii="Arial" w:hAnsi="Arial" w:cs="Arial"/>
        </w:rPr>
      </w:pPr>
      <w:r w:rsidRPr="00E76534">
        <w:rPr>
          <w:rFonts w:ascii="Arial" w:hAnsi="Arial" w:cs="Arial"/>
        </w:rPr>
        <w:t>Schnabel, L. (2021). Secularism and fertility worldwide. </w:t>
      </w:r>
      <w:r w:rsidRPr="00E76534">
        <w:rPr>
          <w:rFonts w:ascii="Arial" w:hAnsi="Arial" w:cs="Arial"/>
          <w:i/>
          <w:iCs/>
        </w:rPr>
        <w:t>Socius: Sociological Research for a Dynamic World, 7</w:t>
      </w:r>
      <w:r w:rsidRPr="00E76534">
        <w:rPr>
          <w:rFonts w:ascii="Arial" w:hAnsi="Arial" w:cs="Arial"/>
        </w:rPr>
        <w:t>, Article 2378023121103132. </w:t>
      </w:r>
      <w:hyperlink r:id="rId58" w:tgtFrame="_new" w:history="1">
        <w:r w:rsidRPr="00E76534">
          <w:rPr>
            <w:rStyle w:val="Hyperlink"/>
            <w:rFonts w:ascii="Arial" w:hAnsi="Arial" w:cs="Arial"/>
          </w:rPr>
          <w:t>https://doi.org/10.1177/2378023121103132</w:t>
        </w:r>
      </w:hyperlink>
    </w:p>
    <w:p w14:paraId="5E64CA6F" w14:textId="77777777" w:rsidR="00EB543B" w:rsidRPr="00E76534" w:rsidRDefault="00EB543B" w:rsidP="00EB543B">
      <w:pPr>
        <w:rPr>
          <w:rFonts w:ascii="Arial" w:hAnsi="Arial" w:cs="Arial"/>
        </w:rPr>
      </w:pPr>
      <w:r w:rsidRPr="00E76534">
        <w:rPr>
          <w:rFonts w:ascii="Arial" w:hAnsi="Arial" w:cs="Arial"/>
        </w:rPr>
        <w:t>Silva, M., &amp; Klasen, S. (2021). Gender inequality as a barrier to economic growth: A review of the theoretical literature. </w:t>
      </w:r>
      <w:r w:rsidRPr="00E76534">
        <w:rPr>
          <w:rFonts w:ascii="Arial" w:hAnsi="Arial" w:cs="Arial"/>
          <w:i/>
          <w:iCs/>
        </w:rPr>
        <w:t>Review of Economics of the Household, 19</w:t>
      </w:r>
      <w:r w:rsidRPr="00E76534">
        <w:rPr>
          <w:rFonts w:ascii="Arial" w:hAnsi="Arial" w:cs="Arial"/>
        </w:rPr>
        <w:t>, 581–614. </w:t>
      </w:r>
      <w:hyperlink r:id="rId59" w:tgtFrame="_new" w:history="1">
        <w:r w:rsidRPr="00E76534">
          <w:rPr>
            <w:rStyle w:val="Hyperlink"/>
            <w:rFonts w:ascii="Arial" w:hAnsi="Arial" w:cs="Arial"/>
          </w:rPr>
          <w:t>https://doi.org/10.1007/s11150-020-09535-6</w:t>
        </w:r>
      </w:hyperlink>
    </w:p>
    <w:p w14:paraId="5BB6F444" w14:textId="77777777" w:rsidR="00EB543B" w:rsidRPr="00E76534" w:rsidRDefault="00EB543B" w:rsidP="00EB543B">
      <w:pPr>
        <w:rPr>
          <w:rFonts w:ascii="Arial" w:hAnsi="Arial" w:cs="Arial"/>
        </w:rPr>
      </w:pPr>
      <w:r w:rsidRPr="00E76534">
        <w:rPr>
          <w:rFonts w:ascii="Arial" w:hAnsi="Arial" w:cs="Arial"/>
        </w:rPr>
        <w:t>Su, J. H., &amp; Musick, K. (2024). How sexism in institutions and everyday interactions shapes early childbearing. </w:t>
      </w:r>
      <w:r w:rsidRPr="00E76534">
        <w:rPr>
          <w:rFonts w:ascii="Arial" w:hAnsi="Arial" w:cs="Arial"/>
          <w:i/>
          <w:iCs/>
        </w:rPr>
        <w:t>American Sociological Review, 89</w:t>
      </w:r>
      <w:r w:rsidRPr="00E76534">
        <w:rPr>
          <w:rFonts w:ascii="Arial" w:hAnsi="Arial" w:cs="Arial"/>
        </w:rPr>
        <w:t>(6), 1141–1180. </w:t>
      </w:r>
      <w:hyperlink r:id="rId60" w:tgtFrame="_new" w:history="1">
        <w:r w:rsidRPr="00E76534">
          <w:rPr>
            <w:rStyle w:val="Hyperlink"/>
            <w:rFonts w:ascii="Arial" w:hAnsi="Arial" w:cs="Arial"/>
          </w:rPr>
          <w:t>https://doi.org/10.1177/00031224241291602</w:t>
        </w:r>
      </w:hyperlink>
    </w:p>
    <w:p w14:paraId="14C5BCC8" w14:textId="77777777" w:rsidR="00EB543B" w:rsidRPr="00E76534" w:rsidRDefault="00EB543B" w:rsidP="00EB543B">
      <w:pPr>
        <w:rPr>
          <w:rFonts w:ascii="Arial" w:hAnsi="Arial" w:cs="Arial"/>
        </w:rPr>
      </w:pPr>
      <w:r w:rsidRPr="00E76534">
        <w:rPr>
          <w:rFonts w:ascii="Arial" w:hAnsi="Arial" w:cs="Arial"/>
        </w:rPr>
        <w:t>United Nations Development Programme. (2023). </w:t>
      </w:r>
      <w:r w:rsidRPr="00E76534">
        <w:rPr>
          <w:rFonts w:ascii="Arial" w:hAnsi="Arial" w:cs="Arial"/>
          <w:i/>
          <w:iCs/>
        </w:rPr>
        <w:t>Human development report 2023/24</w:t>
      </w:r>
      <w:r w:rsidRPr="00E76534">
        <w:rPr>
          <w:rFonts w:ascii="Arial" w:hAnsi="Arial" w:cs="Arial"/>
        </w:rPr>
        <w:t>. UNDP. </w:t>
      </w:r>
      <w:hyperlink r:id="rId61" w:tgtFrame="_new" w:history="1">
        <w:r w:rsidRPr="00E76534">
          <w:rPr>
            <w:rStyle w:val="Hyperlink"/>
            <w:rFonts w:ascii="Arial" w:hAnsi="Arial" w:cs="Arial"/>
          </w:rPr>
          <w:t>https://hdr.undp.org/content/human-development-report-2023-24</w:t>
        </w:r>
      </w:hyperlink>
    </w:p>
    <w:p w14:paraId="00E8039A" w14:textId="77777777" w:rsidR="00EB543B" w:rsidRPr="00E76534" w:rsidRDefault="00EB543B" w:rsidP="00EB543B">
      <w:pPr>
        <w:rPr>
          <w:rFonts w:ascii="Arial" w:hAnsi="Arial" w:cs="Arial"/>
        </w:rPr>
      </w:pPr>
      <w:r w:rsidRPr="00E76534">
        <w:rPr>
          <w:rFonts w:ascii="Arial" w:hAnsi="Arial" w:cs="Arial"/>
        </w:rPr>
        <w:t>Van Ditmars, T., &amp; Bernardi, L. (2023). Political socialization, parental separation, and political ideology in adulthood. </w:t>
      </w:r>
      <w:r w:rsidRPr="00E76534">
        <w:rPr>
          <w:rFonts w:ascii="Arial" w:hAnsi="Arial" w:cs="Arial"/>
          <w:i/>
          <w:iCs/>
        </w:rPr>
        <w:t>Frontiers in Political Science, 5</w:t>
      </w:r>
      <w:r w:rsidRPr="00E76534">
        <w:rPr>
          <w:rFonts w:ascii="Arial" w:hAnsi="Arial" w:cs="Arial"/>
        </w:rPr>
        <w:t>, Article 1089671. </w:t>
      </w:r>
      <w:hyperlink r:id="rId62" w:tgtFrame="_new" w:history="1">
        <w:r w:rsidRPr="00E76534">
          <w:rPr>
            <w:rStyle w:val="Hyperlink"/>
            <w:rFonts w:ascii="Arial" w:hAnsi="Arial" w:cs="Arial"/>
          </w:rPr>
          <w:t>https://doi.org/10.3389/fpos.2023.1089671</w:t>
        </w:r>
      </w:hyperlink>
    </w:p>
    <w:p w14:paraId="5FDECE3C" w14:textId="77777777" w:rsidR="00EB543B" w:rsidRPr="00E76534" w:rsidRDefault="00EB543B" w:rsidP="00EB543B">
      <w:pPr>
        <w:rPr>
          <w:rFonts w:ascii="Arial" w:hAnsi="Arial" w:cs="Arial"/>
        </w:rPr>
      </w:pPr>
      <w:r w:rsidRPr="00E76534">
        <w:rPr>
          <w:rFonts w:ascii="Arial" w:hAnsi="Arial" w:cs="Arial"/>
        </w:rPr>
        <w:t>Waldfogel, J. (1997). The effect of children on women’s wages. </w:t>
      </w:r>
      <w:r w:rsidRPr="00E76534">
        <w:rPr>
          <w:rFonts w:ascii="Arial" w:hAnsi="Arial" w:cs="Arial"/>
          <w:i/>
          <w:iCs/>
        </w:rPr>
        <w:t>American Sociological Review, 62</w:t>
      </w:r>
      <w:r w:rsidRPr="00E76534">
        <w:rPr>
          <w:rFonts w:ascii="Arial" w:hAnsi="Arial" w:cs="Arial"/>
        </w:rPr>
        <w:t>(2), 209–217. </w:t>
      </w:r>
      <w:hyperlink r:id="rId63" w:tgtFrame="_new" w:history="1">
        <w:r w:rsidRPr="00E76534">
          <w:rPr>
            <w:rStyle w:val="Hyperlink"/>
            <w:rFonts w:ascii="Arial" w:hAnsi="Arial" w:cs="Arial"/>
          </w:rPr>
          <w:t>https://www.jstor.org/stable/2657300</w:t>
        </w:r>
      </w:hyperlink>
    </w:p>
    <w:p w14:paraId="019AC2D9" w14:textId="77777777" w:rsidR="00EB543B" w:rsidRPr="00E76534" w:rsidRDefault="00EB543B" w:rsidP="00EB543B">
      <w:pPr>
        <w:rPr>
          <w:rFonts w:ascii="Arial" w:hAnsi="Arial" w:cs="Arial"/>
        </w:rPr>
      </w:pPr>
      <w:r w:rsidRPr="00E76534">
        <w:rPr>
          <w:rFonts w:ascii="Arial" w:hAnsi="Arial" w:cs="Arial"/>
        </w:rPr>
        <w:t>Wilcox, W. B., &amp; Wolfinger, N. H. (2016). </w:t>
      </w:r>
      <w:r w:rsidRPr="00E76534">
        <w:rPr>
          <w:rFonts w:ascii="Arial" w:hAnsi="Arial" w:cs="Arial"/>
          <w:i/>
          <w:iCs/>
        </w:rPr>
        <w:t>Soul mates: Religion, sex, love, and marriage among African Americans and Latinos</w:t>
      </w:r>
      <w:r w:rsidRPr="00E76534">
        <w:rPr>
          <w:rFonts w:ascii="Arial" w:hAnsi="Arial" w:cs="Arial"/>
        </w:rPr>
        <w:t>. Oxford University Press.</w:t>
      </w:r>
    </w:p>
    <w:p w14:paraId="29319EC1" w14:textId="77777777" w:rsidR="00EB543B" w:rsidRPr="00E76534" w:rsidRDefault="00EB543B" w:rsidP="00EB543B">
      <w:pPr>
        <w:rPr>
          <w:rFonts w:ascii="Arial" w:hAnsi="Arial" w:cs="Arial"/>
        </w:rPr>
      </w:pPr>
      <w:r w:rsidRPr="00E76534">
        <w:rPr>
          <w:rFonts w:ascii="Arial" w:hAnsi="Arial" w:cs="Arial"/>
        </w:rPr>
        <w:t>World Bank. (2012). </w:t>
      </w:r>
      <w:r w:rsidRPr="00E76534">
        <w:rPr>
          <w:rFonts w:ascii="Arial" w:hAnsi="Arial" w:cs="Arial"/>
          <w:i/>
          <w:iCs/>
        </w:rPr>
        <w:t>World development report 2012: Gender equality and development</w:t>
      </w:r>
      <w:r w:rsidRPr="00E76534">
        <w:rPr>
          <w:rFonts w:ascii="Arial" w:hAnsi="Arial" w:cs="Arial"/>
        </w:rPr>
        <w:t>. World Bank. </w:t>
      </w:r>
      <w:hyperlink r:id="rId64" w:tgtFrame="_new" w:history="1">
        <w:r w:rsidRPr="00E76534">
          <w:rPr>
            <w:rStyle w:val="Hyperlink"/>
            <w:rFonts w:ascii="Arial" w:hAnsi="Arial" w:cs="Arial"/>
          </w:rPr>
          <w:t>https://openknowledge.worldbank.org/entities/publication/51c285f6-0200-590c-97d3-95b937be3271</w:t>
        </w:r>
      </w:hyperlink>
    </w:p>
    <w:p w14:paraId="6FA41420" w14:textId="77777777" w:rsidR="00EB543B" w:rsidRPr="00E76534" w:rsidRDefault="00EB543B" w:rsidP="00EB543B">
      <w:pPr>
        <w:rPr>
          <w:rFonts w:ascii="Arial" w:hAnsi="Arial" w:cs="Arial"/>
        </w:rPr>
      </w:pPr>
      <w:r w:rsidRPr="00E76534">
        <w:rPr>
          <w:rFonts w:ascii="Arial" w:hAnsi="Arial" w:cs="Arial"/>
        </w:rPr>
        <w:t>Yoshimori, M., &amp; Halbleib, J. F. (2026, January 31). The price of presence and the new gender pay gap. </w:t>
      </w:r>
      <w:r w:rsidRPr="00E76534">
        <w:rPr>
          <w:rFonts w:ascii="Arial" w:hAnsi="Arial" w:cs="Arial"/>
          <w:i/>
          <w:iCs/>
        </w:rPr>
        <w:t>Fair Observer</w:t>
      </w:r>
      <w:r w:rsidRPr="00E76534">
        <w:rPr>
          <w:rFonts w:ascii="Arial" w:hAnsi="Arial" w:cs="Arial"/>
        </w:rPr>
        <w:t>. </w:t>
      </w:r>
      <w:hyperlink r:id="rId65" w:tgtFrame="_new" w:history="1">
        <w:r w:rsidRPr="00E76534">
          <w:rPr>
            <w:rStyle w:val="Hyperlink"/>
            <w:rFonts w:ascii="Arial" w:hAnsi="Arial" w:cs="Arial"/>
          </w:rPr>
          <w:t>https://www.fairobserver.com/economics/the-price-of-presence-and-the-new-gender-pay-gap/</w:t>
        </w:r>
      </w:hyperlink>
    </w:p>
    <w:p w14:paraId="7143429F" w14:textId="5D373B65" w:rsidR="001B5C19" w:rsidRDefault="00EB543B" w:rsidP="008F7670">
      <w:pPr>
        <w:rPr>
          <w:rFonts w:ascii="Arial" w:hAnsi="Arial" w:cs="Arial"/>
        </w:rPr>
      </w:pPr>
      <w:r w:rsidRPr="00E76534">
        <w:rPr>
          <w:rFonts w:ascii="Arial" w:hAnsi="Arial" w:cs="Arial"/>
        </w:rPr>
        <w:t>Zaidi, B., &amp; Morgan, S. P. (2017). The second demographic transition theory: A review and appraisal. </w:t>
      </w:r>
      <w:r w:rsidRPr="00E76534">
        <w:rPr>
          <w:rFonts w:ascii="Arial" w:hAnsi="Arial" w:cs="Arial"/>
          <w:i/>
          <w:iCs/>
        </w:rPr>
        <w:t>Annual Review of Sociology, 43</w:t>
      </w:r>
      <w:r w:rsidRPr="00E76534">
        <w:rPr>
          <w:rFonts w:ascii="Arial" w:hAnsi="Arial" w:cs="Arial"/>
        </w:rPr>
        <w:t>, 473–492. </w:t>
      </w:r>
      <w:hyperlink r:id="rId66" w:history="1">
        <w:r w:rsidRPr="00E76534">
          <w:rPr>
            <w:rStyle w:val="Hyperlink"/>
            <w:rFonts w:ascii="Arial" w:hAnsi="Arial" w:cs="Arial"/>
          </w:rPr>
          <w:t>https://doi.org/10.1146/annurev-soc-060116-053442</w:t>
        </w:r>
      </w:hyperlink>
    </w:p>
    <w:p w14:paraId="55CE5799" w14:textId="77777777" w:rsidR="001B5C19" w:rsidRDefault="001B5C19" w:rsidP="00010349">
      <w:pPr>
        <w:pStyle w:val="Body"/>
        <w:spacing w:after="0"/>
        <w:rPr>
          <w:rFonts w:ascii="Arial" w:hAnsi="Arial" w:cs="Arial"/>
        </w:rPr>
      </w:pPr>
    </w:p>
    <w:p w14:paraId="7291DE5A" w14:textId="00B625AB" w:rsidR="004D4277" w:rsidRPr="00FB3A86" w:rsidRDefault="004D4277" w:rsidP="00441B6F">
      <w:pPr>
        <w:pStyle w:val="Appendix"/>
        <w:spacing w:after="0"/>
        <w:jc w:val="both"/>
        <w:rPr>
          <w:rFonts w:ascii="Arial" w:hAnsi="Arial" w:cs="Arial"/>
          <w:b w:val="0"/>
        </w:rPr>
        <w:sectPr w:rsidR="004D4277" w:rsidRPr="00FB3A86" w:rsidSect="005A2F54">
          <w:headerReference w:type="even" r:id="rId67"/>
          <w:headerReference w:type="default" r:id="rId68"/>
          <w:footerReference w:type="default" r:id="rId69"/>
          <w:headerReference w:type="first" r:id="rId70"/>
          <w:type w:val="continuous"/>
          <w:pgSz w:w="12240" w:h="15840"/>
          <w:pgMar w:top="1440" w:right="2016" w:bottom="2016" w:left="2016" w:header="720" w:footer="1123" w:gutter="0"/>
          <w:cols w:space="720"/>
          <w:docGrid w:linePitch="272"/>
        </w:sectPr>
      </w:pPr>
    </w:p>
    <w:p w14:paraId="610C073F" w14:textId="77777777" w:rsidR="00B01FCD" w:rsidRPr="00FB3A86" w:rsidRDefault="00B01FCD" w:rsidP="00441B6F">
      <w:pPr>
        <w:pStyle w:val="Appendix"/>
        <w:spacing w:after="0"/>
        <w:jc w:val="both"/>
        <w:rPr>
          <w:rFonts w:ascii="Arial" w:hAnsi="Arial" w:cs="Arial"/>
          <w:b w:val="0"/>
        </w:rPr>
      </w:pPr>
    </w:p>
    <w:sectPr w:rsidR="00B01FCD" w:rsidRPr="00FB3A86" w:rsidSect="005A2F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CDDC" w14:textId="77777777" w:rsidR="0093619B" w:rsidRDefault="0093619B" w:rsidP="00C37E61">
      <w:r>
        <w:separator/>
      </w:r>
    </w:p>
  </w:endnote>
  <w:endnote w:type="continuationSeparator" w:id="0">
    <w:p w14:paraId="5C546AF5" w14:textId="77777777" w:rsidR="0093619B" w:rsidRDefault="009361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9550" w14:textId="77777777" w:rsidR="00964747" w:rsidRDefault="00964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4051" w14:textId="77777777" w:rsidR="00964747" w:rsidRDefault="0096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4D2C" w14:textId="77777777" w:rsidR="009E048A" w:rsidRDefault="009E048A">
    <w:pPr>
      <w:pStyle w:val="Footer"/>
      <w:rPr>
        <w:rFonts w:ascii="Arial" w:hAnsi="Arial" w:cs="Arial"/>
        <w:sz w:val="16"/>
      </w:rPr>
    </w:pPr>
  </w:p>
  <w:p w14:paraId="029D4D1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A2C5AA" w14:textId="77777777" w:rsidR="009E048A" w:rsidRDefault="009E048A">
    <w:pPr>
      <w:pStyle w:val="Footer"/>
      <w:rPr>
        <w:rFonts w:ascii="Arial" w:hAnsi="Arial" w:cs="Arial"/>
        <w:sz w:val="16"/>
      </w:rPr>
    </w:pPr>
  </w:p>
  <w:p w14:paraId="6A85FCF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E4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3185" w14:textId="77777777" w:rsidR="0093619B" w:rsidRDefault="0093619B" w:rsidP="00C37E61">
      <w:r>
        <w:separator/>
      </w:r>
    </w:p>
  </w:footnote>
  <w:footnote w:type="continuationSeparator" w:id="0">
    <w:p w14:paraId="404F4F3D" w14:textId="77777777" w:rsidR="0093619B" w:rsidRDefault="0093619B" w:rsidP="00C37E61">
      <w:r>
        <w:continuationSeparator/>
      </w:r>
    </w:p>
  </w:footnote>
  <w:footnote w:id="1">
    <w:p w14:paraId="3A37369F" w14:textId="77777777" w:rsidR="00422E2F" w:rsidRPr="00D264B7" w:rsidRDefault="00422E2F" w:rsidP="00422E2F">
      <w:pPr>
        <w:pStyle w:val="FootnoteText"/>
        <w:rPr>
          <w:rFonts w:ascii="Arial" w:hAnsi="Arial" w:cs="Arial"/>
          <w:sz w:val="18"/>
          <w:szCs w:val="18"/>
        </w:rPr>
      </w:pPr>
      <w:r w:rsidRPr="00D264B7">
        <w:rPr>
          <w:rStyle w:val="FootnoteReference"/>
          <w:rFonts w:ascii="Arial" w:hAnsi="Arial" w:cs="Arial"/>
          <w:sz w:val="18"/>
          <w:szCs w:val="18"/>
        </w:rPr>
        <w:footnoteRef/>
      </w:r>
      <w:r w:rsidRPr="00D264B7">
        <w:rPr>
          <w:rFonts w:ascii="Arial" w:hAnsi="Arial" w:cs="Arial"/>
          <w:sz w:val="18"/>
          <w:szCs w:val="18"/>
        </w:rPr>
        <w:t xml:space="preserve"> Afghanistan, Australia, Austria, Bahamas, Bahrain, Bangladesh, Barbados, Belgium, Brunei, Canada, Chile, China, Colombia, Congo, Costa Rica, Cote d'Ivoire, Croatia, Cuba, Cyprus, Czechia, Egypt, Estonia, Eswatini, Finland, France, Gambia, Germany, Ghana, Greece, Guinea, Guyana, Haiti, Honduras, Hong Kong, Hungary, Iceland, India, Indonesia, Iran, Iraq, Ireland, Israel, Italy, Japan, Jordan, Kenya, Kuwait, Latvia, Malawi, Mali, Malta, Mexico, Morocco, Mozambique, Myanmar, Namibia, Nepal, Netherlands, New Zealand, Nigeria, Norway, Pakistan, Philippines, Poland, Portugal, Qatar, Reunion, Saint Lucia, Samoa, Saudi Arabia, Senegal, Serbia, Sierra Leone, Singapore, Slovakia, Slovenia, South Africa, Spain, Sri Lanka, Sudan, Sweden, Switzerland, Syria, Tanzania, Thailand, Togo, Trinidad and Tobago, Tunisia, Turkey, Tuvalu, Uganda, Ukraine, United Arab Emirates, United Kingdom, United States, Uruguay, Vietnam, Yemen, Zambia, Zimbabwe</w:t>
      </w:r>
    </w:p>
  </w:footnote>
  <w:footnote w:id="2">
    <w:p w14:paraId="7A0F6CEB" w14:textId="77777777" w:rsidR="001B5C19" w:rsidRDefault="001B5C19" w:rsidP="001B5C19">
      <w:pPr>
        <w:pStyle w:val="FootnoteText"/>
      </w:pPr>
      <w:r>
        <w:rPr>
          <w:rStyle w:val="FootnoteReference"/>
        </w:rPr>
        <w:footnoteRef/>
      </w:r>
      <w:r>
        <w:t xml:space="preserve"> </w:t>
      </w:r>
      <w:r w:rsidRPr="00CD0FCB">
        <w:t xml:space="preserve">The turning point is computed as </w:t>
      </w:r>
      <m:oMath>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1</m:t>
                </m:r>
              </m:sub>
            </m:sSub>
          </m:num>
          <m:den>
            <m:r>
              <m:rPr>
                <m:sty m:val="p"/>
              </m:rPr>
              <w:rPr>
                <w:rFonts w:ascii="Cambria Math" w:hAnsi="Cambria Math"/>
              </w:rPr>
              <m:t>2</m:t>
            </m:r>
            <m:sSub>
              <m:sSubPr>
                <m:ctrlPr>
                  <w:rPr>
                    <w:rFonts w:ascii="Cambria Math" w:hAnsi="Cambria Math"/>
                  </w:rPr>
                </m:ctrlPr>
              </m:sSubPr>
              <m:e>
                <m:r>
                  <w:rPr>
                    <w:rFonts w:ascii="Cambria Math" w:hAnsi="Cambria Math"/>
                  </w:rPr>
                  <m:t>β</m:t>
                </m:r>
              </m:e>
              <m:sub>
                <m:r>
                  <w:rPr>
                    <w:rFonts w:ascii="Cambria Math" w:hAnsi="Cambria Math"/>
                  </w:rPr>
                  <m:t>2</m:t>
                </m:r>
              </m:sub>
            </m:sSub>
          </m:den>
        </m:f>
      </m:oMath>
      <w:r w:rsidRPr="00CD0FCB">
        <w:t xml:space="preserve"> using the estimated coefficients on GII and GII². The marginal effect evaluated at the turning point is exactly zero by construction and is verified numerically using nonlinear combinations of estimators.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CD3F" w14:textId="1E2253EF" w:rsidR="00964747" w:rsidRDefault="0093619B">
    <w:pPr>
      <w:pStyle w:val="Header"/>
    </w:pPr>
    <w:r>
      <w:rPr>
        <w:noProof/>
      </w:rPr>
      <w:pict w14:anchorId="58512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2" o:spid="_x0000_s1033"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0DEF" w14:textId="1F1431EA" w:rsidR="00964747" w:rsidRDefault="0093619B">
    <w:pPr>
      <w:pStyle w:val="Header"/>
    </w:pPr>
    <w:r>
      <w:rPr>
        <w:noProof/>
      </w:rPr>
      <w:pict w14:anchorId="3DB5D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3" o:spid="_x0000_s1032"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28EE" w14:textId="153A0BD0" w:rsidR="00296529" w:rsidRPr="00296529" w:rsidRDefault="0093619B" w:rsidP="00296529">
    <w:pPr>
      <w:ind w:left="2160"/>
      <w:jc w:val="center"/>
      <w:rPr>
        <w:rFonts w:ascii="Times New Roman" w:eastAsia="Calibri" w:hAnsi="Times New Roman"/>
        <w:i/>
        <w:sz w:val="18"/>
        <w:szCs w:val="22"/>
      </w:rPr>
    </w:pPr>
    <w:r>
      <w:rPr>
        <w:noProof/>
      </w:rPr>
      <w:pict w14:anchorId="1BB95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1" o:spid="_x0000_s1031"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1EBE1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48A0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4A5A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6F9E8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2201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903A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6AEF" w14:textId="09DDCF3E" w:rsidR="00964747" w:rsidRDefault="0093619B">
    <w:pPr>
      <w:pStyle w:val="Header"/>
    </w:pPr>
    <w:r>
      <w:rPr>
        <w:noProof/>
      </w:rPr>
      <w:pict w14:anchorId="2758E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5" o:spid="_x0000_s1030" type="#_x0000_t136" alt="" style="position:absolute;margin-left:0;margin-top:0;width:519.9pt;height:58.6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r>
      <w:rPr>
        <w:noProof/>
      </w:rPr>
      <w:pict w14:anchorId="70184CB1">
        <v:shape id="_x0000_s1029"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A0F7" w14:textId="4F9BAD1B" w:rsidR="00964747" w:rsidRDefault="0093619B">
    <w:pPr>
      <w:pStyle w:val="Header"/>
    </w:pPr>
    <w:r>
      <w:rPr>
        <w:noProof/>
      </w:rPr>
      <w:pict w14:anchorId="34DB9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6" o:spid="_x0000_s1028" type="#_x0000_t136" alt="" style="position:absolute;margin-left:0;margin-top:0;width:519.9pt;height:58.6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r>
      <w:rPr>
        <w:noProof/>
      </w:rPr>
      <w:pict w14:anchorId="3F558BBF">
        <v:shape id="_x0000_s1027" type="#_x0000_t136" alt="" style="position:absolute;margin-left:0;margin-top:0;width:519.9pt;height:58.6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AADD" w14:textId="0D6DB031" w:rsidR="00964747" w:rsidRPr="00296529" w:rsidRDefault="0093619B" w:rsidP="00296529">
    <w:pPr>
      <w:ind w:left="2160"/>
      <w:jc w:val="center"/>
      <w:rPr>
        <w:rFonts w:ascii="Times New Roman" w:eastAsia="Calibri" w:hAnsi="Times New Roman"/>
        <w:i/>
        <w:sz w:val="18"/>
        <w:szCs w:val="22"/>
      </w:rPr>
    </w:pPr>
    <w:r>
      <w:rPr>
        <w:noProof/>
      </w:rPr>
      <w:pict w14:anchorId="16807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4" o:spid="_x0000_s1026" type="#_x0000_t136" alt="" style="position:absolute;left:0;text-align:left;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r>
      <w:rPr>
        <w:noProof/>
      </w:rPr>
      <w:pict w14:anchorId="4028540C">
        <v:shape id="_x0000_s1025" type="#_x0000_t136" alt="" style="position:absolute;left:0;text-align:left;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3E7D64C" w14:textId="77777777" w:rsidR="00964747" w:rsidRPr="00296529" w:rsidRDefault="0096474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014FEAC" w14:textId="77777777" w:rsidR="00964747" w:rsidRPr="00296529" w:rsidRDefault="0096474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7AD6E4" w14:textId="77777777" w:rsidR="00964747" w:rsidRPr="00296529" w:rsidRDefault="0096474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92AA76" w14:textId="77777777" w:rsidR="00964747" w:rsidRDefault="0096474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A27590" w14:textId="77777777" w:rsidR="00964747" w:rsidRDefault="0096474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850986" w14:textId="77777777" w:rsidR="00964747" w:rsidRDefault="0096474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795048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0994766">
    <w:abstractNumId w:val="15"/>
  </w:num>
  <w:num w:numId="3" w16cid:durableId="1016268203">
    <w:abstractNumId w:val="23"/>
  </w:num>
  <w:num w:numId="4" w16cid:durableId="7715105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02234782">
    <w:abstractNumId w:val="7"/>
  </w:num>
  <w:num w:numId="6" w16cid:durableId="1414400830">
    <w:abstractNumId w:val="6"/>
  </w:num>
  <w:num w:numId="7" w16cid:durableId="1344475740">
    <w:abstractNumId w:val="1"/>
  </w:num>
  <w:num w:numId="8" w16cid:durableId="1745952816">
    <w:abstractNumId w:val="12"/>
  </w:num>
  <w:num w:numId="9" w16cid:durableId="478502456">
    <w:abstractNumId w:val="25"/>
  </w:num>
  <w:num w:numId="10" w16cid:durableId="2042319320">
    <w:abstractNumId w:val="2"/>
  </w:num>
  <w:num w:numId="11" w16cid:durableId="1491753562">
    <w:abstractNumId w:val="18"/>
  </w:num>
  <w:num w:numId="12" w16cid:durableId="2069104608">
    <w:abstractNumId w:val="3"/>
  </w:num>
  <w:num w:numId="13" w16cid:durableId="153187256">
    <w:abstractNumId w:val="17"/>
  </w:num>
  <w:num w:numId="14" w16cid:durableId="1410033652">
    <w:abstractNumId w:val="8"/>
  </w:num>
  <w:num w:numId="15" w16cid:durableId="341249709">
    <w:abstractNumId w:val="21"/>
  </w:num>
  <w:num w:numId="16" w16cid:durableId="531845952">
    <w:abstractNumId w:val="5"/>
  </w:num>
  <w:num w:numId="17" w16cid:durableId="1196575601">
    <w:abstractNumId w:val="22"/>
  </w:num>
  <w:num w:numId="18" w16cid:durableId="897976388">
    <w:abstractNumId w:val="14"/>
  </w:num>
  <w:num w:numId="19" w16cid:durableId="9262349">
    <w:abstractNumId w:val="28"/>
  </w:num>
  <w:num w:numId="20" w16cid:durableId="1674524255">
    <w:abstractNumId w:val="11"/>
  </w:num>
  <w:num w:numId="21" w16cid:durableId="1038090368">
    <w:abstractNumId w:val="9"/>
  </w:num>
  <w:num w:numId="22" w16cid:durableId="1424260630">
    <w:abstractNumId w:val="13"/>
  </w:num>
  <w:num w:numId="23" w16cid:durableId="1625039460">
    <w:abstractNumId w:val="19"/>
  </w:num>
  <w:num w:numId="24" w16cid:durableId="1918318962">
    <w:abstractNumId w:val="26"/>
  </w:num>
  <w:num w:numId="25" w16cid:durableId="985627093">
    <w:abstractNumId w:val="4"/>
  </w:num>
  <w:num w:numId="26" w16cid:durableId="573665217">
    <w:abstractNumId w:val="16"/>
  </w:num>
  <w:num w:numId="27" w16cid:durableId="1632637106">
    <w:abstractNumId w:val="20"/>
  </w:num>
  <w:num w:numId="28" w16cid:durableId="1500271826">
    <w:abstractNumId w:val="27"/>
  </w:num>
  <w:num w:numId="29" w16cid:durableId="9963085">
    <w:abstractNumId w:val="24"/>
  </w:num>
  <w:num w:numId="30" w16cid:durableId="409813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349"/>
    <w:rsid w:val="00030174"/>
    <w:rsid w:val="0004579C"/>
    <w:rsid w:val="00073336"/>
    <w:rsid w:val="000A47FA"/>
    <w:rsid w:val="000A65D3"/>
    <w:rsid w:val="000B1E33"/>
    <w:rsid w:val="000C7015"/>
    <w:rsid w:val="000D689F"/>
    <w:rsid w:val="000E7B7B"/>
    <w:rsid w:val="000E7D62"/>
    <w:rsid w:val="00103357"/>
    <w:rsid w:val="00123C9F"/>
    <w:rsid w:val="00126190"/>
    <w:rsid w:val="00130F17"/>
    <w:rsid w:val="001320BF"/>
    <w:rsid w:val="00163BC4"/>
    <w:rsid w:val="00180FEC"/>
    <w:rsid w:val="00191062"/>
    <w:rsid w:val="00192B72"/>
    <w:rsid w:val="001A29D8"/>
    <w:rsid w:val="001A5CAA"/>
    <w:rsid w:val="001B0427"/>
    <w:rsid w:val="001B5C19"/>
    <w:rsid w:val="001D3A51"/>
    <w:rsid w:val="001E10D2"/>
    <w:rsid w:val="001E25B4"/>
    <w:rsid w:val="001E44FE"/>
    <w:rsid w:val="001F540A"/>
    <w:rsid w:val="00200595"/>
    <w:rsid w:val="00204835"/>
    <w:rsid w:val="00231920"/>
    <w:rsid w:val="0023195C"/>
    <w:rsid w:val="0024282C"/>
    <w:rsid w:val="002460DC"/>
    <w:rsid w:val="00250985"/>
    <w:rsid w:val="002556F6"/>
    <w:rsid w:val="00283105"/>
    <w:rsid w:val="00284C4C"/>
    <w:rsid w:val="00287E68"/>
    <w:rsid w:val="00294F95"/>
    <w:rsid w:val="00296529"/>
    <w:rsid w:val="002B27FB"/>
    <w:rsid w:val="002B685A"/>
    <w:rsid w:val="002C57D2"/>
    <w:rsid w:val="002E0D56"/>
    <w:rsid w:val="00315186"/>
    <w:rsid w:val="0033343E"/>
    <w:rsid w:val="003512C2"/>
    <w:rsid w:val="00365306"/>
    <w:rsid w:val="00371FB6"/>
    <w:rsid w:val="003763C1"/>
    <w:rsid w:val="00376BBE"/>
    <w:rsid w:val="0039224F"/>
    <w:rsid w:val="003A43A4"/>
    <w:rsid w:val="003A7E18"/>
    <w:rsid w:val="003C4C86"/>
    <w:rsid w:val="003C6258"/>
    <w:rsid w:val="003D0019"/>
    <w:rsid w:val="003E2904"/>
    <w:rsid w:val="00401927"/>
    <w:rsid w:val="0041027F"/>
    <w:rsid w:val="00412475"/>
    <w:rsid w:val="00422E2F"/>
    <w:rsid w:val="00423789"/>
    <w:rsid w:val="00440F43"/>
    <w:rsid w:val="00441B6F"/>
    <w:rsid w:val="00446221"/>
    <w:rsid w:val="00450E62"/>
    <w:rsid w:val="004539DB"/>
    <w:rsid w:val="00471A80"/>
    <w:rsid w:val="00482CCD"/>
    <w:rsid w:val="004D2EAD"/>
    <w:rsid w:val="004D305E"/>
    <w:rsid w:val="004D4277"/>
    <w:rsid w:val="00502516"/>
    <w:rsid w:val="00505F06"/>
    <w:rsid w:val="00506828"/>
    <w:rsid w:val="0053056E"/>
    <w:rsid w:val="00554FDA"/>
    <w:rsid w:val="005A2F54"/>
    <w:rsid w:val="005C784C"/>
    <w:rsid w:val="005D17F6"/>
    <w:rsid w:val="005E5539"/>
    <w:rsid w:val="00602BF5"/>
    <w:rsid w:val="00603FD3"/>
    <w:rsid w:val="0061734D"/>
    <w:rsid w:val="00617FDD"/>
    <w:rsid w:val="006206FD"/>
    <w:rsid w:val="00633614"/>
    <w:rsid w:val="00633F68"/>
    <w:rsid w:val="00636EB2"/>
    <w:rsid w:val="006375B8"/>
    <w:rsid w:val="0066510A"/>
    <w:rsid w:val="006665C5"/>
    <w:rsid w:val="006673ED"/>
    <w:rsid w:val="00673F9F"/>
    <w:rsid w:val="00686953"/>
    <w:rsid w:val="00687DEA"/>
    <w:rsid w:val="00687E67"/>
    <w:rsid w:val="006967F7"/>
    <w:rsid w:val="006A250C"/>
    <w:rsid w:val="006B21D3"/>
    <w:rsid w:val="006B33E8"/>
    <w:rsid w:val="006B57D0"/>
    <w:rsid w:val="006D30FF"/>
    <w:rsid w:val="006D6940"/>
    <w:rsid w:val="006E1241"/>
    <w:rsid w:val="006F11EC"/>
    <w:rsid w:val="0070082C"/>
    <w:rsid w:val="007369E6"/>
    <w:rsid w:val="00736F6C"/>
    <w:rsid w:val="00745A84"/>
    <w:rsid w:val="00745D8D"/>
    <w:rsid w:val="00746E59"/>
    <w:rsid w:val="00754C9A"/>
    <w:rsid w:val="0075599A"/>
    <w:rsid w:val="00761D52"/>
    <w:rsid w:val="0077749E"/>
    <w:rsid w:val="00790ADA"/>
    <w:rsid w:val="007D2288"/>
    <w:rsid w:val="007E088F"/>
    <w:rsid w:val="007F7B32"/>
    <w:rsid w:val="00804BC2"/>
    <w:rsid w:val="0081431A"/>
    <w:rsid w:val="0083216F"/>
    <w:rsid w:val="00835783"/>
    <w:rsid w:val="00851B9A"/>
    <w:rsid w:val="00860000"/>
    <w:rsid w:val="00863BD3"/>
    <w:rsid w:val="008641ED"/>
    <w:rsid w:val="00866D66"/>
    <w:rsid w:val="008671C6"/>
    <w:rsid w:val="00875803"/>
    <w:rsid w:val="008B459E"/>
    <w:rsid w:val="008E13AE"/>
    <w:rsid w:val="008E1506"/>
    <w:rsid w:val="008E710C"/>
    <w:rsid w:val="008F69D6"/>
    <w:rsid w:val="008F7670"/>
    <w:rsid w:val="00901FCA"/>
    <w:rsid w:val="00902823"/>
    <w:rsid w:val="00915CA6"/>
    <w:rsid w:val="00927834"/>
    <w:rsid w:val="0093619B"/>
    <w:rsid w:val="009500A6"/>
    <w:rsid w:val="00957C18"/>
    <w:rsid w:val="00964747"/>
    <w:rsid w:val="009659BA"/>
    <w:rsid w:val="00983040"/>
    <w:rsid w:val="00992933"/>
    <w:rsid w:val="009A74C5"/>
    <w:rsid w:val="009B3007"/>
    <w:rsid w:val="009B3FB9"/>
    <w:rsid w:val="009B53C3"/>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0478"/>
    <w:rsid w:val="00AB703F"/>
    <w:rsid w:val="00AC6BB8"/>
    <w:rsid w:val="00AE008F"/>
    <w:rsid w:val="00B01FCD"/>
    <w:rsid w:val="00B11C44"/>
    <w:rsid w:val="00B1776C"/>
    <w:rsid w:val="00B37BFE"/>
    <w:rsid w:val="00B52583"/>
    <w:rsid w:val="00B52896"/>
    <w:rsid w:val="00B95236"/>
    <w:rsid w:val="00B96BD9"/>
    <w:rsid w:val="00BA1B01"/>
    <w:rsid w:val="00BA2641"/>
    <w:rsid w:val="00BA7228"/>
    <w:rsid w:val="00BB37AA"/>
    <w:rsid w:val="00BB4F47"/>
    <w:rsid w:val="00BC53A0"/>
    <w:rsid w:val="00BE62AD"/>
    <w:rsid w:val="00BF07F2"/>
    <w:rsid w:val="00BF121F"/>
    <w:rsid w:val="00BF1C56"/>
    <w:rsid w:val="00BF1F80"/>
    <w:rsid w:val="00BF6D4D"/>
    <w:rsid w:val="00BF6E19"/>
    <w:rsid w:val="00C166EF"/>
    <w:rsid w:val="00C17EB0"/>
    <w:rsid w:val="00C27DA4"/>
    <w:rsid w:val="00C27F5F"/>
    <w:rsid w:val="00C30A0F"/>
    <w:rsid w:val="00C37E61"/>
    <w:rsid w:val="00C70F1B"/>
    <w:rsid w:val="00C711D9"/>
    <w:rsid w:val="00C71A47"/>
    <w:rsid w:val="00C7464C"/>
    <w:rsid w:val="00C85588"/>
    <w:rsid w:val="00C96D45"/>
    <w:rsid w:val="00CD6755"/>
    <w:rsid w:val="00CD6856"/>
    <w:rsid w:val="00CE0089"/>
    <w:rsid w:val="00CE5B86"/>
    <w:rsid w:val="00CE793C"/>
    <w:rsid w:val="00CF193C"/>
    <w:rsid w:val="00D173F1"/>
    <w:rsid w:val="00D25817"/>
    <w:rsid w:val="00D264B7"/>
    <w:rsid w:val="00D37D7D"/>
    <w:rsid w:val="00D74CB0"/>
    <w:rsid w:val="00D8295D"/>
    <w:rsid w:val="00DC2A65"/>
    <w:rsid w:val="00DD7150"/>
    <w:rsid w:val="00DE15F0"/>
    <w:rsid w:val="00DE5663"/>
    <w:rsid w:val="00DE78AA"/>
    <w:rsid w:val="00E053D0"/>
    <w:rsid w:val="00E15994"/>
    <w:rsid w:val="00E202F2"/>
    <w:rsid w:val="00E3114E"/>
    <w:rsid w:val="00E31A70"/>
    <w:rsid w:val="00E35B02"/>
    <w:rsid w:val="00E54E72"/>
    <w:rsid w:val="00E66320"/>
    <w:rsid w:val="00E66496"/>
    <w:rsid w:val="00E66B35"/>
    <w:rsid w:val="00E66E10"/>
    <w:rsid w:val="00E76534"/>
    <w:rsid w:val="00E769F6"/>
    <w:rsid w:val="00E8407C"/>
    <w:rsid w:val="00E84F3C"/>
    <w:rsid w:val="00EA012C"/>
    <w:rsid w:val="00EA5167"/>
    <w:rsid w:val="00EB543B"/>
    <w:rsid w:val="00EC6A55"/>
    <w:rsid w:val="00ED0288"/>
    <w:rsid w:val="00ED4F92"/>
    <w:rsid w:val="00EE3795"/>
    <w:rsid w:val="00EE52CB"/>
    <w:rsid w:val="00EF581D"/>
    <w:rsid w:val="00EF7FD8"/>
    <w:rsid w:val="00F06F59"/>
    <w:rsid w:val="00F11AB9"/>
    <w:rsid w:val="00F17988"/>
    <w:rsid w:val="00F469F0"/>
    <w:rsid w:val="00F53273"/>
    <w:rsid w:val="00F73431"/>
    <w:rsid w:val="00F755E4"/>
    <w:rsid w:val="00F77D02"/>
    <w:rsid w:val="00F92FE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9D9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22E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5C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F92FE1"/>
  </w:style>
  <w:style w:type="character" w:customStyle="1" w:styleId="FootnoteTextChar">
    <w:name w:val="Footnote Text Char"/>
    <w:basedOn w:val="DefaultParagraphFont"/>
    <w:link w:val="FootnoteText"/>
    <w:semiHidden/>
    <w:rsid w:val="00F92FE1"/>
    <w:rPr>
      <w:rFonts w:ascii="Helvetica" w:hAnsi="Helvetica"/>
    </w:rPr>
  </w:style>
  <w:style w:type="character" w:styleId="FootnoteReference">
    <w:name w:val="footnote reference"/>
    <w:basedOn w:val="DefaultParagraphFont"/>
    <w:uiPriority w:val="99"/>
    <w:semiHidden/>
    <w:unhideWhenUsed/>
    <w:rsid w:val="00F92FE1"/>
    <w:rPr>
      <w:vertAlign w:val="superscript"/>
    </w:rPr>
  </w:style>
  <w:style w:type="character" w:styleId="PlaceholderText">
    <w:name w:val="Placeholder Text"/>
    <w:basedOn w:val="DefaultParagraphFont"/>
    <w:uiPriority w:val="99"/>
    <w:semiHidden/>
    <w:rsid w:val="00745A84"/>
    <w:rPr>
      <w:color w:val="666666"/>
    </w:rPr>
  </w:style>
  <w:style w:type="paragraph" w:styleId="NormalWeb">
    <w:name w:val="Normal (Web)"/>
    <w:basedOn w:val="Normal"/>
    <w:uiPriority w:val="99"/>
    <w:unhideWhenUsed/>
    <w:rsid w:val="00BF6D4D"/>
    <w:pPr>
      <w:spacing w:before="100" w:beforeAutospacing="1" w:after="100" w:afterAutospacing="1"/>
    </w:pPr>
    <w:rPr>
      <w:rFonts w:ascii="Times New Roman" w:hAnsi="Times New Roman"/>
      <w:sz w:val="24"/>
      <w:szCs w:val="24"/>
      <w:lang w:eastAsia="ja-JP"/>
    </w:rPr>
  </w:style>
  <w:style w:type="character" w:customStyle="1" w:styleId="apple-converted-space">
    <w:name w:val="apple-converted-space"/>
    <w:basedOn w:val="DefaultParagraphFont"/>
    <w:rsid w:val="00BF6D4D"/>
  </w:style>
  <w:style w:type="character" w:styleId="Strong">
    <w:name w:val="Strong"/>
    <w:basedOn w:val="DefaultParagraphFont"/>
    <w:uiPriority w:val="22"/>
    <w:qFormat/>
    <w:rsid w:val="00BF6D4D"/>
    <w:rPr>
      <w:b/>
      <w:bCs/>
    </w:rPr>
  </w:style>
  <w:style w:type="character" w:customStyle="1" w:styleId="Heading2Char">
    <w:name w:val="Heading 2 Char"/>
    <w:basedOn w:val="DefaultParagraphFont"/>
    <w:link w:val="Heading2"/>
    <w:semiHidden/>
    <w:rsid w:val="00422E2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B5C1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9B3007"/>
    <w:rPr>
      <w:rFonts w:asciiTheme="minorHAnsi" w:eastAsiaTheme="minorHAnsi" w:hAnsiTheme="minorHAnsi" w:cstheme="minorBidi"/>
      <w:sz w:val="22"/>
      <w:szCs w:val="22"/>
      <w:lang w:val="en-GB"/>
    </w:rPr>
  </w:style>
  <w:style w:type="paragraph" w:customStyle="1" w:styleId="isselectedend">
    <w:name w:val="isselectedend"/>
    <w:basedOn w:val="Normal"/>
    <w:rsid w:val="00AB0478"/>
    <w:pPr>
      <w:spacing w:before="100" w:beforeAutospacing="1" w:after="100" w:afterAutospacing="1"/>
    </w:pPr>
    <w:rPr>
      <w:rFonts w:ascii="Times New Roman" w:hAnsi="Times New Roman"/>
      <w:sz w:val="24"/>
      <w:szCs w:val="24"/>
      <w:lang w:eastAsia="ja-JP"/>
    </w:rPr>
  </w:style>
  <w:style w:type="character" w:customStyle="1" w:styleId="ts-alignment-element-highlighted">
    <w:name w:val="ts-alignment-element-highlighted"/>
    <w:basedOn w:val="DefaultParagraphFont"/>
    <w:rsid w:val="00E54E72"/>
  </w:style>
  <w:style w:type="character" w:customStyle="1" w:styleId="ts-alignment-element">
    <w:name w:val="ts-alignment-element"/>
    <w:basedOn w:val="DefaultParagraphFont"/>
    <w:rsid w:val="00E54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ber.org/papers/w23375" TargetMode="External"/><Relationship Id="rId21" Type="http://schemas.openxmlformats.org/officeDocument/2006/relationships/hyperlink" Target="https://www.jstor.org/stable/1828596" TargetMode="External"/><Relationship Id="rId42" Type="http://schemas.openxmlformats.org/officeDocument/2006/relationships/hyperlink" Target="https://doi.org/10.2307/146375" TargetMode="External"/><Relationship Id="rId47" Type="http://schemas.openxmlformats.org/officeDocument/2006/relationships/hyperlink" Target="https://doi.org/10.1111/j.1728-4457.2002.00641.x" TargetMode="External"/><Relationship Id="rId63" Type="http://schemas.openxmlformats.org/officeDocument/2006/relationships/hyperlink" Target="https://www.jstor.org/stable/2657300" TargetMode="Externa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07/1885667" TargetMode="External"/><Relationship Id="rId29" Type="http://schemas.openxmlformats.org/officeDocument/2006/relationships/hyperlink" Target="https://doi.org/10.2307/2137804" TargetMode="External"/><Relationship Id="rId11" Type="http://schemas.openxmlformats.org/officeDocument/2006/relationships/footer" Target="footer2.xml"/><Relationship Id="rId24" Type="http://schemas.openxmlformats.org/officeDocument/2006/relationships/hyperlink" Target="https://doi.org/10.1007/s00038-016-0926-5" TargetMode="External"/><Relationship Id="rId32" Type="http://schemas.openxmlformats.org/officeDocument/2006/relationships/hyperlink" Target="https://doi.org/10.1257/aer.98.2.403" TargetMode="External"/><Relationship Id="rId37" Type="http://schemas.openxmlformats.org/officeDocument/2006/relationships/hyperlink" Target="https://doi.org/10.1353/sof.0.0000" TargetMode="External"/><Relationship Id="rId40" Type="http://schemas.openxmlformats.org/officeDocument/2006/relationships/hyperlink" Target="https://doi.org/10.1057/s41308-021-00140-w" TargetMode="External"/><Relationship Id="rId45" Type="http://schemas.openxmlformats.org/officeDocument/2006/relationships/hyperlink" Target="https://www.henrikkleven.com/view/research/published/Child_Penalty_Atlas_June2024.pdf" TargetMode="External"/><Relationship Id="rId53" Type="http://schemas.openxmlformats.org/officeDocument/2006/relationships/hyperlink" Target="https://www.jstor.org/stable/1829993" TargetMode="External"/><Relationship Id="rId58" Type="http://schemas.openxmlformats.org/officeDocument/2006/relationships/hyperlink" Target="https://doi.org/10.1177/2378023121103132" TargetMode="External"/><Relationship Id="rId66" Type="http://schemas.openxmlformats.org/officeDocument/2006/relationships/hyperlink" Target="https://doi.org/10.1146/annurev-soc-060116-053442" TargetMode="External"/><Relationship Id="rId5" Type="http://schemas.openxmlformats.org/officeDocument/2006/relationships/webSettings" Target="webSettings.xml"/><Relationship Id="rId61" Type="http://schemas.openxmlformats.org/officeDocument/2006/relationships/hyperlink" Target="https://hdr.undp.org/content/human-development-report-2023-24" TargetMode="External"/><Relationship Id="rId19" Type="http://schemas.openxmlformats.org/officeDocument/2006/relationships/hyperlink" Target="https://doi.org/10.1007/s11150-004-0978-9" TargetMode="External"/><Relationship Id="rId14" Type="http://schemas.openxmlformats.org/officeDocument/2006/relationships/image" Target="media/image1.emf"/><Relationship Id="rId22" Type="http://schemas.openxmlformats.org/officeDocument/2006/relationships/hyperlink" Target="https://doi.org/10.1098/rspb.2019.2478" TargetMode="External"/><Relationship Id="rId27" Type="http://schemas.openxmlformats.org/officeDocument/2006/relationships/hyperlink" Target="https://docs.iza.org/dp5002.pdf" TargetMode="External"/><Relationship Id="rId30" Type="http://schemas.openxmlformats.org/officeDocument/2006/relationships/hyperlink" Target="https://wol.iza.org/articles/fertility-postponement-and-labor-market-outcomes/long" TargetMode="External"/><Relationship Id="rId35" Type="http://schemas.openxmlformats.org/officeDocument/2006/relationships/hyperlink" Target="https://doi.org/10.1007/s001480000051" TargetMode="External"/><Relationship Id="rId43" Type="http://schemas.openxmlformats.org/officeDocument/2006/relationships/hyperlink" Target="https://doi.org/10.1257/app.20180010" TargetMode="External"/><Relationship Id="rId48" Type="http://schemas.openxmlformats.org/officeDocument/2006/relationships/hyperlink" Target="https://doi.org/10.4054/DemRes.2012.27.28" TargetMode="External"/><Relationship Id="rId56" Type="http://schemas.openxmlformats.org/officeDocument/2006/relationships/hyperlink" Target="https://doi.org/10.1080/00324728.2012.697569" TargetMode="External"/><Relationship Id="rId64" Type="http://schemas.openxmlformats.org/officeDocument/2006/relationships/hyperlink" Target="https://openknowledge.worldbank.org/entities/publication/51c285f6-0200-590c-97d3-95b937be3271" TargetMode="External"/><Relationship Id="rId69"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1016/j.alcr.2022.100466"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257/0895330053147958" TargetMode="External"/><Relationship Id="rId25" Type="http://schemas.openxmlformats.org/officeDocument/2006/relationships/hyperlink" Target="https://doi.org/10.1007/s10680-022-09626-3" TargetMode="External"/><Relationship Id="rId33" Type="http://schemas.openxmlformats.org/officeDocument/2006/relationships/hyperlink" Target="https://doi.org/10.1016/j.ssresearch.2020.102416" TargetMode="External"/><Relationship Id="rId38" Type="http://schemas.openxmlformats.org/officeDocument/2006/relationships/hyperlink" Target="https://doi.org/10.1016/S1574-0692(06)01007-5" TargetMode="External"/><Relationship Id="rId46" Type="http://schemas.openxmlformats.org/officeDocument/2006/relationships/hyperlink" Target="https://doi.org/10.2307/3038290" TargetMode="External"/><Relationship Id="rId59" Type="http://schemas.openxmlformats.org/officeDocument/2006/relationships/hyperlink" Target="https://doi.org/10.1007/s11150-020-09535-6" TargetMode="External"/><Relationship Id="rId67" Type="http://schemas.openxmlformats.org/officeDocument/2006/relationships/header" Target="header4.xml"/><Relationship Id="rId20" Type="http://schemas.openxmlformats.org/officeDocument/2006/relationships/hyperlink" Target="https://doi.org/10.1007/s10680-015-9356-y" TargetMode="External"/><Relationship Id="rId41" Type="http://schemas.openxmlformats.org/officeDocument/2006/relationships/hyperlink" Target="https://doi.org/10.1257/jep.26.2.141" TargetMode="External"/><Relationship Id="rId54" Type="http://schemas.openxmlformats.org/officeDocument/2006/relationships/hyperlink" Target="https://doi.org/10.1016/j.jdeveco.2005.01.002" TargetMode="External"/><Relationship Id="rId62" Type="http://schemas.openxmlformats.org/officeDocument/2006/relationships/hyperlink" Target="https://doi.org/10.3389/fpos.2023.1089671"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6/690952" TargetMode="External"/><Relationship Id="rId23" Type="http://schemas.openxmlformats.org/officeDocument/2006/relationships/hyperlink" Target="https://doi.org/10.4054/DemRes.2014.30.22" TargetMode="External"/><Relationship Id="rId28" Type="http://schemas.openxmlformats.org/officeDocument/2006/relationships/hyperlink" Target="https://doi.org/10.1177/0003122414554947" TargetMode="External"/><Relationship Id="rId36" Type="http://schemas.openxmlformats.org/officeDocument/2006/relationships/hyperlink" Target="https://doi.org/10.1363/48e9116" TargetMode="External"/><Relationship Id="rId49" Type="http://schemas.openxmlformats.org/officeDocument/2006/relationships/hyperlink" Target="https://doi.org/10.1177/2378023120939424" TargetMode="External"/><Relationship Id="rId57" Type="http://schemas.openxmlformats.org/officeDocument/2006/relationships/hyperlink" Target="https://doi.org/10.1257/jep.31.1.205" TargetMode="External"/><Relationship Id="rId10" Type="http://schemas.openxmlformats.org/officeDocument/2006/relationships/footer" Target="footer1.xml"/><Relationship Id="rId31" Type="http://schemas.openxmlformats.org/officeDocument/2006/relationships/hyperlink" Target="https://www.jstor.org/stable/2657415" TargetMode="External"/><Relationship Id="rId44" Type="http://schemas.openxmlformats.org/officeDocument/2006/relationships/hyperlink" Target="https://doi.org/10.1257/pol.20210346" TargetMode="External"/><Relationship Id="rId52" Type="http://schemas.openxmlformats.org/officeDocument/2006/relationships/hyperlink" Target="https://doi.org/10.1007/s00148-009-0296-x" TargetMode="External"/><Relationship Id="rId60" Type="http://schemas.openxmlformats.org/officeDocument/2006/relationships/hyperlink" Target="https://doi.org/10.1177/00031224241291602" TargetMode="External"/><Relationship Id="rId65" Type="http://schemas.openxmlformats.org/officeDocument/2006/relationships/hyperlink" Target="https://www.fairobserver.com/economics/the-price-of-presence-and-the-new-gender-pay-gap/"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93/qje/qjt005" TargetMode="External"/><Relationship Id="rId39" Type="http://schemas.openxmlformats.org/officeDocument/2006/relationships/hyperlink" Target="https://doi.org/10.2307/2938322" TargetMode="External"/><Relationship Id="rId34" Type="http://schemas.openxmlformats.org/officeDocument/2006/relationships/hyperlink" Target="https://doi.org/10.1257/aer.103.1.472" TargetMode="External"/><Relationship Id="rId50" Type="http://schemas.openxmlformats.org/officeDocument/2006/relationships/hyperlink" Target="https://doi.org/10.1162/qjec.2009.124.3.1363" TargetMode="External"/><Relationship Id="rId55" Type="http://schemas.openxmlformats.org/officeDocument/2006/relationships/hyperlink" Target="https://doi.org/10.4054/mpidr-wp-2024-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122</TotalTime>
  <Pages>21</Pages>
  <Words>8987</Words>
  <Characters>60483</Characters>
  <Application>Microsoft Office Word</Application>
  <DocSecurity>0</DocSecurity>
  <Lines>1163</Lines>
  <Paragraphs>375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69095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Masaaki Yoshimori</cp:lastModifiedBy>
  <cp:revision>34</cp:revision>
  <cp:lastPrinted>1999-07-06T11:00:00Z</cp:lastPrinted>
  <dcterms:created xsi:type="dcterms:W3CDTF">2026-05-18T12:24:00Z</dcterms:created>
  <dcterms:modified xsi:type="dcterms:W3CDTF">2026-05-29T10:28:00Z</dcterms:modified>
</cp:coreProperties>
</file>