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51B92" w14:textId="77777777" w:rsidR="00A74689" w:rsidRPr="00A7364B" w:rsidRDefault="00A74689" w:rsidP="00943B58">
      <w:pPr>
        <w:jc w:val="right"/>
        <w:rPr>
          <w:rFonts w:ascii="Arial" w:hAnsi="Arial" w:cs="Arial"/>
          <w:b/>
          <w:bCs/>
          <w:sz w:val="36"/>
          <w:szCs w:val="36"/>
          <w:lang w:val="en-US"/>
        </w:rPr>
      </w:pPr>
      <w:r w:rsidRPr="00A7364B">
        <w:rPr>
          <w:rFonts w:ascii="Arial" w:hAnsi="Arial" w:cs="Arial"/>
          <w:b/>
          <w:bCs/>
          <w:sz w:val="36"/>
          <w:szCs w:val="36"/>
          <w:lang w:val="en-US"/>
        </w:rPr>
        <w:t>Anthropogenic Controls on Sediment Geochemistry and Environmental Quality in the Treichville Sector of the Ebrié Lagoon, Côte d’Ivoire</w:t>
      </w:r>
    </w:p>
    <w:p w14:paraId="69CFA48D" w14:textId="77777777" w:rsidR="008A07A1" w:rsidRPr="00A7364B" w:rsidRDefault="008A07A1" w:rsidP="0070236F">
      <w:pPr>
        <w:jc w:val="right"/>
        <w:rPr>
          <w:rFonts w:ascii="Arial" w:hAnsi="Arial" w:cs="Arial"/>
          <w:sz w:val="20"/>
          <w:szCs w:val="20"/>
          <w:lang w:val="en-US"/>
        </w:rPr>
      </w:pPr>
    </w:p>
    <w:p w14:paraId="5DE8A05E" w14:textId="77777777" w:rsidR="008A07A1" w:rsidRPr="00A7364B" w:rsidRDefault="0070017D" w:rsidP="00ED3175">
      <w:pPr>
        <w:jc w:val="both"/>
        <w:rPr>
          <w:rFonts w:ascii="Arial" w:hAnsi="Arial" w:cs="Arial"/>
          <w:sz w:val="20"/>
          <w:szCs w:val="20"/>
          <w:lang w:val="en-US"/>
        </w:rPr>
      </w:pPr>
      <w:r w:rsidRPr="00A7364B">
        <w:rPr>
          <w:rFonts w:ascii="Arial" w:hAnsi="Arial" w:cs="Arial"/>
          <w:noProof/>
          <w:sz w:val="20"/>
          <w:szCs w:val="20"/>
        </w:rPr>
        <mc:AlternateContent>
          <mc:Choice Requires="wps">
            <w:drawing>
              <wp:inline distT="0" distB="0" distL="0" distR="0" wp14:anchorId="29C085A0" wp14:editId="7FFB1E12">
                <wp:extent cx="5863590" cy="45720"/>
                <wp:effectExtent l="0" t="0" r="22860" b="30480"/>
                <wp:docPr id="15025856"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3590" cy="4572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C9F8D30" id="_x0000_t32" coordsize="21600,21600" o:spt="32" o:oned="t" path="m,l21600,21600e" filled="f">
                <v:path arrowok="t" fillok="f" o:connecttype="none"/>
                <o:lock v:ext="edit" shapetype="t"/>
              </v:shapetype>
              <v:shape id="Connecteur droit avec flèche 3" o:spid="_x0000_s1026" type="#_x0000_t32" style="width:461.7pt;height:3.6pt;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" strokeweight="1.5pt">
                <w10:anchorlock/>
              </v:shape>
            </w:pict>
          </mc:Fallback>
        </mc:AlternateContent>
      </w:r>
    </w:p>
    <w:p w14:paraId="405D2C9C" w14:textId="77777777" w:rsidR="008A07A1" w:rsidRPr="00A7364B" w:rsidRDefault="008A07A1" w:rsidP="00ED3175">
      <w:pPr>
        <w:jc w:val="both"/>
        <w:rPr>
          <w:rFonts w:ascii="Arial" w:hAnsi="Arial" w:cs="Arial"/>
          <w:b/>
          <w:bCs/>
          <w:lang w:val="en-US"/>
        </w:rPr>
      </w:pPr>
      <w:r w:rsidRPr="00A7364B">
        <w:rPr>
          <w:rFonts w:ascii="Arial" w:hAnsi="Arial" w:cs="Arial"/>
          <w:b/>
          <w:bCs/>
          <w:lang w:val="en-US"/>
        </w:rPr>
        <w:t>Abstract</w:t>
      </w:r>
    </w:p>
    <w:p w14:paraId="36600126" w14:textId="49894EE9" w:rsidR="00B36E7B" w:rsidRPr="00A7364B" w:rsidRDefault="008548F0" w:rsidP="00ED3175">
      <w:pPr>
        <w:jc w:val="both"/>
        <w:rPr>
          <w:rFonts w:ascii="Arial" w:hAnsi="Arial"/>
          <w:sz w:val="20"/>
        </w:rPr>
      </w:pPr>
      <w:r>
        <w:t>The Treichville sector of the Ebrié Lagoon is exposed to domestic, industrial, and other anthropogenic inputs associated with surrounding residential and industrial activities. This study assessed the occurrence of trace metals in surface sediments and examined their implications for sediment environmental quality. Sediment samples collected from selected sites in the Treichville sector were subjected to granulometric and chemical analyses. Trace metals were quantified, and the results were interpreted using continental crust reference values, enrichment factors, geoaccumulation indices, and TEC-PEC sediment quality guidelines. Twelve metals were identified, with reported concentrations ranging from 7.20 to 12,094.28 mg/kg. Aluminium, copper, iron, potassium, magnesium, sodium, phosphorus, and zinc showed comparatively high concentrations, while arsenic, cadmium, mercury, and lead remained low. The enrichment and geoaccumulation results suggest that several elements reflect anthropogenic influence, particularly inputs linked to untreated discharges from domestic, agricultural, and industrial activities near the lagoon. Copper, zinc, and lead showed notable enrichment patterns, whereas arsenic, cadmium, and mercury did not indicate comparable contamination. Comparison with TEC and PEC values showed that most concentrations were below the TEC, although a proportion of copper and zinc concentrations exceeded the PEC. Overall, the findings indicate degraded sediment environmental quality in the Treichville sector and suggest potential concern for benthic organisms and human exposure pathways.</w:t>
      </w:r>
    </w:p>
    <w:p w14:paraId="7F88E5C0" w14:textId="25C94B71" w:rsidR="008A07A1" w:rsidRPr="00A7364B" w:rsidRDefault="008A07A1" w:rsidP="00ED3175">
      <w:pPr>
        <w:jc w:val="both"/>
        <w:rPr>
          <w:rFonts w:ascii="Arial" w:hAnsi="Arial" w:cs="Arial"/>
          <w:sz w:val="20"/>
          <w:szCs w:val="20"/>
          <w:lang w:val="en-US"/>
        </w:rPr>
      </w:pPr>
      <w:r w:rsidRPr="00A7364B">
        <w:rPr>
          <w:rFonts w:ascii="Arial" w:hAnsi="Arial"/>
          <w:b/>
          <w:sz w:val="20"/>
        </w:rPr>
        <w:t xml:space="preserve">Keywords: </w:t>
      </w:r>
      <w:r w:rsidR="00866E58" w:rsidRPr="00A7364B">
        <w:rPr>
          <w:rFonts w:ascii="Arial" w:hAnsi="Arial"/>
          <w:b/>
          <w:sz w:val="20"/>
        </w:rPr>
        <w:t>Ebrié Lagoon; Treichville; surface sediments; trace metals; sediment geochemistry; anthropogenic inputs; enrichment factor; geoaccumulation index; TEC; PEC; environmental quality.</w:t>
      </w:r>
    </w:p>
    <w:p w14:paraId="41E2E100" w14:textId="3914B533" w:rsidR="00B10CA2" w:rsidRPr="00A7364B" w:rsidRDefault="00B10CA2" w:rsidP="00ED3175">
      <w:pPr>
        <w:jc w:val="both"/>
        <w:rPr>
          <w:rFonts w:ascii="Arial" w:hAnsi="Arial" w:cs="Arial"/>
          <w:b/>
          <w:bCs/>
          <w:lang w:val="en-US"/>
        </w:rPr>
      </w:pPr>
      <w:r w:rsidRPr="00A7364B">
        <w:rPr>
          <w:rFonts w:ascii="Arial" w:hAnsi="Arial" w:cs="Arial"/>
          <w:b/>
          <w:bCs/>
          <w:lang w:val="en-US"/>
        </w:rPr>
        <w:t>1. INTRODUCTION</w:t>
      </w:r>
    </w:p>
    <w:p w14:paraId="44716188" w14:textId="77777777" w:rsidR="006B056F" w:rsidRPr="006B056F" w:rsidRDefault="006B056F" w:rsidP="006B056F">
      <w:pPr>
        <w:jc w:val="both"/>
        <w:rPr>
          <w:rFonts w:ascii="Arial" w:hAnsi="Arial"/>
          <w:sz w:val="20"/>
        </w:rPr>
      </w:pPr>
      <w:r w:rsidRPr="006B056F">
        <w:rPr>
          <w:rFonts w:ascii="Arial" w:hAnsi="Arial"/>
          <w:sz w:val="20"/>
        </w:rPr>
        <w:t>Abidjan, the economic capital of Côte d'Ivoire, is located along the Atlantic coast and has experienced rapid demographic and urban expansion over recent decades. This growth has been accompanied by increasing domestic, industrial, and commercial activities, which place strong pressure on the surrounding aquatic environments. Unfortunately, the development of sanitation and wastewater-management infrastructure has not kept pace with this urban expansion. Wastewater treatment plants remain virtually non-existent, and large volumes of untreated liquid and solid wastes are discharged directly or indirectly into the lagoon system.</w:t>
      </w:r>
    </w:p>
    <w:p w14:paraId="374D4662" w14:textId="77777777" w:rsidR="006B056F" w:rsidRPr="006B056F" w:rsidRDefault="006B056F" w:rsidP="006B056F">
      <w:pPr>
        <w:jc w:val="both"/>
        <w:rPr>
          <w:rFonts w:ascii="Arial" w:hAnsi="Arial"/>
          <w:sz w:val="20"/>
        </w:rPr>
      </w:pPr>
      <w:r w:rsidRPr="006B056F">
        <w:rPr>
          <w:rFonts w:ascii="Arial" w:hAnsi="Arial"/>
          <w:sz w:val="20"/>
        </w:rPr>
        <w:t xml:space="preserve">As a result, most types of waste, including domestic wastewater, industrial effluents, runoff, and solid residues, enter the lagoon without prior treatment. These discharges can modify the physicochemical characteristics of the aquatic environment and contribute to the degradation of lagoon water and sediments. The consequences are detrimental to the hydrology, ecological balance, and overall environmental quality of the lagoon. In certain parts of the lagoon, the odours are particularly strong and sometimes suffocating, reflecting the advanced state of organic pollution. Nevertheless, artisanal fishermen continue their activities in these areas, and their catches are sold in local markets, raising concerns about potential risks to aquatic </w:t>
      </w:r>
      <w:r w:rsidRPr="006B056F">
        <w:rPr>
          <w:rFonts w:ascii="Arial" w:hAnsi="Arial"/>
          <w:sz w:val="20"/>
        </w:rPr>
        <w:lastRenderedPageBreak/>
        <w:t>resources and human health. These effects are particularly noticeable in relation to natural resources and public health (Dufour, 1981; Irié, 2017).</w:t>
      </w:r>
    </w:p>
    <w:p w14:paraId="3E21AC76" w14:textId="77777777" w:rsidR="006B056F" w:rsidRPr="006B056F" w:rsidRDefault="006B056F" w:rsidP="006B056F">
      <w:pPr>
        <w:jc w:val="both"/>
        <w:rPr>
          <w:rFonts w:ascii="Arial" w:hAnsi="Arial"/>
          <w:sz w:val="20"/>
        </w:rPr>
      </w:pPr>
      <w:r w:rsidRPr="006B056F">
        <w:rPr>
          <w:rFonts w:ascii="Arial" w:hAnsi="Arial"/>
          <w:sz w:val="20"/>
        </w:rPr>
        <w:t>Recent aquatic studies further indicate that trace-metal inputs associated with domestic, industrial, and other anthropogenic pressures can be reflected in water, sediment, and biotic compartments. Because sediments often act as both sinks and potential secondary sources of contaminants, their study provides important information on the history, distribution, and possible ecological effects of pollution in aquatic systems. The accumulation of trace metals in sediments may therefore have implications for aquatic biodiversity, ecosystem functioning, and environmental quality (Gouda et al., 2025; Wariboko et al., 2026; Thabet et al., 2024; Mutethya et al., 2025).</w:t>
      </w:r>
    </w:p>
    <w:p w14:paraId="77A750BB" w14:textId="77777777" w:rsidR="006B056F" w:rsidRPr="006B056F" w:rsidRDefault="006B056F" w:rsidP="006B056F">
      <w:pPr>
        <w:jc w:val="both"/>
        <w:rPr>
          <w:rFonts w:ascii="Arial" w:hAnsi="Arial"/>
          <w:sz w:val="20"/>
        </w:rPr>
      </w:pPr>
      <w:r w:rsidRPr="006B056F">
        <w:rPr>
          <w:rFonts w:ascii="Arial" w:hAnsi="Arial"/>
          <w:sz w:val="20"/>
        </w:rPr>
        <w:t>The Ebrié Lagoon is connected to the Atlantic Ocean through the Vridi Channel. This passage facilitates exchanges between marine and lagoon waters and plays an important role in the circulation, renewal, and ecological dynamics of the lagoon system. It also allows ships to access the Port of Abidjan, making the lagoon an area of major economic and environmental importance. Effective preservation of this environment would therefore be beneficial not only for the organisms inhabiting it, but also for the communities and economic activities that depend on its resources.</w:t>
      </w:r>
    </w:p>
    <w:p w14:paraId="3725DBA7" w14:textId="77777777" w:rsidR="006B056F" w:rsidRPr="006B056F" w:rsidRDefault="006B056F" w:rsidP="006B056F">
      <w:pPr>
        <w:jc w:val="both"/>
        <w:rPr>
          <w:rFonts w:ascii="Arial" w:hAnsi="Arial"/>
          <w:sz w:val="20"/>
        </w:rPr>
      </w:pPr>
      <w:r w:rsidRPr="006B056F">
        <w:rPr>
          <w:rFonts w:ascii="Arial" w:hAnsi="Arial"/>
          <w:sz w:val="20"/>
        </w:rPr>
        <w:t>However, in the Treichville sector, the available manuscript evidence indicates a need for a focused assessment of how surrounding untreated discharges are reflected in surface-sediment trace-metal occurrence and sediment environmental quality. This sector is particularly relevant because it is influenced by intense urban activities, wastewater inputs, and proximity to important transport and commercial zones.</w:t>
      </w:r>
    </w:p>
    <w:p w14:paraId="60BA7F86" w14:textId="3C45777E" w:rsidR="00B10CA2" w:rsidRPr="00A7364B" w:rsidRDefault="006B056F" w:rsidP="006B056F">
      <w:pPr>
        <w:jc w:val="both"/>
        <w:rPr>
          <w:rFonts w:ascii="Arial" w:hAnsi="Arial" w:cs="Arial"/>
          <w:sz w:val="20"/>
          <w:szCs w:val="20"/>
          <w:lang w:val="en-US"/>
        </w:rPr>
      </w:pPr>
      <w:r w:rsidRPr="006B056F">
        <w:rPr>
          <w:rFonts w:ascii="Arial" w:hAnsi="Arial"/>
          <w:sz w:val="20"/>
        </w:rPr>
        <w:t>With this in mind, this study was initiated to determine the presence of trace metals (TMs) in the sediments of the Treichville sector of the Ebrié Lagoon. The study aims to provide useful information on sediment contamination levels and to contribute to a better understanding of the environmental pressures affecting this part of the lagoon.</w:t>
      </w:r>
    </w:p>
    <w:p w14:paraId="6DBB19C2" w14:textId="77777777" w:rsidR="008A07A1" w:rsidRPr="00A7364B" w:rsidRDefault="00B10CA2" w:rsidP="00ED3175">
      <w:pPr>
        <w:jc w:val="both"/>
        <w:rPr>
          <w:rFonts w:ascii="Arial" w:hAnsi="Arial" w:cs="Arial"/>
          <w:sz w:val="20"/>
          <w:szCs w:val="20"/>
          <w:lang w:val="en-US"/>
        </w:rPr>
      </w:pPr>
      <w:r w:rsidRPr="00A7364B">
        <w:rPr>
          <w:rFonts w:ascii="Arial" w:hAnsi="Arial" w:cs="Arial"/>
          <w:noProof/>
          <w:sz w:val="20"/>
          <w:szCs w:val="20"/>
          <w:lang w:eastAsia="fr-FR"/>
        </w:rPr>
        <w:lastRenderedPageBreak/>
        <w:drawing>
          <wp:inline distT="0" distB="0" distL="0" distR="0" wp14:anchorId="5E03CBB2" wp14:editId="3C8220AD">
            <wp:extent cx="5760720" cy="4764708"/>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4764708"/>
                    </a:xfrm>
                    <a:prstGeom prst="rect">
                      <a:avLst/>
                    </a:prstGeom>
                    <a:noFill/>
                    <a:ln>
                      <a:noFill/>
                    </a:ln>
                  </pic:spPr>
                </pic:pic>
              </a:graphicData>
            </a:graphic>
          </wp:inline>
        </w:drawing>
      </w:r>
    </w:p>
    <w:p w14:paraId="3DD81EC3" w14:textId="77777777" w:rsidR="00B10CA2" w:rsidRPr="00A7364B" w:rsidRDefault="00B10CA2" w:rsidP="00ED3175">
      <w:pPr>
        <w:jc w:val="both"/>
        <w:rPr>
          <w:rFonts w:ascii="Arial" w:hAnsi="Arial" w:cs="Arial"/>
          <w:sz w:val="20"/>
          <w:szCs w:val="20"/>
          <w:lang w:val="en-US"/>
        </w:rPr>
      </w:pPr>
      <w:r w:rsidRPr="00A7364B">
        <w:rPr>
          <w:rFonts w:ascii="Arial" w:hAnsi="Arial" w:cs="Arial"/>
          <w:sz w:val="20"/>
          <w:szCs w:val="20"/>
          <w:lang w:val="en-US"/>
        </w:rPr>
        <w:t>Fig. 1 – Study area in the Treichville sector of the Ebri</w:t>
      </w:r>
      <w:r w:rsidR="00BF0FAB" w:rsidRPr="00A7364B">
        <w:rPr>
          <w:rFonts w:ascii="Arial" w:hAnsi="Arial" w:cs="Arial"/>
          <w:sz w:val="20"/>
          <w:szCs w:val="20"/>
          <w:lang w:val="en-US"/>
        </w:rPr>
        <w:t>e</w:t>
      </w:r>
      <w:r w:rsidRPr="00A7364B">
        <w:rPr>
          <w:rFonts w:ascii="Arial" w:hAnsi="Arial" w:cs="Arial"/>
          <w:sz w:val="20"/>
          <w:szCs w:val="20"/>
          <w:lang w:val="en-US"/>
        </w:rPr>
        <w:t xml:space="preserve"> Lagoon.</w:t>
      </w:r>
    </w:p>
    <w:p w14:paraId="2720FF46" w14:textId="77777777" w:rsidR="00B10CA2" w:rsidRPr="00A7364B" w:rsidRDefault="00B10CA2" w:rsidP="00ED3175">
      <w:pPr>
        <w:jc w:val="both"/>
        <w:rPr>
          <w:rFonts w:ascii="Arial" w:hAnsi="Arial" w:cs="Arial"/>
          <w:b/>
          <w:bCs/>
          <w:lang w:val="en-US"/>
        </w:rPr>
      </w:pPr>
      <w:r w:rsidRPr="00A7364B">
        <w:rPr>
          <w:rFonts w:ascii="Arial" w:hAnsi="Arial" w:cs="Arial"/>
          <w:b/>
          <w:bCs/>
          <w:lang w:val="en-US"/>
        </w:rPr>
        <w:t xml:space="preserve">2. MATERIALS AND METHODS </w:t>
      </w:r>
    </w:p>
    <w:p w14:paraId="37EDF181" w14:textId="77777777" w:rsidR="00B10CA2" w:rsidRPr="00A7364B" w:rsidRDefault="00B10CA2" w:rsidP="00ED3175">
      <w:pPr>
        <w:jc w:val="both"/>
        <w:rPr>
          <w:rFonts w:ascii="Arial" w:hAnsi="Arial" w:cs="Arial"/>
          <w:b/>
          <w:bCs/>
          <w:lang w:val="en-US"/>
        </w:rPr>
      </w:pPr>
      <w:r w:rsidRPr="00A7364B">
        <w:rPr>
          <w:rFonts w:ascii="Arial" w:hAnsi="Arial" w:cs="Arial"/>
          <w:b/>
          <w:bCs/>
          <w:lang w:val="en-US"/>
        </w:rPr>
        <w:t xml:space="preserve">2.1. Sampling sites </w:t>
      </w:r>
    </w:p>
    <w:p w14:paraId="3E56A9DF" w14:textId="77777777" w:rsidR="00B10CA2" w:rsidRPr="00A7364B" w:rsidRDefault="00B10CA2" w:rsidP="00ED3175">
      <w:pPr>
        <w:jc w:val="both"/>
        <w:rPr>
          <w:rFonts w:ascii="Arial" w:hAnsi="Arial" w:cs="Arial"/>
          <w:sz w:val="20"/>
          <w:szCs w:val="20"/>
          <w:lang w:val="en-US"/>
        </w:rPr>
      </w:pPr>
      <w:r w:rsidRPr="00A7364B">
        <w:rPr>
          <w:rFonts w:ascii="Arial" w:hAnsi="Arial"/>
          <w:sz w:val="20"/>
        </w:rPr>
        <w:t>Samples were collected from the Ebrié Lagoon in the Treichville sector of Abidjan. The specific sampling sites were the Fascinage, Mol Port, Quay 15, Mouillage, Bananier Quay, SOTRA Quay, Félix Houphouët-Boigny Bridge, and Carena areas.</w:t>
      </w:r>
    </w:p>
    <w:p w14:paraId="1DBF98D8" w14:textId="77777777" w:rsidR="00B10CA2" w:rsidRPr="00A7364B" w:rsidRDefault="00B10CA2" w:rsidP="00ED3175">
      <w:pPr>
        <w:jc w:val="both"/>
        <w:rPr>
          <w:rFonts w:ascii="Arial" w:hAnsi="Arial" w:cs="Arial"/>
          <w:sz w:val="20"/>
          <w:szCs w:val="20"/>
          <w:lang w:val="en-US"/>
        </w:rPr>
      </w:pPr>
      <w:r w:rsidRPr="00A7364B">
        <w:rPr>
          <w:rFonts w:ascii="Arial" w:hAnsi="Arial" w:cs="Arial"/>
          <w:noProof/>
          <w:sz w:val="20"/>
          <w:szCs w:val="20"/>
          <w:lang w:eastAsia="fr-FR"/>
        </w:rPr>
        <w:lastRenderedPageBreak/>
        <w:drawing>
          <wp:inline distT="0" distB="0" distL="0" distR="0" wp14:anchorId="120463D4" wp14:editId="0700DDC8">
            <wp:extent cx="5760720" cy="542540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5425405"/>
                    </a:xfrm>
                    <a:prstGeom prst="rect">
                      <a:avLst/>
                    </a:prstGeom>
                    <a:noFill/>
                    <a:ln>
                      <a:noFill/>
                    </a:ln>
                  </pic:spPr>
                </pic:pic>
              </a:graphicData>
            </a:graphic>
          </wp:inline>
        </w:drawing>
      </w:r>
    </w:p>
    <w:p w14:paraId="5A575F39" w14:textId="77777777" w:rsidR="00B10CA2" w:rsidRPr="00A7364B" w:rsidRDefault="00B10CA2" w:rsidP="00ED3175">
      <w:pPr>
        <w:jc w:val="both"/>
        <w:rPr>
          <w:rFonts w:ascii="Arial" w:hAnsi="Arial" w:cs="Arial"/>
          <w:sz w:val="20"/>
          <w:szCs w:val="20"/>
          <w:lang w:val="en-US"/>
        </w:rPr>
      </w:pPr>
      <w:r w:rsidRPr="00A7364B">
        <w:rPr>
          <w:rFonts w:ascii="Arial" w:hAnsi="Arial" w:cs="Arial"/>
          <w:b/>
          <w:bCs/>
          <w:sz w:val="20"/>
          <w:szCs w:val="20"/>
          <w:lang w:val="en-US"/>
        </w:rPr>
        <w:t>Fig. 2</w:t>
      </w:r>
      <w:r w:rsidRPr="00A7364B">
        <w:rPr>
          <w:rFonts w:ascii="Arial" w:hAnsi="Arial" w:cs="Arial"/>
          <w:sz w:val="20"/>
          <w:szCs w:val="20"/>
          <w:lang w:val="en-US"/>
        </w:rPr>
        <w:t xml:space="preserve"> – Map of sampling points in the Treichville area of the Ebri</w:t>
      </w:r>
      <w:r w:rsidR="0051636A" w:rsidRPr="00A7364B">
        <w:rPr>
          <w:rFonts w:ascii="Arial" w:hAnsi="Arial" w:cs="Arial"/>
          <w:sz w:val="20"/>
          <w:szCs w:val="20"/>
          <w:lang w:val="en-US"/>
        </w:rPr>
        <w:t>e</w:t>
      </w:r>
      <w:r w:rsidRPr="00A7364B">
        <w:rPr>
          <w:rFonts w:ascii="Arial" w:hAnsi="Arial" w:cs="Arial"/>
          <w:sz w:val="20"/>
          <w:szCs w:val="20"/>
          <w:lang w:val="en-US"/>
        </w:rPr>
        <w:t xml:space="preserve"> Lagoon.</w:t>
      </w:r>
    </w:p>
    <w:p w14:paraId="64ECF5DB" w14:textId="77777777" w:rsidR="00B10CA2" w:rsidRPr="00A7364B" w:rsidRDefault="00B10CA2" w:rsidP="00ED3175">
      <w:pPr>
        <w:jc w:val="both"/>
        <w:rPr>
          <w:rFonts w:ascii="Arial" w:hAnsi="Arial" w:cs="Arial"/>
          <w:b/>
          <w:bCs/>
          <w:lang w:val="en-US"/>
        </w:rPr>
      </w:pPr>
      <w:r w:rsidRPr="00A7364B">
        <w:rPr>
          <w:rFonts w:ascii="Arial" w:hAnsi="Arial" w:cs="Arial"/>
          <w:b/>
          <w:bCs/>
          <w:lang w:val="en-US"/>
        </w:rPr>
        <w:t>2.2. Physical preparation of samples</w:t>
      </w:r>
    </w:p>
    <w:p w14:paraId="71A0BED4" w14:textId="77777777" w:rsidR="00B10CA2" w:rsidRPr="00A7364B" w:rsidRDefault="00B10CA2" w:rsidP="00ED3175">
      <w:pPr>
        <w:jc w:val="both"/>
        <w:rPr>
          <w:rFonts w:ascii="Arial" w:hAnsi="Arial" w:cs="Arial"/>
          <w:sz w:val="20"/>
          <w:szCs w:val="20"/>
          <w:lang w:val="en-US"/>
        </w:rPr>
      </w:pPr>
      <w:r w:rsidRPr="00A7364B">
        <w:rPr>
          <w:rFonts w:ascii="Arial" w:hAnsi="Arial"/>
          <w:sz w:val="20"/>
        </w:rPr>
        <w:t>A 0.5-gram sample, previously ground, was taken and placed in a Teflon container. To each sample, 10 millilitres of 37% hydrochloric acid, 5 millilitres of 70% nitric acid, and 2 millilitres of 40% hydrogen peroxide were added. The mixture was brought to boiling point in a microwave oven at 250°C for one hour. The samples were filtered using pleated filter paper and quantified. Geochemical parameters were determined using an inductively coupled plasma (ICP) spectrometer.</w:t>
      </w:r>
    </w:p>
    <w:p w14:paraId="3EC5B6EA" w14:textId="77777777" w:rsidR="004B5D00" w:rsidRPr="00A7364B" w:rsidRDefault="004B5D00" w:rsidP="00ED3175">
      <w:pPr>
        <w:jc w:val="both"/>
        <w:rPr>
          <w:rFonts w:ascii="Arial" w:hAnsi="Arial" w:cs="Arial"/>
          <w:b/>
          <w:bCs/>
          <w:lang w:val="en-US"/>
        </w:rPr>
      </w:pPr>
      <w:r w:rsidRPr="00A7364B">
        <w:rPr>
          <w:rFonts w:ascii="Arial" w:hAnsi="Arial" w:cs="Arial"/>
          <w:b/>
          <w:bCs/>
          <w:lang w:val="en-US"/>
        </w:rPr>
        <w:t xml:space="preserve">2.3. Determination of ETMs by flame atomic absorption spectrometry </w:t>
      </w:r>
    </w:p>
    <w:p w14:paraId="4206F810" w14:textId="77777777" w:rsidR="004B5D00" w:rsidRPr="00A7364B" w:rsidRDefault="004B5D00" w:rsidP="00ED3175">
      <w:pPr>
        <w:jc w:val="both"/>
        <w:rPr>
          <w:rFonts w:ascii="Arial" w:hAnsi="Arial" w:cs="Arial"/>
          <w:sz w:val="20"/>
          <w:szCs w:val="20"/>
          <w:lang w:val="en-US"/>
        </w:rPr>
      </w:pPr>
      <w:r w:rsidRPr="00A7364B">
        <w:rPr>
          <w:rFonts w:ascii="Arial" w:hAnsi="Arial"/>
          <w:sz w:val="20"/>
        </w:rPr>
        <w:t>Metal concentrations were determined by flame atomic absorption spectrometry, one of the primary techniques involving atomic spectroscopy in the UV-visible range used in chemical analysis. This elemental analysis method is primarily used to determine the concentration of metals in solution. It requires measurement from an analyte (the element to be determined) converted into free atoms. The sample is heated to a temperature of 2000 to 3000 degrees to break chemical bonds.</w:t>
      </w:r>
    </w:p>
    <w:p w14:paraId="20675B7A" w14:textId="77777777" w:rsidR="004B5D00" w:rsidRPr="00A7364B" w:rsidRDefault="004B5D00" w:rsidP="00ED3175">
      <w:pPr>
        <w:jc w:val="both"/>
        <w:rPr>
          <w:rFonts w:ascii="Arial" w:hAnsi="Arial" w:cs="Arial"/>
          <w:sz w:val="20"/>
          <w:szCs w:val="20"/>
          <w:lang w:val="en-US"/>
        </w:rPr>
      </w:pPr>
      <w:r w:rsidRPr="00A7364B">
        <w:rPr>
          <w:rFonts w:ascii="Arial" w:hAnsi="Arial"/>
          <w:sz w:val="20"/>
        </w:rPr>
        <w:lastRenderedPageBreak/>
        <w:t>Its principle is based primarily on coupling an ICP (inductively coupled plasma) torch, which generates positive monovalent ions, with a quadrupole mass spectrometer that separates these ions by mass according to the atomic mass-to-charge ratio. Separations are achieved through variations in the electromagnetic field applied between the different poles, and the concentration of the element in solution is determined according to Beer-Lambert's law.</w:t>
      </w:r>
    </w:p>
    <w:p w14:paraId="382D0CBF" w14:textId="77777777" w:rsidR="004B5D00" w:rsidRPr="00A7364B" w:rsidRDefault="004B5D00" w:rsidP="00ED3175">
      <w:pPr>
        <w:jc w:val="both"/>
        <w:rPr>
          <w:rFonts w:ascii="Arial" w:hAnsi="Arial" w:cs="Arial"/>
          <w:b/>
          <w:bCs/>
          <w:lang w:val="en-US"/>
        </w:rPr>
      </w:pPr>
      <w:r w:rsidRPr="00A7364B">
        <w:rPr>
          <w:rFonts w:ascii="Arial" w:hAnsi="Arial" w:cs="Arial"/>
          <w:b/>
          <w:bCs/>
          <w:lang w:val="en-US"/>
        </w:rPr>
        <w:t xml:space="preserve">2.4. Concept of geochemical background </w:t>
      </w:r>
    </w:p>
    <w:p w14:paraId="334EC26B" w14:textId="77777777" w:rsidR="004B5D00" w:rsidRPr="00A7364B" w:rsidRDefault="004B5D00" w:rsidP="00ED3175">
      <w:pPr>
        <w:jc w:val="both"/>
        <w:rPr>
          <w:rFonts w:ascii="Arial" w:hAnsi="Arial" w:cs="Arial"/>
          <w:sz w:val="20"/>
          <w:szCs w:val="20"/>
          <w:lang w:val="en-US"/>
        </w:rPr>
      </w:pPr>
      <w:r w:rsidRPr="00A7364B">
        <w:rPr>
          <w:rFonts w:ascii="Arial" w:hAnsi="Arial"/>
          <w:sz w:val="20"/>
        </w:rPr>
        <w:t>The geochemical background corresponds to the natural concentration of an element in geological material, resulting solely from its geological history. It contrasts with the anthropogenic background, which represents the fraction of elements introduced into the environment exclusively by human activities or as a result of such activities.</w:t>
      </w:r>
    </w:p>
    <w:p w14:paraId="6F856433" w14:textId="77777777" w:rsidR="004B5D00" w:rsidRPr="00A7364B" w:rsidRDefault="004B5D00" w:rsidP="00ED3175">
      <w:pPr>
        <w:jc w:val="both"/>
        <w:rPr>
          <w:rFonts w:ascii="Arial" w:hAnsi="Arial" w:cs="Arial"/>
          <w:sz w:val="20"/>
          <w:szCs w:val="20"/>
          <w:lang w:val="en-US"/>
        </w:rPr>
      </w:pPr>
      <w:r w:rsidRPr="00A7364B">
        <w:rPr>
          <w:rFonts w:ascii="Arial" w:hAnsi="Arial"/>
          <w:sz w:val="20"/>
        </w:rPr>
        <w:t>The term "local background" is used when the concentration of an element is confined to a clearly defined area, and "regional background" is used when this area covers a large expanse and exhibits a certain degree of geochemical uniformity. The nature of the bedrock, the type of sediment, and the physicochemical parameters of the environment in question can cause the geochemical background to vary considerably from one location to another.</w:t>
      </w:r>
    </w:p>
    <w:p w14:paraId="6B61F6DB" w14:textId="77777777" w:rsidR="004B5D00" w:rsidRPr="00A7364B" w:rsidRDefault="004B5D00" w:rsidP="00ED3175">
      <w:pPr>
        <w:jc w:val="both"/>
        <w:rPr>
          <w:rFonts w:ascii="Arial" w:hAnsi="Arial" w:cs="Arial"/>
          <w:b/>
          <w:bCs/>
          <w:lang w:val="en-US"/>
        </w:rPr>
      </w:pPr>
      <w:r w:rsidRPr="00A7364B">
        <w:rPr>
          <w:rFonts w:ascii="Arial" w:hAnsi="Arial" w:cs="Arial"/>
          <w:b/>
          <w:bCs/>
          <w:lang w:val="en-US"/>
        </w:rPr>
        <w:t xml:space="preserve">2.5. Estimation of Pollution Intensity </w:t>
      </w:r>
    </w:p>
    <w:p w14:paraId="284812FD" w14:textId="77777777" w:rsidR="004B5D00" w:rsidRPr="00A7364B" w:rsidRDefault="004B5D00" w:rsidP="00ED3175">
      <w:pPr>
        <w:jc w:val="both"/>
        <w:rPr>
          <w:rFonts w:ascii="Arial" w:hAnsi="Arial" w:cs="Arial"/>
          <w:sz w:val="20"/>
          <w:szCs w:val="20"/>
          <w:lang w:val="en-US"/>
        </w:rPr>
      </w:pPr>
      <w:r w:rsidRPr="00A7364B">
        <w:rPr>
          <w:rFonts w:ascii="Arial" w:hAnsi="Arial"/>
          <w:sz w:val="20"/>
        </w:rPr>
        <w:t>The level of sediment contamination is generally assessed by measuring the total concentration of metallic elements. Several indices can be used to estimate this level, and their principle is based on comparing measured values with reference values. The reference values chosen in this study are those of the continental crust (Wedepohl, 1995). Table 2 also presents the concentration of trace elements (mg/kg) in uncontaminated sediments according to Calamari and Naeve (1994) and Kikouama et al. (2009).</w:t>
      </w:r>
    </w:p>
    <w:p w14:paraId="700D4F3F" w14:textId="77777777" w:rsidR="004B5D00" w:rsidRPr="00A7364B" w:rsidRDefault="004B5D00" w:rsidP="00ED3175">
      <w:pPr>
        <w:jc w:val="both"/>
        <w:rPr>
          <w:rFonts w:ascii="Arial" w:hAnsi="Arial" w:cs="Arial"/>
          <w:sz w:val="20"/>
          <w:szCs w:val="20"/>
          <w:lang w:val="en-US"/>
        </w:rPr>
      </w:pPr>
    </w:p>
    <w:p w14:paraId="49A60DD6" w14:textId="77777777" w:rsidR="004B5D00" w:rsidRPr="00A7364B" w:rsidRDefault="004B5D00" w:rsidP="00ED3175">
      <w:pPr>
        <w:jc w:val="both"/>
        <w:rPr>
          <w:rFonts w:ascii="Arial" w:hAnsi="Arial" w:cs="Arial"/>
          <w:sz w:val="20"/>
          <w:szCs w:val="20"/>
          <w:lang w:val="en-US"/>
        </w:rPr>
      </w:pPr>
      <w:r w:rsidRPr="00A7364B">
        <w:rPr>
          <w:rFonts w:ascii="Arial" w:hAnsi="Arial" w:cs="Arial"/>
          <w:b/>
          <w:bCs/>
          <w:sz w:val="20"/>
          <w:szCs w:val="20"/>
          <w:lang w:val="en-US"/>
        </w:rPr>
        <w:t>Table 1</w:t>
      </w:r>
      <w:r w:rsidRPr="00A7364B">
        <w:rPr>
          <w:rFonts w:ascii="Arial" w:hAnsi="Arial" w:cs="Arial"/>
          <w:sz w:val="20"/>
          <w:szCs w:val="20"/>
          <w:lang w:val="en-US"/>
        </w:rPr>
        <w:t>—Concentrations of trace elements in the UCC continental crust (Wedepohl, 1995)</w:t>
      </w:r>
    </w:p>
    <w:tbl>
      <w:tblPr>
        <w:tblpPr w:leftFromText="141" w:rightFromText="141" w:vertAnchor="text" w:horzAnchor="margin" w:tblpXSpec="center" w:tblpY="-30"/>
        <w:tblW w:w="9581" w:type="dxa"/>
        <w:tblBorders>
          <w:top w:val="single" w:sz="4" w:space="0" w:color="auto"/>
          <w:bottom w:val="single" w:sz="8" w:space="0" w:color="auto"/>
          <w:insideH w:val="single" w:sz="4" w:space="0" w:color="auto"/>
        </w:tblBorders>
        <w:tblLayout w:type="fixed"/>
        <w:tblCellMar>
          <w:left w:w="70" w:type="dxa"/>
          <w:right w:w="70" w:type="dxa"/>
        </w:tblCellMar>
        <w:tblLook w:val="04A0" w:firstRow="1" w:lastRow="0" w:firstColumn="1" w:lastColumn="0" w:noHBand="0" w:noVBand="1"/>
      </w:tblPr>
      <w:tblGrid>
        <w:gridCol w:w="737"/>
        <w:gridCol w:w="737"/>
        <w:gridCol w:w="737"/>
        <w:gridCol w:w="737"/>
        <w:gridCol w:w="737"/>
        <w:gridCol w:w="737"/>
        <w:gridCol w:w="737"/>
        <w:gridCol w:w="737"/>
        <w:gridCol w:w="737"/>
        <w:gridCol w:w="737"/>
        <w:gridCol w:w="737"/>
        <w:gridCol w:w="737"/>
        <w:gridCol w:w="737"/>
      </w:tblGrid>
      <w:tr w:rsidR="004B5D00" w:rsidRPr="00A7364B" w14:paraId="54AC7E89" w14:textId="77777777" w:rsidTr="004B5D00">
        <w:trPr>
          <w:trHeight w:val="20"/>
        </w:trPr>
        <w:tc>
          <w:tcPr>
            <w:tcW w:w="737" w:type="dxa"/>
            <w:shd w:val="clear" w:color="000000" w:fill="FFFFFF"/>
            <w:noWrap/>
            <w:vAlign w:val="center"/>
            <w:hideMark/>
          </w:tcPr>
          <w:p w14:paraId="026D9E97" w14:textId="77777777" w:rsidR="004B5D00" w:rsidRPr="00A7364B" w:rsidRDefault="004B5D00" w:rsidP="00ED3175">
            <w:pPr>
              <w:spacing w:line="240" w:lineRule="auto"/>
              <w:jc w:val="both"/>
              <w:rPr>
                <w:rFonts w:ascii="Arial" w:hAnsi="Arial" w:cs="Arial"/>
                <w:b/>
                <w:bCs/>
                <w:color w:val="000000"/>
                <w:sz w:val="20"/>
                <w:szCs w:val="20"/>
              </w:rPr>
            </w:pPr>
            <w:r w:rsidRPr="00A7364B">
              <w:rPr>
                <w:rFonts w:ascii="Arial" w:hAnsi="Arial" w:cs="Arial"/>
                <w:b/>
                <w:bCs/>
                <w:color w:val="000000"/>
                <w:sz w:val="20"/>
                <w:szCs w:val="20"/>
              </w:rPr>
              <w:t>ETM</w:t>
            </w:r>
          </w:p>
        </w:tc>
        <w:tc>
          <w:tcPr>
            <w:tcW w:w="737" w:type="dxa"/>
            <w:shd w:val="clear" w:color="000000" w:fill="FFFFFF"/>
            <w:noWrap/>
            <w:vAlign w:val="center"/>
            <w:hideMark/>
          </w:tcPr>
          <w:p w14:paraId="4269C426" w14:textId="77777777" w:rsidR="004B5D00" w:rsidRPr="00A7364B" w:rsidRDefault="004B5D00" w:rsidP="00ED3175">
            <w:pPr>
              <w:spacing w:line="240" w:lineRule="auto"/>
              <w:jc w:val="both"/>
              <w:rPr>
                <w:rFonts w:ascii="Arial" w:hAnsi="Arial" w:cs="Arial"/>
                <w:b/>
                <w:bCs/>
                <w:color w:val="000000"/>
                <w:sz w:val="20"/>
                <w:szCs w:val="20"/>
              </w:rPr>
            </w:pPr>
            <w:r w:rsidRPr="00A7364B">
              <w:rPr>
                <w:rFonts w:ascii="Arial" w:hAnsi="Arial" w:cs="Arial"/>
                <w:b/>
                <w:bCs/>
                <w:color w:val="000000"/>
                <w:sz w:val="20"/>
                <w:szCs w:val="20"/>
              </w:rPr>
              <w:t>Fe</w:t>
            </w:r>
          </w:p>
        </w:tc>
        <w:tc>
          <w:tcPr>
            <w:tcW w:w="737" w:type="dxa"/>
            <w:shd w:val="clear" w:color="000000" w:fill="FFFFFF"/>
            <w:noWrap/>
            <w:vAlign w:val="center"/>
            <w:hideMark/>
          </w:tcPr>
          <w:p w14:paraId="6E96AF9C" w14:textId="77777777" w:rsidR="004B5D00" w:rsidRPr="00A7364B" w:rsidRDefault="00F04982" w:rsidP="00ED3175">
            <w:pPr>
              <w:spacing w:line="240" w:lineRule="auto"/>
              <w:jc w:val="both"/>
              <w:rPr>
                <w:rFonts w:ascii="Arial" w:hAnsi="Arial" w:cs="Arial"/>
                <w:b/>
                <w:bCs/>
                <w:color w:val="000000"/>
                <w:sz w:val="20"/>
                <w:szCs w:val="20"/>
              </w:rPr>
            </w:pPr>
            <w:r w:rsidRPr="00A7364B">
              <w:rPr>
                <w:rFonts w:ascii="Arial" w:hAnsi="Arial" w:cs="Arial"/>
                <w:b/>
                <w:bCs/>
                <w:color w:val="000000"/>
                <w:sz w:val="20"/>
                <w:szCs w:val="20"/>
              </w:rPr>
              <w:t>Ld</w:t>
            </w:r>
          </w:p>
        </w:tc>
        <w:tc>
          <w:tcPr>
            <w:tcW w:w="737" w:type="dxa"/>
            <w:shd w:val="clear" w:color="000000" w:fill="FFFFFF"/>
            <w:noWrap/>
            <w:vAlign w:val="center"/>
            <w:hideMark/>
          </w:tcPr>
          <w:p w14:paraId="25DBE14B" w14:textId="77777777" w:rsidR="004B5D00" w:rsidRPr="00A7364B" w:rsidRDefault="004B5D00" w:rsidP="00ED3175">
            <w:pPr>
              <w:spacing w:line="240" w:lineRule="auto"/>
              <w:jc w:val="both"/>
              <w:rPr>
                <w:rFonts w:ascii="Arial" w:hAnsi="Arial" w:cs="Arial"/>
                <w:b/>
                <w:bCs/>
                <w:color w:val="000000"/>
                <w:sz w:val="20"/>
                <w:szCs w:val="20"/>
              </w:rPr>
            </w:pPr>
            <w:r w:rsidRPr="00A7364B">
              <w:rPr>
                <w:rFonts w:ascii="Arial" w:hAnsi="Arial" w:cs="Arial"/>
                <w:b/>
                <w:bCs/>
                <w:color w:val="000000"/>
                <w:sz w:val="20"/>
                <w:szCs w:val="20"/>
              </w:rPr>
              <w:t>Zn</w:t>
            </w:r>
          </w:p>
        </w:tc>
        <w:tc>
          <w:tcPr>
            <w:tcW w:w="737" w:type="dxa"/>
            <w:shd w:val="clear" w:color="000000" w:fill="FFFFFF"/>
            <w:noWrap/>
            <w:vAlign w:val="center"/>
            <w:hideMark/>
          </w:tcPr>
          <w:p w14:paraId="7F5ECA31" w14:textId="77777777" w:rsidR="004B5D00" w:rsidRPr="00A7364B" w:rsidRDefault="004B5D00" w:rsidP="00ED3175">
            <w:pPr>
              <w:spacing w:line="240" w:lineRule="auto"/>
              <w:jc w:val="both"/>
              <w:rPr>
                <w:rFonts w:ascii="Arial" w:hAnsi="Arial" w:cs="Arial"/>
                <w:b/>
                <w:bCs/>
                <w:color w:val="000000"/>
                <w:sz w:val="20"/>
                <w:szCs w:val="20"/>
              </w:rPr>
            </w:pPr>
            <w:r w:rsidRPr="00A7364B">
              <w:rPr>
                <w:rFonts w:ascii="Arial" w:hAnsi="Arial" w:cs="Arial"/>
                <w:b/>
                <w:bCs/>
                <w:color w:val="000000"/>
                <w:sz w:val="20"/>
                <w:szCs w:val="20"/>
              </w:rPr>
              <w:t>Cd</w:t>
            </w:r>
          </w:p>
        </w:tc>
        <w:tc>
          <w:tcPr>
            <w:tcW w:w="737" w:type="dxa"/>
            <w:shd w:val="clear" w:color="000000" w:fill="FFFFFF"/>
            <w:noWrap/>
            <w:vAlign w:val="center"/>
            <w:hideMark/>
          </w:tcPr>
          <w:p w14:paraId="727FB2BB" w14:textId="77777777" w:rsidR="004B5D00" w:rsidRPr="00A7364B" w:rsidRDefault="004B5D00" w:rsidP="00ED3175">
            <w:pPr>
              <w:spacing w:line="240" w:lineRule="auto"/>
              <w:jc w:val="both"/>
              <w:rPr>
                <w:rFonts w:ascii="Arial" w:hAnsi="Arial" w:cs="Arial"/>
                <w:b/>
                <w:bCs/>
                <w:color w:val="000000"/>
                <w:sz w:val="20"/>
                <w:szCs w:val="20"/>
              </w:rPr>
            </w:pPr>
            <w:r w:rsidRPr="00A7364B">
              <w:rPr>
                <w:rFonts w:ascii="Arial" w:hAnsi="Arial" w:cs="Arial"/>
                <w:b/>
                <w:bCs/>
                <w:color w:val="000000"/>
                <w:sz w:val="20"/>
                <w:szCs w:val="20"/>
              </w:rPr>
              <w:t>Cu</w:t>
            </w:r>
          </w:p>
        </w:tc>
        <w:tc>
          <w:tcPr>
            <w:tcW w:w="737" w:type="dxa"/>
            <w:shd w:val="clear" w:color="000000" w:fill="FFFFFF"/>
            <w:noWrap/>
            <w:vAlign w:val="center"/>
            <w:hideMark/>
          </w:tcPr>
          <w:p w14:paraId="27F8B6BB" w14:textId="77777777" w:rsidR="004B5D00" w:rsidRPr="00A7364B" w:rsidRDefault="004B5D00" w:rsidP="00ED3175">
            <w:pPr>
              <w:spacing w:line="240" w:lineRule="auto"/>
              <w:jc w:val="both"/>
              <w:rPr>
                <w:rFonts w:ascii="Arial" w:hAnsi="Arial" w:cs="Arial"/>
                <w:b/>
                <w:bCs/>
                <w:color w:val="000000"/>
                <w:sz w:val="20"/>
                <w:szCs w:val="20"/>
              </w:rPr>
            </w:pPr>
            <w:r w:rsidRPr="00A7364B">
              <w:rPr>
                <w:rFonts w:ascii="Arial" w:hAnsi="Arial" w:cs="Arial"/>
                <w:b/>
                <w:bCs/>
                <w:color w:val="000000"/>
                <w:sz w:val="20"/>
                <w:szCs w:val="20"/>
              </w:rPr>
              <w:t>Al</w:t>
            </w:r>
          </w:p>
        </w:tc>
        <w:tc>
          <w:tcPr>
            <w:tcW w:w="737" w:type="dxa"/>
            <w:shd w:val="clear" w:color="000000" w:fill="FFFFFF"/>
            <w:noWrap/>
            <w:vAlign w:val="center"/>
            <w:hideMark/>
          </w:tcPr>
          <w:p w14:paraId="0B86F516" w14:textId="77777777" w:rsidR="004B5D00" w:rsidRPr="00A7364B" w:rsidRDefault="004B5D00" w:rsidP="00ED3175">
            <w:pPr>
              <w:spacing w:line="240" w:lineRule="auto"/>
              <w:jc w:val="both"/>
              <w:rPr>
                <w:rFonts w:ascii="Arial" w:hAnsi="Arial" w:cs="Arial"/>
                <w:b/>
                <w:bCs/>
                <w:color w:val="000000"/>
                <w:sz w:val="20"/>
                <w:szCs w:val="20"/>
              </w:rPr>
            </w:pPr>
            <w:r w:rsidRPr="00A7364B">
              <w:rPr>
                <w:rFonts w:ascii="Arial" w:hAnsi="Arial" w:cs="Arial"/>
                <w:b/>
                <w:bCs/>
                <w:color w:val="000000"/>
                <w:sz w:val="20"/>
                <w:szCs w:val="20"/>
              </w:rPr>
              <w:t>Mg</w:t>
            </w:r>
          </w:p>
        </w:tc>
        <w:tc>
          <w:tcPr>
            <w:tcW w:w="737" w:type="dxa"/>
            <w:shd w:val="clear" w:color="000000" w:fill="FFFFFF"/>
            <w:noWrap/>
            <w:vAlign w:val="center"/>
            <w:hideMark/>
          </w:tcPr>
          <w:p w14:paraId="5374F59A" w14:textId="77777777" w:rsidR="004B5D00" w:rsidRPr="00A7364B" w:rsidRDefault="004B5D00" w:rsidP="00ED3175">
            <w:pPr>
              <w:spacing w:line="240" w:lineRule="auto"/>
              <w:jc w:val="both"/>
              <w:rPr>
                <w:rFonts w:ascii="Arial" w:hAnsi="Arial" w:cs="Arial"/>
                <w:b/>
                <w:bCs/>
                <w:color w:val="000000"/>
                <w:sz w:val="20"/>
                <w:szCs w:val="20"/>
              </w:rPr>
            </w:pPr>
            <w:r w:rsidRPr="00A7364B">
              <w:rPr>
                <w:rFonts w:ascii="Arial" w:hAnsi="Arial" w:cs="Arial"/>
                <w:b/>
                <w:bCs/>
                <w:color w:val="000000"/>
                <w:sz w:val="20"/>
                <w:szCs w:val="20"/>
              </w:rPr>
              <w:t>As</w:t>
            </w:r>
          </w:p>
        </w:tc>
        <w:tc>
          <w:tcPr>
            <w:tcW w:w="737" w:type="dxa"/>
            <w:shd w:val="clear" w:color="000000" w:fill="FFFFFF"/>
            <w:noWrap/>
            <w:vAlign w:val="center"/>
            <w:hideMark/>
          </w:tcPr>
          <w:p w14:paraId="48FF0005" w14:textId="77777777" w:rsidR="004B5D00" w:rsidRPr="00A7364B" w:rsidRDefault="004B5D00" w:rsidP="00ED3175">
            <w:pPr>
              <w:spacing w:line="240" w:lineRule="auto"/>
              <w:jc w:val="both"/>
              <w:rPr>
                <w:rFonts w:ascii="Arial" w:hAnsi="Arial" w:cs="Arial"/>
                <w:b/>
                <w:bCs/>
                <w:color w:val="000000"/>
                <w:sz w:val="20"/>
                <w:szCs w:val="20"/>
              </w:rPr>
            </w:pPr>
            <w:r w:rsidRPr="00A7364B">
              <w:rPr>
                <w:rFonts w:ascii="Arial" w:hAnsi="Arial" w:cs="Arial"/>
                <w:b/>
                <w:bCs/>
                <w:color w:val="000000"/>
                <w:sz w:val="20"/>
                <w:szCs w:val="20"/>
              </w:rPr>
              <w:t>Hg</w:t>
            </w:r>
          </w:p>
        </w:tc>
        <w:tc>
          <w:tcPr>
            <w:tcW w:w="737" w:type="dxa"/>
            <w:shd w:val="clear" w:color="000000" w:fill="FFFFFF"/>
            <w:vAlign w:val="center"/>
          </w:tcPr>
          <w:p w14:paraId="79B088F1" w14:textId="77777777" w:rsidR="004B5D00" w:rsidRPr="00A7364B" w:rsidRDefault="004B5D00" w:rsidP="00ED3175">
            <w:pPr>
              <w:spacing w:line="240" w:lineRule="auto"/>
              <w:jc w:val="both"/>
              <w:rPr>
                <w:rFonts w:ascii="Arial" w:hAnsi="Arial" w:cs="Arial"/>
                <w:b/>
                <w:bCs/>
                <w:color w:val="000000"/>
                <w:sz w:val="20"/>
                <w:szCs w:val="20"/>
              </w:rPr>
            </w:pPr>
            <w:r w:rsidRPr="00A7364B">
              <w:rPr>
                <w:rFonts w:ascii="Arial" w:hAnsi="Arial" w:cs="Arial"/>
                <w:b/>
                <w:bCs/>
                <w:color w:val="000000"/>
                <w:sz w:val="20"/>
                <w:szCs w:val="20"/>
              </w:rPr>
              <w:t>P</w:t>
            </w:r>
          </w:p>
        </w:tc>
        <w:tc>
          <w:tcPr>
            <w:tcW w:w="737" w:type="dxa"/>
            <w:shd w:val="clear" w:color="000000" w:fill="FFFFFF"/>
            <w:vAlign w:val="center"/>
          </w:tcPr>
          <w:p w14:paraId="0482908C" w14:textId="77777777" w:rsidR="004B5D00" w:rsidRPr="00A7364B" w:rsidRDefault="004B5D00" w:rsidP="00ED3175">
            <w:pPr>
              <w:spacing w:line="240" w:lineRule="auto"/>
              <w:jc w:val="both"/>
              <w:rPr>
                <w:rFonts w:ascii="Arial" w:hAnsi="Arial" w:cs="Arial"/>
                <w:b/>
                <w:bCs/>
                <w:color w:val="000000"/>
                <w:sz w:val="20"/>
                <w:szCs w:val="20"/>
              </w:rPr>
            </w:pPr>
            <w:r w:rsidRPr="00A7364B">
              <w:rPr>
                <w:rFonts w:ascii="Arial" w:hAnsi="Arial" w:cs="Arial"/>
                <w:b/>
                <w:bCs/>
                <w:color w:val="000000"/>
                <w:sz w:val="20"/>
                <w:szCs w:val="20"/>
              </w:rPr>
              <w:t>K</w:t>
            </w:r>
          </w:p>
        </w:tc>
        <w:tc>
          <w:tcPr>
            <w:tcW w:w="737" w:type="dxa"/>
            <w:shd w:val="clear" w:color="000000" w:fill="FFFFFF"/>
            <w:vAlign w:val="center"/>
          </w:tcPr>
          <w:p w14:paraId="1FEFFC3D" w14:textId="77777777" w:rsidR="004B5D00" w:rsidRPr="00A7364B" w:rsidRDefault="004B5D00" w:rsidP="00ED3175">
            <w:pPr>
              <w:spacing w:line="240" w:lineRule="auto"/>
              <w:jc w:val="both"/>
              <w:rPr>
                <w:rFonts w:ascii="Arial" w:hAnsi="Arial" w:cs="Arial"/>
                <w:b/>
                <w:bCs/>
                <w:color w:val="000000"/>
                <w:sz w:val="20"/>
                <w:szCs w:val="20"/>
              </w:rPr>
            </w:pPr>
            <w:r w:rsidRPr="00A7364B">
              <w:rPr>
                <w:rFonts w:ascii="Arial" w:hAnsi="Arial" w:cs="Arial"/>
                <w:b/>
                <w:bCs/>
                <w:color w:val="000000"/>
                <w:sz w:val="20"/>
                <w:szCs w:val="20"/>
              </w:rPr>
              <w:t>NA</w:t>
            </w:r>
          </w:p>
        </w:tc>
      </w:tr>
      <w:tr w:rsidR="004B5D00" w:rsidRPr="00A7364B" w14:paraId="2C4F751F" w14:textId="77777777" w:rsidTr="004B5D00">
        <w:trPr>
          <w:trHeight w:val="20"/>
        </w:trPr>
        <w:tc>
          <w:tcPr>
            <w:tcW w:w="737" w:type="dxa"/>
            <w:shd w:val="clear" w:color="000000" w:fill="FFFFFF"/>
            <w:noWrap/>
            <w:vAlign w:val="center"/>
            <w:hideMark/>
          </w:tcPr>
          <w:p w14:paraId="787F2775" w14:textId="77777777" w:rsidR="004B5D00" w:rsidRPr="00A7364B" w:rsidRDefault="004B5D00" w:rsidP="00ED3175">
            <w:pPr>
              <w:spacing w:line="240" w:lineRule="auto"/>
              <w:jc w:val="both"/>
              <w:rPr>
                <w:rFonts w:ascii="Arial" w:hAnsi="Arial" w:cs="Arial"/>
                <w:b/>
                <w:bCs/>
                <w:color w:val="000000"/>
                <w:sz w:val="20"/>
                <w:szCs w:val="20"/>
              </w:rPr>
            </w:pPr>
            <w:r w:rsidRPr="00A7364B">
              <w:rPr>
                <w:rFonts w:ascii="Arial" w:hAnsi="Arial" w:cs="Arial"/>
                <w:b/>
                <w:bCs/>
                <w:color w:val="000000"/>
                <w:sz w:val="20"/>
                <w:szCs w:val="20"/>
              </w:rPr>
              <w:t>UCC (mg/kg)</w:t>
            </w:r>
          </w:p>
        </w:tc>
        <w:tc>
          <w:tcPr>
            <w:tcW w:w="737" w:type="dxa"/>
            <w:shd w:val="clear" w:color="000000" w:fill="FFFFFF"/>
            <w:noWrap/>
            <w:vAlign w:val="center"/>
            <w:hideMark/>
          </w:tcPr>
          <w:p w14:paraId="41199D9A" w14:textId="77777777" w:rsidR="004B5D00" w:rsidRPr="00A7364B" w:rsidRDefault="004B5D00" w:rsidP="00ED3175">
            <w:pPr>
              <w:spacing w:line="240" w:lineRule="auto"/>
              <w:jc w:val="both"/>
              <w:rPr>
                <w:rFonts w:ascii="Arial" w:hAnsi="Arial" w:cs="Arial"/>
                <w:color w:val="000000"/>
                <w:sz w:val="20"/>
                <w:szCs w:val="20"/>
              </w:rPr>
            </w:pPr>
            <w:r w:rsidRPr="00A7364B">
              <w:rPr>
                <w:rFonts w:ascii="Arial" w:hAnsi="Arial" w:cs="Arial"/>
                <w:color w:val="000000"/>
                <w:sz w:val="20"/>
                <w:szCs w:val="20"/>
              </w:rPr>
              <w:t>30890</w:t>
            </w:r>
          </w:p>
        </w:tc>
        <w:tc>
          <w:tcPr>
            <w:tcW w:w="737" w:type="dxa"/>
            <w:shd w:val="clear" w:color="000000" w:fill="FFFFFF"/>
            <w:noWrap/>
            <w:vAlign w:val="center"/>
            <w:hideMark/>
          </w:tcPr>
          <w:p w14:paraId="0EBFFE95" w14:textId="77777777" w:rsidR="004B5D00" w:rsidRPr="00A7364B" w:rsidRDefault="004B5D00" w:rsidP="00ED3175">
            <w:pPr>
              <w:spacing w:line="240" w:lineRule="auto"/>
              <w:jc w:val="both"/>
              <w:rPr>
                <w:rFonts w:ascii="Arial" w:hAnsi="Arial" w:cs="Arial"/>
                <w:color w:val="000000"/>
                <w:sz w:val="20"/>
                <w:szCs w:val="20"/>
              </w:rPr>
            </w:pPr>
            <w:r w:rsidRPr="00A7364B">
              <w:rPr>
                <w:rFonts w:ascii="Arial" w:hAnsi="Arial" w:cs="Arial"/>
                <w:color w:val="000000"/>
                <w:sz w:val="20"/>
                <w:szCs w:val="20"/>
              </w:rPr>
              <w:t>17</w:t>
            </w:r>
          </w:p>
        </w:tc>
        <w:tc>
          <w:tcPr>
            <w:tcW w:w="737" w:type="dxa"/>
            <w:shd w:val="clear" w:color="000000" w:fill="FFFFFF"/>
            <w:noWrap/>
            <w:vAlign w:val="center"/>
            <w:hideMark/>
          </w:tcPr>
          <w:p w14:paraId="7696413D" w14:textId="77777777" w:rsidR="004B5D00" w:rsidRPr="00A7364B" w:rsidRDefault="004B5D00" w:rsidP="00ED3175">
            <w:pPr>
              <w:spacing w:line="240" w:lineRule="auto"/>
              <w:jc w:val="both"/>
              <w:rPr>
                <w:rFonts w:ascii="Arial" w:hAnsi="Arial" w:cs="Arial"/>
                <w:color w:val="000000"/>
                <w:sz w:val="20"/>
                <w:szCs w:val="20"/>
              </w:rPr>
            </w:pPr>
            <w:r w:rsidRPr="00A7364B">
              <w:rPr>
                <w:rFonts w:ascii="Arial" w:hAnsi="Arial" w:cs="Arial"/>
                <w:color w:val="000000"/>
                <w:sz w:val="20"/>
                <w:szCs w:val="20"/>
              </w:rPr>
              <w:t>52</w:t>
            </w:r>
          </w:p>
        </w:tc>
        <w:tc>
          <w:tcPr>
            <w:tcW w:w="737" w:type="dxa"/>
            <w:shd w:val="clear" w:color="000000" w:fill="FFFFFF"/>
            <w:noWrap/>
            <w:vAlign w:val="center"/>
            <w:hideMark/>
          </w:tcPr>
          <w:p w14:paraId="7D51BA51" w14:textId="77777777" w:rsidR="004B5D00" w:rsidRPr="00A7364B" w:rsidRDefault="004B5D00" w:rsidP="00ED3175">
            <w:pPr>
              <w:spacing w:line="240" w:lineRule="auto"/>
              <w:jc w:val="both"/>
              <w:rPr>
                <w:rFonts w:ascii="Arial" w:hAnsi="Arial" w:cs="Arial"/>
                <w:color w:val="000000"/>
                <w:sz w:val="20"/>
                <w:szCs w:val="20"/>
              </w:rPr>
            </w:pPr>
            <w:r w:rsidRPr="00A7364B">
              <w:rPr>
                <w:rFonts w:ascii="Arial" w:hAnsi="Arial" w:cs="Arial"/>
                <w:color w:val="000000"/>
                <w:sz w:val="20"/>
                <w:szCs w:val="20"/>
              </w:rPr>
              <w:t>0</w:t>
            </w:r>
            <w:r w:rsidR="00D87C7F" w:rsidRPr="00A7364B">
              <w:rPr>
                <w:rFonts w:ascii="Arial" w:hAnsi="Arial" w:cs="Arial"/>
                <w:color w:val="000000"/>
                <w:sz w:val="20"/>
                <w:szCs w:val="20"/>
              </w:rPr>
              <w:t>.</w:t>
            </w:r>
            <w:r w:rsidRPr="00A7364B">
              <w:rPr>
                <w:rFonts w:ascii="Arial" w:hAnsi="Arial" w:cs="Arial"/>
                <w:color w:val="000000"/>
                <w:sz w:val="20"/>
                <w:szCs w:val="20"/>
              </w:rPr>
              <w:t>1</w:t>
            </w:r>
          </w:p>
        </w:tc>
        <w:tc>
          <w:tcPr>
            <w:tcW w:w="737" w:type="dxa"/>
            <w:shd w:val="clear" w:color="000000" w:fill="FFFFFF"/>
            <w:noWrap/>
            <w:vAlign w:val="center"/>
            <w:hideMark/>
          </w:tcPr>
          <w:p w14:paraId="4365AAB0" w14:textId="77777777" w:rsidR="004B5D00" w:rsidRPr="00A7364B" w:rsidRDefault="004B5D00" w:rsidP="00ED3175">
            <w:pPr>
              <w:spacing w:line="240" w:lineRule="auto"/>
              <w:jc w:val="both"/>
              <w:rPr>
                <w:rFonts w:ascii="Arial" w:hAnsi="Arial" w:cs="Arial"/>
                <w:color w:val="000000"/>
                <w:sz w:val="20"/>
                <w:szCs w:val="20"/>
              </w:rPr>
            </w:pPr>
            <w:r w:rsidRPr="00A7364B">
              <w:rPr>
                <w:rFonts w:ascii="Arial" w:hAnsi="Arial" w:cs="Arial"/>
                <w:color w:val="000000"/>
                <w:sz w:val="20"/>
                <w:szCs w:val="20"/>
              </w:rPr>
              <w:t>14</w:t>
            </w:r>
          </w:p>
        </w:tc>
        <w:tc>
          <w:tcPr>
            <w:tcW w:w="737" w:type="dxa"/>
            <w:shd w:val="clear" w:color="000000" w:fill="FFFFFF"/>
            <w:noWrap/>
            <w:vAlign w:val="center"/>
            <w:hideMark/>
          </w:tcPr>
          <w:p w14:paraId="2E52061E" w14:textId="77777777" w:rsidR="004B5D00" w:rsidRPr="00A7364B" w:rsidRDefault="004B5D00" w:rsidP="00ED3175">
            <w:pPr>
              <w:spacing w:line="240" w:lineRule="auto"/>
              <w:jc w:val="both"/>
              <w:rPr>
                <w:rFonts w:ascii="Arial" w:hAnsi="Arial" w:cs="Arial"/>
                <w:color w:val="000000"/>
                <w:sz w:val="20"/>
                <w:szCs w:val="20"/>
              </w:rPr>
            </w:pPr>
            <w:r w:rsidRPr="00A7364B">
              <w:rPr>
                <w:rFonts w:ascii="Arial" w:hAnsi="Arial" w:cs="Arial"/>
                <w:color w:val="000000"/>
                <w:sz w:val="20"/>
                <w:szCs w:val="20"/>
              </w:rPr>
              <w:t>77440</w:t>
            </w:r>
          </w:p>
        </w:tc>
        <w:tc>
          <w:tcPr>
            <w:tcW w:w="737" w:type="dxa"/>
            <w:shd w:val="clear" w:color="000000" w:fill="FFFFFF"/>
            <w:noWrap/>
            <w:vAlign w:val="center"/>
            <w:hideMark/>
          </w:tcPr>
          <w:p w14:paraId="1BC1811F" w14:textId="77777777" w:rsidR="004B5D00" w:rsidRPr="00A7364B" w:rsidRDefault="004B5D00" w:rsidP="00ED3175">
            <w:pPr>
              <w:spacing w:line="240" w:lineRule="auto"/>
              <w:jc w:val="both"/>
              <w:rPr>
                <w:rFonts w:ascii="Arial" w:hAnsi="Arial" w:cs="Arial"/>
                <w:color w:val="000000"/>
                <w:sz w:val="20"/>
                <w:szCs w:val="20"/>
              </w:rPr>
            </w:pPr>
            <w:r w:rsidRPr="00A7364B">
              <w:rPr>
                <w:rFonts w:ascii="Arial" w:hAnsi="Arial" w:cs="Arial"/>
                <w:color w:val="000000"/>
                <w:sz w:val="20"/>
                <w:szCs w:val="20"/>
              </w:rPr>
              <w:t>13510</w:t>
            </w:r>
          </w:p>
        </w:tc>
        <w:tc>
          <w:tcPr>
            <w:tcW w:w="737" w:type="dxa"/>
            <w:shd w:val="clear" w:color="000000" w:fill="FFFFFF"/>
            <w:noWrap/>
            <w:vAlign w:val="center"/>
            <w:hideMark/>
          </w:tcPr>
          <w:p w14:paraId="69833C07" w14:textId="77777777" w:rsidR="004B5D00" w:rsidRPr="00A7364B" w:rsidRDefault="004B5D00" w:rsidP="00ED3175">
            <w:pPr>
              <w:spacing w:line="240" w:lineRule="auto"/>
              <w:jc w:val="both"/>
              <w:rPr>
                <w:rFonts w:ascii="Arial" w:hAnsi="Arial" w:cs="Arial"/>
                <w:color w:val="000000"/>
                <w:sz w:val="20"/>
                <w:szCs w:val="20"/>
              </w:rPr>
            </w:pPr>
            <w:r w:rsidRPr="00A7364B">
              <w:rPr>
                <w:rFonts w:ascii="Arial" w:hAnsi="Arial" w:cs="Arial"/>
                <w:color w:val="000000"/>
                <w:sz w:val="20"/>
                <w:szCs w:val="20"/>
              </w:rPr>
              <w:t>2</w:t>
            </w:r>
          </w:p>
        </w:tc>
        <w:tc>
          <w:tcPr>
            <w:tcW w:w="737" w:type="dxa"/>
            <w:shd w:val="clear" w:color="000000" w:fill="FFFFFF"/>
            <w:noWrap/>
            <w:vAlign w:val="center"/>
            <w:hideMark/>
          </w:tcPr>
          <w:p w14:paraId="6AA2DA77" w14:textId="77777777" w:rsidR="004B5D00" w:rsidRPr="00A7364B" w:rsidRDefault="004B5D00" w:rsidP="00ED3175">
            <w:pPr>
              <w:spacing w:line="240" w:lineRule="auto"/>
              <w:jc w:val="both"/>
              <w:rPr>
                <w:rFonts w:ascii="Arial" w:hAnsi="Arial" w:cs="Arial"/>
                <w:color w:val="000000"/>
                <w:sz w:val="20"/>
                <w:szCs w:val="20"/>
              </w:rPr>
            </w:pPr>
            <w:r w:rsidRPr="00A7364B">
              <w:rPr>
                <w:rFonts w:ascii="Arial" w:hAnsi="Arial" w:cs="Arial"/>
                <w:color w:val="000000"/>
                <w:sz w:val="20"/>
                <w:szCs w:val="20"/>
              </w:rPr>
              <w:t>0</w:t>
            </w:r>
            <w:r w:rsidR="00D87C7F" w:rsidRPr="00A7364B">
              <w:rPr>
                <w:rFonts w:ascii="Arial" w:hAnsi="Arial" w:cs="Arial"/>
                <w:color w:val="000000"/>
                <w:sz w:val="20"/>
                <w:szCs w:val="20"/>
              </w:rPr>
              <w:t>.</w:t>
            </w:r>
            <w:r w:rsidRPr="00A7364B">
              <w:rPr>
                <w:rFonts w:ascii="Arial" w:hAnsi="Arial" w:cs="Arial"/>
                <w:color w:val="000000"/>
                <w:sz w:val="20"/>
                <w:szCs w:val="20"/>
              </w:rPr>
              <w:t>05</w:t>
            </w:r>
          </w:p>
        </w:tc>
        <w:tc>
          <w:tcPr>
            <w:tcW w:w="737" w:type="dxa"/>
            <w:shd w:val="clear" w:color="000000" w:fill="FFFFFF"/>
            <w:vAlign w:val="center"/>
          </w:tcPr>
          <w:p w14:paraId="04A40617" w14:textId="77777777" w:rsidR="004B5D00" w:rsidRPr="00A7364B" w:rsidRDefault="004B5D00" w:rsidP="00ED3175">
            <w:pPr>
              <w:spacing w:line="240" w:lineRule="auto"/>
              <w:jc w:val="both"/>
              <w:rPr>
                <w:rFonts w:ascii="Arial" w:hAnsi="Arial" w:cs="Arial"/>
                <w:color w:val="000000"/>
                <w:sz w:val="20"/>
                <w:szCs w:val="20"/>
              </w:rPr>
            </w:pPr>
            <w:r w:rsidRPr="00A7364B">
              <w:rPr>
                <w:rFonts w:ascii="Arial" w:hAnsi="Arial" w:cs="Arial"/>
                <w:color w:val="000000"/>
                <w:sz w:val="20"/>
                <w:szCs w:val="20"/>
              </w:rPr>
              <w:t>655</w:t>
            </w:r>
          </w:p>
        </w:tc>
        <w:tc>
          <w:tcPr>
            <w:tcW w:w="737" w:type="dxa"/>
            <w:shd w:val="clear" w:color="000000" w:fill="FFFFFF"/>
            <w:vAlign w:val="center"/>
          </w:tcPr>
          <w:p w14:paraId="238A4153" w14:textId="77777777" w:rsidR="004B5D00" w:rsidRPr="00A7364B" w:rsidRDefault="004B5D00" w:rsidP="00ED3175">
            <w:pPr>
              <w:spacing w:line="240" w:lineRule="auto"/>
              <w:jc w:val="both"/>
              <w:rPr>
                <w:rFonts w:ascii="Arial" w:hAnsi="Arial" w:cs="Arial"/>
                <w:color w:val="000000"/>
                <w:sz w:val="20"/>
                <w:szCs w:val="20"/>
              </w:rPr>
            </w:pPr>
            <w:r w:rsidRPr="00A7364B">
              <w:rPr>
                <w:rFonts w:ascii="Arial" w:hAnsi="Arial" w:cs="Arial"/>
                <w:color w:val="000000"/>
                <w:sz w:val="20"/>
                <w:szCs w:val="20"/>
              </w:rPr>
              <w:t>28650</w:t>
            </w:r>
          </w:p>
        </w:tc>
        <w:tc>
          <w:tcPr>
            <w:tcW w:w="737" w:type="dxa"/>
            <w:shd w:val="clear" w:color="000000" w:fill="FFFFFF"/>
            <w:vAlign w:val="center"/>
          </w:tcPr>
          <w:p w14:paraId="09F8E3FF" w14:textId="77777777" w:rsidR="004B5D00" w:rsidRPr="00A7364B" w:rsidRDefault="004B5D00" w:rsidP="00ED3175">
            <w:pPr>
              <w:spacing w:line="240" w:lineRule="auto"/>
              <w:jc w:val="both"/>
              <w:rPr>
                <w:rFonts w:ascii="Arial" w:hAnsi="Arial" w:cs="Arial"/>
                <w:color w:val="000000"/>
                <w:sz w:val="20"/>
                <w:szCs w:val="20"/>
              </w:rPr>
            </w:pPr>
            <w:r w:rsidRPr="00A7364B">
              <w:rPr>
                <w:rFonts w:ascii="Arial" w:hAnsi="Arial" w:cs="Arial"/>
                <w:color w:val="000000"/>
                <w:sz w:val="20"/>
                <w:szCs w:val="20"/>
              </w:rPr>
              <w:t>25670</w:t>
            </w:r>
          </w:p>
        </w:tc>
      </w:tr>
    </w:tbl>
    <w:p w14:paraId="7F4CE4AC" w14:textId="77777777" w:rsidR="00B10CA2" w:rsidRPr="00A7364B" w:rsidRDefault="00B10CA2" w:rsidP="00ED3175">
      <w:pPr>
        <w:jc w:val="both"/>
        <w:rPr>
          <w:rFonts w:ascii="Arial" w:hAnsi="Arial" w:cs="Arial"/>
          <w:sz w:val="20"/>
          <w:szCs w:val="20"/>
          <w:lang w:val="en-US"/>
        </w:rPr>
      </w:pPr>
    </w:p>
    <w:p w14:paraId="43EDA673" w14:textId="77777777" w:rsidR="008169E9" w:rsidRPr="00A7364B" w:rsidRDefault="004B5D00" w:rsidP="00ED3175">
      <w:pPr>
        <w:jc w:val="both"/>
        <w:rPr>
          <w:rFonts w:ascii="Arial" w:hAnsi="Arial" w:cs="Arial"/>
          <w:sz w:val="20"/>
          <w:szCs w:val="20"/>
          <w:lang w:val="en-US"/>
        </w:rPr>
      </w:pPr>
      <w:r w:rsidRPr="00A7364B">
        <w:rPr>
          <w:rFonts w:ascii="Arial" w:hAnsi="Arial" w:cs="Arial"/>
          <w:b/>
          <w:bCs/>
          <w:sz w:val="20"/>
          <w:szCs w:val="20"/>
          <w:lang w:val="en-US"/>
        </w:rPr>
        <w:t>Table 2</w:t>
      </w:r>
      <w:r w:rsidRPr="00A7364B">
        <w:rPr>
          <w:rFonts w:ascii="Arial" w:hAnsi="Arial" w:cs="Arial"/>
          <w:sz w:val="20"/>
          <w:szCs w:val="20"/>
          <w:lang w:val="en-US"/>
        </w:rPr>
        <w:t>—Concentrations of trace elements (mg/kg) in uncontaminated sediments</w:t>
      </w:r>
    </w:p>
    <w:p w14:paraId="0F176F4F" w14:textId="77777777" w:rsidR="008169E9" w:rsidRPr="00A7364B" w:rsidRDefault="00ED2A20" w:rsidP="00ED3175">
      <w:pPr>
        <w:jc w:val="both"/>
        <w:rPr>
          <w:rFonts w:ascii="Arial" w:hAnsi="Arial" w:cs="Arial"/>
          <w:sz w:val="20"/>
          <w:szCs w:val="20"/>
          <w:lang w:val="en-US"/>
        </w:rPr>
      </w:pPr>
      <w:r w:rsidRPr="00A7364B">
        <w:rPr>
          <w:rFonts w:ascii="Arial" w:hAnsi="Arial" w:cs="Arial"/>
          <w:b/>
          <w:bCs/>
          <w:noProof/>
          <w:sz w:val="20"/>
          <w:szCs w:val="20"/>
          <w:lang w:val="en-US"/>
        </w:rPr>
        <mc:AlternateContent>
          <mc:Choice Requires="wps">
            <w:drawing>
              <wp:anchor distT="0" distB="0" distL="114300" distR="114300" simplePos="0" relativeHeight="251659264" behindDoc="0" locked="0" layoutInCell="1" allowOverlap="1" wp14:anchorId="2BE64FF1" wp14:editId="72204885">
                <wp:simplePos x="0" y="0"/>
                <wp:positionH relativeFrom="column">
                  <wp:posOffset>-45720</wp:posOffset>
                </wp:positionH>
                <wp:positionV relativeFrom="paragraph">
                  <wp:posOffset>43815</wp:posOffset>
                </wp:positionV>
                <wp:extent cx="5798820" cy="1668780"/>
                <wp:effectExtent l="0" t="0" r="0" b="0"/>
                <wp:wrapNone/>
                <wp:docPr id="1885193452" name="Zone de texte 1"/>
                <wp:cNvGraphicFramePr/>
                <a:graphic xmlns:a="http://schemas.openxmlformats.org/drawingml/2006/main">
                  <a:graphicData uri="http://schemas.microsoft.com/office/word/2010/wordprocessingShape">
                    <wps:wsp>
                      <wps:cNvSpPr txBox="1"/>
                      <wps:spPr>
                        <a:xfrm>
                          <a:off x="0" y="0"/>
                          <a:ext cx="5798820" cy="1668780"/>
                        </a:xfrm>
                        <a:prstGeom prst="rect">
                          <a:avLst/>
                        </a:prstGeom>
                        <a:solidFill>
                          <a:schemeClr val="lt1"/>
                        </a:solidFill>
                        <a:ln w="6350">
                          <a:noFill/>
                        </a:ln>
                      </wps:spPr>
                      <wps:txbx>
                        <w:txbxContent>
                          <w:tbl>
                            <w:tblPr>
                              <w:tblW w:w="8931" w:type="dxa"/>
                              <w:tblLayout w:type="fixed"/>
                              <w:tblCellMar>
                                <w:right w:w="115" w:type="dxa"/>
                              </w:tblCellMar>
                              <w:tblLook w:val="04A0" w:firstRow="1" w:lastRow="0" w:firstColumn="1" w:lastColumn="0" w:noHBand="0" w:noVBand="1"/>
                            </w:tblPr>
                            <w:tblGrid>
                              <w:gridCol w:w="2694"/>
                              <w:gridCol w:w="1134"/>
                              <w:gridCol w:w="850"/>
                              <w:gridCol w:w="851"/>
                              <w:gridCol w:w="992"/>
                              <w:gridCol w:w="1134"/>
                              <w:gridCol w:w="1276"/>
                            </w:tblGrid>
                            <w:tr w:rsidR="008169E9" w:rsidRPr="000E0643" w14:paraId="536AD563" w14:textId="77777777" w:rsidTr="00F04982">
                              <w:trPr>
                                <w:trHeight w:val="20"/>
                              </w:trPr>
                              <w:tc>
                                <w:tcPr>
                                  <w:tcW w:w="2694" w:type="dxa"/>
                                  <w:tcBorders>
                                    <w:top w:val="single" w:sz="4" w:space="0" w:color="7F7F7F"/>
                                    <w:left w:val="nil"/>
                                    <w:bottom w:val="single" w:sz="4" w:space="0" w:color="7F7F7F"/>
                                    <w:right w:val="nil"/>
                                  </w:tcBorders>
                                </w:tcPr>
                                <w:p w14:paraId="1174C9DC"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ETM (mg/kg) </w:t>
                                  </w:r>
                                </w:p>
                              </w:tc>
                              <w:tc>
                                <w:tcPr>
                                  <w:tcW w:w="1134" w:type="dxa"/>
                                  <w:tcBorders>
                                    <w:top w:val="single" w:sz="4" w:space="0" w:color="7F7F7F"/>
                                    <w:left w:val="nil"/>
                                    <w:bottom w:val="single" w:sz="4" w:space="0" w:color="7F7F7F"/>
                                    <w:right w:val="nil"/>
                                  </w:tcBorders>
                                </w:tcPr>
                                <w:p w14:paraId="4870AA2E"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Hg </w:t>
                                  </w:r>
                                </w:p>
                              </w:tc>
                              <w:tc>
                                <w:tcPr>
                                  <w:tcW w:w="850" w:type="dxa"/>
                                  <w:tcBorders>
                                    <w:top w:val="single" w:sz="4" w:space="0" w:color="7F7F7F"/>
                                    <w:left w:val="nil"/>
                                    <w:bottom w:val="single" w:sz="4" w:space="0" w:color="7F7F7F"/>
                                    <w:right w:val="nil"/>
                                  </w:tcBorders>
                                </w:tcPr>
                                <w:p w14:paraId="253D7576"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Cd </w:t>
                                  </w:r>
                                </w:p>
                              </w:tc>
                              <w:tc>
                                <w:tcPr>
                                  <w:tcW w:w="851" w:type="dxa"/>
                                  <w:tcBorders>
                                    <w:top w:val="single" w:sz="4" w:space="0" w:color="7F7F7F"/>
                                    <w:left w:val="nil"/>
                                    <w:bottom w:val="single" w:sz="4" w:space="0" w:color="7F7F7F"/>
                                    <w:right w:val="nil"/>
                                  </w:tcBorders>
                                </w:tcPr>
                                <w:p w14:paraId="41D00609"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Pb </w:t>
                                  </w:r>
                                </w:p>
                              </w:tc>
                              <w:tc>
                                <w:tcPr>
                                  <w:tcW w:w="992" w:type="dxa"/>
                                  <w:tcBorders>
                                    <w:top w:val="single" w:sz="4" w:space="0" w:color="7F7F7F"/>
                                    <w:left w:val="nil"/>
                                    <w:bottom w:val="single" w:sz="4" w:space="0" w:color="7F7F7F"/>
                                    <w:right w:val="nil"/>
                                  </w:tcBorders>
                                </w:tcPr>
                                <w:p w14:paraId="64845CC3"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Cu </w:t>
                                  </w:r>
                                </w:p>
                              </w:tc>
                              <w:tc>
                                <w:tcPr>
                                  <w:tcW w:w="1134" w:type="dxa"/>
                                  <w:tcBorders>
                                    <w:top w:val="single" w:sz="4" w:space="0" w:color="7F7F7F"/>
                                    <w:left w:val="nil"/>
                                    <w:bottom w:val="single" w:sz="4" w:space="0" w:color="7F7F7F"/>
                                    <w:right w:val="nil"/>
                                  </w:tcBorders>
                                </w:tcPr>
                                <w:p w14:paraId="44E78858"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Zn </w:t>
                                  </w:r>
                                </w:p>
                              </w:tc>
                              <w:tc>
                                <w:tcPr>
                                  <w:tcW w:w="1276" w:type="dxa"/>
                                  <w:tcBorders>
                                    <w:top w:val="single" w:sz="4" w:space="0" w:color="7F7F7F"/>
                                    <w:left w:val="nil"/>
                                    <w:bottom w:val="single" w:sz="4" w:space="0" w:color="7F7F7F"/>
                                    <w:right w:val="nil"/>
                                  </w:tcBorders>
                                </w:tcPr>
                                <w:p w14:paraId="01667A34"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Fe </w:t>
                                  </w:r>
                                </w:p>
                              </w:tc>
                            </w:tr>
                            <w:tr w:rsidR="008169E9" w:rsidRPr="000E0643" w14:paraId="168F1730" w14:textId="77777777" w:rsidTr="00F04982">
                              <w:trPr>
                                <w:trHeight w:val="20"/>
                              </w:trPr>
                              <w:tc>
                                <w:tcPr>
                                  <w:tcW w:w="2694" w:type="dxa"/>
                                  <w:tcBorders>
                                    <w:top w:val="single" w:sz="4" w:space="0" w:color="7F7F7F"/>
                                    <w:left w:val="nil"/>
                                    <w:bottom w:val="nil"/>
                                    <w:right w:val="nil"/>
                                  </w:tcBorders>
                                </w:tcPr>
                                <w:p w14:paraId="44890F28"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Calamari </w:t>
                                  </w:r>
                                  <w:r w:rsidR="00F04982" w:rsidRPr="000E0643">
                                    <w:rPr>
                                      <w:rFonts w:ascii="Times New Roman" w:hAnsi="Times New Roman" w:cs="Times New Roman"/>
                                      <w:b/>
                                    </w:rPr>
                                    <w:t>&amp;</w:t>
                                  </w:r>
                                  <w:r w:rsidRPr="000E0643">
                                    <w:rPr>
                                      <w:rFonts w:ascii="Times New Roman" w:hAnsi="Times New Roman" w:cs="Times New Roman"/>
                                      <w:b/>
                                    </w:rPr>
                                    <w:t xml:space="preserve"> Naeve, </w:t>
                                  </w:r>
                                </w:p>
                                <w:p w14:paraId="59174ED1"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(1994) </w:t>
                                  </w:r>
                                </w:p>
                              </w:tc>
                              <w:tc>
                                <w:tcPr>
                                  <w:tcW w:w="1134" w:type="dxa"/>
                                  <w:tcBorders>
                                    <w:top w:val="single" w:sz="4" w:space="0" w:color="7F7F7F"/>
                                    <w:left w:val="nil"/>
                                    <w:bottom w:val="nil"/>
                                    <w:right w:val="nil"/>
                                  </w:tcBorders>
                                </w:tcPr>
                                <w:p w14:paraId="6E37873B"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0</w:t>
                                  </w:r>
                                  <w:r w:rsidR="000E0643">
                                    <w:rPr>
                                      <w:rFonts w:ascii="Times New Roman" w:hAnsi="Times New Roman" w:cs="Times New Roman"/>
                                    </w:rPr>
                                    <w:t>.</w:t>
                                  </w:r>
                                  <w:r w:rsidRPr="000E0643">
                                    <w:rPr>
                                      <w:rFonts w:ascii="Times New Roman" w:hAnsi="Times New Roman" w:cs="Times New Roman"/>
                                    </w:rPr>
                                    <w:t>05-0</w:t>
                                  </w:r>
                                  <w:r w:rsidR="000E0643">
                                    <w:rPr>
                                      <w:rFonts w:ascii="Times New Roman" w:hAnsi="Times New Roman" w:cs="Times New Roman"/>
                                    </w:rPr>
                                    <w:t>.</w:t>
                                  </w:r>
                                  <w:r w:rsidRPr="000E0643">
                                    <w:rPr>
                                      <w:rFonts w:ascii="Times New Roman" w:hAnsi="Times New Roman" w:cs="Times New Roman"/>
                                    </w:rPr>
                                    <w:t xml:space="preserve">30 </w:t>
                                  </w:r>
                                </w:p>
                                <w:p w14:paraId="634BE46F"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850" w:type="dxa"/>
                                  <w:tcBorders>
                                    <w:top w:val="single" w:sz="4" w:space="0" w:color="7F7F7F"/>
                                    <w:left w:val="nil"/>
                                    <w:bottom w:val="nil"/>
                                    <w:right w:val="nil"/>
                                  </w:tcBorders>
                                </w:tcPr>
                                <w:p w14:paraId="718755DB"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0</w:t>
                                  </w:r>
                                  <w:r w:rsidR="000E0643">
                                    <w:rPr>
                                      <w:rFonts w:ascii="Times New Roman" w:hAnsi="Times New Roman" w:cs="Times New Roman"/>
                                    </w:rPr>
                                    <w:t>.</w:t>
                                  </w:r>
                                  <w:r w:rsidRPr="000E0643">
                                    <w:rPr>
                                      <w:rFonts w:ascii="Times New Roman" w:hAnsi="Times New Roman" w:cs="Times New Roman"/>
                                    </w:rPr>
                                    <w:t xml:space="preserve">11 </w:t>
                                  </w:r>
                                </w:p>
                                <w:p w14:paraId="6FF5A319"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851" w:type="dxa"/>
                                  <w:tcBorders>
                                    <w:top w:val="single" w:sz="4" w:space="0" w:color="7F7F7F"/>
                                    <w:left w:val="nil"/>
                                    <w:bottom w:val="nil"/>
                                    <w:right w:val="nil"/>
                                  </w:tcBorders>
                                </w:tcPr>
                                <w:p w14:paraId="3D7EEFB1"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19</w:t>
                                  </w:r>
                                  <w:r w:rsidR="000E0643">
                                    <w:rPr>
                                      <w:rFonts w:ascii="Times New Roman" w:hAnsi="Times New Roman" w:cs="Times New Roman"/>
                                    </w:rPr>
                                    <w:t>.</w:t>
                                  </w:r>
                                  <w:r w:rsidRPr="000E0643">
                                    <w:rPr>
                                      <w:rFonts w:ascii="Times New Roman" w:hAnsi="Times New Roman" w:cs="Times New Roman"/>
                                    </w:rPr>
                                    <w:t xml:space="preserve">00 </w:t>
                                  </w:r>
                                </w:p>
                                <w:p w14:paraId="49BE2BA6"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992" w:type="dxa"/>
                                  <w:tcBorders>
                                    <w:top w:val="single" w:sz="4" w:space="0" w:color="7F7F7F"/>
                                    <w:left w:val="nil"/>
                                    <w:bottom w:val="nil"/>
                                    <w:right w:val="nil"/>
                                  </w:tcBorders>
                                </w:tcPr>
                                <w:p w14:paraId="1F9D4AAF"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33</w:t>
                                  </w:r>
                                  <w:r w:rsidR="000E0643">
                                    <w:rPr>
                                      <w:rFonts w:ascii="Times New Roman" w:hAnsi="Times New Roman" w:cs="Times New Roman"/>
                                    </w:rPr>
                                    <w:t>.</w:t>
                                  </w:r>
                                  <w:r w:rsidRPr="000E0643">
                                    <w:rPr>
                                      <w:rFonts w:ascii="Times New Roman" w:hAnsi="Times New Roman" w:cs="Times New Roman"/>
                                    </w:rPr>
                                    <w:t xml:space="preserve">00 </w:t>
                                  </w:r>
                                </w:p>
                                <w:p w14:paraId="7046EB12"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1134" w:type="dxa"/>
                                  <w:tcBorders>
                                    <w:top w:val="single" w:sz="4" w:space="0" w:color="7F7F7F"/>
                                    <w:left w:val="nil"/>
                                    <w:bottom w:val="nil"/>
                                    <w:right w:val="nil"/>
                                  </w:tcBorders>
                                </w:tcPr>
                                <w:p w14:paraId="6BB50706"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95</w:t>
                                  </w:r>
                                  <w:r w:rsidR="000E0643">
                                    <w:rPr>
                                      <w:rFonts w:ascii="Times New Roman" w:hAnsi="Times New Roman" w:cs="Times New Roman"/>
                                    </w:rPr>
                                    <w:t>.</w:t>
                                  </w:r>
                                  <w:r w:rsidRPr="000E0643">
                                    <w:rPr>
                                      <w:rFonts w:ascii="Times New Roman" w:hAnsi="Times New Roman" w:cs="Times New Roman"/>
                                    </w:rPr>
                                    <w:t xml:space="preserve">00 </w:t>
                                  </w:r>
                                </w:p>
                                <w:p w14:paraId="1ADB6A31"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1276" w:type="dxa"/>
                                  <w:tcBorders>
                                    <w:top w:val="single" w:sz="4" w:space="0" w:color="7F7F7F"/>
                                    <w:left w:val="nil"/>
                                    <w:bottom w:val="nil"/>
                                    <w:right w:val="nil"/>
                                  </w:tcBorders>
                                </w:tcPr>
                                <w:p w14:paraId="6E859AC3"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41000</w:t>
                                  </w:r>
                                  <w:r w:rsidR="000E0643">
                                    <w:rPr>
                                      <w:rFonts w:ascii="Times New Roman" w:hAnsi="Times New Roman" w:cs="Times New Roman"/>
                                    </w:rPr>
                                    <w:t>.</w:t>
                                  </w:r>
                                  <w:r w:rsidRPr="000E0643">
                                    <w:rPr>
                                      <w:rFonts w:ascii="Times New Roman" w:hAnsi="Times New Roman" w:cs="Times New Roman"/>
                                    </w:rPr>
                                    <w:t xml:space="preserve">00 </w:t>
                                  </w:r>
                                </w:p>
                              </w:tc>
                            </w:tr>
                            <w:tr w:rsidR="008169E9" w:rsidRPr="000E0643" w14:paraId="2A5F8EEB" w14:textId="77777777" w:rsidTr="00F04982">
                              <w:trPr>
                                <w:trHeight w:val="20"/>
                              </w:trPr>
                              <w:tc>
                                <w:tcPr>
                                  <w:tcW w:w="2694" w:type="dxa"/>
                                  <w:tcBorders>
                                    <w:top w:val="nil"/>
                                    <w:left w:val="nil"/>
                                    <w:bottom w:val="single" w:sz="4" w:space="0" w:color="7F7F7F"/>
                                    <w:right w:val="nil"/>
                                  </w:tcBorders>
                                </w:tcPr>
                                <w:p w14:paraId="0A795918"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Kikouama </w:t>
                                  </w:r>
                                </w:p>
                                <w:p w14:paraId="6C5B9A39" w14:textId="77777777" w:rsidR="008169E9" w:rsidRPr="000E0643" w:rsidRDefault="00F04982"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&amp;</w:t>
                                  </w:r>
                                  <w:r w:rsidR="008169E9" w:rsidRPr="000E0643">
                                    <w:rPr>
                                      <w:rFonts w:ascii="Times New Roman" w:hAnsi="Times New Roman" w:cs="Times New Roman"/>
                                      <w:b/>
                                    </w:rPr>
                                    <w:t xml:space="preserve"> al., (2009) </w:t>
                                  </w:r>
                                </w:p>
                              </w:tc>
                              <w:tc>
                                <w:tcPr>
                                  <w:tcW w:w="1134" w:type="dxa"/>
                                  <w:tcBorders>
                                    <w:top w:val="nil"/>
                                    <w:left w:val="nil"/>
                                    <w:bottom w:val="single" w:sz="4" w:space="0" w:color="7F7F7F"/>
                                    <w:right w:val="nil"/>
                                  </w:tcBorders>
                                </w:tcPr>
                                <w:p w14:paraId="113878DE"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850" w:type="dxa"/>
                                  <w:tcBorders>
                                    <w:top w:val="nil"/>
                                    <w:left w:val="nil"/>
                                    <w:bottom w:val="single" w:sz="4" w:space="0" w:color="7F7F7F"/>
                                    <w:right w:val="nil"/>
                                  </w:tcBorders>
                                </w:tcPr>
                                <w:p w14:paraId="3E818F60"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p w14:paraId="0B662E98"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0</w:t>
                                  </w:r>
                                  <w:r w:rsidR="000E0643">
                                    <w:rPr>
                                      <w:rFonts w:ascii="Times New Roman" w:hAnsi="Times New Roman" w:cs="Times New Roman"/>
                                    </w:rPr>
                                    <w:t>.</w:t>
                                  </w:r>
                                  <w:r w:rsidRPr="000E0643">
                                    <w:rPr>
                                      <w:rFonts w:ascii="Times New Roman" w:hAnsi="Times New Roman" w:cs="Times New Roman"/>
                                    </w:rPr>
                                    <w:t xml:space="preserve">44 </w:t>
                                  </w:r>
                                </w:p>
                              </w:tc>
                              <w:tc>
                                <w:tcPr>
                                  <w:tcW w:w="851" w:type="dxa"/>
                                  <w:tcBorders>
                                    <w:top w:val="nil"/>
                                    <w:left w:val="nil"/>
                                    <w:bottom w:val="single" w:sz="4" w:space="0" w:color="7F7F7F"/>
                                    <w:right w:val="nil"/>
                                  </w:tcBorders>
                                </w:tcPr>
                                <w:p w14:paraId="6A163317"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p w14:paraId="70B2EA32"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12</w:t>
                                  </w:r>
                                  <w:r w:rsidR="000E0643">
                                    <w:rPr>
                                      <w:rFonts w:ascii="Times New Roman" w:hAnsi="Times New Roman" w:cs="Times New Roman"/>
                                    </w:rPr>
                                    <w:t>.</w:t>
                                  </w:r>
                                  <w:r w:rsidRPr="000E0643">
                                    <w:rPr>
                                      <w:rFonts w:ascii="Times New Roman" w:hAnsi="Times New Roman" w:cs="Times New Roman"/>
                                    </w:rPr>
                                    <w:t xml:space="preserve">68 </w:t>
                                  </w:r>
                                </w:p>
                              </w:tc>
                              <w:tc>
                                <w:tcPr>
                                  <w:tcW w:w="992" w:type="dxa"/>
                                  <w:tcBorders>
                                    <w:top w:val="nil"/>
                                    <w:left w:val="nil"/>
                                    <w:bottom w:val="single" w:sz="4" w:space="0" w:color="7F7F7F"/>
                                    <w:right w:val="nil"/>
                                  </w:tcBorders>
                                </w:tcPr>
                                <w:p w14:paraId="1ACF6F23"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p w14:paraId="22E745A4"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24</w:t>
                                  </w:r>
                                  <w:r w:rsidR="000E0643">
                                    <w:rPr>
                                      <w:rFonts w:ascii="Times New Roman" w:hAnsi="Times New Roman" w:cs="Times New Roman"/>
                                    </w:rPr>
                                    <w:t>.</w:t>
                                  </w:r>
                                  <w:r w:rsidRPr="000E0643">
                                    <w:rPr>
                                      <w:rFonts w:ascii="Times New Roman" w:hAnsi="Times New Roman" w:cs="Times New Roman"/>
                                    </w:rPr>
                                    <w:t xml:space="preserve">84 </w:t>
                                  </w:r>
                                </w:p>
                              </w:tc>
                              <w:tc>
                                <w:tcPr>
                                  <w:tcW w:w="1134" w:type="dxa"/>
                                  <w:tcBorders>
                                    <w:top w:val="nil"/>
                                    <w:left w:val="nil"/>
                                    <w:bottom w:val="single" w:sz="4" w:space="0" w:color="7F7F7F"/>
                                    <w:right w:val="nil"/>
                                  </w:tcBorders>
                                </w:tcPr>
                                <w:p w14:paraId="1D6779B3"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p w14:paraId="25B488B1"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45</w:t>
                                  </w:r>
                                  <w:r w:rsidR="000E0643">
                                    <w:rPr>
                                      <w:rFonts w:ascii="Times New Roman" w:hAnsi="Times New Roman" w:cs="Times New Roman"/>
                                    </w:rPr>
                                    <w:t>.</w:t>
                                  </w:r>
                                  <w:r w:rsidRPr="000E0643">
                                    <w:rPr>
                                      <w:rFonts w:ascii="Times New Roman" w:hAnsi="Times New Roman" w:cs="Times New Roman"/>
                                    </w:rPr>
                                    <w:t xml:space="preserve">13 </w:t>
                                  </w:r>
                                </w:p>
                              </w:tc>
                              <w:tc>
                                <w:tcPr>
                                  <w:tcW w:w="1276" w:type="dxa"/>
                                  <w:tcBorders>
                                    <w:top w:val="nil"/>
                                    <w:left w:val="nil"/>
                                    <w:bottom w:val="single" w:sz="4" w:space="0" w:color="7F7F7F"/>
                                    <w:right w:val="nil"/>
                                  </w:tcBorders>
                                </w:tcPr>
                                <w:p w14:paraId="19ECBEC7"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r>
                          </w:tbl>
                          <w:p w14:paraId="2EFA90CF" w14:textId="77777777" w:rsidR="008169E9" w:rsidRDefault="008169E9"/>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BE64FF1" id="_x0000_t202" coordsize="21600,21600" o:spt="202" path="m,l,21600r21600,l21600,xe">
                <v:stroke joinstyle="miter"/>
                <v:path gradientshapeok="t" o:connecttype="rect"/>
              </v:shapetype>
              <v:shape id="Zone de texte 1" o:spid="_x0000_s1026" type="#_x0000_t202" style="position:absolute;left:0;text-align:left;margin-left:-3.6pt;margin-top:3.45pt;width:456.6pt;height:13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" fillcolor="white [3201]" stroked="f" strokeweight=".5pt">
                <v:textbox style="mso-fit-shape-to-text:t">
                  <w:txbxContent>
                    <w:tbl>
                      <w:tblPr>
                        <w:tblW w:w="8931" w:type="dxa"/>
                        <w:tblLayout w:type="fixed"/>
                        <w:tblCellMar>
                          <w:right w:w="115" w:type="dxa"/>
                        </w:tblCellMar>
                        <w:tblLook w:val="04A0" w:firstRow="1" w:lastRow="0" w:firstColumn="1" w:lastColumn="0" w:noHBand="0" w:noVBand="1"/>
                      </w:tblPr>
                      <w:tblGrid>
                        <w:gridCol w:w="2694"/>
                        <w:gridCol w:w="1134"/>
                        <w:gridCol w:w="850"/>
                        <w:gridCol w:w="851"/>
                        <w:gridCol w:w="992"/>
                        <w:gridCol w:w="1134"/>
                        <w:gridCol w:w="1276"/>
                      </w:tblGrid>
                      <w:tr w:rsidR="008169E9" w:rsidRPr="000E0643" w14:paraId="536AD563" w14:textId="77777777" w:rsidTr="00F04982">
                        <w:trPr>
                          <w:trHeight w:val="20"/>
                        </w:trPr>
                        <w:tc>
                          <w:tcPr>
                            <w:tcW w:w="2694" w:type="dxa"/>
                            <w:tcBorders>
                              <w:top w:val="single" w:sz="4" w:space="0" w:color="7F7F7F"/>
                              <w:left w:val="nil"/>
                              <w:bottom w:val="single" w:sz="4" w:space="0" w:color="7F7F7F"/>
                              <w:right w:val="nil"/>
                            </w:tcBorders>
                          </w:tcPr>
                          <w:p w14:paraId="1174C9DC"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ETM (mg/kg) </w:t>
                            </w:r>
                          </w:p>
                        </w:tc>
                        <w:tc>
                          <w:tcPr>
                            <w:tcW w:w="1134" w:type="dxa"/>
                            <w:tcBorders>
                              <w:top w:val="single" w:sz="4" w:space="0" w:color="7F7F7F"/>
                              <w:left w:val="nil"/>
                              <w:bottom w:val="single" w:sz="4" w:space="0" w:color="7F7F7F"/>
                              <w:right w:val="nil"/>
                            </w:tcBorders>
                          </w:tcPr>
                          <w:p w14:paraId="4870AA2E"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Hg </w:t>
                            </w:r>
                          </w:p>
                        </w:tc>
                        <w:tc>
                          <w:tcPr>
                            <w:tcW w:w="850" w:type="dxa"/>
                            <w:tcBorders>
                              <w:top w:val="single" w:sz="4" w:space="0" w:color="7F7F7F"/>
                              <w:left w:val="nil"/>
                              <w:bottom w:val="single" w:sz="4" w:space="0" w:color="7F7F7F"/>
                              <w:right w:val="nil"/>
                            </w:tcBorders>
                          </w:tcPr>
                          <w:p w14:paraId="253D7576"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Cd </w:t>
                            </w:r>
                          </w:p>
                        </w:tc>
                        <w:tc>
                          <w:tcPr>
                            <w:tcW w:w="851" w:type="dxa"/>
                            <w:tcBorders>
                              <w:top w:val="single" w:sz="4" w:space="0" w:color="7F7F7F"/>
                              <w:left w:val="nil"/>
                              <w:bottom w:val="single" w:sz="4" w:space="0" w:color="7F7F7F"/>
                              <w:right w:val="nil"/>
                            </w:tcBorders>
                          </w:tcPr>
                          <w:p w14:paraId="41D00609"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Pb </w:t>
                            </w:r>
                          </w:p>
                        </w:tc>
                        <w:tc>
                          <w:tcPr>
                            <w:tcW w:w="992" w:type="dxa"/>
                            <w:tcBorders>
                              <w:top w:val="single" w:sz="4" w:space="0" w:color="7F7F7F"/>
                              <w:left w:val="nil"/>
                              <w:bottom w:val="single" w:sz="4" w:space="0" w:color="7F7F7F"/>
                              <w:right w:val="nil"/>
                            </w:tcBorders>
                          </w:tcPr>
                          <w:p w14:paraId="64845CC3"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Cu </w:t>
                            </w:r>
                          </w:p>
                        </w:tc>
                        <w:tc>
                          <w:tcPr>
                            <w:tcW w:w="1134" w:type="dxa"/>
                            <w:tcBorders>
                              <w:top w:val="single" w:sz="4" w:space="0" w:color="7F7F7F"/>
                              <w:left w:val="nil"/>
                              <w:bottom w:val="single" w:sz="4" w:space="0" w:color="7F7F7F"/>
                              <w:right w:val="nil"/>
                            </w:tcBorders>
                          </w:tcPr>
                          <w:p w14:paraId="44E78858"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Zn </w:t>
                            </w:r>
                          </w:p>
                        </w:tc>
                        <w:tc>
                          <w:tcPr>
                            <w:tcW w:w="1276" w:type="dxa"/>
                            <w:tcBorders>
                              <w:top w:val="single" w:sz="4" w:space="0" w:color="7F7F7F"/>
                              <w:left w:val="nil"/>
                              <w:bottom w:val="single" w:sz="4" w:space="0" w:color="7F7F7F"/>
                              <w:right w:val="nil"/>
                            </w:tcBorders>
                          </w:tcPr>
                          <w:p w14:paraId="01667A34"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Fe </w:t>
                            </w:r>
                          </w:p>
                        </w:tc>
                      </w:tr>
                      <w:tr w:rsidR="008169E9" w:rsidRPr="000E0643" w14:paraId="168F1730" w14:textId="77777777" w:rsidTr="00F04982">
                        <w:trPr>
                          <w:trHeight w:val="20"/>
                        </w:trPr>
                        <w:tc>
                          <w:tcPr>
                            <w:tcW w:w="2694" w:type="dxa"/>
                            <w:tcBorders>
                              <w:top w:val="single" w:sz="4" w:space="0" w:color="7F7F7F"/>
                              <w:left w:val="nil"/>
                              <w:bottom w:val="nil"/>
                              <w:right w:val="nil"/>
                            </w:tcBorders>
                          </w:tcPr>
                          <w:p w14:paraId="44890F28"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Calamari </w:t>
                            </w:r>
                            <w:r w:rsidR="00F04982" w:rsidRPr="000E0643">
                              <w:rPr>
                                <w:rFonts w:ascii="Times New Roman" w:hAnsi="Times New Roman" w:cs="Times New Roman"/>
                                <w:b/>
                              </w:rPr>
                              <w:t>&amp;</w:t>
                            </w:r>
                            <w:r w:rsidRPr="000E0643">
                              <w:rPr>
                                <w:rFonts w:ascii="Times New Roman" w:hAnsi="Times New Roman" w:cs="Times New Roman"/>
                                <w:b/>
                              </w:rPr>
                              <w:t xml:space="preserve"> Naeve, </w:t>
                            </w:r>
                          </w:p>
                          <w:p w14:paraId="59174ED1"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(1994) </w:t>
                            </w:r>
                          </w:p>
                        </w:tc>
                        <w:tc>
                          <w:tcPr>
                            <w:tcW w:w="1134" w:type="dxa"/>
                            <w:tcBorders>
                              <w:top w:val="single" w:sz="4" w:space="0" w:color="7F7F7F"/>
                              <w:left w:val="nil"/>
                              <w:bottom w:val="nil"/>
                              <w:right w:val="nil"/>
                            </w:tcBorders>
                          </w:tcPr>
                          <w:p w14:paraId="6E37873B"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0</w:t>
                            </w:r>
                            <w:r w:rsidR="000E0643">
                              <w:rPr>
                                <w:rFonts w:ascii="Times New Roman" w:hAnsi="Times New Roman" w:cs="Times New Roman"/>
                              </w:rPr>
                              <w:t>.</w:t>
                            </w:r>
                            <w:r w:rsidRPr="000E0643">
                              <w:rPr>
                                <w:rFonts w:ascii="Times New Roman" w:hAnsi="Times New Roman" w:cs="Times New Roman"/>
                              </w:rPr>
                              <w:t>05-0</w:t>
                            </w:r>
                            <w:r w:rsidR="000E0643">
                              <w:rPr>
                                <w:rFonts w:ascii="Times New Roman" w:hAnsi="Times New Roman" w:cs="Times New Roman"/>
                              </w:rPr>
                              <w:t>.</w:t>
                            </w:r>
                            <w:r w:rsidRPr="000E0643">
                              <w:rPr>
                                <w:rFonts w:ascii="Times New Roman" w:hAnsi="Times New Roman" w:cs="Times New Roman"/>
                              </w:rPr>
                              <w:t xml:space="preserve">30 </w:t>
                            </w:r>
                          </w:p>
                          <w:p w14:paraId="634BE46F"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850" w:type="dxa"/>
                            <w:tcBorders>
                              <w:top w:val="single" w:sz="4" w:space="0" w:color="7F7F7F"/>
                              <w:left w:val="nil"/>
                              <w:bottom w:val="nil"/>
                              <w:right w:val="nil"/>
                            </w:tcBorders>
                          </w:tcPr>
                          <w:p w14:paraId="718755DB"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0</w:t>
                            </w:r>
                            <w:r w:rsidR="000E0643">
                              <w:rPr>
                                <w:rFonts w:ascii="Times New Roman" w:hAnsi="Times New Roman" w:cs="Times New Roman"/>
                              </w:rPr>
                              <w:t>.</w:t>
                            </w:r>
                            <w:r w:rsidRPr="000E0643">
                              <w:rPr>
                                <w:rFonts w:ascii="Times New Roman" w:hAnsi="Times New Roman" w:cs="Times New Roman"/>
                              </w:rPr>
                              <w:t xml:space="preserve">11 </w:t>
                            </w:r>
                          </w:p>
                          <w:p w14:paraId="6FF5A319"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851" w:type="dxa"/>
                            <w:tcBorders>
                              <w:top w:val="single" w:sz="4" w:space="0" w:color="7F7F7F"/>
                              <w:left w:val="nil"/>
                              <w:bottom w:val="nil"/>
                              <w:right w:val="nil"/>
                            </w:tcBorders>
                          </w:tcPr>
                          <w:p w14:paraId="3D7EEFB1"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19</w:t>
                            </w:r>
                            <w:r w:rsidR="000E0643">
                              <w:rPr>
                                <w:rFonts w:ascii="Times New Roman" w:hAnsi="Times New Roman" w:cs="Times New Roman"/>
                              </w:rPr>
                              <w:t>.</w:t>
                            </w:r>
                            <w:r w:rsidRPr="000E0643">
                              <w:rPr>
                                <w:rFonts w:ascii="Times New Roman" w:hAnsi="Times New Roman" w:cs="Times New Roman"/>
                              </w:rPr>
                              <w:t xml:space="preserve">00 </w:t>
                            </w:r>
                          </w:p>
                          <w:p w14:paraId="49BE2BA6"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992" w:type="dxa"/>
                            <w:tcBorders>
                              <w:top w:val="single" w:sz="4" w:space="0" w:color="7F7F7F"/>
                              <w:left w:val="nil"/>
                              <w:bottom w:val="nil"/>
                              <w:right w:val="nil"/>
                            </w:tcBorders>
                          </w:tcPr>
                          <w:p w14:paraId="1F9D4AAF"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33</w:t>
                            </w:r>
                            <w:r w:rsidR="000E0643">
                              <w:rPr>
                                <w:rFonts w:ascii="Times New Roman" w:hAnsi="Times New Roman" w:cs="Times New Roman"/>
                              </w:rPr>
                              <w:t>.</w:t>
                            </w:r>
                            <w:r w:rsidRPr="000E0643">
                              <w:rPr>
                                <w:rFonts w:ascii="Times New Roman" w:hAnsi="Times New Roman" w:cs="Times New Roman"/>
                              </w:rPr>
                              <w:t xml:space="preserve">00 </w:t>
                            </w:r>
                          </w:p>
                          <w:p w14:paraId="7046EB12"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1134" w:type="dxa"/>
                            <w:tcBorders>
                              <w:top w:val="single" w:sz="4" w:space="0" w:color="7F7F7F"/>
                              <w:left w:val="nil"/>
                              <w:bottom w:val="nil"/>
                              <w:right w:val="nil"/>
                            </w:tcBorders>
                          </w:tcPr>
                          <w:p w14:paraId="6BB50706"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95</w:t>
                            </w:r>
                            <w:r w:rsidR="000E0643">
                              <w:rPr>
                                <w:rFonts w:ascii="Times New Roman" w:hAnsi="Times New Roman" w:cs="Times New Roman"/>
                              </w:rPr>
                              <w:t>.</w:t>
                            </w:r>
                            <w:r w:rsidRPr="000E0643">
                              <w:rPr>
                                <w:rFonts w:ascii="Times New Roman" w:hAnsi="Times New Roman" w:cs="Times New Roman"/>
                              </w:rPr>
                              <w:t xml:space="preserve">00 </w:t>
                            </w:r>
                          </w:p>
                          <w:p w14:paraId="1ADB6A31"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1276" w:type="dxa"/>
                            <w:tcBorders>
                              <w:top w:val="single" w:sz="4" w:space="0" w:color="7F7F7F"/>
                              <w:left w:val="nil"/>
                              <w:bottom w:val="nil"/>
                              <w:right w:val="nil"/>
                            </w:tcBorders>
                          </w:tcPr>
                          <w:p w14:paraId="6E859AC3"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41000</w:t>
                            </w:r>
                            <w:r w:rsidR="000E0643">
                              <w:rPr>
                                <w:rFonts w:ascii="Times New Roman" w:hAnsi="Times New Roman" w:cs="Times New Roman"/>
                              </w:rPr>
                              <w:t>.</w:t>
                            </w:r>
                            <w:r w:rsidRPr="000E0643">
                              <w:rPr>
                                <w:rFonts w:ascii="Times New Roman" w:hAnsi="Times New Roman" w:cs="Times New Roman"/>
                              </w:rPr>
                              <w:t xml:space="preserve">00 </w:t>
                            </w:r>
                          </w:p>
                        </w:tc>
                      </w:tr>
                      <w:tr w:rsidR="008169E9" w:rsidRPr="000E0643" w14:paraId="2A5F8EEB" w14:textId="77777777" w:rsidTr="00F04982">
                        <w:trPr>
                          <w:trHeight w:val="20"/>
                        </w:trPr>
                        <w:tc>
                          <w:tcPr>
                            <w:tcW w:w="2694" w:type="dxa"/>
                            <w:tcBorders>
                              <w:top w:val="nil"/>
                              <w:left w:val="nil"/>
                              <w:bottom w:val="single" w:sz="4" w:space="0" w:color="7F7F7F"/>
                              <w:right w:val="nil"/>
                            </w:tcBorders>
                          </w:tcPr>
                          <w:p w14:paraId="0A795918"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 xml:space="preserve">Kikouama </w:t>
                            </w:r>
                          </w:p>
                          <w:p w14:paraId="6C5B9A39" w14:textId="77777777" w:rsidR="008169E9" w:rsidRPr="000E0643" w:rsidRDefault="00F04982"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b/>
                              </w:rPr>
                              <w:t>&amp;</w:t>
                            </w:r>
                            <w:r w:rsidR="008169E9" w:rsidRPr="000E0643">
                              <w:rPr>
                                <w:rFonts w:ascii="Times New Roman" w:hAnsi="Times New Roman" w:cs="Times New Roman"/>
                                <w:b/>
                              </w:rPr>
                              <w:t xml:space="preserve"> al., (2009) </w:t>
                            </w:r>
                          </w:p>
                        </w:tc>
                        <w:tc>
                          <w:tcPr>
                            <w:tcW w:w="1134" w:type="dxa"/>
                            <w:tcBorders>
                              <w:top w:val="nil"/>
                              <w:left w:val="nil"/>
                              <w:bottom w:val="single" w:sz="4" w:space="0" w:color="7F7F7F"/>
                              <w:right w:val="nil"/>
                            </w:tcBorders>
                          </w:tcPr>
                          <w:p w14:paraId="113878DE"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c>
                          <w:tcPr>
                            <w:tcW w:w="850" w:type="dxa"/>
                            <w:tcBorders>
                              <w:top w:val="nil"/>
                              <w:left w:val="nil"/>
                              <w:bottom w:val="single" w:sz="4" w:space="0" w:color="7F7F7F"/>
                              <w:right w:val="nil"/>
                            </w:tcBorders>
                          </w:tcPr>
                          <w:p w14:paraId="3E818F60"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p w14:paraId="0B662E98"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0</w:t>
                            </w:r>
                            <w:r w:rsidR="000E0643">
                              <w:rPr>
                                <w:rFonts w:ascii="Times New Roman" w:hAnsi="Times New Roman" w:cs="Times New Roman"/>
                              </w:rPr>
                              <w:t>.</w:t>
                            </w:r>
                            <w:r w:rsidRPr="000E0643">
                              <w:rPr>
                                <w:rFonts w:ascii="Times New Roman" w:hAnsi="Times New Roman" w:cs="Times New Roman"/>
                              </w:rPr>
                              <w:t xml:space="preserve">44 </w:t>
                            </w:r>
                          </w:p>
                        </w:tc>
                        <w:tc>
                          <w:tcPr>
                            <w:tcW w:w="851" w:type="dxa"/>
                            <w:tcBorders>
                              <w:top w:val="nil"/>
                              <w:left w:val="nil"/>
                              <w:bottom w:val="single" w:sz="4" w:space="0" w:color="7F7F7F"/>
                              <w:right w:val="nil"/>
                            </w:tcBorders>
                          </w:tcPr>
                          <w:p w14:paraId="6A163317"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p w14:paraId="70B2EA32"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12</w:t>
                            </w:r>
                            <w:r w:rsidR="000E0643">
                              <w:rPr>
                                <w:rFonts w:ascii="Times New Roman" w:hAnsi="Times New Roman" w:cs="Times New Roman"/>
                              </w:rPr>
                              <w:t>.</w:t>
                            </w:r>
                            <w:r w:rsidRPr="000E0643">
                              <w:rPr>
                                <w:rFonts w:ascii="Times New Roman" w:hAnsi="Times New Roman" w:cs="Times New Roman"/>
                              </w:rPr>
                              <w:t xml:space="preserve">68 </w:t>
                            </w:r>
                          </w:p>
                        </w:tc>
                        <w:tc>
                          <w:tcPr>
                            <w:tcW w:w="992" w:type="dxa"/>
                            <w:tcBorders>
                              <w:top w:val="nil"/>
                              <w:left w:val="nil"/>
                              <w:bottom w:val="single" w:sz="4" w:space="0" w:color="7F7F7F"/>
                              <w:right w:val="nil"/>
                            </w:tcBorders>
                          </w:tcPr>
                          <w:p w14:paraId="1ACF6F23"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p w14:paraId="22E745A4"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24</w:t>
                            </w:r>
                            <w:r w:rsidR="000E0643">
                              <w:rPr>
                                <w:rFonts w:ascii="Times New Roman" w:hAnsi="Times New Roman" w:cs="Times New Roman"/>
                              </w:rPr>
                              <w:t>.</w:t>
                            </w:r>
                            <w:r w:rsidRPr="000E0643">
                              <w:rPr>
                                <w:rFonts w:ascii="Times New Roman" w:hAnsi="Times New Roman" w:cs="Times New Roman"/>
                              </w:rPr>
                              <w:t xml:space="preserve">84 </w:t>
                            </w:r>
                          </w:p>
                        </w:tc>
                        <w:tc>
                          <w:tcPr>
                            <w:tcW w:w="1134" w:type="dxa"/>
                            <w:tcBorders>
                              <w:top w:val="nil"/>
                              <w:left w:val="nil"/>
                              <w:bottom w:val="single" w:sz="4" w:space="0" w:color="7F7F7F"/>
                              <w:right w:val="nil"/>
                            </w:tcBorders>
                          </w:tcPr>
                          <w:p w14:paraId="1D6779B3"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p w14:paraId="25B488B1"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45</w:t>
                            </w:r>
                            <w:r w:rsidR="000E0643">
                              <w:rPr>
                                <w:rFonts w:ascii="Times New Roman" w:hAnsi="Times New Roman" w:cs="Times New Roman"/>
                              </w:rPr>
                              <w:t>.</w:t>
                            </w:r>
                            <w:r w:rsidRPr="000E0643">
                              <w:rPr>
                                <w:rFonts w:ascii="Times New Roman" w:hAnsi="Times New Roman" w:cs="Times New Roman"/>
                              </w:rPr>
                              <w:t xml:space="preserve">13 </w:t>
                            </w:r>
                          </w:p>
                        </w:tc>
                        <w:tc>
                          <w:tcPr>
                            <w:tcW w:w="1276" w:type="dxa"/>
                            <w:tcBorders>
                              <w:top w:val="nil"/>
                              <w:left w:val="nil"/>
                              <w:bottom w:val="single" w:sz="4" w:space="0" w:color="7F7F7F"/>
                              <w:right w:val="nil"/>
                            </w:tcBorders>
                          </w:tcPr>
                          <w:p w14:paraId="19ECBEC7" w14:textId="77777777" w:rsidR="008169E9" w:rsidRPr="000E0643" w:rsidRDefault="008169E9" w:rsidP="008169E9">
                            <w:pPr>
                              <w:autoSpaceDE w:val="0"/>
                              <w:autoSpaceDN w:val="0"/>
                              <w:adjustRightInd w:val="0"/>
                              <w:spacing w:after="0" w:line="240" w:lineRule="auto"/>
                              <w:jc w:val="both"/>
                              <w:rPr>
                                <w:rFonts w:ascii="Times New Roman" w:hAnsi="Times New Roman" w:cs="Times New Roman"/>
                              </w:rPr>
                            </w:pPr>
                            <w:r w:rsidRPr="000E0643">
                              <w:rPr>
                                <w:rFonts w:ascii="Times New Roman" w:hAnsi="Times New Roman" w:cs="Times New Roman"/>
                              </w:rPr>
                              <w:t xml:space="preserve"> -----</w:t>
                            </w:r>
                          </w:p>
                        </w:tc>
                      </w:tr>
                    </w:tbl>
                    <w:p w14:paraId="2EFA90CF" w14:textId="77777777" w:rsidR="008169E9" w:rsidRDefault="008169E9"/>
                  </w:txbxContent>
                </v:textbox>
              </v:shape>
            </w:pict>
          </mc:Fallback>
        </mc:AlternateContent>
      </w:r>
    </w:p>
    <w:p w14:paraId="1115E1E6" w14:textId="77777777" w:rsidR="008169E9" w:rsidRPr="00A7364B" w:rsidRDefault="008169E9" w:rsidP="00ED3175">
      <w:pPr>
        <w:jc w:val="both"/>
        <w:rPr>
          <w:rFonts w:ascii="Arial" w:hAnsi="Arial" w:cs="Arial"/>
          <w:sz w:val="20"/>
          <w:szCs w:val="20"/>
          <w:lang w:val="en-US"/>
        </w:rPr>
      </w:pPr>
    </w:p>
    <w:p w14:paraId="0F87F0E0" w14:textId="77777777" w:rsidR="00E21332" w:rsidRPr="00A7364B" w:rsidRDefault="00E21332" w:rsidP="00ED3175">
      <w:pPr>
        <w:jc w:val="both"/>
        <w:rPr>
          <w:rFonts w:ascii="Arial" w:hAnsi="Arial" w:cs="Arial"/>
          <w:sz w:val="20"/>
          <w:szCs w:val="20"/>
          <w:lang w:val="en-US"/>
        </w:rPr>
      </w:pPr>
    </w:p>
    <w:p w14:paraId="6D307D51" w14:textId="77777777" w:rsidR="00E21332" w:rsidRPr="00A7364B" w:rsidRDefault="00E21332" w:rsidP="00ED3175">
      <w:pPr>
        <w:jc w:val="both"/>
        <w:rPr>
          <w:rFonts w:ascii="Arial" w:hAnsi="Arial" w:cs="Arial"/>
          <w:sz w:val="20"/>
          <w:szCs w:val="20"/>
          <w:lang w:val="en-US"/>
        </w:rPr>
      </w:pPr>
    </w:p>
    <w:p w14:paraId="78447240" w14:textId="77777777" w:rsidR="008169E9" w:rsidRPr="00A7364B" w:rsidRDefault="008169E9" w:rsidP="00ED3175">
      <w:pPr>
        <w:jc w:val="both"/>
        <w:rPr>
          <w:rFonts w:ascii="Arial" w:hAnsi="Arial" w:cs="Arial"/>
          <w:sz w:val="20"/>
          <w:szCs w:val="20"/>
          <w:lang w:val="en-US"/>
        </w:rPr>
      </w:pPr>
    </w:p>
    <w:p w14:paraId="74DFFBC1" w14:textId="77777777" w:rsidR="008169E9" w:rsidRPr="00A7364B" w:rsidRDefault="008169E9" w:rsidP="00ED3175">
      <w:pPr>
        <w:jc w:val="both"/>
        <w:rPr>
          <w:rFonts w:ascii="Arial" w:hAnsi="Arial" w:cs="Arial"/>
          <w:b/>
          <w:bCs/>
          <w:lang w:val="en-US"/>
        </w:rPr>
      </w:pPr>
      <w:r w:rsidRPr="00A7364B">
        <w:rPr>
          <w:rFonts w:ascii="Arial" w:hAnsi="Arial" w:cs="Arial"/>
          <w:b/>
          <w:bCs/>
          <w:lang w:val="en-US"/>
        </w:rPr>
        <w:t xml:space="preserve">2.6. Enrichment Factor and Geoaccumulation Index </w:t>
      </w:r>
    </w:p>
    <w:p w14:paraId="4FCA1AB7" w14:textId="77777777" w:rsidR="008169E9" w:rsidRPr="00A7364B" w:rsidRDefault="008169E9" w:rsidP="00ED3175">
      <w:pPr>
        <w:jc w:val="both"/>
        <w:rPr>
          <w:rFonts w:ascii="Arial" w:hAnsi="Arial" w:cs="Arial"/>
          <w:sz w:val="20"/>
          <w:szCs w:val="20"/>
          <w:lang w:val="en-US"/>
        </w:rPr>
      </w:pPr>
      <w:r w:rsidRPr="00A7364B">
        <w:rPr>
          <w:rFonts w:ascii="Arial" w:hAnsi="Arial"/>
          <w:sz w:val="20"/>
        </w:rPr>
        <w:t>The impact of metal pollutants on sediment quality can also be assessed by calculating the enrichment factor (EF) and the geoaccumulation index (Igeo). These two parameters make it possible to quantify the extent of metal pollution.</w:t>
      </w:r>
    </w:p>
    <w:p w14:paraId="176FC536" w14:textId="77777777" w:rsidR="00CE2DFA" w:rsidRPr="00A7364B" w:rsidRDefault="00CE2DFA" w:rsidP="00ED3175">
      <w:pPr>
        <w:jc w:val="both"/>
        <w:rPr>
          <w:rFonts w:ascii="Arial" w:hAnsi="Arial" w:cs="Arial"/>
          <w:sz w:val="20"/>
          <w:szCs w:val="20"/>
          <w:lang w:val="en-US"/>
        </w:rPr>
      </w:pPr>
    </w:p>
    <w:p w14:paraId="35ED5D38" w14:textId="77777777" w:rsidR="008169E9" w:rsidRPr="00A7364B" w:rsidRDefault="008169E9" w:rsidP="00ED3175">
      <w:pPr>
        <w:jc w:val="both"/>
        <w:rPr>
          <w:rFonts w:ascii="Arial" w:hAnsi="Arial" w:cs="Arial"/>
          <w:sz w:val="20"/>
          <w:szCs w:val="20"/>
          <w:lang w:val="en-US"/>
        </w:rPr>
      </w:pPr>
      <w:r w:rsidRPr="00A7364B">
        <w:rPr>
          <w:rFonts w:ascii="Arial" w:hAnsi="Arial" w:cs="Arial"/>
          <w:sz w:val="20"/>
          <w:szCs w:val="20"/>
        </w:rPr>
        <w:lastRenderedPageBreak/>
        <w:sym w:font="Symbol" w:char="F0A7"/>
      </w:r>
      <w:r w:rsidRPr="00A7364B">
        <w:rPr>
          <w:rFonts w:ascii="Arial" w:hAnsi="Arial" w:cs="Arial"/>
          <w:sz w:val="20"/>
          <w:szCs w:val="20"/>
          <w:lang w:val="en-US"/>
        </w:rPr>
        <w:t xml:space="preserve"> Enrichment factor </w:t>
      </w:r>
    </w:p>
    <w:p w14:paraId="6E1DF473" w14:textId="77777777" w:rsidR="008169E9" w:rsidRPr="00A7364B" w:rsidRDefault="008169E9" w:rsidP="00ED3175">
      <w:pPr>
        <w:jc w:val="both"/>
        <w:rPr>
          <w:rFonts w:ascii="Arial" w:hAnsi="Arial" w:cs="Arial"/>
          <w:sz w:val="20"/>
          <w:szCs w:val="20"/>
          <w:lang w:val="en-US"/>
        </w:rPr>
      </w:pPr>
      <w:r w:rsidRPr="00A7364B">
        <w:rPr>
          <w:rFonts w:ascii="Arial" w:hAnsi="Arial"/>
          <w:sz w:val="20"/>
        </w:rPr>
        <w:t>The principle of the EF is to compare the concentration of the element in the sediment with its natural concentration in the geochemical background of the study area (Tessier, 2012). The enrichment factor (EF) indicates the increase in the concentration of a chemical element in a sediment relative to a reference. The normalisation element selected for this study is iron. The concentrations of trace metal elements in the continental crust reported by Wedepohl (1995) were chosen as the geochemical background. The enrichment factor is calculated using the equation given by Sutherland (2000):</w:t>
      </w:r>
    </w:p>
    <w:p w14:paraId="0E37C815" w14:textId="77777777" w:rsidR="008169E9" w:rsidRPr="00A7364B" w:rsidRDefault="008169E9" w:rsidP="00ED3175">
      <w:pPr>
        <w:jc w:val="both"/>
        <w:rPr>
          <w:rFonts w:ascii="Arial" w:hAnsi="Arial" w:cs="Arial"/>
          <w:sz w:val="20"/>
          <w:szCs w:val="20"/>
          <w:lang w:val="en-US"/>
        </w:rPr>
      </w:pPr>
      <w:r w:rsidRPr="00A7364B">
        <w:rPr>
          <w:rFonts w:ascii="Arial" w:hAnsi="Arial" w:cs="Arial"/>
          <w:sz w:val="20"/>
          <w:szCs w:val="20"/>
          <w:lang w:val="en-US"/>
        </w:rPr>
        <w:t>EF = ([M] / [Fe]) exp / [M] / ([Fe]) ref</w:t>
      </w:r>
    </w:p>
    <w:p w14:paraId="0D037B1D" w14:textId="77777777" w:rsidR="00A21449" w:rsidRPr="00A7364B" w:rsidRDefault="00A21449" w:rsidP="00ED3175">
      <w:pPr>
        <w:jc w:val="both"/>
        <w:rPr>
          <w:rFonts w:ascii="Arial" w:hAnsi="Arial" w:cs="Arial"/>
          <w:sz w:val="20"/>
          <w:szCs w:val="20"/>
          <w:lang w:val="en-US"/>
        </w:rPr>
      </w:pPr>
      <w:r w:rsidRPr="00A7364B">
        <w:rPr>
          <w:rFonts w:ascii="Arial" w:hAnsi="Arial"/>
          <w:sz w:val="20"/>
        </w:rPr>
        <w:t>Where: [M] is the concentration of element M in the sample, [Fe] is the concentration of iron in the sample, [M] is the concentration of element M in the geochemical background, and [Fe] is the concentration of iron in the geochemical background. Enrichment factor values allow the definition of five enrichment classes (Sutherland, 2000):</w:t>
      </w:r>
    </w:p>
    <w:p w14:paraId="5996C4D3" w14:textId="77777777" w:rsidR="00A21449" w:rsidRPr="00A7364B" w:rsidRDefault="00A21449" w:rsidP="00ED3175">
      <w:pPr>
        <w:jc w:val="both"/>
        <w:rPr>
          <w:rFonts w:ascii="Arial" w:hAnsi="Arial" w:cs="Arial"/>
          <w:sz w:val="20"/>
          <w:szCs w:val="20"/>
          <w:lang w:val="en-US"/>
        </w:rPr>
      </w:pPr>
      <w:r w:rsidRPr="00A7364B">
        <w:rPr>
          <w:rFonts w:ascii="Arial" w:hAnsi="Arial" w:cs="Arial"/>
          <w:sz w:val="20"/>
          <w:szCs w:val="20"/>
          <w:lang w:val="en-US"/>
        </w:rPr>
        <w:t xml:space="preserve">FE ˂ 2, no or low enrichment; </w:t>
      </w:r>
    </w:p>
    <w:p w14:paraId="0809C2D3" w14:textId="77777777" w:rsidR="00A21449" w:rsidRPr="00A7364B" w:rsidRDefault="00A21449" w:rsidP="00ED3175">
      <w:pPr>
        <w:jc w:val="both"/>
        <w:rPr>
          <w:rFonts w:ascii="Arial" w:hAnsi="Arial" w:cs="Arial"/>
          <w:sz w:val="20"/>
          <w:szCs w:val="20"/>
          <w:lang w:val="en-US"/>
        </w:rPr>
      </w:pPr>
      <w:r w:rsidRPr="00A7364B">
        <w:rPr>
          <w:rFonts w:ascii="Arial" w:hAnsi="Arial" w:cs="Arial"/>
          <w:sz w:val="20"/>
          <w:szCs w:val="20"/>
          <w:lang w:val="en-US"/>
        </w:rPr>
        <w:t>2 &lt; FE ˂ 5, moderate enrichment;</w:t>
      </w:r>
    </w:p>
    <w:p w14:paraId="7983C8E7" w14:textId="77777777" w:rsidR="00A21449" w:rsidRPr="00A7364B" w:rsidRDefault="00A21449" w:rsidP="00ED3175">
      <w:pPr>
        <w:jc w:val="both"/>
        <w:rPr>
          <w:rFonts w:ascii="Arial" w:hAnsi="Arial" w:cs="Arial"/>
          <w:sz w:val="20"/>
          <w:szCs w:val="20"/>
          <w:lang w:val="en-US"/>
        </w:rPr>
      </w:pPr>
      <w:r w:rsidRPr="00A7364B">
        <w:rPr>
          <w:rFonts w:ascii="Arial" w:hAnsi="Arial" w:cs="Arial"/>
          <w:sz w:val="20"/>
          <w:szCs w:val="20"/>
          <w:lang w:val="en-US"/>
        </w:rPr>
        <w:t xml:space="preserve">5 &lt; FE ˂ 20, significant enrichment; </w:t>
      </w:r>
    </w:p>
    <w:p w14:paraId="4FBF4538" w14:textId="77777777" w:rsidR="00A21449" w:rsidRPr="00A7364B" w:rsidRDefault="00A21449" w:rsidP="00ED3175">
      <w:pPr>
        <w:jc w:val="both"/>
        <w:rPr>
          <w:rFonts w:ascii="Arial" w:hAnsi="Arial" w:cs="Arial"/>
          <w:sz w:val="20"/>
          <w:szCs w:val="20"/>
          <w:lang w:val="en-US"/>
        </w:rPr>
      </w:pPr>
      <w:r w:rsidRPr="00A7364B">
        <w:rPr>
          <w:rFonts w:ascii="Arial" w:hAnsi="Arial" w:cs="Arial"/>
          <w:sz w:val="20"/>
          <w:szCs w:val="20"/>
          <w:lang w:val="en-US"/>
        </w:rPr>
        <w:t>20 &lt; FE ˂ 40, very high enrichment; and</w:t>
      </w:r>
    </w:p>
    <w:p w14:paraId="77CF668F" w14:textId="77777777" w:rsidR="00A21449" w:rsidRPr="00A7364B" w:rsidRDefault="00A21449" w:rsidP="00ED3175">
      <w:pPr>
        <w:jc w:val="both"/>
        <w:rPr>
          <w:rFonts w:ascii="Arial" w:hAnsi="Arial" w:cs="Arial"/>
          <w:sz w:val="20"/>
          <w:szCs w:val="20"/>
          <w:lang w:val="en-US"/>
        </w:rPr>
      </w:pPr>
      <w:r w:rsidRPr="00A7364B">
        <w:rPr>
          <w:rFonts w:ascii="Arial" w:hAnsi="Arial" w:cs="Arial"/>
          <w:sz w:val="20"/>
          <w:szCs w:val="20"/>
          <w:lang w:val="en-US"/>
        </w:rPr>
        <w:t>FE &gt; 40, extreme enrichment.</w:t>
      </w:r>
    </w:p>
    <w:p w14:paraId="6A9E6765" w14:textId="77777777" w:rsidR="00A21449" w:rsidRPr="00A7364B" w:rsidRDefault="00A21449" w:rsidP="00ED3175">
      <w:pPr>
        <w:jc w:val="both"/>
        <w:rPr>
          <w:rFonts w:ascii="Arial" w:hAnsi="Arial" w:cs="Arial"/>
          <w:sz w:val="20"/>
          <w:szCs w:val="20"/>
          <w:lang w:val="en-US"/>
        </w:rPr>
      </w:pPr>
      <w:r w:rsidRPr="00A7364B">
        <w:rPr>
          <w:rFonts w:ascii="Arial" w:hAnsi="Arial" w:cs="Arial"/>
          <w:sz w:val="20"/>
          <w:szCs w:val="20"/>
        </w:rPr>
        <w:sym w:font="Symbol" w:char="F0A7"/>
      </w:r>
      <w:r w:rsidRPr="00A7364B">
        <w:rPr>
          <w:rFonts w:ascii="Arial" w:hAnsi="Arial" w:cs="Arial"/>
          <w:sz w:val="20"/>
          <w:szCs w:val="20"/>
          <w:lang w:val="en-US"/>
        </w:rPr>
        <w:t xml:space="preserve"> Geoaccumulation Index</w:t>
      </w:r>
    </w:p>
    <w:p w14:paraId="59F179D0" w14:textId="77777777" w:rsidR="00A21449" w:rsidRPr="00A7364B" w:rsidRDefault="00A21449" w:rsidP="00ED3175">
      <w:pPr>
        <w:jc w:val="both"/>
        <w:rPr>
          <w:rFonts w:ascii="Arial" w:hAnsi="Arial" w:cs="Arial"/>
          <w:sz w:val="20"/>
          <w:szCs w:val="20"/>
          <w:lang w:val="en-US"/>
        </w:rPr>
      </w:pPr>
      <w:r w:rsidRPr="00A7364B">
        <w:rPr>
          <w:rFonts w:ascii="Arial" w:hAnsi="Arial"/>
          <w:sz w:val="20"/>
        </w:rPr>
        <w:t>Defined by Müller (1969), the geoaccumulation index is a second criterion for assessing the intensity of metal pollution. This index compares a given concentration with a value considered to represent the geochemical background. The geoaccumulation index (Igeo) is used to calculate pollution intensity. This index comprises seven classes that determine degrees of pollution. It includes various degrees of pollution, ranging from natural levels, indicating the absence of pollution, to highly polluted sediments. Elements in class 6 (Igeo &gt; 5) show enrichment 100 times higher than the geochemical background (Tessier, 2012). The index is determined using the equation of Müller (1981):</w:t>
      </w:r>
    </w:p>
    <w:p w14:paraId="1FDAFE86" w14:textId="77777777" w:rsidR="00A21449" w:rsidRPr="00A7364B" w:rsidRDefault="00A21449" w:rsidP="00ED3175">
      <w:pPr>
        <w:jc w:val="both"/>
        <w:rPr>
          <w:rFonts w:ascii="Arial" w:hAnsi="Arial" w:cs="Arial"/>
          <w:sz w:val="20"/>
          <w:szCs w:val="20"/>
          <w:lang w:val="en-US"/>
        </w:rPr>
      </w:pPr>
      <w:r w:rsidRPr="00A7364B">
        <w:rPr>
          <w:rFonts w:ascii="Arial" w:hAnsi="Arial" w:cs="Arial"/>
          <w:sz w:val="20"/>
          <w:szCs w:val="20"/>
          <w:lang w:val="en-US"/>
        </w:rPr>
        <w:t>Igeo = Log2 (Cn / 1.5 Bn)</w:t>
      </w:r>
    </w:p>
    <w:p w14:paraId="2F632BFA" w14:textId="77777777" w:rsidR="00A21449" w:rsidRPr="00A7364B" w:rsidRDefault="00A21449" w:rsidP="00ED3175">
      <w:pPr>
        <w:jc w:val="both"/>
        <w:rPr>
          <w:rFonts w:ascii="Arial" w:hAnsi="Arial" w:cs="Arial"/>
          <w:sz w:val="20"/>
          <w:szCs w:val="20"/>
          <w:lang w:val="en-US"/>
        </w:rPr>
      </w:pPr>
      <w:r w:rsidRPr="00A7364B">
        <w:rPr>
          <w:rFonts w:ascii="Arial" w:hAnsi="Arial"/>
          <w:sz w:val="20"/>
        </w:rPr>
        <w:t>Where: Cn is the concentration of the element in the sediment, Bn is the geochemical background concentration for element n, and 1.5 is the correction factor.</w:t>
      </w:r>
    </w:p>
    <w:p w14:paraId="0A9AF2BC" w14:textId="77777777" w:rsidR="00A21449" w:rsidRPr="00A7364B" w:rsidRDefault="00A21449" w:rsidP="00ED3175">
      <w:pPr>
        <w:jc w:val="both"/>
        <w:rPr>
          <w:rFonts w:ascii="Arial" w:hAnsi="Arial" w:cs="Arial"/>
          <w:sz w:val="20"/>
          <w:szCs w:val="20"/>
          <w:lang w:val="en-US"/>
        </w:rPr>
      </w:pPr>
    </w:p>
    <w:p w14:paraId="755ED2C3" w14:textId="77777777" w:rsidR="00A21449" w:rsidRPr="00A7364B" w:rsidRDefault="00A21449" w:rsidP="00ED3175">
      <w:pPr>
        <w:jc w:val="both"/>
        <w:rPr>
          <w:rFonts w:ascii="Arial" w:hAnsi="Arial" w:cs="Arial"/>
          <w:sz w:val="20"/>
          <w:szCs w:val="20"/>
        </w:rPr>
      </w:pPr>
      <w:r w:rsidRPr="00A7364B">
        <w:rPr>
          <w:rFonts w:ascii="Arial" w:hAnsi="Arial" w:cs="Arial"/>
          <w:b/>
          <w:bCs/>
          <w:sz w:val="20"/>
          <w:szCs w:val="20"/>
        </w:rPr>
        <w:t>Table 3</w:t>
      </w:r>
      <w:r w:rsidRPr="00A7364B">
        <w:rPr>
          <w:rFonts w:ascii="Arial" w:hAnsi="Arial" w:cs="Arial"/>
          <w:sz w:val="20"/>
          <w:szCs w:val="20"/>
        </w:rPr>
        <w:t>—Müller's Classification</w:t>
      </w:r>
      <w:r w:rsidR="00161AA5" w:rsidRPr="00A7364B">
        <w:rPr>
          <w:rFonts w:ascii="Arial" w:hAnsi="Arial" w:cs="Arial"/>
          <w:sz w:val="20"/>
          <w:szCs w:val="20"/>
        </w:rPr>
        <w:t xml:space="preserve"> (</w:t>
      </w:r>
      <w:r w:rsidR="00161AA5" w:rsidRPr="00A7364B">
        <w:rPr>
          <w:rFonts w:ascii="Arial" w:hAnsi="Arial" w:cs="Arial"/>
          <w:sz w:val="20"/>
          <w:szCs w:val="20"/>
          <w:lang w:val="en-US"/>
        </w:rPr>
        <w:t>Müller, 1969)</w:t>
      </w:r>
    </w:p>
    <w:tbl>
      <w:tblPr>
        <w:tblW w:w="5015" w:type="pct"/>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4543"/>
        <w:gridCol w:w="4891"/>
      </w:tblGrid>
      <w:tr w:rsidR="00A21449" w:rsidRPr="00A7364B" w14:paraId="50A7348A" w14:textId="77777777" w:rsidTr="00130DBC">
        <w:trPr>
          <w:trHeight w:val="267"/>
        </w:trPr>
        <w:tc>
          <w:tcPr>
            <w:tcW w:w="2408" w:type="pct"/>
            <w:tcBorders>
              <w:bottom w:val="single" w:sz="4" w:space="0" w:color="auto"/>
            </w:tcBorders>
            <w:shd w:val="clear" w:color="000000" w:fill="FFFFFF"/>
            <w:noWrap/>
            <w:vAlign w:val="center"/>
            <w:hideMark/>
          </w:tcPr>
          <w:p w14:paraId="51C87315" w14:textId="77777777" w:rsidR="00A21449" w:rsidRPr="00A7364B" w:rsidRDefault="00F13C7D" w:rsidP="00ED3175">
            <w:pPr>
              <w:spacing w:line="276" w:lineRule="auto"/>
              <w:jc w:val="both"/>
              <w:rPr>
                <w:rFonts w:ascii="Arial" w:hAnsi="Arial" w:cs="Arial"/>
                <w:b/>
                <w:bCs/>
                <w:color w:val="000000"/>
                <w:sz w:val="20"/>
                <w:szCs w:val="20"/>
              </w:rPr>
            </w:pPr>
            <w:r w:rsidRPr="00A7364B">
              <w:rPr>
                <w:rFonts w:ascii="Arial" w:hAnsi="Arial" w:cs="Arial"/>
                <w:b/>
                <w:bCs/>
                <w:color w:val="000000"/>
                <w:sz w:val="20"/>
                <w:szCs w:val="20"/>
              </w:rPr>
              <w:t>Geo-accumulation index class</w:t>
            </w:r>
          </w:p>
        </w:tc>
        <w:tc>
          <w:tcPr>
            <w:tcW w:w="2592" w:type="pct"/>
            <w:tcBorders>
              <w:bottom w:val="single" w:sz="4" w:space="0" w:color="auto"/>
            </w:tcBorders>
            <w:shd w:val="clear" w:color="000000" w:fill="FFFFFF"/>
            <w:vAlign w:val="center"/>
          </w:tcPr>
          <w:p w14:paraId="11F3CA5E" w14:textId="77777777" w:rsidR="00A21449" w:rsidRPr="00A7364B" w:rsidRDefault="00F13C7D" w:rsidP="00ED3175">
            <w:pPr>
              <w:spacing w:line="276" w:lineRule="auto"/>
              <w:jc w:val="both"/>
              <w:rPr>
                <w:rFonts w:ascii="Arial" w:hAnsi="Arial" w:cs="Arial"/>
                <w:b/>
                <w:bCs/>
                <w:color w:val="000000"/>
                <w:sz w:val="20"/>
                <w:szCs w:val="20"/>
              </w:rPr>
            </w:pPr>
            <w:r w:rsidRPr="00A7364B">
              <w:rPr>
                <w:rFonts w:ascii="Arial" w:hAnsi="Arial" w:cs="Arial"/>
                <w:b/>
                <w:bCs/>
                <w:color w:val="000000"/>
                <w:sz w:val="20"/>
                <w:szCs w:val="20"/>
              </w:rPr>
              <w:t>Pollution intensity</w:t>
            </w:r>
          </w:p>
        </w:tc>
      </w:tr>
      <w:tr w:rsidR="00A21449" w:rsidRPr="00A7364B" w14:paraId="1420693C" w14:textId="77777777" w:rsidTr="00130DBC">
        <w:trPr>
          <w:trHeight w:val="267"/>
        </w:trPr>
        <w:tc>
          <w:tcPr>
            <w:tcW w:w="2408" w:type="pct"/>
            <w:tcBorders>
              <w:top w:val="single" w:sz="4" w:space="0" w:color="auto"/>
              <w:bottom w:val="nil"/>
            </w:tcBorders>
            <w:shd w:val="clear" w:color="000000" w:fill="FFFFFF"/>
            <w:noWrap/>
            <w:vAlign w:val="center"/>
            <w:hideMark/>
          </w:tcPr>
          <w:p w14:paraId="39977B68" w14:textId="77777777" w:rsidR="00A21449" w:rsidRPr="00A7364B" w:rsidRDefault="00A21449" w:rsidP="00ED3175">
            <w:pPr>
              <w:spacing w:line="276" w:lineRule="auto"/>
              <w:jc w:val="both"/>
              <w:rPr>
                <w:rFonts w:ascii="Arial" w:hAnsi="Arial" w:cs="Arial"/>
                <w:color w:val="000000"/>
                <w:sz w:val="20"/>
                <w:szCs w:val="20"/>
              </w:rPr>
            </w:pPr>
            <w:r w:rsidRPr="00A7364B">
              <w:rPr>
                <w:rFonts w:ascii="Arial" w:hAnsi="Arial" w:cs="Arial"/>
                <w:color w:val="000000"/>
                <w:sz w:val="20"/>
                <w:szCs w:val="20"/>
              </w:rPr>
              <w:t>Igeo ˂ 0</w:t>
            </w:r>
          </w:p>
        </w:tc>
        <w:tc>
          <w:tcPr>
            <w:tcW w:w="2592" w:type="pct"/>
            <w:tcBorders>
              <w:top w:val="single" w:sz="4" w:space="0" w:color="auto"/>
              <w:bottom w:val="nil"/>
            </w:tcBorders>
            <w:shd w:val="clear" w:color="000000" w:fill="FFFFFF"/>
            <w:noWrap/>
            <w:vAlign w:val="center"/>
            <w:hideMark/>
          </w:tcPr>
          <w:p w14:paraId="0366267E" w14:textId="77777777" w:rsidR="001C5797" w:rsidRPr="00A7364B" w:rsidRDefault="001C5797" w:rsidP="00ED3175">
            <w:pPr>
              <w:spacing w:line="240" w:lineRule="auto"/>
              <w:jc w:val="both"/>
              <w:rPr>
                <w:rFonts w:ascii="Arial" w:hAnsi="Arial" w:cs="Arial"/>
                <w:sz w:val="20"/>
                <w:szCs w:val="20"/>
                <w:lang w:val="en-US"/>
              </w:rPr>
            </w:pPr>
            <w:r w:rsidRPr="00A7364B">
              <w:rPr>
                <w:rFonts w:ascii="Arial" w:hAnsi="Arial" w:cs="Arial"/>
                <w:sz w:val="20"/>
                <w:szCs w:val="20"/>
                <w:lang w:val="en-US"/>
              </w:rPr>
              <w:t>No pollution</w:t>
            </w:r>
          </w:p>
          <w:p w14:paraId="00DF5DDC" w14:textId="77777777" w:rsidR="00A21449" w:rsidRPr="00A7364B" w:rsidRDefault="00A21449" w:rsidP="00ED3175">
            <w:pPr>
              <w:spacing w:line="240" w:lineRule="auto"/>
              <w:jc w:val="both"/>
              <w:rPr>
                <w:rFonts w:ascii="Arial" w:hAnsi="Arial" w:cs="Arial"/>
                <w:color w:val="000000"/>
                <w:sz w:val="20"/>
                <w:szCs w:val="20"/>
              </w:rPr>
            </w:pPr>
          </w:p>
        </w:tc>
      </w:tr>
      <w:tr w:rsidR="00A21449" w:rsidRPr="00A7364B" w14:paraId="31021446" w14:textId="77777777" w:rsidTr="00130DBC">
        <w:trPr>
          <w:trHeight w:val="267"/>
        </w:trPr>
        <w:tc>
          <w:tcPr>
            <w:tcW w:w="2408" w:type="pct"/>
            <w:tcBorders>
              <w:top w:val="nil"/>
              <w:bottom w:val="nil"/>
            </w:tcBorders>
            <w:shd w:val="clear" w:color="000000" w:fill="FFFFFF"/>
            <w:noWrap/>
            <w:vAlign w:val="center"/>
            <w:hideMark/>
          </w:tcPr>
          <w:p w14:paraId="3A71F1FF" w14:textId="77777777" w:rsidR="00A21449" w:rsidRPr="00A7364B" w:rsidRDefault="00A21449" w:rsidP="00ED3175">
            <w:pPr>
              <w:spacing w:line="276" w:lineRule="auto"/>
              <w:jc w:val="both"/>
              <w:rPr>
                <w:rFonts w:ascii="Arial" w:hAnsi="Arial" w:cs="Arial"/>
                <w:color w:val="000000"/>
                <w:sz w:val="20"/>
                <w:szCs w:val="20"/>
              </w:rPr>
            </w:pPr>
            <w:r w:rsidRPr="00A7364B">
              <w:rPr>
                <w:rFonts w:ascii="Arial" w:hAnsi="Arial" w:cs="Arial"/>
                <w:color w:val="000000"/>
                <w:sz w:val="20"/>
                <w:szCs w:val="20"/>
              </w:rPr>
              <w:t>0 ˂ Igeo ˂ 1</w:t>
            </w:r>
          </w:p>
        </w:tc>
        <w:tc>
          <w:tcPr>
            <w:tcW w:w="2592" w:type="pct"/>
            <w:tcBorders>
              <w:top w:val="nil"/>
              <w:bottom w:val="nil"/>
            </w:tcBorders>
            <w:shd w:val="clear" w:color="000000" w:fill="FFFFFF"/>
            <w:noWrap/>
            <w:vAlign w:val="center"/>
            <w:hideMark/>
          </w:tcPr>
          <w:p w14:paraId="405DA8C1" w14:textId="77777777" w:rsidR="001C5797" w:rsidRPr="00A7364B" w:rsidRDefault="001C5797" w:rsidP="00ED3175">
            <w:pPr>
              <w:spacing w:line="240" w:lineRule="auto"/>
              <w:jc w:val="both"/>
              <w:rPr>
                <w:rFonts w:ascii="Arial" w:hAnsi="Arial" w:cs="Arial"/>
                <w:sz w:val="20"/>
                <w:szCs w:val="20"/>
                <w:lang w:val="en-US"/>
              </w:rPr>
            </w:pPr>
            <w:r w:rsidRPr="00A7364B">
              <w:rPr>
                <w:rFonts w:ascii="Arial" w:hAnsi="Arial" w:cs="Arial"/>
                <w:sz w:val="20"/>
                <w:szCs w:val="20"/>
                <w:lang w:val="en-US"/>
              </w:rPr>
              <w:t>Not polluted to moderately polluted</w:t>
            </w:r>
          </w:p>
          <w:p w14:paraId="641FBF7D" w14:textId="77777777" w:rsidR="00A21449" w:rsidRPr="00A7364B" w:rsidRDefault="00A21449" w:rsidP="00ED3175">
            <w:pPr>
              <w:spacing w:line="240" w:lineRule="auto"/>
              <w:jc w:val="both"/>
              <w:rPr>
                <w:rFonts w:ascii="Arial" w:hAnsi="Arial" w:cs="Arial"/>
                <w:color w:val="000000"/>
                <w:sz w:val="20"/>
                <w:szCs w:val="20"/>
              </w:rPr>
            </w:pPr>
          </w:p>
        </w:tc>
      </w:tr>
      <w:tr w:rsidR="00A21449" w:rsidRPr="00A7364B" w14:paraId="44CC5EF4" w14:textId="77777777" w:rsidTr="00130DBC">
        <w:trPr>
          <w:trHeight w:val="267"/>
        </w:trPr>
        <w:tc>
          <w:tcPr>
            <w:tcW w:w="2408" w:type="pct"/>
            <w:tcBorders>
              <w:top w:val="nil"/>
              <w:bottom w:val="nil"/>
            </w:tcBorders>
            <w:shd w:val="clear" w:color="000000" w:fill="FFFFFF"/>
            <w:noWrap/>
            <w:vAlign w:val="center"/>
            <w:hideMark/>
          </w:tcPr>
          <w:p w14:paraId="37D0908E" w14:textId="77777777" w:rsidR="00A21449" w:rsidRPr="00A7364B" w:rsidRDefault="00A21449" w:rsidP="00ED3175">
            <w:pPr>
              <w:spacing w:line="276" w:lineRule="auto"/>
              <w:jc w:val="both"/>
              <w:rPr>
                <w:rFonts w:ascii="Arial" w:hAnsi="Arial" w:cs="Arial"/>
                <w:color w:val="000000"/>
                <w:sz w:val="20"/>
                <w:szCs w:val="20"/>
              </w:rPr>
            </w:pPr>
            <w:r w:rsidRPr="00A7364B">
              <w:rPr>
                <w:rFonts w:ascii="Arial" w:hAnsi="Arial" w:cs="Arial"/>
                <w:color w:val="000000"/>
                <w:sz w:val="20"/>
                <w:szCs w:val="20"/>
              </w:rPr>
              <w:t>1 ˂ Igeo ˂ 2</w:t>
            </w:r>
          </w:p>
        </w:tc>
        <w:tc>
          <w:tcPr>
            <w:tcW w:w="2592" w:type="pct"/>
            <w:tcBorders>
              <w:top w:val="nil"/>
              <w:bottom w:val="nil"/>
            </w:tcBorders>
            <w:shd w:val="clear" w:color="000000" w:fill="FFFFFF"/>
            <w:noWrap/>
            <w:vAlign w:val="center"/>
            <w:hideMark/>
          </w:tcPr>
          <w:p w14:paraId="57466A3B" w14:textId="77777777" w:rsidR="001C5797" w:rsidRPr="00A7364B" w:rsidRDefault="001C5797" w:rsidP="00ED3175">
            <w:pPr>
              <w:spacing w:line="240" w:lineRule="auto"/>
              <w:jc w:val="both"/>
              <w:rPr>
                <w:rFonts w:ascii="Arial" w:hAnsi="Arial" w:cs="Arial"/>
                <w:sz w:val="20"/>
                <w:szCs w:val="20"/>
                <w:lang w:val="en-US"/>
              </w:rPr>
            </w:pPr>
            <w:r w:rsidRPr="00A7364B">
              <w:rPr>
                <w:rFonts w:ascii="Arial" w:hAnsi="Arial" w:cs="Arial"/>
                <w:sz w:val="20"/>
                <w:szCs w:val="20"/>
                <w:lang w:val="en-US"/>
              </w:rPr>
              <w:t>Moderately polluted</w:t>
            </w:r>
          </w:p>
          <w:p w14:paraId="436640AF" w14:textId="77777777" w:rsidR="00A21449" w:rsidRPr="00A7364B" w:rsidRDefault="00A21449" w:rsidP="00ED3175">
            <w:pPr>
              <w:spacing w:line="240" w:lineRule="auto"/>
              <w:jc w:val="both"/>
              <w:rPr>
                <w:rFonts w:ascii="Arial" w:hAnsi="Arial" w:cs="Arial"/>
                <w:color w:val="000000"/>
                <w:sz w:val="20"/>
                <w:szCs w:val="20"/>
              </w:rPr>
            </w:pPr>
          </w:p>
        </w:tc>
      </w:tr>
      <w:tr w:rsidR="00A21449" w:rsidRPr="00A7364B" w14:paraId="0FB87CF0" w14:textId="77777777" w:rsidTr="00130DBC">
        <w:trPr>
          <w:trHeight w:val="267"/>
        </w:trPr>
        <w:tc>
          <w:tcPr>
            <w:tcW w:w="2408" w:type="pct"/>
            <w:tcBorders>
              <w:top w:val="nil"/>
              <w:bottom w:val="nil"/>
            </w:tcBorders>
            <w:shd w:val="clear" w:color="000000" w:fill="FFFFFF"/>
            <w:noWrap/>
            <w:vAlign w:val="center"/>
            <w:hideMark/>
          </w:tcPr>
          <w:p w14:paraId="6F638743" w14:textId="77777777" w:rsidR="00A21449" w:rsidRPr="00A7364B" w:rsidRDefault="00A21449" w:rsidP="00ED3175">
            <w:pPr>
              <w:spacing w:line="276" w:lineRule="auto"/>
              <w:jc w:val="both"/>
              <w:rPr>
                <w:rFonts w:ascii="Arial" w:hAnsi="Arial" w:cs="Arial"/>
                <w:color w:val="000000"/>
                <w:sz w:val="20"/>
                <w:szCs w:val="20"/>
              </w:rPr>
            </w:pPr>
            <w:r w:rsidRPr="00A7364B">
              <w:rPr>
                <w:rFonts w:ascii="Arial" w:hAnsi="Arial" w:cs="Arial"/>
                <w:color w:val="000000"/>
                <w:sz w:val="20"/>
                <w:szCs w:val="20"/>
              </w:rPr>
              <w:t>2 ˂ Igeo ˂ 3</w:t>
            </w:r>
          </w:p>
        </w:tc>
        <w:tc>
          <w:tcPr>
            <w:tcW w:w="2592" w:type="pct"/>
            <w:tcBorders>
              <w:top w:val="nil"/>
              <w:bottom w:val="nil"/>
            </w:tcBorders>
            <w:shd w:val="clear" w:color="000000" w:fill="FFFFFF"/>
            <w:noWrap/>
            <w:vAlign w:val="center"/>
            <w:hideMark/>
          </w:tcPr>
          <w:p w14:paraId="58490043" w14:textId="77777777" w:rsidR="001C5797" w:rsidRPr="00A7364B" w:rsidRDefault="001C5797" w:rsidP="00ED3175">
            <w:pPr>
              <w:spacing w:line="240" w:lineRule="auto"/>
              <w:jc w:val="both"/>
              <w:rPr>
                <w:rFonts w:ascii="Arial" w:hAnsi="Arial" w:cs="Arial"/>
                <w:sz w:val="20"/>
                <w:szCs w:val="20"/>
                <w:lang w:val="en-US"/>
              </w:rPr>
            </w:pPr>
            <w:r w:rsidRPr="00A7364B">
              <w:rPr>
                <w:rFonts w:ascii="Arial" w:hAnsi="Arial" w:cs="Arial"/>
                <w:sz w:val="20"/>
                <w:szCs w:val="20"/>
                <w:lang w:val="en-US"/>
              </w:rPr>
              <w:t>Moderately polluted to heavily polluted</w:t>
            </w:r>
          </w:p>
          <w:p w14:paraId="039BEBFA" w14:textId="77777777" w:rsidR="00A21449" w:rsidRPr="00A7364B" w:rsidRDefault="00A21449" w:rsidP="00ED3175">
            <w:pPr>
              <w:spacing w:line="240" w:lineRule="auto"/>
              <w:jc w:val="both"/>
              <w:rPr>
                <w:rFonts w:ascii="Arial" w:hAnsi="Arial" w:cs="Arial"/>
                <w:color w:val="000000"/>
                <w:sz w:val="20"/>
                <w:szCs w:val="20"/>
              </w:rPr>
            </w:pPr>
          </w:p>
        </w:tc>
      </w:tr>
      <w:tr w:rsidR="00A21449" w:rsidRPr="00A7364B" w14:paraId="5F0F29DC" w14:textId="77777777" w:rsidTr="00130DBC">
        <w:trPr>
          <w:trHeight w:val="267"/>
        </w:trPr>
        <w:tc>
          <w:tcPr>
            <w:tcW w:w="2408" w:type="pct"/>
            <w:tcBorders>
              <w:top w:val="nil"/>
            </w:tcBorders>
            <w:shd w:val="clear" w:color="000000" w:fill="FFFFFF"/>
            <w:noWrap/>
            <w:vAlign w:val="center"/>
            <w:hideMark/>
          </w:tcPr>
          <w:p w14:paraId="339DAF9F" w14:textId="77777777" w:rsidR="00A21449" w:rsidRPr="00A7364B" w:rsidRDefault="00A21449" w:rsidP="00ED3175">
            <w:pPr>
              <w:spacing w:line="276" w:lineRule="auto"/>
              <w:jc w:val="both"/>
              <w:rPr>
                <w:rFonts w:ascii="Arial" w:hAnsi="Arial" w:cs="Arial"/>
                <w:color w:val="000000"/>
                <w:sz w:val="20"/>
                <w:szCs w:val="20"/>
              </w:rPr>
            </w:pPr>
            <w:r w:rsidRPr="00A7364B">
              <w:rPr>
                <w:rFonts w:ascii="Arial" w:hAnsi="Arial" w:cs="Arial"/>
                <w:color w:val="000000"/>
                <w:sz w:val="20"/>
                <w:szCs w:val="20"/>
              </w:rPr>
              <w:t>3 ˂ Igeo ˂ 4</w:t>
            </w:r>
          </w:p>
        </w:tc>
        <w:tc>
          <w:tcPr>
            <w:tcW w:w="2592" w:type="pct"/>
            <w:tcBorders>
              <w:top w:val="nil"/>
            </w:tcBorders>
            <w:shd w:val="clear" w:color="000000" w:fill="FFFFFF"/>
            <w:noWrap/>
            <w:vAlign w:val="center"/>
            <w:hideMark/>
          </w:tcPr>
          <w:p w14:paraId="43673596" w14:textId="77777777" w:rsidR="001C5797" w:rsidRPr="00A7364B" w:rsidRDefault="001C5797" w:rsidP="00ED3175">
            <w:pPr>
              <w:spacing w:line="240" w:lineRule="auto"/>
              <w:jc w:val="both"/>
              <w:rPr>
                <w:rFonts w:ascii="Arial" w:hAnsi="Arial" w:cs="Arial"/>
                <w:sz w:val="20"/>
                <w:szCs w:val="20"/>
                <w:lang w:val="en-US"/>
              </w:rPr>
            </w:pPr>
            <w:r w:rsidRPr="00A7364B">
              <w:rPr>
                <w:rFonts w:ascii="Arial" w:hAnsi="Arial" w:cs="Arial"/>
                <w:sz w:val="20"/>
                <w:szCs w:val="20"/>
                <w:lang w:val="en-US"/>
              </w:rPr>
              <w:t>Heavily polluted</w:t>
            </w:r>
          </w:p>
          <w:p w14:paraId="697F98A0" w14:textId="77777777" w:rsidR="00A21449" w:rsidRPr="00A7364B" w:rsidRDefault="00A21449" w:rsidP="00ED3175">
            <w:pPr>
              <w:spacing w:line="240" w:lineRule="auto"/>
              <w:jc w:val="both"/>
              <w:rPr>
                <w:rFonts w:ascii="Arial" w:hAnsi="Arial" w:cs="Arial"/>
                <w:color w:val="000000"/>
                <w:sz w:val="20"/>
                <w:szCs w:val="20"/>
              </w:rPr>
            </w:pPr>
          </w:p>
        </w:tc>
      </w:tr>
    </w:tbl>
    <w:p w14:paraId="63C5C0CD" w14:textId="77777777" w:rsidR="008169E9" w:rsidRPr="00A7364B" w:rsidRDefault="008169E9" w:rsidP="00ED3175">
      <w:pPr>
        <w:jc w:val="both"/>
        <w:rPr>
          <w:rFonts w:ascii="Arial" w:hAnsi="Arial" w:cs="Arial"/>
          <w:sz w:val="20"/>
          <w:szCs w:val="20"/>
          <w:lang w:val="en-US"/>
        </w:rPr>
      </w:pPr>
    </w:p>
    <w:p w14:paraId="3482572F" w14:textId="77777777" w:rsidR="00A21449" w:rsidRPr="00A7364B" w:rsidRDefault="00A21449" w:rsidP="00ED3175">
      <w:pPr>
        <w:jc w:val="both"/>
        <w:rPr>
          <w:rFonts w:ascii="Arial" w:hAnsi="Arial" w:cs="Arial"/>
          <w:b/>
          <w:bCs/>
          <w:lang w:val="en-US"/>
        </w:rPr>
      </w:pPr>
      <w:r w:rsidRPr="00A7364B">
        <w:rPr>
          <w:rFonts w:ascii="Arial" w:hAnsi="Arial" w:cs="Arial"/>
          <w:b/>
          <w:bCs/>
          <w:lang w:val="en-US"/>
        </w:rPr>
        <w:lastRenderedPageBreak/>
        <w:t>2.7. Sediment Quality Criteria</w:t>
      </w:r>
    </w:p>
    <w:p w14:paraId="07577055" w14:textId="77777777" w:rsidR="00A21449" w:rsidRPr="00A7364B" w:rsidRDefault="00A21449" w:rsidP="00ED3175">
      <w:pPr>
        <w:jc w:val="both"/>
        <w:rPr>
          <w:rFonts w:ascii="Arial" w:hAnsi="Arial" w:cs="Arial"/>
          <w:sz w:val="20"/>
          <w:szCs w:val="20"/>
          <w:lang w:val="en-US"/>
        </w:rPr>
      </w:pPr>
      <w:r w:rsidRPr="00A7364B">
        <w:rPr>
          <w:rFonts w:ascii="Arial" w:hAnsi="Arial"/>
          <w:sz w:val="20"/>
        </w:rPr>
        <w:t>Quality criteria are reference values used to assess the risks posed by in-situ sediments. They are derived as averages of various threshold effect concentrations (TECs) or probable effect concentrations (PECs). For this study, the TEC and PEC thresholds defined by MacDonald et al. (2000) were used. The TEC (threshold effect concentration) refers to the concentration limit of contaminants below which living organisms are not threatened. The PEC (probable effect concentration) represents contaminant concentrations above which contaminants have an effect on living organisms. Between the TEC and PEC values, sediment quality can be considered intermediate, but no clear conclusion can be drawn regarding the actual risk. When more than 75% of a metal's concentrations are below the reference TEC (MacDonald et al., 2000), that metal is considered to have no negative impact on the environment (MacDonald et al., 2000). If more than 75% of a metal's concentrations exceed the reference PECs, that metal is hazardous to living organisms.</w:t>
      </w:r>
    </w:p>
    <w:p w14:paraId="407D2094" w14:textId="77777777" w:rsidR="00A21449" w:rsidRPr="00A7364B" w:rsidRDefault="00A21449" w:rsidP="00ED3175">
      <w:pPr>
        <w:jc w:val="both"/>
        <w:rPr>
          <w:rFonts w:ascii="Arial" w:hAnsi="Arial" w:cs="Arial"/>
          <w:sz w:val="20"/>
          <w:szCs w:val="20"/>
          <w:lang w:val="en-US"/>
        </w:rPr>
      </w:pPr>
      <w:r w:rsidRPr="00A7364B">
        <w:rPr>
          <w:rFonts w:ascii="Arial" w:hAnsi="Arial"/>
          <w:b/>
          <w:sz w:val="20"/>
        </w:rPr>
        <w:t>Table 4—TEC and PEC Values (MacDonald et al., 2000)</w:t>
      </w:r>
    </w:p>
    <w:tbl>
      <w:tblPr>
        <w:tblStyle w:val="TableGrid"/>
        <w:tblW w:w="4560" w:type="pct"/>
        <w:tblInd w:w="0" w:type="dxa"/>
        <w:tblCellMar>
          <w:top w:w="9" w:type="dxa"/>
          <w:right w:w="115" w:type="dxa"/>
        </w:tblCellMar>
        <w:tblLook w:val="04A0" w:firstRow="1" w:lastRow="0" w:firstColumn="1" w:lastColumn="0" w:noHBand="0" w:noVBand="1"/>
      </w:tblPr>
      <w:tblGrid>
        <w:gridCol w:w="2628"/>
        <w:gridCol w:w="1057"/>
        <w:gridCol w:w="1057"/>
        <w:gridCol w:w="1060"/>
        <w:gridCol w:w="1115"/>
        <w:gridCol w:w="1661"/>
      </w:tblGrid>
      <w:tr w:rsidR="00A21449" w:rsidRPr="00A7364B" w14:paraId="62E1D082" w14:textId="77777777" w:rsidTr="00AB3053">
        <w:trPr>
          <w:trHeight w:val="20"/>
        </w:trPr>
        <w:tc>
          <w:tcPr>
            <w:tcW w:w="1532" w:type="pct"/>
            <w:tcBorders>
              <w:top w:val="single" w:sz="4" w:space="0" w:color="7F7F7F"/>
              <w:left w:val="nil"/>
              <w:bottom w:val="single" w:sz="4" w:space="0" w:color="7F7F7F"/>
              <w:right w:val="nil"/>
            </w:tcBorders>
            <w:vAlign w:val="center"/>
            <w:hideMark/>
          </w:tcPr>
          <w:p w14:paraId="1B57B458" w14:textId="77777777" w:rsidR="00A21449" w:rsidRPr="00A7364B" w:rsidRDefault="00A21449" w:rsidP="00AB3053">
            <w:pPr>
              <w:ind w:left="122"/>
              <w:jc w:val="both"/>
              <w:rPr>
                <w:rFonts w:ascii="Arial" w:hAnsi="Arial" w:cs="Arial"/>
                <w:sz w:val="20"/>
                <w:szCs w:val="20"/>
              </w:rPr>
            </w:pPr>
            <w:r w:rsidRPr="00A7364B">
              <w:rPr>
                <w:rFonts w:ascii="Arial" w:hAnsi="Arial" w:cs="Arial"/>
                <w:b/>
                <w:sz w:val="20"/>
                <w:szCs w:val="20"/>
              </w:rPr>
              <w:t>ETM</w:t>
            </w:r>
          </w:p>
        </w:tc>
        <w:tc>
          <w:tcPr>
            <w:tcW w:w="616" w:type="pct"/>
            <w:tcBorders>
              <w:top w:val="single" w:sz="4" w:space="0" w:color="7F7F7F"/>
              <w:left w:val="nil"/>
              <w:bottom w:val="single" w:sz="4" w:space="0" w:color="7F7F7F"/>
              <w:right w:val="nil"/>
            </w:tcBorders>
            <w:vAlign w:val="center"/>
            <w:hideMark/>
          </w:tcPr>
          <w:p w14:paraId="0EAE6100" w14:textId="77777777" w:rsidR="00A21449" w:rsidRPr="00A7364B" w:rsidRDefault="00A21449" w:rsidP="00AB3053">
            <w:pPr>
              <w:jc w:val="both"/>
              <w:rPr>
                <w:rFonts w:ascii="Arial" w:hAnsi="Arial" w:cs="Arial"/>
                <w:sz w:val="20"/>
                <w:szCs w:val="20"/>
              </w:rPr>
            </w:pPr>
            <w:r w:rsidRPr="00A7364B">
              <w:rPr>
                <w:rFonts w:ascii="Arial" w:hAnsi="Arial" w:cs="Arial"/>
                <w:b/>
                <w:sz w:val="20"/>
                <w:szCs w:val="20"/>
              </w:rPr>
              <w:t>Cu</w:t>
            </w:r>
          </w:p>
        </w:tc>
        <w:tc>
          <w:tcPr>
            <w:tcW w:w="616" w:type="pct"/>
            <w:tcBorders>
              <w:top w:val="single" w:sz="4" w:space="0" w:color="7F7F7F"/>
              <w:left w:val="nil"/>
              <w:bottom w:val="single" w:sz="4" w:space="0" w:color="7F7F7F"/>
              <w:right w:val="nil"/>
            </w:tcBorders>
            <w:vAlign w:val="center"/>
            <w:hideMark/>
          </w:tcPr>
          <w:p w14:paraId="52CBE5FC" w14:textId="77777777" w:rsidR="00A21449" w:rsidRPr="00A7364B" w:rsidRDefault="00A21449" w:rsidP="00AB3053">
            <w:pPr>
              <w:jc w:val="both"/>
              <w:rPr>
                <w:rFonts w:ascii="Arial" w:hAnsi="Arial" w:cs="Arial"/>
                <w:sz w:val="20"/>
                <w:szCs w:val="20"/>
              </w:rPr>
            </w:pPr>
            <w:r w:rsidRPr="00A7364B">
              <w:rPr>
                <w:rFonts w:ascii="Arial" w:hAnsi="Arial" w:cs="Arial"/>
                <w:b/>
                <w:sz w:val="20"/>
                <w:szCs w:val="20"/>
              </w:rPr>
              <w:t>Zn</w:t>
            </w:r>
          </w:p>
        </w:tc>
        <w:tc>
          <w:tcPr>
            <w:tcW w:w="618" w:type="pct"/>
            <w:tcBorders>
              <w:top w:val="single" w:sz="4" w:space="0" w:color="7F7F7F"/>
              <w:left w:val="nil"/>
              <w:bottom w:val="single" w:sz="4" w:space="0" w:color="7F7F7F"/>
              <w:right w:val="nil"/>
            </w:tcBorders>
            <w:vAlign w:val="center"/>
            <w:hideMark/>
          </w:tcPr>
          <w:p w14:paraId="7342DC18" w14:textId="77777777" w:rsidR="00A21449" w:rsidRPr="00A7364B" w:rsidRDefault="00A21449" w:rsidP="00AB3053">
            <w:pPr>
              <w:jc w:val="both"/>
              <w:rPr>
                <w:rFonts w:ascii="Arial" w:hAnsi="Arial" w:cs="Arial"/>
                <w:sz w:val="20"/>
                <w:szCs w:val="20"/>
              </w:rPr>
            </w:pPr>
            <w:r w:rsidRPr="00A7364B">
              <w:rPr>
                <w:rFonts w:ascii="Arial" w:hAnsi="Arial" w:cs="Arial"/>
                <w:b/>
                <w:sz w:val="20"/>
                <w:szCs w:val="20"/>
              </w:rPr>
              <w:t>As</w:t>
            </w:r>
          </w:p>
        </w:tc>
        <w:tc>
          <w:tcPr>
            <w:tcW w:w="650" w:type="pct"/>
            <w:tcBorders>
              <w:top w:val="single" w:sz="4" w:space="0" w:color="7F7F7F"/>
              <w:left w:val="nil"/>
              <w:bottom w:val="single" w:sz="4" w:space="0" w:color="7F7F7F"/>
              <w:right w:val="nil"/>
            </w:tcBorders>
            <w:vAlign w:val="center"/>
            <w:hideMark/>
          </w:tcPr>
          <w:p w14:paraId="670285F8" w14:textId="77777777" w:rsidR="00A21449" w:rsidRPr="00A7364B" w:rsidRDefault="00A21449" w:rsidP="00AB3053">
            <w:pPr>
              <w:tabs>
                <w:tab w:val="center" w:pos="917"/>
              </w:tabs>
              <w:jc w:val="both"/>
              <w:rPr>
                <w:rFonts w:ascii="Arial" w:hAnsi="Arial" w:cs="Arial"/>
                <w:sz w:val="20"/>
                <w:szCs w:val="20"/>
              </w:rPr>
            </w:pPr>
            <w:r w:rsidRPr="00A7364B">
              <w:rPr>
                <w:rFonts w:ascii="Arial" w:hAnsi="Arial" w:cs="Arial"/>
                <w:b/>
                <w:sz w:val="20"/>
                <w:szCs w:val="20"/>
              </w:rPr>
              <w:t>Cd</w:t>
            </w:r>
          </w:p>
        </w:tc>
        <w:tc>
          <w:tcPr>
            <w:tcW w:w="968" w:type="pct"/>
            <w:tcBorders>
              <w:top w:val="single" w:sz="4" w:space="0" w:color="7F7F7F"/>
              <w:left w:val="nil"/>
              <w:bottom w:val="single" w:sz="4" w:space="0" w:color="7F7F7F"/>
              <w:right w:val="nil"/>
            </w:tcBorders>
            <w:vAlign w:val="center"/>
          </w:tcPr>
          <w:p w14:paraId="66DA61AB" w14:textId="77777777" w:rsidR="00A21449" w:rsidRPr="00A7364B" w:rsidRDefault="00A21449" w:rsidP="00AB3053">
            <w:pPr>
              <w:tabs>
                <w:tab w:val="center" w:pos="917"/>
              </w:tabs>
              <w:jc w:val="both"/>
              <w:rPr>
                <w:rFonts w:ascii="Arial" w:hAnsi="Arial" w:cs="Arial"/>
                <w:b/>
                <w:sz w:val="20"/>
                <w:szCs w:val="20"/>
              </w:rPr>
            </w:pPr>
            <w:r w:rsidRPr="00A7364B">
              <w:rPr>
                <w:rFonts w:ascii="Arial" w:hAnsi="Arial" w:cs="Arial"/>
                <w:b/>
                <w:sz w:val="20"/>
                <w:szCs w:val="20"/>
              </w:rPr>
              <w:t>Pb</w:t>
            </w:r>
          </w:p>
        </w:tc>
      </w:tr>
      <w:tr w:rsidR="00A21449" w:rsidRPr="00A7364B" w14:paraId="7ACB7083" w14:textId="77777777" w:rsidTr="00AB3053">
        <w:trPr>
          <w:trHeight w:val="20"/>
        </w:trPr>
        <w:tc>
          <w:tcPr>
            <w:tcW w:w="1532" w:type="pct"/>
            <w:tcBorders>
              <w:top w:val="single" w:sz="4" w:space="0" w:color="7F7F7F"/>
              <w:left w:val="nil"/>
              <w:bottom w:val="nil"/>
              <w:right w:val="nil"/>
            </w:tcBorders>
            <w:vAlign w:val="center"/>
            <w:hideMark/>
          </w:tcPr>
          <w:p w14:paraId="0C0900F1" w14:textId="77777777" w:rsidR="00A21449" w:rsidRPr="00A7364B" w:rsidRDefault="00A21449" w:rsidP="00AB3053">
            <w:pPr>
              <w:ind w:left="122"/>
              <w:jc w:val="both"/>
              <w:rPr>
                <w:rFonts w:ascii="Arial" w:hAnsi="Arial" w:cs="Arial"/>
                <w:sz w:val="20"/>
                <w:szCs w:val="20"/>
              </w:rPr>
            </w:pPr>
            <w:r w:rsidRPr="00A7364B">
              <w:rPr>
                <w:rFonts w:ascii="Arial" w:hAnsi="Arial" w:cs="Arial"/>
                <w:b/>
                <w:sz w:val="20"/>
                <w:szCs w:val="20"/>
              </w:rPr>
              <w:t>TEC (mg/kg)</w:t>
            </w:r>
          </w:p>
        </w:tc>
        <w:tc>
          <w:tcPr>
            <w:tcW w:w="616" w:type="pct"/>
            <w:tcBorders>
              <w:top w:val="single" w:sz="4" w:space="0" w:color="7F7F7F"/>
              <w:left w:val="nil"/>
              <w:bottom w:val="nil"/>
              <w:right w:val="nil"/>
            </w:tcBorders>
            <w:vAlign w:val="center"/>
            <w:hideMark/>
          </w:tcPr>
          <w:p w14:paraId="5075DEBD" w14:textId="77777777" w:rsidR="00A21449" w:rsidRPr="00A7364B" w:rsidRDefault="00A21449" w:rsidP="00AB3053">
            <w:pPr>
              <w:jc w:val="both"/>
              <w:rPr>
                <w:rFonts w:ascii="Arial" w:hAnsi="Arial" w:cs="Arial"/>
                <w:sz w:val="20"/>
                <w:szCs w:val="20"/>
              </w:rPr>
            </w:pPr>
            <w:r w:rsidRPr="00A7364B">
              <w:rPr>
                <w:rFonts w:ascii="Arial" w:hAnsi="Arial" w:cs="Arial"/>
                <w:sz w:val="20"/>
                <w:szCs w:val="20"/>
              </w:rPr>
              <w:t>31</w:t>
            </w:r>
          </w:p>
        </w:tc>
        <w:tc>
          <w:tcPr>
            <w:tcW w:w="616" w:type="pct"/>
            <w:tcBorders>
              <w:top w:val="single" w:sz="4" w:space="0" w:color="7F7F7F"/>
              <w:left w:val="nil"/>
              <w:bottom w:val="nil"/>
              <w:right w:val="nil"/>
            </w:tcBorders>
            <w:vAlign w:val="center"/>
            <w:hideMark/>
          </w:tcPr>
          <w:p w14:paraId="54EED38C" w14:textId="77777777" w:rsidR="00A21449" w:rsidRPr="00A7364B" w:rsidRDefault="00A21449" w:rsidP="00AB3053">
            <w:pPr>
              <w:jc w:val="both"/>
              <w:rPr>
                <w:rFonts w:ascii="Arial" w:hAnsi="Arial" w:cs="Arial"/>
                <w:sz w:val="20"/>
                <w:szCs w:val="20"/>
              </w:rPr>
            </w:pPr>
            <w:r w:rsidRPr="00A7364B">
              <w:rPr>
                <w:rFonts w:ascii="Arial" w:hAnsi="Arial" w:cs="Arial"/>
                <w:sz w:val="20"/>
                <w:szCs w:val="20"/>
              </w:rPr>
              <w:t>121</w:t>
            </w:r>
          </w:p>
        </w:tc>
        <w:tc>
          <w:tcPr>
            <w:tcW w:w="618" w:type="pct"/>
            <w:tcBorders>
              <w:top w:val="single" w:sz="4" w:space="0" w:color="7F7F7F"/>
              <w:left w:val="nil"/>
              <w:bottom w:val="nil"/>
              <w:right w:val="nil"/>
            </w:tcBorders>
            <w:vAlign w:val="center"/>
            <w:hideMark/>
          </w:tcPr>
          <w:p w14:paraId="6936885C" w14:textId="77777777" w:rsidR="00A21449" w:rsidRPr="00A7364B" w:rsidRDefault="00A21449" w:rsidP="00AB3053">
            <w:pPr>
              <w:jc w:val="both"/>
              <w:rPr>
                <w:rFonts w:ascii="Arial" w:hAnsi="Arial" w:cs="Arial"/>
                <w:sz w:val="20"/>
                <w:szCs w:val="20"/>
              </w:rPr>
            </w:pPr>
            <w:r w:rsidRPr="00A7364B">
              <w:rPr>
                <w:rFonts w:ascii="Arial" w:hAnsi="Arial" w:cs="Arial"/>
                <w:sz w:val="20"/>
                <w:szCs w:val="20"/>
              </w:rPr>
              <w:t>9</w:t>
            </w:r>
            <w:r w:rsidR="00ED3175" w:rsidRPr="00A7364B">
              <w:rPr>
                <w:rFonts w:ascii="Arial" w:hAnsi="Arial" w:cs="Arial"/>
                <w:sz w:val="20"/>
                <w:szCs w:val="20"/>
              </w:rPr>
              <w:t>.</w:t>
            </w:r>
            <w:r w:rsidRPr="00A7364B">
              <w:rPr>
                <w:rFonts w:ascii="Arial" w:hAnsi="Arial" w:cs="Arial"/>
                <w:sz w:val="20"/>
                <w:szCs w:val="20"/>
              </w:rPr>
              <w:t>79</w:t>
            </w:r>
          </w:p>
        </w:tc>
        <w:tc>
          <w:tcPr>
            <w:tcW w:w="650" w:type="pct"/>
            <w:tcBorders>
              <w:top w:val="single" w:sz="4" w:space="0" w:color="7F7F7F"/>
              <w:left w:val="nil"/>
              <w:bottom w:val="nil"/>
              <w:right w:val="nil"/>
            </w:tcBorders>
            <w:vAlign w:val="center"/>
            <w:hideMark/>
          </w:tcPr>
          <w:p w14:paraId="6C1A1DD7" w14:textId="77777777" w:rsidR="00A21449" w:rsidRPr="00A7364B" w:rsidRDefault="00A21449" w:rsidP="00AB3053">
            <w:pPr>
              <w:jc w:val="both"/>
              <w:rPr>
                <w:rFonts w:ascii="Arial" w:hAnsi="Arial" w:cs="Arial"/>
                <w:sz w:val="20"/>
                <w:szCs w:val="20"/>
              </w:rPr>
            </w:pPr>
            <w:r w:rsidRPr="00A7364B">
              <w:rPr>
                <w:rFonts w:ascii="Arial" w:hAnsi="Arial" w:cs="Arial"/>
                <w:sz w:val="20"/>
                <w:szCs w:val="20"/>
              </w:rPr>
              <w:t>0</w:t>
            </w:r>
            <w:r w:rsidR="00ED3175" w:rsidRPr="00A7364B">
              <w:rPr>
                <w:rFonts w:ascii="Arial" w:hAnsi="Arial" w:cs="Arial"/>
                <w:sz w:val="20"/>
                <w:szCs w:val="20"/>
              </w:rPr>
              <w:t>.</w:t>
            </w:r>
            <w:r w:rsidRPr="00A7364B">
              <w:rPr>
                <w:rFonts w:ascii="Arial" w:hAnsi="Arial" w:cs="Arial"/>
                <w:sz w:val="20"/>
                <w:szCs w:val="20"/>
              </w:rPr>
              <w:t>99</w:t>
            </w:r>
          </w:p>
        </w:tc>
        <w:tc>
          <w:tcPr>
            <w:tcW w:w="968" w:type="pct"/>
            <w:tcBorders>
              <w:top w:val="single" w:sz="4" w:space="0" w:color="7F7F7F"/>
              <w:left w:val="nil"/>
              <w:bottom w:val="nil"/>
              <w:right w:val="nil"/>
            </w:tcBorders>
            <w:vAlign w:val="center"/>
          </w:tcPr>
          <w:p w14:paraId="40F7BAF0" w14:textId="77777777" w:rsidR="00A21449" w:rsidRPr="00A7364B" w:rsidRDefault="00A21449" w:rsidP="00AB3053">
            <w:pPr>
              <w:jc w:val="both"/>
              <w:rPr>
                <w:rFonts w:ascii="Arial" w:hAnsi="Arial" w:cs="Arial"/>
                <w:sz w:val="20"/>
                <w:szCs w:val="20"/>
              </w:rPr>
            </w:pPr>
            <w:r w:rsidRPr="00A7364B">
              <w:rPr>
                <w:rFonts w:ascii="Arial" w:hAnsi="Arial" w:cs="Arial"/>
                <w:sz w:val="20"/>
                <w:szCs w:val="20"/>
              </w:rPr>
              <w:t>35</w:t>
            </w:r>
            <w:r w:rsidR="00ED3175" w:rsidRPr="00A7364B">
              <w:rPr>
                <w:rFonts w:ascii="Arial" w:hAnsi="Arial" w:cs="Arial"/>
                <w:sz w:val="20"/>
                <w:szCs w:val="20"/>
              </w:rPr>
              <w:t>.</w:t>
            </w:r>
            <w:r w:rsidRPr="00A7364B">
              <w:rPr>
                <w:rFonts w:ascii="Arial" w:hAnsi="Arial" w:cs="Arial"/>
                <w:sz w:val="20"/>
                <w:szCs w:val="20"/>
              </w:rPr>
              <w:t>6</w:t>
            </w:r>
          </w:p>
        </w:tc>
      </w:tr>
      <w:tr w:rsidR="00A21449" w:rsidRPr="00A7364B" w14:paraId="3119326F" w14:textId="77777777" w:rsidTr="00AB3053">
        <w:trPr>
          <w:trHeight w:val="20"/>
        </w:trPr>
        <w:tc>
          <w:tcPr>
            <w:tcW w:w="1532" w:type="pct"/>
            <w:tcBorders>
              <w:top w:val="nil"/>
              <w:left w:val="nil"/>
              <w:bottom w:val="single" w:sz="4" w:space="0" w:color="7F7F7F"/>
              <w:right w:val="nil"/>
            </w:tcBorders>
            <w:vAlign w:val="center"/>
            <w:hideMark/>
          </w:tcPr>
          <w:p w14:paraId="69A83DEF" w14:textId="77777777" w:rsidR="00A21449" w:rsidRPr="00A7364B" w:rsidRDefault="00A21449" w:rsidP="00AB3053">
            <w:pPr>
              <w:ind w:left="122"/>
              <w:jc w:val="both"/>
              <w:rPr>
                <w:rFonts w:ascii="Arial" w:hAnsi="Arial" w:cs="Arial"/>
                <w:sz w:val="20"/>
                <w:szCs w:val="20"/>
              </w:rPr>
            </w:pPr>
            <w:r w:rsidRPr="00A7364B">
              <w:rPr>
                <w:rFonts w:ascii="Arial" w:hAnsi="Arial" w:cs="Arial"/>
                <w:b/>
                <w:sz w:val="20"/>
                <w:szCs w:val="20"/>
              </w:rPr>
              <w:t>PEC (mg/kg)</w:t>
            </w:r>
          </w:p>
        </w:tc>
        <w:tc>
          <w:tcPr>
            <w:tcW w:w="616" w:type="pct"/>
            <w:tcBorders>
              <w:top w:val="nil"/>
              <w:left w:val="nil"/>
              <w:bottom w:val="single" w:sz="4" w:space="0" w:color="7F7F7F"/>
              <w:right w:val="nil"/>
            </w:tcBorders>
            <w:vAlign w:val="center"/>
            <w:hideMark/>
          </w:tcPr>
          <w:p w14:paraId="765CECD6" w14:textId="77777777" w:rsidR="00A21449" w:rsidRPr="00A7364B" w:rsidRDefault="00A21449" w:rsidP="00AB3053">
            <w:pPr>
              <w:jc w:val="both"/>
              <w:rPr>
                <w:rFonts w:ascii="Arial" w:hAnsi="Arial" w:cs="Arial"/>
                <w:sz w:val="20"/>
                <w:szCs w:val="20"/>
              </w:rPr>
            </w:pPr>
            <w:r w:rsidRPr="00A7364B">
              <w:rPr>
                <w:rFonts w:ascii="Arial" w:hAnsi="Arial" w:cs="Arial"/>
                <w:sz w:val="20"/>
                <w:szCs w:val="20"/>
              </w:rPr>
              <w:t>149</w:t>
            </w:r>
          </w:p>
        </w:tc>
        <w:tc>
          <w:tcPr>
            <w:tcW w:w="616" w:type="pct"/>
            <w:tcBorders>
              <w:top w:val="nil"/>
              <w:left w:val="nil"/>
              <w:bottom w:val="single" w:sz="4" w:space="0" w:color="7F7F7F"/>
              <w:right w:val="nil"/>
            </w:tcBorders>
            <w:vAlign w:val="center"/>
            <w:hideMark/>
          </w:tcPr>
          <w:p w14:paraId="65F6C6F9" w14:textId="77777777" w:rsidR="00A21449" w:rsidRPr="00A7364B" w:rsidRDefault="00A21449" w:rsidP="00AB3053">
            <w:pPr>
              <w:jc w:val="both"/>
              <w:rPr>
                <w:rFonts w:ascii="Arial" w:hAnsi="Arial" w:cs="Arial"/>
                <w:sz w:val="20"/>
                <w:szCs w:val="20"/>
              </w:rPr>
            </w:pPr>
            <w:r w:rsidRPr="00A7364B">
              <w:rPr>
                <w:rFonts w:ascii="Arial" w:hAnsi="Arial" w:cs="Arial"/>
                <w:sz w:val="20"/>
                <w:szCs w:val="20"/>
              </w:rPr>
              <w:t>459</w:t>
            </w:r>
          </w:p>
        </w:tc>
        <w:tc>
          <w:tcPr>
            <w:tcW w:w="618" w:type="pct"/>
            <w:tcBorders>
              <w:top w:val="nil"/>
              <w:left w:val="nil"/>
              <w:bottom w:val="single" w:sz="4" w:space="0" w:color="7F7F7F"/>
              <w:right w:val="nil"/>
            </w:tcBorders>
            <w:vAlign w:val="center"/>
            <w:hideMark/>
          </w:tcPr>
          <w:p w14:paraId="473C3AC3" w14:textId="77777777" w:rsidR="00A21449" w:rsidRPr="00A7364B" w:rsidRDefault="00A21449" w:rsidP="00AB3053">
            <w:pPr>
              <w:jc w:val="both"/>
              <w:rPr>
                <w:rFonts w:ascii="Arial" w:hAnsi="Arial" w:cs="Arial"/>
                <w:sz w:val="20"/>
                <w:szCs w:val="20"/>
              </w:rPr>
            </w:pPr>
            <w:r w:rsidRPr="00A7364B">
              <w:rPr>
                <w:rFonts w:ascii="Arial" w:hAnsi="Arial" w:cs="Arial"/>
                <w:sz w:val="20"/>
                <w:szCs w:val="20"/>
              </w:rPr>
              <w:t>33</w:t>
            </w:r>
          </w:p>
        </w:tc>
        <w:tc>
          <w:tcPr>
            <w:tcW w:w="650" w:type="pct"/>
            <w:tcBorders>
              <w:top w:val="nil"/>
              <w:left w:val="nil"/>
              <w:bottom w:val="single" w:sz="4" w:space="0" w:color="7F7F7F"/>
              <w:right w:val="nil"/>
            </w:tcBorders>
            <w:vAlign w:val="center"/>
            <w:hideMark/>
          </w:tcPr>
          <w:p w14:paraId="6CA731CA" w14:textId="77777777" w:rsidR="00A21449" w:rsidRPr="00A7364B" w:rsidRDefault="00A21449" w:rsidP="00AB3053">
            <w:pPr>
              <w:jc w:val="both"/>
              <w:rPr>
                <w:rFonts w:ascii="Arial" w:hAnsi="Arial" w:cs="Arial"/>
                <w:sz w:val="20"/>
                <w:szCs w:val="20"/>
              </w:rPr>
            </w:pPr>
            <w:r w:rsidRPr="00A7364B">
              <w:rPr>
                <w:rFonts w:ascii="Arial" w:hAnsi="Arial" w:cs="Arial"/>
                <w:sz w:val="20"/>
                <w:szCs w:val="20"/>
              </w:rPr>
              <w:t>4</w:t>
            </w:r>
            <w:r w:rsidR="00ED3175" w:rsidRPr="00A7364B">
              <w:rPr>
                <w:rFonts w:ascii="Arial" w:hAnsi="Arial" w:cs="Arial"/>
                <w:sz w:val="20"/>
                <w:szCs w:val="20"/>
              </w:rPr>
              <w:t>.</w:t>
            </w:r>
            <w:r w:rsidRPr="00A7364B">
              <w:rPr>
                <w:rFonts w:ascii="Arial" w:hAnsi="Arial" w:cs="Arial"/>
                <w:sz w:val="20"/>
                <w:szCs w:val="20"/>
              </w:rPr>
              <w:t>98</w:t>
            </w:r>
          </w:p>
        </w:tc>
        <w:tc>
          <w:tcPr>
            <w:tcW w:w="968" w:type="pct"/>
            <w:tcBorders>
              <w:top w:val="nil"/>
              <w:left w:val="nil"/>
              <w:bottom w:val="single" w:sz="4" w:space="0" w:color="7F7F7F"/>
              <w:right w:val="nil"/>
            </w:tcBorders>
            <w:vAlign w:val="center"/>
          </w:tcPr>
          <w:p w14:paraId="652E0240" w14:textId="77777777" w:rsidR="00A21449" w:rsidRPr="00A7364B" w:rsidRDefault="00A21449" w:rsidP="00AB3053">
            <w:pPr>
              <w:jc w:val="both"/>
              <w:rPr>
                <w:rFonts w:ascii="Arial" w:hAnsi="Arial" w:cs="Arial"/>
                <w:sz w:val="20"/>
                <w:szCs w:val="20"/>
              </w:rPr>
            </w:pPr>
            <w:r w:rsidRPr="00A7364B">
              <w:rPr>
                <w:rFonts w:ascii="Arial" w:hAnsi="Arial" w:cs="Arial"/>
                <w:sz w:val="20"/>
                <w:szCs w:val="20"/>
              </w:rPr>
              <w:t>128</w:t>
            </w:r>
          </w:p>
        </w:tc>
      </w:tr>
    </w:tbl>
    <w:p w14:paraId="2EB0965B" w14:textId="77777777" w:rsidR="007363EB" w:rsidRPr="00A7364B" w:rsidRDefault="007363EB" w:rsidP="00ED3175">
      <w:pPr>
        <w:jc w:val="both"/>
        <w:rPr>
          <w:rFonts w:ascii="Arial" w:hAnsi="Arial" w:cs="Arial"/>
          <w:sz w:val="20"/>
          <w:szCs w:val="20"/>
          <w:lang w:val="en-US"/>
        </w:rPr>
      </w:pPr>
    </w:p>
    <w:p w14:paraId="4784E638" w14:textId="77777777" w:rsidR="00A21449" w:rsidRPr="00A7364B" w:rsidRDefault="00A21449" w:rsidP="00ED3175">
      <w:pPr>
        <w:jc w:val="both"/>
        <w:rPr>
          <w:rFonts w:ascii="Arial" w:hAnsi="Arial" w:cs="Arial"/>
          <w:b/>
          <w:bCs/>
          <w:lang w:val="en-US"/>
        </w:rPr>
      </w:pPr>
      <w:r w:rsidRPr="00A7364B">
        <w:rPr>
          <w:rFonts w:ascii="Arial" w:hAnsi="Arial" w:cs="Arial"/>
          <w:b/>
          <w:bCs/>
          <w:lang w:val="en-US"/>
        </w:rPr>
        <w:t>3. RESULTS AND DISCUSSION</w:t>
      </w:r>
    </w:p>
    <w:p w14:paraId="5080BEEB" w14:textId="77777777" w:rsidR="00A21449" w:rsidRPr="00A7364B" w:rsidRDefault="00A21449" w:rsidP="00ED3175">
      <w:pPr>
        <w:jc w:val="both"/>
        <w:rPr>
          <w:rFonts w:ascii="Arial" w:hAnsi="Arial" w:cs="Arial"/>
          <w:b/>
          <w:bCs/>
          <w:lang w:val="en-US"/>
        </w:rPr>
      </w:pPr>
      <w:r w:rsidRPr="00A7364B">
        <w:rPr>
          <w:rFonts w:ascii="Arial" w:hAnsi="Arial" w:cs="Arial"/>
          <w:b/>
          <w:bCs/>
          <w:lang w:val="en-US"/>
        </w:rPr>
        <w:t>3.1. Concentrations of Trace Metal Elements in Sediments from the Ebri</w:t>
      </w:r>
      <w:r w:rsidR="00ED3175" w:rsidRPr="00A7364B">
        <w:rPr>
          <w:rFonts w:ascii="Arial" w:hAnsi="Arial" w:cs="Arial"/>
          <w:b/>
          <w:bCs/>
          <w:lang w:val="en-US"/>
        </w:rPr>
        <w:t>e</w:t>
      </w:r>
      <w:r w:rsidRPr="00A7364B">
        <w:rPr>
          <w:rFonts w:ascii="Arial" w:hAnsi="Arial" w:cs="Arial"/>
          <w:b/>
          <w:bCs/>
          <w:lang w:val="en-US"/>
        </w:rPr>
        <w:t xml:space="preserve"> Lagoon, Treichville Area </w:t>
      </w:r>
    </w:p>
    <w:p w14:paraId="76292FA2" w14:textId="77777777" w:rsidR="00A21449" w:rsidRPr="00A7364B" w:rsidRDefault="00A21449" w:rsidP="00ED3175">
      <w:pPr>
        <w:jc w:val="both"/>
        <w:rPr>
          <w:rFonts w:ascii="Arial" w:hAnsi="Arial" w:cs="Arial"/>
          <w:sz w:val="20"/>
          <w:szCs w:val="20"/>
          <w:lang w:val="en-US"/>
        </w:rPr>
      </w:pPr>
      <w:r w:rsidRPr="00A7364B">
        <w:rPr>
          <w:rFonts w:ascii="Arial" w:hAnsi="Arial"/>
          <w:sz w:val="20"/>
        </w:rPr>
        <w:t>The results of the trace metal element analysis of the sediments studied are presented in Table 5. These results indicate the following concentration ranges for each trace metal element:</w:t>
      </w:r>
    </w:p>
    <w:p w14:paraId="25155A21" w14:textId="77777777" w:rsidR="00A21449" w:rsidRPr="00A7364B" w:rsidRDefault="00A21449" w:rsidP="00ED3175">
      <w:pPr>
        <w:jc w:val="both"/>
        <w:rPr>
          <w:rFonts w:ascii="Arial" w:hAnsi="Arial" w:cs="Arial"/>
          <w:sz w:val="20"/>
          <w:szCs w:val="20"/>
          <w:lang w:val="en-US"/>
        </w:rPr>
      </w:pPr>
      <w:r w:rsidRPr="00A7364B">
        <w:rPr>
          <w:rFonts w:ascii="Arial" w:hAnsi="Arial"/>
          <w:sz w:val="20"/>
        </w:rPr>
        <w:t>Aluminium: Aluminium concentrations range from 531.8 to 178,500 mg/kg, with an average of 46,470.125 mg/kg. All samples have Al concentrations below the value of 77,440 mg/kg observed in the crust. At Mouillage, the Al concentration is very high.</w:t>
      </w:r>
    </w:p>
    <w:p w14:paraId="3F2F7CA1" w14:textId="77777777" w:rsidR="00A21449" w:rsidRPr="00A7364B" w:rsidRDefault="00A21449" w:rsidP="00ED3175">
      <w:pPr>
        <w:jc w:val="both"/>
        <w:rPr>
          <w:rFonts w:ascii="Arial" w:hAnsi="Arial" w:cs="Arial"/>
          <w:sz w:val="20"/>
          <w:szCs w:val="20"/>
          <w:lang w:val="en-US"/>
        </w:rPr>
      </w:pPr>
      <w:r w:rsidRPr="00A7364B">
        <w:rPr>
          <w:rFonts w:ascii="Arial" w:hAnsi="Arial"/>
          <w:sz w:val="20"/>
        </w:rPr>
        <w:t>Arsenic: The arsenic concentrations measured in the sediments are 0.0005 mg/kg. The average concentration is 0.0005 mg/kg. All samples have arsenic (As) concentrations below the crust value of 2 mg/kg.</w:t>
      </w:r>
    </w:p>
    <w:p w14:paraId="1BCD01C2" w14:textId="77777777" w:rsidR="00A21449" w:rsidRPr="00A7364B" w:rsidRDefault="00A21449" w:rsidP="00ED3175">
      <w:pPr>
        <w:jc w:val="both"/>
        <w:rPr>
          <w:rFonts w:ascii="Arial" w:hAnsi="Arial" w:cs="Arial"/>
          <w:sz w:val="20"/>
          <w:szCs w:val="20"/>
          <w:lang w:val="en-US"/>
        </w:rPr>
      </w:pPr>
      <w:r w:rsidRPr="00A7364B">
        <w:rPr>
          <w:rFonts w:ascii="Arial" w:hAnsi="Arial"/>
          <w:sz w:val="20"/>
        </w:rPr>
        <w:t>Cadmium: Cadmium shows a constant concentration at all sampling points in the lagoon sediments. This concentration is 0.05 mg/kg. It is below the established threshold values for the continental crust (UCC Cd = 0.102 mg/kg).</w:t>
      </w:r>
    </w:p>
    <w:p w14:paraId="22C93E14" w14:textId="77777777" w:rsidR="00A21449" w:rsidRPr="00A7364B" w:rsidRDefault="00A21449" w:rsidP="00ED3175">
      <w:pPr>
        <w:jc w:val="both"/>
        <w:rPr>
          <w:rFonts w:ascii="Arial" w:hAnsi="Arial" w:cs="Arial"/>
          <w:sz w:val="20"/>
          <w:szCs w:val="20"/>
          <w:lang w:val="en-US"/>
        </w:rPr>
      </w:pPr>
      <w:r w:rsidRPr="00A7364B">
        <w:rPr>
          <w:rFonts w:ascii="Arial" w:hAnsi="Arial"/>
          <w:sz w:val="20"/>
        </w:rPr>
        <w:t>Copper: Cu concentrations range from 2.718 mg/kg to 528.8 mg/kg, with a calculated average of 137.3625 mg/kg. Among the sediments sampled, the Mouillage samples have Cu concentrations higher than those of the crust (UCC Cu = 14 mg/kg). The Mouillage sample has a high concentration compared with that of uncontaminated sediments (Cu = 33 mg/kg).</w:t>
      </w:r>
    </w:p>
    <w:p w14:paraId="1D5F4D80" w14:textId="77777777" w:rsidR="00A21449" w:rsidRPr="00A7364B" w:rsidRDefault="00A21449" w:rsidP="00ED3175">
      <w:pPr>
        <w:jc w:val="both"/>
        <w:rPr>
          <w:rFonts w:ascii="Arial" w:hAnsi="Arial" w:cs="Arial"/>
          <w:sz w:val="20"/>
          <w:szCs w:val="20"/>
          <w:lang w:val="en-US"/>
        </w:rPr>
      </w:pPr>
      <w:r w:rsidRPr="00A7364B">
        <w:rPr>
          <w:rFonts w:ascii="Arial" w:hAnsi="Arial"/>
          <w:sz w:val="20"/>
        </w:rPr>
        <w:t>Iron: Iron concentrations range from 365.7 mg/kg to 45,220 mg/kg, with an average of 12,094.28 mg/kg. Sediment concentrations at the Mouillage site exceed the UCC limit (30,890 mg/kg).</w:t>
      </w:r>
    </w:p>
    <w:p w14:paraId="6C2CDEDF" w14:textId="77777777" w:rsidR="00A21449" w:rsidRPr="00A7364B" w:rsidRDefault="00A21449" w:rsidP="00ED3175">
      <w:pPr>
        <w:jc w:val="both"/>
        <w:rPr>
          <w:rFonts w:ascii="Arial" w:hAnsi="Arial" w:cs="Arial"/>
          <w:sz w:val="20"/>
          <w:szCs w:val="20"/>
          <w:lang w:val="en-US"/>
        </w:rPr>
      </w:pPr>
      <w:r w:rsidRPr="00A7364B">
        <w:rPr>
          <w:rFonts w:ascii="Arial" w:hAnsi="Arial"/>
          <w:sz w:val="20"/>
        </w:rPr>
        <w:t>Potassium: Potassium concentrations range from 90.72 to 10,830 mg/kg, with an average of 2,861.49 mg/kg. Overall, they are lower than the estimated potassium concentration in the continental crust, which is 28,650 mg/kg. However, the highest value was recorded at Mouillage.</w:t>
      </w:r>
    </w:p>
    <w:p w14:paraId="106EF3C5" w14:textId="77777777" w:rsidR="00A21449" w:rsidRPr="00A7364B" w:rsidRDefault="00A21449" w:rsidP="00ED3175">
      <w:pPr>
        <w:jc w:val="both"/>
        <w:rPr>
          <w:rFonts w:ascii="Arial" w:hAnsi="Arial" w:cs="Arial"/>
          <w:sz w:val="20"/>
          <w:szCs w:val="20"/>
          <w:lang w:val="en-US"/>
        </w:rPr>
      </w:pPr>
      <w:r w:rsidRPr="00A7364B">
        <w:rPr>
          <w:rFonts w:ascii="Arial" w:hAnsi="Arial"/>
          <w:sz w:val="20"/>
        </w:rPr>
        <w:t>Magnesium: Magnesium concentrations range from 133.1 to 9,594 mg/kg. The average concentration is 2,553.67 mg/kg. These values are lower than those of the continental crust (UCC), estimated at 13,510 mg/kg.</w:t>
      </w:r>
    </w:p>
    <w:p w14:paraId="0B8A8FA1" w14:textId="77777777" w:rsidR="00A21449" w:rsidRPr="00A7364B" w:rsidRDefault="00A21449" w:rsidP="00ED3175">
      <w:pPr>
        <w:jc w:val="both"/>
        <w:rPr>
          <w:rFonts w:ascii="Arial" w:hAnsi="Arial" w:cs="Arial"/>
          <w:sz w:val="20"/>
          <w:szCs w:val="20"/>
          <w:lang w:val="en-US"/>
        </w:rPr>
      </w:pPr>
      <w:r w:rsidRPr="00A7364B">
        <w:rPr>
          <w:rFonts w:ascii="Arial" w:hAnsi="Arial"/>
          <w:sz w:val="20"/>
        </w:rPr>
        <w:lastRenderedPageBreak/>
        <w:t>Sodium: Sodium concentrations range from 672.9 to 58,900 mg/kg, with an average of 15,311.76 mg/kg. The Na values in the sediments of the Ebrié Lagoon are all lower than those of the continental crust (UCC Na = 25,670 mg/kg), except at Mouillage.</w:t>
      </w:r>
    </w:p>
    <w:p w14:paraId="5DB4DCC4" w14:textId="77777777" w:rsidR="00A21449" w:rsidRPr="00A7364B" w:rsidRDefault="00A21449" w:rsidP="00ED3175">
      <w:pPr>
        <w:jc w:val="both"/>
        <w:rPr>
          <w:rFonts w:ascii="Arial" w:hAnsi="Arial" w:cs="Arial"/>
          <w:sz w:val="20"/>
          <w:szCs w:val="20"/>
          <w:lang w:val="en-US"/>
        </w:rPr>
      </w:pPr>
      <w:r w:rsidRPr="00A7364B">
        <w:rPr>
          <w:rFonts w:ascii="Arial" w:hAnsi="Arial"/>
          <w:sz w:val="20"/>
        </w:rPr>
        <w:t>Lead: Pb concentrations range from 0.005 mg/kg to 23.98 mg/kg, with an average of 7.21 mg/kg. The Pb content of the sediments studied is lower than that of the continental crust (UCC = 17 mg/kg), except at the Bananier site, where it is higher than the UCC value.</w:t>
      </w:r>
    </w:p>
    <w:p w14:paraId="7E863DC4" w14:textId="77777777" w:rsidR="00A21449" w:rsidRPr="00A7364B" w:rsidRDefault="00A21449" w:rsidP="00ED3175">
      <w:pPr>
        <w:jc w:val="both"/>
        <w:rPr>
          <w:rFonts w:ascii="Arial" w:hAnsi="Arial" w:cs="Arial"/>
          <w:sz w:val="20"/>
          <w:szCs w:val="20"/>
          <w:lang w:val="en-US"/>
        </w:rPr>
      </w:pPr>
      <w:r w:rsidRPr="00A7364B">
        <w:rPr>
          <w:rFonts w:ascii="Arial" w:hAnsi="Arial"/>
          <w:sz w:val="20"/>
        </w:rPr>
        <w:t>Zinc: Zinc concentrations in the sediments range from 1.37 mg/kg to 681.5 mg/kg, with an average of 177.57 mg/kg. They are generally lower than the values for the continental crust (UCC Zn = 52 mg/kg), except for the sample from Mouillage, which is higher.</w:t>
      </w:r>
    </w:p>
    <w:p w14:paraId="7EFC7DFD" w14:textId="77777777" w:rsidR="00A21449" w:rsidRPr="00A7364B" w:rsidRDefault="00A21449" w:rsidP="00ED3175">
      <w:pPr>
        <w:jc w:val="both"/>
        <w:rPr>
          <w:rFonts w:ascii="Arial" w:hAnsi="Arial" w:cs="Arial"/>
          <w:sz w:val="20"/>
          <w:szCs w:val="20"/>
          <w:lang w:val="en-US"/>
        </w:rPr>
      </w:pPr>
      <w:r w:rsidRPr="00A7364B">
        <w:rPr>
          <w:rFonts w:ascii="Arial" w:hAnsi="Arial"/>
          <w:sz w:val="20"/>
        </w:rPr>
        <w:t>Mercury: Mercury concentrations remain constant and virtually non-existent (0.0001 mg/kg) in all samples. They are therefore lower than the continental crust's Hg concentration, which is 0.05 mg/kg.</w:t>
      </w:r>
    </w:p>
    <w:p w14:paraId="377A416E" w14:textId="77777777" w:rsidR="00A21449" w:rsidRPr="00A7364B" w:rsidRDefault="00A21449" w:rsidP="00ED3175">
      <w:pPr>
        <w:jc w:val="both"/>
        <w:rPr>
          <w:rFonts w:ascii="Arial" w:hAnsi="Arial" w:cs="Arial"/>
          <w:sz w:val="20"/>
          <w:szCs w:val="20"/>
          <w:lang w:val="en-US"/>
        </w:rPr>
      </w:pPr>
      <w:r w:rsidRPr="00A7364B">
        <w:rPr>
          <w:rFonts w:ascii="Arial" w:hAnsi="Arial"/>
          <w:sz w:val="20"/>
        </w:rPr>
        <w:t>Phosphorus: Phosphorus concentrations range from 240.9 to 319.5 mg/kg, with an average of 281.7 mg/kg. Overall, they are lower than the concentration of P in the continental crust, estimated at 655 mg/kg.</w:t>
      </w:r>
    </w:p>
    <w:p w14:paraId="682CEFCD" w14:textId="77777777" w:rsidR="00A21449" w:rsidRPr="00A7364B" w:rsidRDefault="00A21449" w:rsidP="00ED3175">
      <w:pPr>
        <w:jc w:val="both"/>
        <w:rPr>
          <w:rFonts w:ascii="Arial" w:hAnsi="Arial" w:cs="Arial"/>
          <w:sz w:val="20"/>
          <w:szCs w:val="20"/>
          <w:lang w:val="en-US"/>
        </w:rPr>
      </w:pPr>
      <w:r w:rsidRPr="00A7364B">
        <w:rPr>
          <w:rFonts w:ascii="Arial" w:hAnsi="Arial"/>
          <w:sz w:val="20"/>
        </w:rPr>
        <w:t>The observed results highlight variability in ETM concentrations in the studied sediments from one site to another and from one parameter to another. Average ETM concentrations range from 7.20 to 12,094.28 mg/kg. The concentrations of metallic elements such as K, As, Mg, and Cd are lower than those in the continental crust (UCC). The low concentrations of these metals indicate dilution resulting from the influx of less contaminated or uncontaminated sediments. The concentrations of Cu, Zn, Na, Al, and Fe exceed crustal values only at the Mouillage site, while Pb exceeds crustal values at the Bananier wharf.</w:t>
      </w:r>
    </w:p>
    <w:p w14:paraId="1EF87952" w14:textId="77777777" w:rsidR="00A21449" w:rsidRPr="00A7364B" w:rsidRDefault="00A21449" w:rsidP="00ED3175">
      <w:pPr>
        <w:jc w:val="both"/>
        <w:rPr>
          <w:rFonts w:ascii="Arial" w:hAnsi="Arial" w:cs="Arial"/>
          <w:sz w:val="20"/>
          <w:szCs w:val="20"/>
          <w:lang w:val="en-US"/>
        </w:rPr>
      </w:pPr>
      <w:r w:rsidRPr="00A7364B">
        <w:rPr>
          <w:rFonts w:ascii="Arial" w:hAnsi="Arial"/>
          <w:sz w:val="20"/>
        </w:rPr>
        <w:t>These findings indicate polymetallic contamination of the sediments by these metals. This contamination could be attributed to the discharge of untreated waste into the lagoon from various domestic, agricultural, and industrial activities carried out near the lagoon. A discharge outlet is present at Mouillage.</w:t>
      </w:r>
    </w:p>
    <w:p w14:paraId="3D52FD34" w14:textId="77777777" w:rsidR="0062157C" w:rsidRPr="00A7364B" w:rsidRDefault="0062157C" w:rsidP="00ED3175">
      <w:pPr>
        <w:jc w:val="both"/>
        <w:rPr>
          <w:rFonts w:ascii="Arial" w:hAnsi="Arial" w:cs="Arial"/>
          <w:sz w:val="20"/>
          <w:szCs w:val="20"/>
          <w:lang w:val="en-US"/>
        </w:rPr>
      </w:pPr>
      <w:r w:rsidRPr="00A7364B">
        <w:rPr>
          <w:rFonts w:ascii="Arial" w:hAnsi="Arial" w:cs="Arial"/>
          <w:b/>
          <w:bCs/>
          <w:sz w:val="20"/>
          <w:szCs w:val="20"/>
          <w:lang w:val="en-US"/>
        </w:rPr>
        <w:t>Table 5</w:t>
      </w:r>
      <w:r w:rsidRPr="00A7364B">
        <w:rPr>
          <w:rFonts w:ascii="Arial" w:hAnsi="Arial" w:cs="Arial"/>
          <w:sz w:val="20"/>
          <w:szCs w:val="20"/>
          <w:lang w:val="en-US"/>
        </w:rPr>
        <w:t>—Metal concentrations (mg/kg) in sediments</w:t>
      </w:r>
    </w:p>
    <w:tbl>
      <w:tblPr>
        <w:tblpPr w:leftFromText="141" w:rightFromText="141" w:vertAnchor="text" w:horzAnchor="margin" w:tblpY="226"/>
        <w:tblW w:w="5000" w:type="pct"/>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1118"/>
        <w:gridCol w:w="442"/>
        <w:gridCol w:w="707"/>
        <w:gridCol w:w="427"/>
        <w:gridCol w:w="685"/>
        <w:gridCol w:w="307"/>
        <w:gridCol w:w="1016"/>
        <w:gridCol w:w="884"/>
        <w:gridCol w:w="687"/>
        <w:gridCol w:w="786"/>
        <w:gridCol w:w="877"/>
        <w:gridCol w:w="687"/>
        <w:gridCol w:w="783"/>
      </w:tblGrid>
      <w:tr w:rsidR="00460120" w:rsidRPr="00A7364B" w14:paraId="41990F67" w14:textId="77777777" w:rsidTr="00166705">
        <w:trPr>
          <w:trHeight w:val="284"/>
        </w:trPr>
        <w:tc>
          <w:tcPr>
            <w:tcW w:w="594" w:type="pct"/>
            <w:tcBorders>
              <w:top w:val="single" w:sz="4" w:space="0" w:color="auto"/>
              <w:bottom w:val="single" w:sz="4" w:space="0" w:color="auto"/>
            </w:tcBorders>
            <w:noWrap/>
            <w:vAlign w:val="center"/>
            <w:hideMark/>
          </w:tcPr>
          <w:p w14:paraId="33C8997F" w14:textId="77777777" w:rsidR="0062157C" w:rsidRPr="00A7364B" w:rsidRDefault="00166705"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Sample</w:t>
            </w:r>
          </w:p>
        </w:tc>
        <w:tc>
          <w:tcPr>
            <w:tcW w:w="235" w:type="pct"/>
            <w:tcBorders>
              <w:top w:val="single" w:sz="4" w:space="0" w:color="auto"/>
              <w:bottom w:val="single" w:sz="4" w:space="0" w:color="auto"/>
            </w:tcBorders>
            <w:noWrap/>
            <w:vAlign w:val="center"/>
            <w:hideMark/>
          </w:tcPr>
          <w:p w14:paraId="31B55C4D" w14:textId="77777777" w:rsidR="0062157C" w:rsidRPr="00A7364B" w:rsidRDefault="0062157C"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Cd</w:t>
            </w:r>
          </w:p>
        </w:tc>
        <w:tc>
          <w:tcPr>
            <w:tcW w:w="376" w:type="pct"/>
            <w:tcBorders>
              <w:top w:val="single" w:sz="4" w:space="0" w:color="auto"/>
              <w:bottom w:val="single" w:sz="4" w:space="0" w:color="auto"/>
            </w:tcBorders>
            <w:noWrap/>
            <w:vAlign w:val="center"/>
            <w:hideMark/>
          </w:tcPr>
          <w:p w14:paraId="15A2D489" w14:textId="77777777" w:rsidR="0062157C" w:rsidRPr="00A7364B" w:rsidRDefault="00B531B8"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Ld</w:t>
            </w:r>
          </w:p>
        </w:tc>
        <w:tc>
          <w:tcPr>
            <w:tcW w:w="227" w:type="pct"/>
            <w:tcBorders>
              <w:top w:val="single" w:sz="4" w:space="0" w:color="auto"/>
              <w:bottom w:val="single" w:sz="4" w:space="0" w:color="auto"/>
            </w:tcBorders>
            <w:noWrap/>
            <w:vAlign w:val="center"/>
            <w:hideMark/>
          </w:tcPr>
          <w:p w14:paraId="22C04817" w14:textId="77777777" w:rsidR="0062157C" w:rsidRPr="00A7364B" w:rsidRDefault="0062157C"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Hg</w:t>
            </w:r>
          </w:p>
        </w:tc>
        <w:tc>
          <w:tcPr>
            <w:tcW w:w="364" w:type="pct"/>
            <w:tcBorders>
              <w:top w:val="single" w:sz="4" w:space="0" w:color="auto"/>
              <w:bottom w:val="single" w:sz="4" w:space="0" w:color="auto"/>
            </w:tcBorders>
            <w:noWrap/>
            <w:vAlign w:val="center"/>
            <w:hideMark/>
          </w:tcPr>
          <w:p w14:paraId="459A564C" w14:textId="77777777" w:rsidR="0062157C" w:rsidRPr="00A7364B" w:rsidRDefault="0062157C"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P</w:t>
            </w:r>
          </w:p>
        </w:tc>
        <w:tc>
          <w:tcPr>
            <w:tcW w:w="163" w:type="pct"/>
            <w:tcBorders>
              <w:top w:val="single" w:sz="4" w:space="0" w:color="auto"/>
              <w:bottom w:val="single" w:sz="4" w:space="0" w:color="auto"/>
            </w:tcBorders>
            <w:noWrap/>
            <w:vAlign w:val="center"/>
            <w:hideMark/>
          </w:tcPr>
          <w:p w14:paraId="4CED8770" w14:textId="77777777" w:rsidR="0062157C" w:rsidRPr="00A7364B" w:rsidRDefault="0062157C"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As</w:t>
            </w:r>
          </w:p>
        </w:tc>
        <w:tc>
          <w:tcPr>
            <w:tcW w:w="540" w:type="pct"/>
            <w:tcBorders>
              <w:top w:val="single" w:sz="4" w:space="0" w:color="auto"/>
              <w:bottom w:val="single" w:sz="4" w:space="0" w:color="auto"/>
            </w:tcBorders>
            <w:noWrap/>
            <w:vAlign w:val="center"/>
            <w:hideMark/>
          </w:tcPr>
          <w:p w14:paraId="4F71A7C2" w14:textId="77777777" w:rsidR="0062157C" w:rsidRPr="00A7364B" w:rsidRDefault="0062157C"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Al</w:t>
            </w:r>
          </w:p>
        </w:tc>
        <w:tc>
          <w:tcPr>
            <w:tcW w:w="470" w:type="pct"/>
            <w:tcBorders>
              <w:top w:val="single" w:sz="4" w:space="0" w:color="auto"/>
              <w:bottom w:val="single" w:sz="4" w:space="0" w:color="auto"/>
            </w:tcBorders>
            <w:noWrap/>
            <w:vAlign w:val="center"/>
            <w:hideMark/>
          </w:tcPr>
          <w:p w14:paraId="563D8FAC" w14:textId="77777777" w:rsidR="0062157C" w:rsidRPr="00A7364B" w:rsidRDefault="0062157C"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Fe</w:t>
            </w:r>
          </w:p>
        </w:tc>
        <w:tc>
          <w:tcPr>
            <w:tcW w:w="365" w:type="pct"/>
            <w:tcBorders>
              <w:top w:val="single" w:sz="4" w:space="0" w:color="auto"/>
              <w:bottom w:val="single" w:sz="4" w:space="0" w:color="auto"/>
            </w:tcBorders>
            <w:noWrap/>
            <w:vAlign w:val="center"/>
            <w:hideMark/>
          </w:tcPr>
          <w:p w14:paraId="12BD9D4B" w14:textId="77777777" w:rsidR="0062157C" w:rsidRPr="00A7364B" w:rsidRDefault="0062157C"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Cu</w:t>
            </w:r>
          </w:p>
        </w:tc>
        <w:tc>
          <w:tcPr>
            <w:tcW w:w="418" w:type="pct"/>
            <w:tcBorders>
              <w:top w:val="single" w:sz="4" w:space="0" w:color="auto"/>
              <w:bottom w:val="single" w:sz="4" w:space="0" w:color="auto"/>
            </w:tcBorders>
            <w:noWrap/>
            <w:vAlign w:val="center"/>
            <w:hideMark/>
          </w:tcPr>
          <w:p w14:paraId="0F47F7A1" w14:textId="77777777" w:rsidR="0062157C" w:rsidRPr="00A7364B" w:rsidRDefault="0062157C"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Mg</w:t>
            </w:r>
          </w:p>
        </w:tc>
        <w:tc>
          <w:tcPr>
            <w:tcW w:w="466" w:type="pct"/>
            <w:tcBorders>
              <w:top w:val="single" w:sz="4" w:space="0" w:color="auto"/>
              <w:bottom w:val="single" w:sz="4" w:space="0" w:color="auto"/>
            </w:tcBorders>
            <w:noWrap/>
            <w:vAlign w:val="center"/>
            <w:hideMark/>
          </w:tcPr>
          <w:p w14:paraId="56F38380" w14:textId="77777777" w:rsidR="0062157C" w:rsidRPr="00A7364B" w:rsidRDefault="0062157C"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Na</w:t>
            </w:r>
          </w:p>
        </w:tc>
        <w:tc>
          <w:tcPr>
            <w:tcW w:w="365" w:type="pct"/>
            <w:tcBorders>
              <w:top w:val="single" w:sz="4" w:space="0" w:color="auto"/>
              <w:bottom w:val="single" w:sz="4" w:space="0" w:color="auto"/>
            </w:tcBorders>
            <w:noWrap/>
            <w:vAlign w:val="center"/>
            <w:hideMark/>
          </w:tcPr>
          <w:p w14:paraId="57089F30" w14:textId="77777777" w:rsidR="0062157C" w:rsidRPr="00A7364B" w:rsidRDefault="0062157C"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Zn</w:t>
            </w:r>
          </w:p>
        </w:tc>
        <w:tc>
          <w:tcPr>
            <w:tcW w:w="416" w:type="pct"/>
            <w:tcBorders>
              <w:top w:val="single" w:sz="4" w:space="0" w:color="auto"/>
              <w:bottom w:val="single" w:sz="4" w:space="0" w:color="auto"/>
            </w:tcBorders>
            <w:noWrap/>
            <w:vAlign w:val="center"/>
            <w:hideMark/>
          </w:tcPr>
          <w:p w14:paraId="00CFDE8A" w14:textId="77777777" w:rsidR="0062157C" w:rsidRPr="00A7364B" w:rsidRDefault="0062157C"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K</w:t>
            </w:r>
          </w:p>
        </w:tc>
      </w:tr>
      <w:tr w:rsidR="00460120" w:rsidRPr="00A7364B" w14:paraId="64512952" w14:textId="77777777" w:rsidTr="00166705">
        <w:trPr>
          <w:trHeight w:val="284"/>
        </w:trPr>
        <w:tc>
          <w:tcPr>
            <w:tcW w:w="594" w:type="pct"/>
            <w:tcBorders>
              <w:top w:val="single" w:sz="4" w:space="0" w:color="auto"/>
            </w:tcBorders>
            <w:noWrap/>
            <w:vAlign w:val="center"/>
            <w:hideMark/>
          </w:tcPr>
          <w:p w14:paraId="27F0AFE6" w14:textId="77777777" w:rsidR="0062157C" w:rsidRPr="00A7364B" w:rsidRDefault="0062157C"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Bananier</w:t>
            </w:r>
          </w:p>
        </w:tc>
        <w:tc>
          <w:tcPr>
            <w:tcW w:w="235" w:type="pct"/>
            <w:tcBorders>
              <w:top w:val="single" w:sz="4" w:space="0" w:color="auto"/>
            </w:tcBorders>
            <w:noWrap/>
            <w:vAlign w:val="center"/>
            <w:hideMark/>
          </w:tcPr>
          <w:p w14:paraId="5798C273"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376" w:type="pct"/>
            <w:tcBorders>
              <w:top w:val="single" w:sz="4" w:space="0" w:color="auto"/>
            </w:tcBorders>
            <w:noWrap/>
            <w:vAlign w:val="center"/>
            <w:hideMark/>
          </w:tcPr>
          <w:p w14:paraId="1A68A2F3"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23</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98</w:t>
            </w:r>
          </w:p>
        </w:tc>
        <w:tc>
          <w:tcPr>
            <w:tcW w:w="227" w:type="pct"/>
            <w:tcBorders>
              <w:top w:val="single" w:sz="4" w:space="0" w:color="auto"/>
            </w:tcBorders>
            <w:noWrap/>
            <w:vAlign w:val="center"/>
            <w:hideMark/>
          </w:tcPr>
          <w:p w14:paraId="3B4010B4"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364" w:type="pct"/>
            <w:tcBorders>
              <w:top w:val="single" w:sz="4" w:space="0" w:color="auto"/>
            </w:tcBorders>
            <w:noWrap/>
            <w:vAlign w:val="center"/>
            <w:hideMark/>
          </w:tcPr>
          <w:p w14:paraId="23CDADB9"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295</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9</w:t>
            </w:r>
          </w:p>
        </w:tc>
        <w:tc>
          <w:tcPr>
            <w:tcW w:w="163" w:type="pct"/>
            <w:tcBorders>
              <w:top w:val="single" w:sz="4" w:space="0" w:color="auto"/>
            </w:tcBorders>
            <w:noWrap/>
            <w:vAlign w:val="center"/>
            <w:hideMark/>
          </w:tcPr>
          <w:p w14:paraId="248E4E00"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540" w:type="pct"/>
            <w:tcBorders>
              <w:top w:val="single" w:sz="4" w:space="0" w:color="auto"/>
            </w:tcBorders>
            <w:noWrap/>
            <w:vAlign w:val="center"/>
            <w:hideMark/>
          </w:tcPr>
          <w:p w14:paraId="02532DE5"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6616</w:t>
            </w:r>
          </w:p>
        </w:tc>
        <w:tc>
          <w:tcPr>
            <w:tcW w:w="470" w:type="pct"/>
            <w:tcBorders>
              <w:top w:val="single" w:sz="4" w:space="0" w:color="auto"/>
            </w:tcBorders>
            <w:noWrap/>
            <w:vAlign w:val="center"/>
            <w:hideMark/>
          </w:tcPr>
          <w:p w14:paraId="4C146024"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2438</w:t>
            </w:r>
          </w:p>
        </w:tc>
        <w:tc>
          <w:tcPr>
            <w:tcW w:w="365" w:type="pct"/>
            <w:tcBorders>
              <w:top w:val="single" w:sz="4" w:space="0" w:color="auto"/>
            </w:tcBorders>
            <w:noWrap/>
            <w:vAlign w:val="center"/>
            <w:hideMark/>
          </w:tcPr>
          <w:p w14:paraId="44B91687"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13</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24</w:t>
            </w:r>
          </w:p>
        </w:tc>
        <w:tc>
          <w:tcPr>
            <w:tcW w:w="418" w:type="pct"/>
            <w:tcBorders>
              <w:top w:val="single" w:sz="4" w:space="0" w:color="auto"/>
            </w:tcBorders>
            <w:noWrap/>
            <w:vAlign w:val="center"/>
            <w:hideMark/>
          </w:tcPr>
          <w:p w14:paraId="0BA21489"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177</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1</w:t>
            </w:r>
          </w:p>
        </w:tc>
        <w:tc>
          <w:tcPr>
            <w:tcW w:w="466" w:type="pct"/>
            <w:tcBorders>
              <w:top w:val="single" w:sz="4" w:space="0" w:color="auto"/>
            </w:tcBorders>
            <w:noWrap/>
            <w:vAlign w:val="center"/>
            <w:hideMark/>
          </w:tcPr>
          <w:p w14:paraId="63FA76ED"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880</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9</w:t>
            </w:r>
          </w:p>
        </w:tc>
        <w:tc>
          <w:tcPr>
            <w:tcW w:w="365" w:type="pct"/>
            <w:tcBorders>
              <w:top w:val="single" w:sz="4" w:space="0" w:color="auto"/>
            </w:tcBorders>
            <w:noWrap/>
            <w:vAlign w:val="center"/>
            <w:hideMark/>
          </w:tcPr>
          <w:p w14:paraId="1AB153EB"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14</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3</w:t>
            </w:r>
          </w:p>
        </w:tc>
        <w:tc>
          <w:tcPr>
            <w:tcW w:w="416" w:type="pct"/>
            <w:tcBorders>
              <w:top w:val="single" w:sz="4" w:space="0" w:color="auto"/>
            </w:tcBorders>
            <w:noWrap/>
            <w:vAlign w:val="center"/>
            <w:hideMark/>
          </w:tcPr>
          <w:p w14:paraId="1FED0E7A"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252</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2</w:t>
            </w:r>
          </w:p>
        </w:tc>
      </w:tr>
      <w:tr w:rsidR="00460120" w:rsidRPr="00A7364B" w14:paraId="0E7DB5E8" w14:textId="77777777" w:rsidTr="00166705">
        <w:trPr>
          <w:trHeight w:val="284"/>
        </w:trPr>
        <w:tc>
          <w:tcPr>
            <w:tcW w:w="594" w:type="pct"/>
            <w:noWrap/>
            <w:vAlign w:val="center"/>
            <w:hideMark/>
          </w:tcPr>
          <w:p w14:paraId="18AB282D" w14:textId="77777777" w:rsidR="0062157C" w:rsidRPr="00A7364B" w:rsidRDefault="0062157C"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Qi5 bis</w:t>
            </w:r>
          </w:p>
        </w:tc>
        <w:tc>
          <w:tcPr>
            <w:tcW w:w="235" w:type="pct"/>
            <w:noWrap/>
            <w:vAlign w:val="center"/>
            <w:hideMark/>
          </w:tcPr>
          <w:p w14:paraId="793103B6"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376" w:type="pct"/>
            <w:noWrap/>
            <w:vAlign w:val="center"/>
            <w:hideMark/>
          </w:tcPr>
          <w:p w14:paraId="68685440"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00</w:t>
            </w:r>
          </w:p>
        </w:tc>
        <w:tc>
          <w:tcPr>
            <w:tcW w:w="227" w:type="pct"/>
            <w:noWrap/>
            <w:vAlign w:val="center"/>
            <w:hideMark/>
          </w:tcPr>
          <w:p w14:paraId="05751443"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364" w:type="pct"/>
            <w:noWrap/>
            <w:vAlign w:val="center"/>
            <w:hideMark/>
          </w:tcPr>
          <w:p w14:paraId="77970F3A"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252</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3</w:t>
            </w:r>
          </w:p>
        </w:tc>
        <w:tc>
          <w:tcPr>
            <w:tcW w:w="163" w:type="pct"/>
            <w:noWrap/>
            <w:vAlign w:val="center"/>
            <w:hideMark/>
          </w:tcPr>
          <w:p w14:paraId="79300972"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540" w:type="pct"/>
            <w:noWrap/>
            <w:vAlign w:val="center"/>
            <w:hideMark/>
          </w:tcPr>
          <w:p w14:paraId="42E7517A"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4424</w:t>
            </w:r>
          </w:p>
        </w:tc>
        <w:tc>
          <w:tcPr>
            <w:tcW w:w="470" w:type="pct"/>
            <w:noWrap/>
            <w:vAlign w:val="center"/>
            <w:hideMark/>
          </w:tcPr>
          <w:p w14:paraId="3F2D80EC"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1208</w:t>
            </w:r>
          </w:p>
        </w:tc>
        <w:tc>
          <w:tcPr>
            <w:tcW w:w="365" w:type="pct"/>
            <w:noWrap/>
            <w:vAlign w:val="center"/>
            <w:hideMark/>
          </w:tcPr>
          <w:p w14:paraId="4FB7C223"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7</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19</w:t>
            </w:r>
          </w:p>
        </w:tc>
        <w:tc>
          <w:tcPr>
            <w:tcW w:w="418" w:type="pct"/>
            <w:noWrap/>
            <w:vAlign w:val="center"/>
            <w:hideMark/>
          </w:tcPr>
          <w:p w14:paraId="579FA1D7"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164</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4</w:t>
            </w:r>
          </w:p>
        </w:tc>
        <w:tc>
          <w:tcPr>
            <w:tcW w:w="466" w:type="pct"/>
            <w:noWrap/>
            <w:vAlign w:val="center"/>
            <w:hideMark/>
          </w:tcPr>
          <w:p w14:paraId="221088E1"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799</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7</w:t>
            </w:r>
          </w:p>
        </w:tc>
        <w:tc>
          <w:tcPr>
            <w:tcW w:w="365" w:type="pct"/>
            <w:noWrap/>
            <w:vAlign w:val="center"/>
            <w:hideMark/>
          </w:tcPr>
          <w:p w14:paraId="6F5FD60F"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8</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49</w:t>
            </w:r>
          </w:p>
        </w:tc>
        <w:tc>
          <w:tcPr>
            <w:tcW w:w="416" w:type="pct"/>
            <w:noWrap/>
            <w:vAlign w:val="center"/>
            <w:hideMark/>
          </w:tcPr>
          <w:p w14:paraId="4AA3F1BD"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160</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1</w:t>
            </w:r>
          </w:p>
        </w:tc>
      </w:tr>
      <w:tr w:rsidR="00460120" w:rsidRPr="00A7364B" w14:paraId="50BF09BA" w14:textId="77777777" w:rsidTr="00166705">
        <w:trPr>
          <w:trHeight w:val="284"/>
        </w:trPr>
        <w:tc>
          <w:tcPr>
            <w:tcW w:w="594" w:type="pct"/>
            <w:noWrap/>
            <w:vAlign w:val="center"/>
            <w:hideMark/>
          </w:tcPr>
          <w:p w14:paraId="07B83B62" w14:textId="77777777" w:rsidR="0062157C" w:rsidRPr="00A7364B" w:rsidRDefault="0062157C"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Mouillage</w:t>
            </w:r>
          </w:p>
        </w:tc>
        <w:tc>
          <w:tcPr>
            <w:tcW w:w="235" w:type="pct"/>
            <w:noWrap/>
            <w:vAlign w:val="center"/>
            <w:hideMark/>
          </w:tcPr>
          <w:p w14:paraId="41CAD79F"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376" w:type="pct"/>
            <w:noWrap/>
            <w:vAlign w:val="center"/>
            <w:hideMark/>
          </w:tcPr>
          <w:p w14:paraId="1DBED15F"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00</w:t>
            </w:r>
          </w:p>
        </w:tc>
        <w:tc>
          <w:tcPr>
            <w:tcW w:w="227" w:type="pct"/>
            <w:noWrap/>
            <w:vAlign w:val="center"/>
            <w:hideMark/>
          </w:tcPr>
          <w:p w14:paraId="3C72DE7D"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364" w:type="pct"/>
            <w:noWrap/>
            <w:vAlign w:val="center"/>
            <w:hideMark/>
          </w:tcPr>
          <w:p w14:paraId="1DCE24FF"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300</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1</w:t>
            </w:r>
          </w:p>
        </w:tc>
        <w:tc>
          <w:tcPr>
            <w:tcW w:w="163" w:type="pct"/>
            <w:noWrap/>
            <w:vAlign w:val="center"/>
            <w:hideMark/>
          </w:tcPr>
          <w:p w14:paraId="086E1E56"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540" w:type="pct"/>
            <w:noWrap/>
            <w:vAlign w:val="center"/>
            <w:hideMark/>
          </w:tcPr>
          <w:p w14:paraId="038E789A"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178500</w:t>
            </w:r>
          </w:p>
        </w:tc>
        <w:tc>
          <w:tcPr>
            <w:tcW w:w="470" w:type="pct"/>
            <w:noWrap/>
            <w:vAlign w:val="center"/>
            <w:hideMark/>
          </w:tcPr>
          <w:p w14:paraId="0BB557A2"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45220</w:t>
            </w:r>
          </w:p>
        </w:tc>
        <w:tc>
          <w:tcPr>
            <w:tcW w:w="365" w:type="pct"/>
            <w:noWrap/>
            <w:vAlign w:val="center"/>
            <w:hideMark/>
          </w:tcPr>
          <w:p w14:paraId="46EF915B"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528</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8</w:t>
            </w:r>
          </w:p>
        </w:tc>
        <w:tc>
          <w:tcPr>
            <w:tcW w:w="418" w:type="pct"/>
            <w:noWrap/>
            <w:vAlign w:val="center"/>
            <w:hideMark/>
          </w:tcPr>
          <w:p w14:paraId="6FA8300A"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9594</w:t>
            </w:r>
          </w:p>
        </w:tc>
        <w:tc>
          <w:tcPr>
            <w:tcW w:w="466" w:type="pct"/>
            <w:noWrap/>
            <w:vAlign w:val="center"/>
            <w:hideMark/>
          </w:tcPr>
          <w:p w14:paraId="2247E3A0"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58900</w:t>
            </w:r>
          </w:p>
        </w:tc>
        <w:tc>
          <w:tcPr>
            <w:tcW w:w="365" w:type="pct"/>
            <w:noWrap/>
            <w:vAlign w:val="center"/>
            <w:hideMark/>
          </w:tcPr>
          <w:p w14:paraId="3AF42B7F"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681</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5</w:t>
            </w:r>
          </w:p>
        </w:tc>
        <w:tc>
          <w:tcPr>
            <w:tcW w:w="416" w:type="pct"/>
            <w:noWrap/>
            <w:vAlign w:val="center"/>
            <w:hideMark/>
          </w:tcPr>
          <w:p w14:paraId="44356DB8"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10830</w:t>
            </w:r>
          </w:p>
        </w:tc>
      </w:tr>
      <w:tr w:rsidR="00460120" w:rsidRPr="00A7364B" w14:paraId="0DC6DCC5" w14:textId="77777777" w:rsidTr="00166705">
        <w:trPr>
          <w:trHeight w:val="284"/>
        </w:trPr>
        <w:tc>
          <w:tcPr>
            <w:tcW w:w="594" w:type="pct"/>
            <w:noWrap/>
            <w:vAlign w:val="center"/>
            <w:hideMark/>
          </w:tcPr>
          <w:p w14:paraId="4BE51543" w14:textId="77777777" w:rsidR="0062157C" w:rsidRPr="00A7364B" w:rsidRDefault="0062157C"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Mol port</w:t>
            </w:r>
          </w:p>
        </w:tc>
        <w:tc>
          <w:tcPr>
            <w:tcW w:w="235" w:type="pct"/>
            <w:noWrap/>
            <w:vAlign w:val="center"/>
            <w:hideMark/>
          </w:tcPr>
          <w:p w14:paraId="2E6D8C60"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376" w:type="pct"/>
            <w:noWrap/>
            <w:vAlign w:val="center"/>
            <w:hideMark/>
          </w:tcPr>
          <w:p w14:paraId="3BAEFAF8"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19</w:t>
            </w:r>
          </w:p>
        </w:tc>
        <w:tc>
          <w:tcPr>
            <w:tcW w:w="227" w:type="pct"/>
            <w:noWrap/>
            <w:vAlign w:val="center"/>
            <w:hideMark/>
          </w:tcPr>
          <w:p w14:paraId="42DEC97F"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364" w:type="pct"/>
            <w:noWrap/>
            <w:vAlign w:val="center"/>
            <w:hideMark/>
          </w:tcPr>
          <w:p w14:paraId="77E4D8F6"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284</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5</w:t>
            </w:r>
          </w:p>
        </w:tc>
        <w:tc>
          <w:tcPr>
            <w:tcW w:w="163" w:type="pct"/>
            <w:noWrap/>
            <w:vAlign w:val="center"/>
            <w:hideMark/>
          </w:tcPr>
          <w:p w14:paraId="21644EAE"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540" w:type="pct"/>
            <w:noWrap/>
            <w:vAlign w:val="center"/>
            <w:hideMark/>
          </w:tcPr>
          <w:p w14:paraId="202B1FB0"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2069</w:t>
            </w:r>
          </w:p>
        </w:tc>
        <w:tc>
          <w:tcPr>
            <w:tcW w:w="470" w:type="pct"/>
            <w:noWrap/>
            <w:vAlign w:val="center"/>
            <w:hideMark/>
          </w:tcPr>
          <w:p w14:paraId="316B5870"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1456</w:t>
            </w:r>
          </w:p>
        </w:tc>
        <w:tc>
          <w:tcPr>
            <w:tcW w:w="365" w:type="pct"/>
            <w:noWrap/>
            <w:vAlign w:val="center"/>
            <w:hideMark/>
          </w:tcPr>
          <w:p w14:paraId="7E2C8EAF"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11</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18</w:t>
            </w:r>
          </w:p>
        </w:tc>
        <w:tc>
          <w:tcPr>
            <w:tcW w:w="418" w:type="pct"/>
            <w:noWrap/>
            <w:vAlign w:val="center"/>
            <w:hideMark/>
          </w:tcPr>
          <w:p w14:paraId="0E6AD327"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460</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9</w:t>
            </w:r>
          </w:p>
        </w:tc>
        <w:tc>
          <w:tcPr>
            <w:tcW w:w="466" w:type="pct"/>
            <w:noWrap/>
            <w:vAlign w:val="center"/>
            <w:hideMark/>
          </w:tcPr>
          <w:p w14:paraId="33333125"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814</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5</w:t>
            </w:r>
          </w:p>
        </w:tc>
        <w:tc>
          <w:tcPr>
            <w:tcW w:w="365" w:type="pct"/>
            <w:noWrap/>
            <w:vAlign w:val="center"/>
            <w:hideMark/>
          </w:tcPr>
          <w:p w14:paraId="4DF13833"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29</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36</w:t>
            </w:r>
          </w:p>
        </w:tc>
        <w:tc>
          <w:tcPr>
            <w:tcW w:w="416" w:type="pct"/>
            <w:noWrap/>
            <w:vAlign w:val="center"/>
            <w:hideMark/>
          </w:tcPr>
          <w:p w14:paraId="3A05DB9D"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531</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3</w:t>
            </w:r>
          </w:p>
        </w:tc>
      </w:tr>
      <w:tr w:rsidR="00460120" w:rsidRPr="00A7364B" w14:paraId="6840518A" w14:textId="77777777" w:rsidTr="00166705">
        <w:trPr>
          <w:trHeight w:val="284"/>
        </w:trPr>
        <w:tc>
          <w:tcPr>
            <w:tcW w:w="594" w:type="pct"/>
            <w:noWrap/>
            <w:vAlign w:val="center"/>
            <w:hideMark/>
          </w:tcPr>
          <w:p w14:paraId="21103707" w14:textId="77777777" w:rsidR="0062157C" w:rsidRPr="00A7364B" w:rsidRDefault="0062157C"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Caréna</w:t>
            </w:r>
          </w:p>
        </w:tc>
        <w:tc>
          <w:tcPr>
            <w:tcW w:w="235" w:type="pct"/>
            <w:noWrap/>
            <w:vAlign w:val="center"/>
            <w:hideMark/>
          </w:tcPr>
          <w:p w14:paraId="061BC9A2"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376" w:type="pct"/>
            <w:noWrap/>
            <w:vAlign w:val="center"/>
            <w:hideMark/>
          </w:tcPr>
          <w:p w14:paraId="73130744"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9</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5</w:t>
            </w:r>
          </w:p>
        </w:tc>
        <w:tc>
          <w:tcPr>
            <w:tcW w:w="227" w:type="pct"/>
            <w:noWrap/>
            <w:vAlign w:val="center"/>
            <w:hideMark/>
          </w:tcPr>
          <w:p w14:paraId="3C0ABD7B"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364" w:type="pct"/>
            <w:noWrap/>
            <w:vAlign w:val="center"/>
            <w:hideMark/>
          </w:tcPr>
          <w:p w14:paraId="0313E23E"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319</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5</w:t>
            </w:r>
          </w:p>
        </w:tc>
        <w:tc>
          <w:tcPr>
            <w:tcW w:w="163" w:type="pct"/>
            <w:noWrap/>
            <w:vAlign w:val="center"/>
            <w:hideMark/>
          </w:tcPr>
          <w:p w14:paraId="2CDB0DBC"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540" w:type="pct"/>
            <w:noWrap/>
            <w:vAlign w:val="center"/>
            <w:hideMark/>
          </w:tcPr>
          <w:p w14:paraId="6AAABB64"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588</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4</w:t>
            </w:r>
          </w:p>
        </w:tc>
        <w:tc>
          <w:tcPr>
            <w:tcW w:w="470" w:type="pct"/>
            <w:noWrap/>
            <w:vAlign w:val="center"/>
            <w:hideMark/>
          </w:tcPr>
          <w:p w14:paraId="32E3D0DB"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480</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9</w:t>
            </w:r>
          </w:p>
        </w:tc>
        <w:tc>
          <w:tcPr>
            <w:tcW w:w="365" w:type="pct"/>
            <w:noWrap/>
            <w:vAlign w:val="center"/>
            <w:hideMark/>
          </w:tcPr>
          <w:p w14:paraId="68D0401E"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4</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2</w:t>
            </w:r>
            <w:r w:rsidR="00460120" w:rsidRPr="00A7364B">
              <w:rPr>
                <w:rFonts w:ascii="Arial" w:eastAsia="Times New Roman" w:hAnsi="Arial" w:cs="Arial"/>
                <w:color w:val="000000"/>
                <w:sz w:val="20"/>
                <w:szCs w:val="20"/>
                <w:lang w:eastAsia="fr-FR"/>
              </w:rPr>
              <w:t>5</w:t>
            </w:r>
          </w:p>
        </w:tc>
        <w:tc>
          <w:tcPr>
            <w:tcW w:w="418" w:type="pct"/>
            <w:noWrap/>
            <w:vAlign w:val="center"/>
            <w:hideMark/>
          </w:tcPr>
          <w:p w14:paraId="1838A195"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172</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8</w:t>
            </w:r>
          </w:p>
        </w:tc>
        <w:tc>
          <w:tcPr>
            <w:tcW w:w="466" w:type="pct"/>
            <w:noWrap/>
            <w:vAlign w:val="center"/>
            <w:hideMark/>
          </w:tcPr>
          <w:p w14:paraId="4F9B8D12"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853</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2</w:t>
            </w:r>
          </w:p>
        </w:tc>
        <w:tc>
          <w:tcPr>
            <w:tcW w:w="365" w:type="pct"/>
            <w:noWrap/>
            <w:vAlign w:val="center"/>
            <w:hideMark/>
          </w:tcPr>
          <w:p w14:paraId="1D7FD15E"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6</w:t>
            </w:r>
            <w:r w:rsidR="00460120" w:rsidRPr="00A7364B">
              <w:rPr>
                <w:rFonts w:ascii="Arial" w:eastAsia="Times New Roman" w:hAnsi="Arial" w:cs="Arial"/>
                <w:color w:val="000000"/>
                <w:sz w:val="20"/>
                <w:szCs w:val="20"/>
                <w:lang w:eastAsia="fr-FR"/>
              </w:rPr>
              <w:t>4</w:t>
            </w:r>
          </w:p>
        </w:tc>
        <w:tc>
          <w:tcPr>
            <w:tcW w:w="416" w:type="pct"/>
            <w:noWrap/>
            <w:vAlign w:val="center"/>
            <w:hideMark/>
          </w:tcPr>
          <w:p w14:paraId="4B8FD738"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106</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9</w:t>
            </w:r>
          </w:p>
        </w:tc>
      </w:tr>
      <w:tr w:rsidR="00460120" w:rsidRPr="00A7364B" w14:paraId="0FAAD697" w14:textId="77777777" w:rsidTr="00166705">
        <w:trPr>
          <w:trHeight w:val="284"/>
        </w:trPr>
        <w:tc>
          <w:tcPr>
            <w:tcW w:w="594" w:type="pct"/>
            <w:noWrap/>
            <w:vAlign w:val="center"/>
            <w:hideMark/>
          </w:tcPr>
          <w:p w14:paraId="0684FEF1" w14:textId="77777777" w:rsidR="0062157C" w:rsidRPr="00A7364B" w:rsidRDefault="0062157C"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Pont FHB</w:t>
            </w:r>
          </w:p>
        </w:tc>
        <w:tc>
          <w:tcPr>
            <w:tcW w:w="235" w:type="pct"/>
            <w:noWrap/>
            <w:vAlign w:val="center"/>
            <w:hideMark/>
          </w:tcPr>
          <w:p w14:paraId="373514EE"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376" w:type="pct"/>
            <w:noWrap/>
            <w:vAlign w:val="center"/>
            <w:hideMark/>
          </w:tcPr>
          <w:p w14:paraId="0A70BCD7"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00</w:t>
            </w:r>
          </w:p>
        </w:tc>
        <w:tc>
          <w:tcPr>
            <w:tcW w:w="227" w:type="pct"/>
            <w:noWrap/>
            <w:vAlign w:val="center"/>
            <w:hideMark/>
          </w:tcPr>
          <w:p w14:paraId="2209376F"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364" w:type="pct"/>
            <w:noWrap/>
            <w:vAlign w:val="center"/>
            <w:hideMark/>
          </w:tcPr>
          <w:p w14:paraId="56A0610F"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240</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9</w:t>
            </w:r>
          </w:p>
        </w:tc>
        <w:tc>
          <w:tcPr>
            <w:tcW w:w="163" w:type="pct"/>
            <w:noWrap/>
            <w:vAlign w:val="center"/>
            <w:hideMark/>
          </w:tcPr>
          <w:p w14:paraId="61B85E14"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540" w:type="pct"/>
            <w:noWrap/>
            <w:vAlign w:val="center"/>
            <w:hideMark/>
          </w:tcPr>
          <w:p w14:paraId="78FE191A"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531</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8</w:t>
            </w:r>
          </w:p>
        </w:tc>
        <w:tc>
          <w:tcPr>
            <w:tcW w:w="470" w:type="pct"/>
            <w:noWrap/>
            <w:vAlign w:val="center"/>
            <w:hideMark/>
          </w:tcPr>
          <w:p w14:paraId="4715F39B"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365</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7</w:t>
            </w:r>
          </w:p>
        </w:tc>
        <w:tc>
          <w:tcPr>
            <w:tcW w:w="365" w:type="pct"/>
            <w:noWrap/>
            <w:vAlign w:val="center"/>
            <w:hideMark/>
          </w:tcPr>
          <w:p w14:paraId="302F5036"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7</w:t>
            </w:r>
            <w:r w:rsidR="00460120" w:rsidRPr="00A7364B">
              <w:rPr>
                <w:rFonts w:ascii="Arial" w:eastAsia="Times New Roman" w:hAnsi="Arial" w:cs="Arial"/>
                <w:color w:val="000000"/>
                <w:sz w:val="20"/>
                <w:szCs w:val="20"/>
                <w:lang w:eastAsia="fr-FR"/>
              </w:rPr>
              <w:t>2</w:t>
            </w:r>
          </w:p>
        </w:tc>
        <w:tc>
          <w:tcPr>
            <w:tcW w:w="418" w:type="pct"/>
            <w:noWrap/>
            <w:vAlign w:val="center"/>
            <w:hideMark/>
          </w:tcPr>
          <w:p w14:paraId="2224E55C"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133</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1</w:t>
            </w:r>
          </w:p>
        </w:tc>
        <w:tc>
          <w:tcPr>
            <w:tcW w:w="466" w:type="pct"/>
            <w:noWrap/>
            <w:vAlign w:val="center"/>
            <w:hideMark/>
          </w:tcPr>
          <w:p w14:paraId="7C7FC7AB"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672</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9</w:t>
            </w:r>
          </w:p>
        </w:tc>
        <w:tc>
          <w:tcPr>
            <w:tcW w:w="365" w:type="pct"/>
            <w:noWrap/>
            <w:vAlign w:val="center"/>
            <w:hideMark/>
          </w:tcPr>
          <w:p w14:paraId="4D1BF5BD"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3</w:t>
            </w:r>
            <w:r w:rsidR="00460120" w:rsidRPr="00A7364B">
              <w:rPr>
                <w:rFonts w:ascii="Arial" w:eastAsia="Times New Roman" w:hAnsi="Arial" w:cs="Arial"/>
                <w:color w:val="000000"/>
                <w:sz w:val="20"/>
                <w:szCs w:val="20"/>
                <w:lang w:eastAsia="fr-FR"/>
              </w:rPr>
              <w:t>8</w:t>
            </w:r>
          </w:p>
        </w:tc>
        <w:tc>
          <w:tcPr>
            <w:tcW w:w="416" w:type="pct"/>
            <w:noWrap/>
            <w:vAlign w:val="center"/>
            <w:hideMark/>
          </w:tcPr>
          <w:p w14:paraId="44AF2EFF"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90</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72</w:t>
            </w:r>
          </w:p>
        </w:tc>
      </w:tr>
      <w:tr w:rsidR="00460120" w:rsidRPr="00A7364B" w14:paraId="0E04E017" w14:textId="77777777" w:rsidTr="00166705">
        <w:trPr>
          <w:trHeight w:val="284"/>
        </w:trPr>
        <w:tc>
          <w:tcPr>
            <w:tcW w:w="594" w:type="pct"/>
            <w:noWrap/>
            <w:vAlign w:val="center"/>
            <w:hideMark/>
          </w:tcPr>
          <w:p w14:paraId="27F70C30" w14:textId="77777777" w:rsidR="0062157C" w:rsidRPr="00A7364B" w:rsidRDefault="00460120"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Min</w:t>
            </w:r>
          </w:p>
        </w:tc>
        <w:tc>
          <w:tcPr>
            <w:tcW w:w="235" w:type="pct"/>
            <w:noWrap/>
            <w:vAlign w:val="center"/>
            <w:hideMark/>
          </w:tcPr>
          <w:p w14:paraId="4B9B6328"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376" w:type="pct"/>
            <w:noWrap/>
            <w:vAlign w:val="center"/>
            <w:hideMark/>
          </w:tcPr>
          <w:p w14:paraId="2337C794"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00</w:t>
            </w:r>
          </w:p>
        </w:tc>
        <w:tc>
          <w:tcPr>
            <w:tcW w:w="227" w:type="pct"/>
            <w:noWrap/>
            <w:vAlign w:val="center"/>
            <w:hideMark/>
          </w:tcPr>
          <w:p w14:paraId="2DF04EA3"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364" w:type="pct"/>
            <w:noWrap/>
            <w:vAlign w:val="center"/>
            <w:hideMark/>
          </w:tcPr>
          <w:p w14:paraId="77057CD5"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240</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9</w:t>
            </w:r>
          </w:p>
        </w:tc>
        <w:tc>
          <w:tcPr>
            <w:tcW w:w="163" w:type="pct"/>
            <w:noWrap/>
            <w:vAlign w:val="center"/>
            <w:hideMark/>
          </w:tcPr>
          <w:p w14:paraId="2892EB5F"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540" w:type="pct"/>
            <w:noWrap/>
            <w:vAlign w:val="center"/>
            <w:hideMark/>
          </w:tcPr>
          <w:p w14:paraId="275C55E2"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531</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8</w:t>
            </w:r>
          </w:p>
        </w:tc>
        <w:tc>
          <w:tcPr>
            <w:tcW w:w="470" w:type="pct"/>
            <w:noWrap/>
            <w:vAlign w:val="center"/>
            <w:hideMark/>
          </w:tcPr>
          <w:p w14:paraId="1C5785B0"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365</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7</w:t>
            </w:r>
          </w:p>
        </w:tc>
        <w:tc>
          <w:tcPr>
            <w:tcW w:w="365" w:type="pct"/>
            <w:noWrap/>
            <w:vAlign w:val="center"/>
            <w:hideMark/>
          </w:tcPr>
          <w:p w14:paraId="64B06875"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7</w:t>
            </w:r>
            <w:r w:rsidR="00460120" w:rsidRPr="00A7364B">
              <w:rPr>
                <w:rFonts w:ascii="Arial" w:eastAsia="Times New Roman" w:hAnsi="Arial" w:cs="Arial"/>
                <w:color w:val="000000"/>
                <w:sz w:val="20"/>
                <w:szCs w:val="20"/>
                <w:lang w:eastAsia="fr-FR"/>
              </w:rPr>
              <w:t>2</w:t>
            </w:r>
          </w:p>
        </w:tc>
        <w:tc>
          <w:tcPr>
            <w:tcW w:w="418" w:type="pct"/>
            <w:noWrap/>
            <w:vAlign w:val="center"/>
            <w:hideMark/>
          </w:tcPr>
          <w:p w14:paraId="5EA44132"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133</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1</w:t>
            </w:r>
          </w:p>
        </w:tc>
        <w:tc>
          <w:tcPr>
            <w:tcW w:w="466" w:type="pct"/>
            <w:noWrap/>
            <w:vAlign w:val="center"/>
            <w:hideMark/>
          </w:tcPr>
          <w:p w14:paraId="5E65FC32"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672</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9</w:t>
            </w:r>
          </w:p>
        </w:tc>
        <w:tc>
          <w:tcPr>
            <w:tcW w:w="365" w:type="pct"/>
            <w:noWrap/>
            <w:vAlign w:val="center"/>
            <w:hideMark/>
          </w:tcPr>
          <w:p w14:paraId="0988ECA0"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37</w:t>
            </w:r>
          </w:p>
        </w:tc>
        <w:tc>
          <w:tcPr>
            <w:tcW w:w="416" w:type="pct"/>
            <w:noWrap/>
            <w:vAlign w:val="center"/>
            <w:hideMark/>
          </w:tcPr>
          <w:p w14:paraId="64EA5D29"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90</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72</w:t>
            </w:r>
          </w:p>
        </w:tc>
      </w:tr>
      <w:tr w:rsidR="00460120" w:rsidRPr="00A7364B" w14:paraId="03EE7A87" w14:textId="77777777" w:rsidTr="00166705">
        <w:trPr>
          <w:trHeight w:val="284"/>
        </w:trPr>
        <w:tc>
          <w:tcPr>
            <w:tcW w:w="594" w:type="pct"/>
            <w:noWrap/>
            <w:vAlign w:val="center"/>
            <w:hideMark/>
          </w:tcPr>
          <w:p w14:paraId="6C157EEF" w14:textId="77777777" w:rsidR="0062157C" w:rsidRPr="00A7364B" w:rsidRDefault="00460120"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Max</w:t>
            </w:r>
          </w:p>
        </w:tc>
        <w:tc>
          <w:tcPr>
            <w:tcW w:w="235" w:type="pct"/>
            <w:noWrap/>
            <w:vAlign w:val="center"/>
            <w:hideMark/>
          </w:tcPr>
          <w:p w14:paraId="0FB399F4"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376" w:type="pct"/>
            <w:noWrap/>
            <w:vAlign w:val="center"/>
            <w:hideMark/>
          </w:tcPr>
          <w:p w14:paraId="7825D451"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23</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98</w:t>
            </w:r>
          </w:p>
        </w:tc>
        <w:tc>
          <w:tcPr>
            <w:tcW w:w="227" w:type="pct"/>
            <w:noWrap/>
            <w:vAlign w:val="center"/>
            <w:hideMark/>
          </w:tcPr>
          <w:p w14:paraId="5E4F2DD8"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364" w:type="pct"/>
            <w:noWrap/>
            <w:vAlign w:val="center"/>
            <w:hideMark/>
          </w:tcPr>
          <w:p w14:paraId="1E9EB294"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319</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5</w:t>
            </w:r>
          </w:p>
        </w:tc>
        <w:tc>
          <w:tcPr>
            <w:tcW w:w="163" w:type="pct"/>
            <w:noWrap/>
            <w:vAlign w:val="center"/>
            <w:hideMark/>
          </w:tcPr>
          <w:p w14:paraId="49359BF3"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540" w:type="pct"/>
            <w:noWrap/>
            <w:vAlign w:val="center"/>
            <w:hideMark/>
          </w:tcPr>
          <w:p w14:paraId="28AC9E5B"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178500</w:t>
            </w:r>
          </w:p>
        </w:tc>
        <w:tc>
          <w:tcPr>
            <w:tcW w:w="470" w:type="pct"/>
            <w:noWrap/>
            <w:vAlign w:val="center"/>
            <w:hideMark/>
          </w:tcPr>
          <w:p w14:paraId="0143E42D"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45220</w:t>
            </w:r>
          </w:p>
        </w:tc>
        <w:tc>
          <w:tcPr>
            <w:tcW w:w="365" w:type="pct"/>
            <w:noWrap/>
            <w:vAlign w:val="center"/>
            <w:hideMark/>
          </w:tcPr>
          <w:p w14:paraId="24954108"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528</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8</w:t>
            </w:r>
          </w:p>
        </w:tc>
        <w:tc>
          <w:tcPr>
            <w:tcW w:w="418" w:type="pct"/>
            <w:noWrap/>
            <w:vAlign w:val="center"/>
            <w:hideMark/>
          </w:tcPr>
          <w:p w14:paraId="0CEC899B"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9594</w:t>
            </w:r>
          </w:p>
        </w:tc>
        <w:tc>
          <w:tcPr>
            <w:tcW w:w="466" w:type="pct"/>
            <w:noWrap/>
            <w:vAlign w:val="center"/>
            <w:hideMark/>
          </w:tcPr>
          <w:p w14:paraId="6967B90A"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58900</w:t>
            </w:r>
          </w:p>
        </w:tc>
        <w:tc>
          <w:tcPr>
            <w:tcW w:w="365" w:type="pct"/>
            <w:noWrap/>
            <w:vAlign w:val="center"/>
            <w:hideMark/>
          </w:tcPr>
          <w:p w14:paraId="4B329FE4"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681</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5</w:t>
            </w:r>
          </w:p>
        </w:tc>
        <w:tc>
          <w:tcPr>
            <w:tcW w:w="416" w:type="pct"/>
            <w:noWrap/>
            <w:vAlign w:val="center"/>
            <w:hideMark/>
          </w:tcPr>
          <w:p w14:paraId="702CDB85"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10830</w:t>
            </w:r>
          </w:p>
        </w:tc>
      </w:tr>
      <w:tr w:rsidR="00460120" w:rsidRPr="00A7364B" w14:paraId="755A75B9" w14:textId="77777777" w:rsidTr="00166705">
        <w:trPr>
          <w:trHeight w:val="284"/>
        </w:trPr>
        <w:tc>
          <w:tcPr>
            <w:tcW w:w="594" w:type="pct"/>
            <w:noWrap/>
            <w:vAlign w:val="center"/>
            <w:hideMark/>
          </w:tcPr>
          <w:p w14:paraId="6EDF2E3C" w14:textId="77777777" w:rsidR="0062157C" w:rsidRPr="00A7364B" w:rsidRDefault="00460120"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Average</w:t>
            </w:r>
          </w:p>
        </w:tc>
        <w:tc>
          <w:tcPr>
            <w:tcW w:w="235" w:type="pct"/>
            <w:noWrap/>
            <w:vAlign w:val="center"/>
            <w:hideMark/>
          </w:tcPr>
          <w:p w14:paraId="02FD9F8C"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376" w:type="pct"/>
            <w:noWrap/>
            <w:vAlign w:val="center"/>
            <w:hideMark/>
          </w:tcPr>
          <w:p w14:paraId="56DE7920"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7</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2</w:t>
            </w:r>
            <w:r w:rsidR="00460120" w:rsidRPr="00A7364B">
              <w:rPr>
                <w:rFonts w:ascii="Arial" w:eastAsia="Times New Roman" w:hAnsi="Arial" w:cs="Arial"/>
                <w:color w:val="000000"/>
                <w:sz w:val="20"/>
                <w:szCs w:val="20"/>
                <w:lang w:eastAsia="fr-FR"/>
              </w:rPr>
              <w:t>1</w:t>
            </w:r>
          </w:p>
        </w:tc>
        <w:tc>
          <w:tcPr>
            <w:tcW w:w="227" w:type="pct"/>
            <w:noWrap/>
            <w:vAlign w:val="center"/>
            <w:hideMark/>
          </w:tcPr>
          <w:p w14:paraId="2FD9B478"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364" w:type="pct"/>
            <w:noWrap/>
            <w:vAlign w:val="center"/>
            <w:hideMark/>
          </w:tcPr>
          <w:p w14:paraId="4DED2307"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281</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7</w:t>
            </w:r>
          </w:p>
        </w:tc>
        <w:tc>
          <w:tcPr>
            <w:tcW w:w="163" w:type="pct"/>
            <w:noWrap/>
            <w:vAlign w:val="center"/>
            <w:hideMark/>
          </w:tcPr>
          <w:p w14:paraId="1D65AFAB"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p>
        </w:tc>
        <w:tc>
          <w:tcPr>
            <w:tcW w:w="540" w:type="pct"/>
            <w:noWrap/>
            <w:vAlign w:val="center"/>
            <w:hideMark/>
          </w:tcPr>
          <w:p w14:paraId="6110EAB7"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46470</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12</w:t>
            </w:r>
          </w:p>
        </w:tc>
        <w:tc>
          <w:tcPr>
            <w:tcW w:w="470" w:type="pct"/>
            <w:noWrap/>
            <w:vAlign w:val="center"/>
            <w:hideMark/>
          </w:tcPr>
          <w:p w14:paraId="61096624"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12094</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28</w:t>
            </w:r>
          </w:p>
        </w:tc>
        <w:tc>
          <w:tcPr>
            <w:tcW w:w="365" w:type="pct"/>
            <w:noWrap/>
            <w:vAlign w:val="center"/>
            <w:hideMark/>
          </w:tcPr>
          <w:p w14:paraId="40A04FFD"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137</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36</w:t>
            </w:r>
          </w:p>
        </w:tc>
        <w:tc>
          <w:tcPr>
            <w:tcW w:w="418" w:type="pct"/>
            <w:noWrap/>
            <w:vAlign w:val="center"/>
            <w:hideMark/>
          </w:tcPr>
          <w:p w14:paraId="61297FBD"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2553</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67</w:t>
            </w:r>
          </w:p>
        </w:tc>
        <w:tc>
          <w:tcPr>
            <w:tcW w:w="466" w:type="pct"/>
            <w:noWrap/>
            <w:vAlign w:val="center"/>
            <w:hideMark/>
          </w:tcPr>
          <w:p w14:paraId="101665E8"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15311</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76</w:t>
            </w:r>
          </w:p>
        </w:tc>
        <w:tc>
          <w:tcPr>
            <w:tcW w:w="365" w:type="pct"/>
            <w:noWrap/>
            <w:vAlign w:val="center"/>
            <w:hideMark/>
          </w:tcPr>
          <w:p w14:paraId="46502C81"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177</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56</w:t>
            </w:r>
          </w:p>
        </w:tc>
        <w:tc>
          <w:tcPr>
            <w:tcW w:w="416" w:type="pct"/>
            <w:noWrap/>
            <w:vAlign w:val="center"/>
            <w:hideMark/>
          </w:tcPr>
          <w:p w14:paraId="0CC825B0"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2861</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49</w:t>
            </w:r>
          </w:p>
        </w:tc>
      </w:tr>
      <w:tr w:rsidR="00460120" w:rsidRPr="00A7364B" w14:paraId="16515F3F" w14:textId="77777777" w:rsidTr="00166705">
        <w:trPr>
          <w:trHeight w:val="284"/>
        </w:trPr>
        <w:tc>
          <w:tcPr>
            <w:tcW w:w="594" w:type="pct"/>
            <w:noWrap/>
            <w:vAlign w:val="center"/>
            <w:hideMark/>
          </w:tcPr>
          <w:p w14:paraId="2A634187" w14:textId="77777777" w:rsidR="0062157C" w:rsidRPr="00A7364B" w:rsidRDefault="0062157C" w:rsidP="00ED3175">
            <w:pPr>
              <w:spacing w:after="0" w:line="240" w:lineRule="auto"/>
              <w:jc w:val="both"/>
              <w:rPr>
                <w:rFonts w:ascii="Arial" w:eastAsia="Times New Roman" w:hAnsi="Arial" w:cs="Arial"/>
                <w:b/>
                <w:bCs/>
                <w:color w:val="000000"/>
                <w:sz w:val="20"/>
                <w:szCs w:val="20"/>
                <w:lang w:eastAsia="fr-FR"/>
              </w:rPr>
            </w:pPr>
            <w:r w:rsidRPr="00A7364B">
              <w:rPr>
                <w:rFonts w:ascii="Arial" w:eastAsia="Times New Roman" w:hAnsi="Arial" w:cs="Arial"/>
                <w:b/>
                <w:bCs/>
                <w:color w:val="000000"/>
                <w:sz w:val="20"/>
                <w:szCs w:val="20"/>
                <w:lang w:eastAsia="fr-FR"/>
              </w:rPr>
              <w:t>UCC</w:t>
            </w:r>
          </w:p>
        </w:tc>
        <w:tc>
          <w:tcPr>
            <w:tcW w:w="235" w:type="pct"/>
            <w:noWrap/>
            <w:vAlign w:val="center"/>
            <w:hideMark/>
          </w:tcPr>
          <w:p w14:paraId="3CD5B3AE"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1</w:t>
            </w:r>
          </w:p>
        </w:tc>
        <w:tc>
          <w:tcPr>
            <w:tcW w:w="376" w:type="pct"/>
            <w:noWrap/>
            <w:vAlign w:val="center"/>
            <w:hideMark/>
          </w:tcPr>
          <w:p w14:paraId="6D5AF9AB"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17</w:t>
            </w:r>
          </w:p>
        </w:tc>
        <w:tc>
          <w:tcPr>
            <w:tcW w:w="227" w:type="pct"/>
            <w:noWrap/>
            <w:vAlign w:val="center"/>
            <w:hideMark/>
          </w:tcPr>
          <w:p w14:paraId="5628FEB2"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0</w:t>
            </w:r>
            <w:r w:rsidR="00ED3175" w:rsidRPr="00A7364B">
              <w:rPr>
                <w:rFonts w:ascii="Arial" w:eastAsia="Times New Roman" w:hAnsi="Arial" w:cs="Arial"/>
                <w:color w:val="000000"/>
                <w:sz w:val="20"/>
                <w:szCs w:val="20"/>
                <w:lang w:eastAsia="fr-FR"/>
              </w:rPr>
              <w:t>.</w:t>
            </w:r>
            <w:r w:rsidRPr="00A7364B">
              <w:rPr>
                <w:rFonts w:ascii="Arial" w:eastAsia="Times New Roman" w:hAnsi="Arial" w:cs="Arial"/>
                <w:color w:val="000000"/>
                <w:sz w:val="20"/>
                <w:szCs w:val="20"/>
                <w:lang w:eastAsia="fr-FR"/>
              </w:rPr>
              <w:t>05</w:t>
            </w:r>
          </w:p>
        </w:tc>
        <w:tc>
          <w:tcPr>
            <w:tcW w:w="364" w:type="pct"/>
            <w:noWrap/>
            <w:vAlign w:val="center"/>
            <w:hideMark/>
          </w:tcPr>
          <w:p w14:paraId="7DBFC9F4"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655</w:t>
            </w:r>
          </w:p>
        </w:tc>
        <w:tc>
          <w:tcPr>
            <w:tcW w:w="163" w:type="pct"/>
            <w:noWrap/>
            <w:vAlign w:val="center"/>
            <w:hideMark/>
          </w:tcPr>
          <w:p w14:paraId="41B386EF"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w:t>
            </w:r>
          </w:p>
        </w:tc>
        <w:tc>
          <w:tcPr>
            <w:tcW w:w="540" w:type="pct"/>
            <w:noWrap/>
            <w:vAlign w:val="center"/>
            <w:hideMark/>
          </w:tcPr>
          <w:p w14:paraId="1F4C4AE1"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77440</w:t>
            </w:r>
          </w:p>
        </w:tc>
        <w:tc>
          <w:tcPr>
            <w:tcW w:w="470" w:type="pct"/>
            <w:noWrap/>
            <w:vAlign w:val="center"/>
            <w:hideMark/>
          </w:tcPr>
          <w:p w14:paraId="4CE15B3A"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30890</w:t>
            </w:r>
          </w:p>
        </w:tc>
        <w:tc>
          <w:tcPr>
            <w:tcW w:w="365" w:type="pct"/>
            <w:noWrap/>
            <w:vAlign w:val="center"/>
            <w:hideMark/>
          </w:tcPr>
          <w:p w14:paraId="7C759077"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14</w:t>
            </w:r>
          </w:p>
        </w:tc>
        <w:tc>
          <w:tcPr>
            <w:tcW w:w="418" w:type="pct"/>
            <w:noWrap/>
            <w:vAlign w:val="center"/>
            <w:hideMark/>
          </w:tcPr>
          <w:p w14:paraId="4534219D"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13510</w:t>
            </w:r>
          </w:p>
        </w:tc>
        <w:tc>
          <w:tcPr>
            <w:tcW w:w="466" w:type="pct"/>
            <w:noWrap/>
            <w:vAlign w:val="center"/>
            <w:hideMark/>
          </w:tcPr>
          <w:p w14:paraId="7BFA4B97"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25670</w:t>
            </w:r>
          </w:p>
        </w:tc>
        <w:tc>
          <w:tcPr>
            <w:tcW w:w="365" w:type="pct"/>
            <w:noWrap/>
            <w:vAlign w:val="center"/>
            <w:hideMark/>
          </w:tcPr>
          <w:p w14:paraId="4C32CB9A"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52</w:t>
            </w:r>
          </w:p>
        </w:tc>
        <w:tc>
          <w:tcPr>
            <w:tcW w:w="416" w:type="pct"/>
            <w:noWrap/>
            <w:vAlign w:val="center"/>
            <w:hideMark/>
          </w:tcPr>
          <w:p w14:paraId="53B9B493" w14:textId="77777777" w:rsidR="0062157C" w:rsidRPr="00A7364B" w:rsidRDefault="0062157C" w:rsidP="00ED3175">
            <w:pPr>
              <w:spacing w:after="0" w:line="240" w:lineRule="auto"/>
              <w:jc w:val="both"/>
              <w:rPr>
                <w:rFonts w:ascii="Arial" w:eastAsia="Times New Roman" w:hAnsi="Arial" w:cs="Arial"/>
                <w:color w:val="000000"/>
                <w:sz w:val="20"/>
                <w:szCs w:val="20"/>
                <w:lang w:eastAsia="fr-FR"/>
              </w:rPr>
            </w:pPr>
            <w:r w:rsidRPr="00A7364B">
              <w:rPr>
                <w:rFonts w:ascii="Arial" w:eastAsia="Times New Roman" w:hAnsi="Arial" w:cs="Arial"/>
                <w:color w:val="000000"/>
                <w:sz w:val="20"/>
                <w:szCs w:val="20"/>
                <w:lang w:eastAsia="fr-FR"/>
              </w:rPr>
              <w:t>28650</w:t>
            </w:r>
          </w:p>
        </w:tc>
      </w:tr>
    </w:tbl>
    <w:p w14:paraId="4ABFA052" w14:textId="77777777" w:rsidR="0062157C" w:rsidRPr="00A7364B" w:rsidRDefault="0062157C" w:rsidP="00ED3175">
      <w:pPr>
        <w:jc w:val="both"/>
        <w:rPr>
          <w:rFonts w:ascii="Arial" w:hAnsi="Arial" w:cs="Arial"/>
          <w:sz w:val="20"/>
          <w:szCs w:val="20"/>
        </w:rPr>
      </w:pPr>
      <w:r w:rsidRPr="00A7364B">
        <w:rPr>
          <w:rFonts w:ascii="Arial" w:hAnsi="Arial" w:cs="Arial"/>
          <w:sz w:val="20"/>
          <w:szCs w:val="20"/>
        </w:rPr>
        <w:t xml:space="preserve">Echan: samples; UCC: Upper Continental Crust; Max: maximum metal concentration; Min: minimum metal concentration; </w:t>
      </w:r>
    </w:p>
    <w:p w14:paraId="3476389D" w14:textId="77777777" w:rsidR="007363EB" w:rsidRPr="00A7364B" w:rsidRDefault="007363EB" w:rsidP="00ED3175">
      <w:pPr>
        <w:jc w:val="both"/>
        <w:rPr>
          <w:rFonts w:ascii="Arial" w:hAnsi="Arial" w:cs="Arial"/>
          <w:sz w:val="20"/>
          <w:szCs w:val="20"/>
        </w:rPr>
      </w:pPr>
    </w:p>
    <w:p w14:paraId="3666BC2C" w14:textId="77777777" w:rsidR="0062157C" w:rsidRPr="00A7364B" w:rsidRDefault="0062157C" w:rsidP="00ED3175">
      <w:pPr>
        <w:jc w:val="both"/>
        <w:rPr>
          <w:rFonts w:ascii="Arial" w:hAnsi="Arial" w:cs="Arial"/>
          <w:b/>
          <w:bCs/>
          <w:lang w:val="en-US"/>
        </w:rPr>
      </w:pPr>
      <w:r w:rsidRPr="00A7364B">
        <w:rPr>
          <w:rFonts w:ascii="Arial" w:hAnsi="Arial" w:cs="Arial"/>
          <w:b/>
          <w:bCs/>
          <w:lang w:val="en-US"/>
        </w:rPr>
        <w:t>3.2. Estimation of the Severity of Metal Pollution in Sediments</w:t>
      </w:r>
    </w:p>
    <w:p w14:paraId="1E4DB55C" w14:textId="77777777" w:rsidR="0062157C" w:rsidRPr="00A7364B" w:rsidRDefault="0062157C" w:rsidP="00ED3175">
      <w:pPr>
        <w:jc w:val="both"/>
        <w:rPr>
          <w:rFonts w:ascii="Arial" w:hAnsi="Arial" w:cs="Arial"/>
          <w:b/>
          <w:bCs/>
          <w:sz w:val="20"/>
          <w:szCs w:val="20"/>
          <w:lang w:val="en-US"/>
        </w:rPr>
      </w:pPr>
      <w:r w:rsidRPr="00A7364B">
        <w:rPr>
          <w:rFonts w:ascii="Arial" w:hAnsi="Arial"/>
          <w:b/>
          <w:sz w:val="20"/>
        </w:rPr>
        <w:t>3.2.1. Level of EF enrichment in sediments</w:t>
      </w:r>
    </w:p>
    <w:p w14:paraId="263347F1" w14:textId="77777777" w:rsidR="0062157C" w:rsidRPr="00A7364B" w:rsidRDefault="0062157C" w:rsidP="00ED3175">
      <w:pPr>
        <w:jc w:val="both"/>
        <w:rPr>
          <w:rFonts w:ascii="Arial" w:hAnsi="Arial" w:cs="Arial"/>
          <w:sz w:val="20"/>
          <w:szCs w:val="20"/>
          <w:lang w:val="en-US"/>
        </w:rPr>
      </w:pPr>
      <w:r w:rsidRPr="00A7364B">
        <w:rPr>
          <w:rFonts w:ascii="Arial" w:hAnsi="Arial"/>
          <w:sz w:val="20"/>
        </w:rPr>
        <w:lastRenderedPageBreak/>
        <w:t>The enrichment factors for metals in the surface sediments of the Ebrié Lagoon vary as follows:</w:t>
      </w:r>
    </w:p>
    <w:p w14:paraId="185BA0E6" w14:textId="77777777" w:rsidR="0062157C" w:rsidRPr="00A7364B" w:rsidRDefault="0062157C" w:rsidP="00ED3175">
      <w:pPr>
        <w:jc w:val="both"/>
        <w:rPr>
          <w:rFonts w:ascii="Arial" w:hAnsi="Arial" w:cs="Arial"/>
          <w:sz w:val="20"/>
          <w:szCs w:val="20"/>
          <w:lang w:val="en-US"/>
        </w:rPr>
      </w:pPr>
      <w:r w:rsidRPr="00A7364B">
        <w:rPr>
          <w:rFonts w:ascii="Arial" w:hAnsi="Arial"/>
          <w:sz w:val="20"/>
        </w:rPr>
        <w:t>Aluminium: The enrichment factor ranges from 0.48 to 1.57. The average value is 0.97. The enrichment factor (EF) is &lt;2 in all sediments.</w:t>
      </w:r>
    </w:p>
    <w:p w14:paraId="0E3861D0" w14:textId="77777777" w:rsidR="0062157C" w:rsidRPr="00A7364B" w:rsidRDefault="0062157C" w:rsidP="00ED3175">
      <w:pPr>
        <w:jc w:val="both"/>
        <w:rPr>
          <w:rFonts w:ascii="Arial" w:hAnsi="Arial" w:cs="Arial"/>
          <w:sz w:val="20"/>
          <w:szCs w:val="20"/>
          <w:lang w:val="en-US"/>
        </w:rPr>
      </w:pPr>
      <w:r w:rsidRPr="00A7364B">
        <w:rPr>
          <w:rFonts w:ascii="Arial" w:hAnsi="Arial"/>
          <w:sz w:val="20"/>
        </w:rPr>
        <w:t>Arsenic: As enrichment factor values range from 0.0002 to 0.21, with an average of 0.09. They are all below 1.</w:t>
      </w:r>
    </w:p>
    <w:p w14:paraId="240D1C44" w14:textId="77777777" w:rsidR="0062157C" w:rsidRPr="00A7364B" w:rsidRDefault="0062157C" w:rsidP="00ED3175">
      <w:pPr>
        <w:jc w:val="both"/>
        <w:rPr>
          <w:rFonts w:ascii="Arial" w:hAnsi="Arial" w:cs="Arial"/>
          <w:sz w:val="20"/>
          <w:szCs w:val="20"/>
          <w:lang w:val="en-US"/>
        </w:rPr>
      </w:pPr>
      <w:r w:rsidRPr="00A7364B">
        <w:rPr>
          <w:rFonts w:ascii="Arial" w:hAnsi="Arial"/>
          <w:sz w:val="20"/>
        </w:rPr>
        <w:t>Cadmium: Cadmium enrichment ranges from 0.03 to 0.42, with an average of 0.18. Only the Q15 BIS and Mol Port samples show enrichment greater than 1.</w:t>
      </w:r>
    </w:p>
    <w:p w14:paraId="26021CEB" w14:textId="77777777" w:rsidR="0062157C" w:rsidRPr="00A7364B" w:rsidRDefault="0062157C" w:rsidP="00ED3175">
      <w:pPr>
        <w:jc w:val="both"/>
        <w:rPr>
          <w:rFonts w:ascii="Arial" w:hAnsi="Arial" w:cs="Arial"/>
          <w:sz w:val="20"/>
          <w:szCs w:val="20"/>
          <w:lang w:val="en-US"/>
        </w:rPr>
      </w:pPr>
      <w:r w:rsidRPr="00A7364B">
        <w:rPr>
          <w:rFonts w:ascii="Arial" w:hAnsi="Arial"/>
          <w:sz w:val="20"/>
        </w:rPr>
        <w:t>Copper: The maximum copper enrichment in the sediments is 25.80, while the minimum enrichment is 11.98. The average enrichment is 17.69. The minimum enrichment factor ranges from 5 to 20, and the maximum enrichment factor ranges from 20 to 40.</w:t>
      </w:r>
    </w:p>
    <w:p w14:paraId="3A1C3066" w14:textId="77777777" w:rsidR="0062157C" w:rsidRPr="00A7364B" w:rsidRDefault="0062157C" w:rsidP="00ED3175">
      <w:pPr>
        <w:jc w:val="both"/>
        <w:rPr>
          <w:rFonts w:ascii="Arial" w:hAnsi="Arial" w:cs="Arial"/>
          <w:sz w:val="20"/>
          <w:szCs w:val="20"/>
          <w:lang w:val="en-US"/>
        </w:rPr>
      </w:pPr>
      <w:r w:rsidRPr="00A7364B">
        <w:rPr>
          <w:rFonts w:ascii="Arial" w:hAnsi="Arial"/>
          <w:sz w:val="20"/>
        </w:rPr>
        <w:t>Potassium: K enrichment in the sediments ranges from 0.11 to 0.39, with an overall average of 0.23; overall, EF &lt; 1.</w:t>
      </w:r>
    </w:p>
    <w:p w14:paraId="66798867" w14:textId="77777777" w:rsidR="0062157C" w:rsidRPr="00A7364B" w:rsidRDefault="0062157C" w:rsidP="00ED3175">
      <w:pPr>
        <w:jc w:val="both"/>
        <w:rPr>
          <w:rFonts w:ascii="Arial" w:hAnsi="Arial" w:cs="Arial"/>
          <w:sz w:val="20"/>
          <w:szCs w:val="20"/>
          <w:lang w:val="en-US"/>
        </w:rPr>
      </w:pPr>
      <w:r w:rsidRPr="00A7364B">
        <w:rPr>
          <w:rFonts w:ascii="Arial" w:hAnsi="Arial"/>
          <w:sz w:val="20"/>
        </w:rPr>
        <w:t>Magnesium: The variation in Mg enrichment ranges from 0.16 to 0.83, with an average of 0.54. This variation does not exceed 1 (EF &lt; 1) in the samples.</w:t>
      </w:r>
    </w:p>
    <w:p w14:paraId="5F72BEF8" w14:textId="77777777" w:rsidR="0062157C" w:rsidRPr="00A7364B" w:rsidRDefault="0062157C" w:rsidP="00ED3175">
      <w:pPr>
        <w:jc w:val="both"/>
        <w:rPr>
          <w:rFonts w:ascii="Arial" w:hAnsi="Arial" w:cs="Arial"/>
          <w:sz w:val="20"/>
          <w:szCs w:val="20"/>
          <w:lang w:val="en-US"/>
        </w:rPr>
      </w:pPr>
      <w:r w:rsidRPr="00A7364B">
        <w:rPr>
          <w:rFonts w:ascii="Arial" w:hAnsi="Arial"/>
          <w:sz w:val="20"/>
        </w:rPr>
        <w:t>Sodium: Sediment enrichment ranges from 0.34 to 2.21, with an overall average of 1.28; the maximum EF is greater than 2.</w:t>
      </w:r>
    </w:p>
    <w:p w14:paraId="50150AFB" w14:textId="77777777" w:rsidR="0062157C" w:rsidRPr="00A7364B" w:rsidRDefault="0062157C" w:rsidP="00ED3175">
      <w:pPr>
        <w:jc w:val="both"/>
        <w:rPr>
          <w:rFonts w:ascii="Arial" w:hAnsi="Arial" w:cs="Arial"/>
          <w:sz w:val="20"/>
          <w:szCs w:val="20"/>
          <w:lang w:val="en-US"/>
        </w:rPr>
      </w:pPr>
      <w:r w:rsidRPr="00A7364B">
        <w:rPr>
          <w:rFonts w:ascii="Arial" w:hAnsi="Arial"/>
          <w:sz w:val="20"/>
        </w:rPr>
        <w:t>Lead: Pb enrichment in the lagoon sediments ranges from 0.0002 to 35.92, with an average of 11.250. This enrichment is less than 1 in all samples studied, except for the sample from the Bananier pier.</w:t>
      </w:r>
    </w:p>
    <w:p w14:paraId="525325AF" w14:textId="77777777" w:rsidR="0062157C" w:rsidRPr="00A7364B" w:rsidRDefault="0062157C" w:rsidP="00ED3175">
      <w:pPr>
        <w:jc w:val="both"/>
        <w:rPr>
          <w:rFonts w:ascii="Arial" w:hAnsi="Arial" w:cs="Arial"/>
          <w:sz w:val="20"/>
          <w:szCs w:val="20"/>
          <w:lang w:val="en-US"/>
        </w:rPr>
      </w:pPr>
      <w:r w:rsidRPr="00A7364B">
        <w:rPr>
          <w:rFonts w:ascii="Arial" w:hAnsi="Arial"/>
          <w:sz w:val="20"/>
        </w:rPr>
        <w:t>Zinc: Enrichment varies between 0.32 and 11.97, with an average of 5.43.</w:t>
      </w:r>
    </w:p>
    <w:p w14:paraId="5AD996FF" w14:textId="77777777" w:rsidR="0062157C" w:rsidRPr="00A7364B" w:rsidRDefault="0062157C" w:rsidP="00ED3175">
      <w:pPr>
        <w:jc w:val="both"/>
        <w:rPr>
          <w:rFonts w:ascii="Arial" w:hAnsi="Arial" w:cs="Arial"/>
          <w:sz w:val="20"/>
          <w:szCs w:val="20"/>
          <w:lang w:val="en-US"/>
        </w:rPr>
      </w:pPr>
      <w:r w:rsidRPr="00A7364B">
        <w:rPr>
          <w:rFonts w:ascii="Arial" w:hAnsi="Arial"/>
          <w:sz w:val="20"/>
        </w:rPr>
        <w:t>Only the sediments at Carena have Zn enrichment of less than 2.</w:t>
      </w:r>
    </w:p>
    <w:p w14:paraId="6882881B" w14:textId="77777777" w:rsidR="0062157C" w:rsidRPr="00A7364B" w:rsidRDefault="0062157C" w:rsidP="00ED3175">
      <w:pPr>
        <w:jc w:val="both"/>
        <w:rPr>
          <w:rFonts w:ascii="Arial" w:hAnsi="Arial" w:cs="Arial"/>
          <w:sz w:val="20"/>
          <w:szCs w:val="20"/>
          <w:lang w:val="en-US"/>
        </w:rPr>
      </w:pPr>
      <w:r w:rsidRPr="00A7364B">
        <w:rPr>
          <w:rFonts w:ascii="Arial" w:hAnsi="Arial"/>
          <w:sz w:val="20"/>
        </w:rPr>
        <w:t>Mercury: Sediment enrichment ranges from 0.001 to 0.16, with an average of 0.07. The enrichment factor is less than 1.</w:t>
      </w:r>
    </w:p>
    <w:p w14:paraId="72AC5AFB" w14:textId="77777777" w:rsidR="0062157C" w:rsidRPr="00A7364B" w:rsidRDefault="0062157C" w:rsidP="00ED3175">
      <w:pPr>
        <w:jc w:val="both"/>
        <w:rPr>
          <w:rFonts w:ascii="Arial" w:hAnsi="Arial" w:cs="Arial"/>
          <w:sz w:val="20"/>
          <w:szCs w:val="20"/>
          <w:lang w:val="en-US"/>
        </w:rPr>
      </w:pPr>
      <w:r w:rsidRPr="00A7364B">
        <w:rPr>
          <w:rFonts w:ascii="Arial" w:hAnsi="Arial"/>
          <w:sz w:val="20"/>
        </w:rPr>
        <w:t>Iron: Enrichment ranges from 0 to 0.08, with an average of 0.04. The enrichment factor is less than 1.</w:t>
      </w:r>
    </w:p>
    <w:p w14:paraId="592B53F5" w14:textId="77777777" w:rsidR="0062157C" w:rsidRPr="00A7364B" w:rsidRDefault="0062157C" w:rsidP="00ED3175">
      <w:pPr>
        <w:jc w:val="both"/>
        <w:rPr>
          <w:rFonts w:ascii="Arial" w:hAnsi="Arial" w:cs="Arial"/>
          <w:sz w:val="20"/>
          <w:szCs w:val="20"/>
          <w:lang w:val="en-US"/>
        </w:rPr>
      </w:pPr>
      <w:r w:rsidRPr="00A7364B">
        <w:rPr>
          <w:rFonts w:ascii="Arial" w:hAnsi="Arial"/>
          <w:sz w:val="20"/>
        </w:rPr>
        <w:t>The average enrichment values for trace metals, ranging from 0.01 mg/kg to 17.69 mg/kg, suggest two possible sources for these metals. The first is of natural, terrigenous origin. This corresponds to ETMs with an enrichment factor less than 1, such as Cd, As, Hg, Fe, Al, Mg, Na, and K. Such a factor indicates no enrichment or minimal enrichment of the ETMs. The second source includes ETMs with enrichment factors greater than 1 (EF &gt; 1), such as Cu, Pb, and Zn. These originate from anthropogenic sources, including domestic and industrial effluents. The average enrichment levels of these elements are 17.69 mg/kg, 11.25 mg/kg, and 5.43 mg/kg, respectively, in the sediments studied. Values between 5 and 20 suggest that Zn, Cu, and Pb show significant enrichment in the sediments. However, the maximum enrichment levels of Cu and Pb, at 25.80 mg/kg and 35.92 mg/kg, respectively (20 &lt; EF &lt; 40), indicate very high enrichment of copper and lead. The high enrichments observed for Cu, Pb, and Zn could result from the transport of untreated waste via waterways, as well as from agricultural and industrial activities.</w:t>
      </w:r>
    </w:p>
    <w:p w14:paraId="6E40B2BF" w14:textId="77777777" w:rsidR="0062157C" w:rsidRPr="00A7364B" w:rsidRDefault="0062157C" w:rsidP="00ED3175">
      <w:pPr>
        <w:jc w:val="both"/>
        <w:rPr>
          <w:rFonts w:ascii="Arial" w:hAnsi="Arial" w:cs="Arial"/>
          <w:b/>
          <w:bCs/>
          <w:sz w:val="20"/>
          <w:szCs w:val="20"/>
          <w:lang w:val="en-US"/>
        </w:rPr>
      </w:pPr>
      <w:r w:rsidRPr="00A7364B">
        <w:rPr>
          <w:rFonts w:ascii="Arial" w:hAnsi="Arial" w:cs="Arial"/>
          <w:b/>
          <w:bCs/>
          <w:sz w:val="20"/>
          <w:szCs w:val="20"/>
          <w:lang w:val="en-US"/>
        </w:rPr>
        <w:t>3.2.2. Geoaccumulation Index</w:t>
      </w:r>
    </w:p>
    <w:p w14:paraId="431633EF" w14:textId="77777777" w:rsidR="0062157C" w:rsidRPr="00A7364B" w:rsidRDefault="0062157C" w:rsidP="00ED3175">
      <w:pPr>
        <w:jc w:val="both"/>
        <w:rPr>
          <w:rFonts w:ascii="Arial" w:hAnsi="Arial" w:cs="Arial"/>
          <w:sz w:val="20"/>
          <w:szCs w:val="20"/>
          <w:lang w:val="en-US"/>
        </w:rPr>
      </w:pPr>
      <w:r w:rsidRPr="00A7364B">
        <w:rPr>
          <w:rFonts w:ascii="Arial" w:hAnsi="Arial"/>
          <w:sz w:val="20"/>
        </w:rPr>
        <w:t>The geoaccumulation indices of trace elements in sediments from the Treichville area of the Ebrié Lagoon vary as follows:</w:t>
      </w:r>
    </w:p>
    <w:p w14:paraId="45D33D0D" w14:textId="77777777" w:rsidR="0062157C" w:rsidRPr="00A7364B" w:rsidRDefault="00EA1590" w:rsidP="00ED3175">
      <w:pPr>
        <w:jc w:val="both"/>
        <w:rPr>
          <w:rFonts w:ascii="Arial" w:hAnsi="Arial" w:cs="Arial"/>
          <w:sz w:val="20"/>
          <w:szCs w:val="20"/>
          <w:lang w:val="en-US"/>
        </w:rPr>
      </w:pPr>
      <w:r w:rsidRPr="00A7364B">
        <w:rPr>
          <w:rFonts w:ascii="Arial" w:hAnsi="Arial"/>
          <w:sz w:val="20"/>
        </w:rPr>
        <w:t>- Sodium: the minimum geoaccumulation index (GAI) is 6.15 and the maximum is 9.00, with an average of 7.35;</w:t>
      </w:r>
    </w:p>
    <w:p w14:paraId="53DA04C5" w14:textId="77777777" w:rsidR="0062157C" w:rsidRPr="00A7364B" w:rsidRDefault="00EA1590" w:rsidP="00ED3175">
      <w:pPr>
        <w:jc w:val="both"/>
        <w:rPr>
          <w:rFonts w:ascii="Arial" w:hAnsi="Arial" w:cs="Arial"/>
          <w:sz w:val="20"/>
          <w:szCs w:val="20"/>
          <w:lang w:val="en-US"/>
        </w:rPr>
      </w:pPr>
      <w:r w:rsidRPr="00A7364B">
        <w:rPr>
          <w:rFonts w:ascii="Arial" w:hAnsi="Arial"/>
          <w:sz w:val="20"/>
        </w:rPr>
        <w:t>- Aluminium: the geoaccumulation index ranges from 7.44 to 9.96, with an average of 8.45;</w:t>
      </w:r>
    </w:p>
    <w:p w14:paraId="6DF5ECBB" w14:textId="77777777" w:rsidR="0062157C" w:rsidRPr="00A7364B" w:rsidRDefault="00EA1590" w:rsidP="00ED3175">
      <w:pPr>
        <w:jc w:val="both"/>
        <w:rPr>
          <w:rFonts w:ascii="Arial" w:hAnsi="Arial" w:cs="Arial"/>
          <w:sz w:val="20"/>
          <w:szCs w:val="20"/>
          <w:lang w:val="en-US"/>
        </w:rPr>
      </w:pPr>
      <w:r w:rsidRPr="00A7364B">
        <w:rPr>
          <w:rFonts w:ascii="Arial" w:hAnsi="Arial"/>
          <w:sz w:val="20"/>
        </w:rPr>
        <w:lastRenderedPageBreak/>
        <w:t>- Arsenic: the geoaccumulation index remains constant at -3.60;</w:t>
      </w:r>
    </w:p>
    <w:p w14:paraId="0E87A2BF" w14:textId="77777777" w:rsidR="0062157C" w:rsidRPr="00A7364B" w:rsidRDefault="00EA1590" w:rsidP="00ED3175">
      <w:pPr>
        <w:jc w:val="both"/>
        <w:rPr>
          <w:rFonts w:ascii="Arial" w:hAnsi="Arial" w:cs="Arial"/>
          <w:sz w:val="20"/>
          <w:szCs w:val="20"/>
          <w:lang w:val="en-US"/>
        </w:rPr>
      </w:pPr>
      <w:r w:rsidRPr="00A7364B">
        <w:rPr>
          <w:rFonts w:ascii="Arial" w:hAnsi="Arial"/>
          <w:sz w:val="20"/>
        </w:rPr>
        <w:t>- Cadmium: the Igeo for cadmium is constant at -2.30;</w:t>
      </w:r>
    </w:p>
    <w:p w14:paraId="047B2094" w14:textId="77777777" w:rsidR="0062157C" w:rsidRPr="00A7364B" w:rsidRDefault="00EA1590" w:rsidP="00ED3175">
      <w:pPr>
        <w:jc w:val="both"/>
        <w:rPr>
          <w:rFonts w:ascii="Arial" w:hAnsi="Arial" w:cs="Arial"/>
          <w:sz w:val="20"/>
          <w:szCs w:val="20"/>
          <w:lang w:val="en-US"/>
        </w:rPr>
      </w:pPr>
      <w:r w:rsidRPr="00A7364B">
        <w:rPr>
          <w:rFonts w:ascii="Arial" w:hAnsi="Arial"/>
          <w:sz w:val="20"/>
        </w:rPr>
        <w:t>- Lead: the Igeo for lead ranges from -1.25 to 2.63, with an average of 0.28;</w:t>
      </w:r>
    </w:p>
    <w:p w14:paraId="029D812C" w14:textId="77777777" w:rsidR="0062157C" w:rsidRPr="00A7364B" w:rsidRDefault="005B786E" w:rsidP="00ED3175">
      <w:pPr>
        <w:jc w:val="both"/>
        <w:rPr>
          <w:rFonts w:ascii="Arial" w:hAnsi="Arial" w:cs="Arial"/>
          <w:sz w:val="20"/>
          <w:szCs w:val="20"/>
          <w:lang w:val="en-US"/>
        </w:rPr>
      </w:pPr>
      <w:r w:rsidRPr="00A7364B">
        <w:rPr>
          <w:rFonts w:ascii="Arial" w:hAnsi="Arial"/>
          <w:sz w:val="20"/>
        </w:rPr>
        <w:t>- Mercury: the Igeo for Hg remains constant at -2.63;</w:t>
      </w:r>
    </w:p>
    <w:p w14:paraId="6F711952" w14:textId="77777777" w:rsidR="0062157C" w:rsidRPr="00A7364B" w:rsidRDefault="005B786E" w:rsidP="00ED3175">
      <w:pPr>
        <w:jc w:val="both"/>
        <w:rPr>
          <w:rFonts w:ascii="Arial" w:hAnsi="Arial" w:cs="Arial"/>
          <w:sz w:val="20"/>
          <w:szCs w:val="20"/>
          <w:lang w:val="en-US"/>
        </w:rPr>
      </w:pPr>
      <w:r w:rsidRPr="00A7364B">
        <w:rPr>
          <w:rFonts w:ascii="Arial" w:hAnsi="Arial"/>
          <w:sz w:val="20"/>
        </w:rPr>
        <w:t>- Phosphorus: the Igeo for phosphorus ranges from 5.02 to 5.14, with an average of 5.08;</w:t>
      </w:r>
    </w:p>
    <w:p w14:paraId="60E562AA" w14:textId="77777777" w:rsidR="0062157C" w:rsidRPr="00A7364B" w:rsidRDefault="005B786E" w:rsidP="00ED3175">
      <w:pPr>
        <w:jc w:val="both"/>
        <w:rPr>
          <w:rFonts w:ascii="Arial" w:hAnsi="Arial" w:cs="Arial"/>
          <w:sz w:val="20"/>
          <w:szCs w:val="20"/>
          <w:lang w:val="en-US"/>
        </w:rPr>
      </w:pPr>
      <w:r w:rsidRPr="00A7364B">
        <w:rPr>
          <w:rFonts w:ascii="Arial" w:hAnsi="Arial"/>
          <w:sz w:val="20"/>
        </w:rPr>
        <w:t>- Copper: the Igeo for copper ranges from 1.40 to 3.69, with an average of 2.21;</w:t>
      </w:r>
    </w:p>
    <w:p w14:paraId="5B06F8AF" w14:textId="77777777" w:rsidR="0062157C" w:rsidRPr="00A7364B" w:rsidRDefault="005B786E" w:rsidP="00ED3175">
      <w:pPr>
        <w:jc w:val="both"/>
        <w:rPr>
          <w:rFonts w:ascii="Arial" w:hAnsi="Arial" w:cs="Arial"/>
          <w:sz w:val="20"/>
          <w:szCs w:val="20"/>
          <w:lang w:val="en-US"/>
        </w:rPr>
      </w:pPr>
      <w:r w:rsidRPr="00A7364B">
        <w:rPr>
          <w:rFonts w:ascii="Arial" w:hAnsi="Arial"/>
          <w:sz w:val="20"/>
        </w:rPr>
        <w:t>- Iron: the Igeo ranges from 6.86 to 8.97, with an average of 7.66;</w:t>
      </w:r>
    </w:p>
    <w:p w14:paraId="357F451D" w14:textId="77777777" w:rsidR="0062157C" w:rsidRPr="00A7364B" w:rsidRDefault="005B786E" w:rsidP="00ED3175">
      <w:pPr>
        <w:jc w:val="both"/>
        <w:rPr>
          <w:rFonts w:ascii="Arial" w:hAnsi="Arial" w:cs="Arial"/>
          <w:sz w:val="20"/>
          <w:szCs w:val="20"/>
          <w:lang w:val="en-US"/>
        </w:rPr>
      </w:pPr>
      <w:r w:rsidRPr="00A7364B">
        <w:rPr>
          <w:rFonts w:ascii="Arial" w:hAnsi="Arial"/>
          <w:sz w:val="20"/>
        </w:rPr>
        <w:t>- Potassium: the Igeo is estimated to range from 6.24 to 8.31, with an average of 6.95;</w:t>
      </w:r>
    </w:p>
    <w:p w14:paraId="6E8B46D2" w14:textId="77777777" w:rsidR="0062157C" w:rsidRPr="00A7364B" w:rsidRDefault="00733534" w:rsidP="00ED3175">
      <w:pPr>
        <w:jc w:val="both"/>
        <w:rPr>
          <w:rFonts w:ascii="Arial" w:hAnsi="Arial" w:cs="Arial"/>
          <w:sz w:val="20"/>
          <w:szCs w:val="20"/>
          <w:lang w:val="en-US"/>
        </w:rPr>
      </w:pPr>
      <w:r w:rsidRPr="00A7364B">
        <w:rPr>
          <w:rFonts w:ascii="Arial" w:hAnsi="Arial"/>
          <w:sz w:val="20"/>
        </w:rPr>
        <w:t>- Magnesium: values range from 6.10 to 7.64, with an average of 6.65;</w:t>
      </w:r>
    </w:p>
    <w:p w14:paraId="7028C598" w14:textId="77777777" w:rsidR="0062157C" w:rsidRPr="00A7364B" w:rsidRDefault="00733534" w:rsidP="00ED3175">
      <w:pPr>
        <w:jc w:val="both"/>
        <w:rPr>
          <w:rFonts w:ascii="Arial" w:hAnsi="Arial" w:cs="Arial"/>
          <w:sz w:val="20"/>
          <w:szCs w:val="20"/>
          <w:lang w:val="en-US"/>
        </w:rPr>
      </w:pPr>
      <w:r w:rsidRPr="00A7364B">
        <w:rPr>
          <w:rFonts w:ascii="Arial" w:hAnsi="Arial"/>
          <w:sz w:val="20"/>
        </w:rPr>
        <w:t>- Zinc: the Igeo fluctuates between 1.67 and 4.37, with an average of 2.78;</w:t>
      </w:r>
    </w:p>
    <w:p w14:paraId="67315A38" w14:textId="77777777" w:rsidR="0062157C" w:rsidRPr="00A7364B" w:rsidRDefault="0062157C" w:rsidP="00ED3175">
      <w:pPr>
        <w:jc w:val="both"/>
        <w:rPr>
          <w:rFonts w:ascii="Arial" w:hAnsi="Arial" w:cs="Arial"/>
          <w:sz w:val="20"/>
          <w:szCs w:val="20"/>
          <w:lang w:val="en-US"/>
        </w:rPr>
      </w:pPr>
    </w:p>
    <w:p w14:paraId="6B5EF5E0" w14:textId="77777777" w:rsidR="0062157C" w:rsidRPr="00A7364B" w:rsidRDefault="0062157C" w:rsidP="00ED3175">
      <w:pPr>
        <w:jc w:val="both"/>
        <w:rPr>
          <w:rFonts w:ascii="Arial" w:hAnsi="Arial" w:cs="Arial"/>
          <w:sz w:val="20"/>
          <w:szCs w:val="20"/>
          <w:lang w:val="en-US"/>
        </w:rPr>
      </w:pPr>
      <w:r w:rsidRPr="00A7364B">
        <w:rPr>
          <w:rFonts w:ascii="Arial" w:hAnsi="Arial"/>
          <w:sz w:val="20"/>
        </w:rPr>
        <w:t>The geoaccumulation indices for As, Cd, and Hg are negative (Igeo &lt; 0), which means that the lagoon sediments are not contaminated by these heavy metals. The Igeo value for lead (0.38) falls between 0 and 1 (0 &lt;= Igeo &lt; 1), indicating a trend towards moderate sediment contamination by this metal. The Igeo values for zinc (2.78) and copper (2.21) range between 2 and 3 (2 &lt;= Igeo &lt; 3), indicating a shift from moderate to severe pollution. The Igeo values for sodium (7.35), phosphorus (5.05), aluminium (8.45), iron (7.66), potassium (6.95), and magnesium (6.65) are all greater than 5, indicating that the sediments are extremely contaminated.</w:t>
      </w:r>
    </w:p>
    <w:p w14:paraId="350B82EB" w14:textId="77777777" w:rsidR="0062157C" w:rsidRPr="00A7364B" w:rsidRDefault="0062157C" w:rsidP="00ED3175">
      <w:pPr>
        <w:jc w:val="both"/>
        <w:rPr>
          <w:rFonts w:ascii="Arial" w:hAnsi="Arial" w:cs="Arial"/>
          <w:sz w:val="20"/>
          <w:szCs w:val="20"/>
          <w:lang w:val="en-US"/>
        </w:rPr>
      </w:pPr>
      <w:r w:rsidRPr="00A7364B">
        <w:rPr>
          <w:rFonts w:ascii="Arial" w:hAnsi="Arial" w:cs="Arial"/>
          <w:b/>
          <w:bCs/>
          <w:sz w:val="20"/>
          <w:szCs w:val="20"/>
          <w:lang w:val="en-US"/>
        </w:rPr>
        <w:t>Table 6</w:t>
      </w:r>
      <w:r w:rsidRPr="00A7364B">
        <w:rPr>
          <w:rFonts w:ascii="Arial" w:hAnsi="Arial" w:cs="Arial"/>
          <w:sz w:val="20"/>
          <w:szCs w:val="20"/>
          <w:lang w:val="en-US"/>
        </w:rPr>
        <w:t>—Factors influencing the enrichment of ETMs in sediments.</w:t>
      </w:r>
    </w:p>
    <w:tbl>
      <w:tblPr>
        <w:tblW w:w="9581" w:type="dxa"/>
        <w:tblLayout w:type="fixed"/>
        <w:tblCellMar>
          <w:left w:w="70" w:type="dxa"/>
          <w:right w:w="70" w:type="dxa"/>
        </w:tblCellMar>
        <w:tblLook w:val="04A0" w:firstRow="1" w:lastRow="0" w:firstColumn="1" w:lastColumn="0" w:noHBand="0" w:noVBand="1"/>
      </w:tblPr>
      <w:tblGrid>
        <w:gridCol w:w="737"/>
        <w:gridCol w:w="737"/>
        <w:gridCol w:w="737"/>
        <w:gridCol w:w="737"/>
        <w:gridCol w:w="737"/>
        <w:gridCol w:w="737"/>
        <w:gridCol w:w="737"/>
        <w:gridCol w:w="737"/>
        <w:gridCol w:w="737"/>
        <w:gridCol w:w="737"/>
        <w:gridCol w:w="737"/>
        <w:gridCol w:w="737"/>
        <w:gridCol w:w="737"/>
      </w:tblGrid>
      <w:tr w:rsidR="0062157C" w:rsidRPr="00A7364B" w14:paraId="2E1D25AC" w14:textId="77777777" w:rsidTr="00A90CDD">
        <w:trPr>
          <w:trHeight w:val="284"/>
        </w:trPr>
        <w:tc>
          <w:tcPr>
            <w:tcW w:w="737" w:type="dxa"/>
            <w:tcBorders>
              <w:top w:val="single" w:sz="4" w:space="0" w:color="auto"/>
              <w:left w:val="nil"/>
              <w:bottom w:val="single" w:sz="8" w:space="0" w:color="auto"/>
              <w:right w:val="nil"/>
            </w:tcBorders>
            <w:shd w:val="clear" w:color="000000" w:fill="FFFFFF"/>
            <w:vAlign w:val="center"/>
            <w:hideMark/>
          </w:tcPr>
          <w:p w14:paraId="15AA449F" w14:textId="77777777" w:rsidR="0062157C" w:rsidRPr="00A7364B" w:rsidRDefault="0062157C" w:rsidP="00ED3175">
            <w:pPr>
              <w:spacing w:after="0" w:line="240" w:lineRule="auto"/>
              <w:jc w:val="both"/>
              <w:rPr>
                <w:rFonts w:ascii="Arial" w:hAnsi="Arial" w:cs="Arial"/>
                <w:b/>
                <w:bCs/>
                <w:sz w:val="20"/>
                <w:szCs w:val="20"/>
                <w:lang w:val="en-US"/>
              </w:rPr>
            </w:pPr>
          </w:p>
        </w:tc>
        <w:tc>
          <w:tcPr>
            <w:tcW w:w="737" w:type="dxa"/>
            <w:tcBorders>
              <w:top w:val="single" w:sz="4" w:space="0" w:color="auto"/>
              <w:left w:val="nil"/>
              <w:bottom w:val="single" w:sz="8" w:space="0" w:color="auto"/>
              <w:right w:val="nil"/>
            </w:tcBorders>
            <w:shd w:val="clear" w:color="000000" w:fill="FFFFFF"/>
            <w:vAlign w:val="center"/>
            <w:hideMark/>
          </w:tcPr>
          <w:p w14:paraId="401733AC" w14:textId="77777777" w:rsidR="0062157C" w:rsidRPr="00A7364B" w:rsidRDefault="0062157C" w:rsidP="00ED3175">
            <w:pPr>
              <w:spacing w:after="0" w:line="240" w:lineRule="auto"/>
              <w:jc w:val="both"/>
              <w:rPr>
                <w:rFonts w:ascii="Arial" w:hAnsi="Arial" w:cs="Arial"/>
                <w:b/>
                <w:bCs/>
                <w:sz w:val="20"/>
                <w:szCs w:val="20"/>
              </w:rPr>
            </w:pPr>
            <w:r w:rsidRPr="00A7364B">
              <w:rPr>
                <w:rFonts w:ascii="Arial" w:hAnsi="Arial" w:cs="Arial"/>
                <w:b/>
                <w:bCs/>
                <w:sz w:val="20"/>
                <w:szCs w:val="20"/>
              </w:rPr>
              <w:t>Cd</w:t>
            </w:r>
            <w:r w:rsidRPr="00A7364B">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552611E5" w14:textId="77777777" w:rsidR="0062157C" w:rsidRPr="00A7364B" w:rsidRDefault="0062157C" w:rsidP="00ED3175">
            <w:pPr>
              <w:spacing w:after="0" w:line="240" w:lineRule="auto"/>
              <w:jc w:val="both"/>
              <w:rPr>
                <w:rFonts w:ascii="Arial" w:hAnsi="Arial" w:cs="Arial"/>
                <w:b/>
                <w:bCs/>
                <w:sz w:val="20"/>
                <w:szCs w:val="20"/>
              </w:rPr>
            </w:pPr>
            <w:r w:rsidRPr="00A7364B">
              <w:rPr>
                <w:rFonts w:ascii="Arial" w:hAnsi="Arial" w:cs="Arial"/>
                <w:b/>
                <w:bCs/>
                <w:sz w:val="20"/>
                <w:szCs w:val="20"/>
              </w:rPr>
              <w:t>Pb</w:t>
            </w:r>
            <w:r w:rsidRPr="00A7364B">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308951D0" w14:textId="77777777" w:rsidR="0062157C" w:rsidRPr="00A7364B" w:rsidRDefault="0062157C" w:rsidP="00ED3175">
            <w:pPr>
              <w:spacing w:after="0" w:line="240" w:lineRule="auto"/>
              <w:jc w:val="both"/>
              <w:rPr>
                <w:rFonts w:ascii="Arial" w:hAnsi="Arial" w:cs="Arial"/>
                <w:b/>
                <w:bCs/>
                <w:sz w:val="20"/>
                <w:szCs w:val="20"/>
              </w:rPr>
            </w:pPr>
            <w:r w:rsidRPr="00A7364B">
              <w:rPr>
                <w:rFonts w:ascii="Arial" w:hAnsi="Arial" w:cs="Arial"/>
                <w:b/>
                <w:bCs/>
                <w:sz w:val="20"/>
                <w:szCs w:val="20"/>
              </w:rPr>
              <w:t>Hg</w:t>
            </w:r>
            <w:r w:rsidRPr="00A7364B">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1F146751" w14:textId="77777777" w:rsidR="0062157C" w:rsidRPr="00A7364B" w:rsidRDefault="0062157C" w:rsidP="00ED3175">
            <w:pPr>
              <w:spacing w:after="0" w:line="240" w:lineRule="auto"/>
              <w:jc w:val="both"/>
              <w:rPr>
                <w:rFonts w:ascii="Arial" w:hAnsi="Arial" w:cs="Arial"/>
                <w:b/>
                <w:bCs/>
                <w:sz w:val="20"/>
                <w:szCs w:val="20"/>
              </w:rPr>
            </w:pPr>
            <w:r w:rsidRPr="00A7364B">
              <w:rPr>
                <w:rFonts w:ascii="Arial" w:hAnsi="Arial" w:cs="Arial"/>
                <w:b/>
                <w:bCs/>
                <w:sz w:val="20"/>
                <w:szCs w:val="20"/>
              </w:rPr>
              <w:t>P</w:t>
            </w:r>
            <w:r w:rsidRPr="00A7364B">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6CCC3E3A" w14:textId="77777777" w:rsidR="0062157C" w:rsidRPr="00A7364B" w:rsidRDefault="0062157C" w:rsidP="00ED3175">
            <w:pPr>
              <w:spacing w:after="0" w:line="240" w:lineRule="auto"/>
              <w:jc w:val="both"/>
              <w:rPr>
                <w:rFonts w:ascii="Arial" w:hAnsi="Arial" w:cs="Arial"/>
                <w:b/>
                <w:bCs/>
                <w:sz w:val="20"/>
                <w:szCs w:val="20"/>
              </w:rPr>
            </w:pPr>
            <w:r w:rsidRPr="00A7364B">
              <w:rPr>
                <w:rFonts w:ascii="Arial" w:hAnsi="Arial" w:cs="Arial"/>
                <w:b/>
                <w:bCs/>
                <w:sz w:val="20"/>
                <w:szCs w:val="20"/>
              </w:rPr>
              <w:t>As</w:t>
            </w:r>
            <w:r w:rsidRPr="00A7364B">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727C32ED" w14:textId="77777777" w:rsidR="0062157C" w:rsidRPr="00A7364B" w:rsidRDefault="0062157C" w:rsidP="00ED3175">
            <w:pPr>
              <w:spacing w:after="0" w:line="240" w:lineRule="auto"/>
              <w:jc w:val="both"/>
              <w:rPr>
                <w:rFonts w:ascii="Arial" w:hAnsi="Arial" w:cs="Arial"/>
                <w:b/>
                <w:bCs/>
                <w:sz w:val="20"/>
                <w:szCs w:val="20"/>
              </w:rPr>
            </w:pPr>
            <w:r w:rsidRPr="00A7364B">
              <w:rPr>
                <w:rFonts w:ascii="Arial" w:hAnsi="Arial" w:cs="Arial"/>
                <w:b/>
                <w:bCs/>
                <w:sz w:val="20"/>
                <w:szCs w:val="20"/>
              </w:rPr>
              <w:t>Al</w:t>
            </w:r>
            <w:r w:rsidRPr="00A7364B">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21BA91AE" w14:textId="77777777" w:rsidR="0062157C" w:rsidRPr="00A7364B" w:rsidRDefault="0062157C" w:rsidP="00ED3175">
            <w:pPr>
              <w:spacing w:after="0" w:line="240" w:lineRule="auto"/>
              <w:jc w:val="both"/>
              <w:rPr>
                <w:rFonts w:ascii="Arial" w:hAnsi="Arial" w:cs="Arial"/>
                <w:b/>
                <w:bCs/>
                <w:sz w:val="20"/>
                <w:szCs w:val="20"/>
              </w:rPr>
            </w:pPr>
            <w:r w:rsidRPr="00A7364B">
              <w:rPr>
                <w:rFonts w:ascii="Arial" w:hAnsi="Arial" w:cs="Arial"/>
                <w:b/>
                <w:bCs/>
                <w:sz w:val="20"/>
                <w:szCs w:val="20"/>
              </w:rPr>
              <w:t>Fe</w:t>
            </w:r>
            <w:r w:rsidRPr="00A7364B">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0D738320" w14:textId="77777777" w:rsidR="0062157C" w:rsidRPr="00A7364B" w:rsidRDefault="0062157C" w:rsidP="00ED3175">
            <w:pPr>
              <w:spacing w:after="0" w:line="240" w:lineRule="auto"/>
              <w:jc w:val="both"/>
              <w:rPr>
                <w:rFonts w:ascii="Arial" w:hAnsi="Arial" w:cs="Arial"/>
                <w:b/>
                <w:bCs/>
                <w:sz w:val="20"/>
                <w:szCs w:val="20"/>
              </w:rPr>
            </w:pPr>
            <w:r w:rsidRPr="00A7364B">
              <w:rPr>
                <w:rFonts w:ascii="Arial" w:hAnsi="Arial" w:cs="Arial"/>
                <w:b/>
                <w:bCs/>
                <w:sz w:val="20"/>
                <w:szCs w:val="20"/>
              </w:rPr>
              <w:t>Cu</w:t>
            </w:r>
            <w:r w:rsidRPr="00A7364B">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237A1DF8" w14:textId="77777777" w:rsidR="0062157C" w:rsidRPr="00A7364B" w:rsidRDefault="0062157C" w:rsidP="00ED3175">
            <w:pPr>
              <w:spacing w:after="0" w:line="240" w:lineRule="auto"/>
              <w:jc w:val="both"/>
              <w:rPr>
                <w:rFonts w:ascii="Arial" w:hAnsi="Arial" w:cs="Arial"/>
                <w:b/>
                <w:bCs/>
                <w:sz w:val="20"/>
                <w:szCs w:val="20"/>
              </w:rPr>
            </w:pPr>
            <w:r w:rsidRPr="00A7364B">
              <w:rPr>
                <w:rFonts w:ascii="Arial" w:hAnsi="Arial" w:cs="Arial"/>
                <w:b/>
                <w:bCs/>
                <w:sz w:val="20"/>
                <w:szCs w:val="20"/>
              </w:rPr>
              <w:t>Mg</w:t>
            </w:r>
            <w:r w:rsidRPr="00A7364B">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1EDC878A" w14:textId="77777777" w:rsidR="0062157C" w:rsidRPr="00A7364B" w:rsidRDefault="0062157C" w:rsidP="00ED3175">
            <w:pPr>
              <w:spacing w:after="0" w:line="240" w:lineRule="auto"/>
              <w:jc w:val="both"/>
              <w:rPr>
                <w:rFonts w:ascii="Arial" w:hAnsi="Arial" w:cs="Arial"/>
                <w:b/>
                <w:bCs/>
                <w:sz w:val="20"/>
                <w:szCs w:val="20"/>
              </w:rPr>
            </w:pPr>
            <w:r w:rsidRPr="00A7364B">
              <w:rPr>
                <w:rFonts w:ascii="Arial" w:hAnsi="Arial" w:cs="Arial"/>
                <w:b/>
                <w:bCs/>
                <w:sz w:val="20"/>
                <w:szCs w:val="20"/>
              </w:rPr>
              <w:t>Na</w:t>
            </w:r>
            <w:r w:rsidRPr="00A7364B">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0D4887D0" w14:textId="77777777" w:rsidR="0062157C" w:rsidRPr="00A7364B" w:rsidRDefault="0062157C" w:rsidP="00ED3175">
            <w:pPr>
              <w:spacing w:after="0" w:line="240" w:lineRule="auto"/>
              <w:jc w:val="both"/>
              <w:rPr>
                <w:rFonts w:ascii="Arial" w:hAnsi="Arial" w:cs="Arial"/>
                <w:b/>
                <w:bCs/>
                <w:sz w:val="20"/>
                <w:szCs w:val="20"/>
              </w:rPr>
            </w:pPr>
            <w:r w:rsidRPr="00A7364B">
              <w:rPr>
                <w:rFonts w:ascii="Arial" w:hAnsi="Arial" w:cs="Arial"/>
                <w:b/>
                <w:bCs/>
                <w:sz w:val="20"/>
                <w:szCs w:val="20"/>
              </w:rPr>
              <w:t>K</w:t>
            </w:r>
            <w:r w:rsidRPr="00A7364B">
              <w:rPr>
                <w:rFonts w:ascii="Arial" w:hAnsi="Arial" w:cs="Arial"/>
                <w:b/>
                <w:bCs/>
                <w:sz w:val="20"/>
                <w:szCs w:val="20"/>
              </w:rPr>
              <w:br/>
              <w:t>(mg/kg)</w:t>
            </w:r>
          </w:p>
        </w:tc>
        <w:tc>
          <w:tcPr>
            <w:tcW w:w="737" w:type="dxa"/>
            <w:tcBorders>
              <w:top w:val="single" w:sz="4" w:space="0" w:color="auto"/>
              <w:left w:val="nil"/>
              <w:bottom w:val="single" w:sz="8" w:space="0" w:color="auto"/>
              <w:right w:val="nil"/>
            </w:tcBorders>
            <w:shd w:val="clear" w:color="000000" w:fill="FFFFFF"/>
            <w:vAlign w:val="center"/>
            <w:hideMark/>
          </w:tcPr>
          <w:p w14:paraId="328EDF66" w14:textId="77777777" w:rsidR="0062157C" w:rsidRPr="00A7364B" w:rsidRDefault="0062157C" w:rsidP="00ED3175">
            <w:pPr>
              <w:spacing w:after="0" w:line="240" w:lineRule="auto"/>
              <w:jc w:val="both"/>
              <w:rPr>
                <w:rFonts w:ascii="Arial" w:hAnsi="Arial" w:cs="Arial"/>
                <w:b/>
                <w:bCs/>
                <w:sz w:val="20"/>
                <w:szCs w:val="20"/>
              </w:rPr>
            </w:pPr>
            <w:r w:rsidRPr="00A7364B">
              <w:rPr>
                <w:rFonts w:ascii="Arial" w:hAnsi="Arial" w:cs="Arial"/>
                <w:b/>
                <w:bCs/>
                <w:sz w:val="20"/>
                <w:szCs w:val="20"/>
              </w:rPr>
              <w:t>Zn</w:t>
            </w:r>
            <w:r w:rsidRPr="00A7364B">
              <w:rPr>
                <w:rFonts w:ascii="Arial" w:hAnsi="Arial" w:cs="Arial"/>
                <w:b/>
                <w:bCs/>
                <w:sz w:val="20"/>
                <w:szCs w:val="20"/>
              </w:rPr>
              <w:br/>
              <w:t>(mg/kg)</w:t>
            </w:r>
          </w:p>
        </w:tc>
      </w:tr>
      <w:tr w:rsidR="0062157C" w:rsidRPr="00A7364B" w14:paraId="6DFB9EEE" w14:textId="77777777" w:rsidTr="00A90CDD">
        <w:trPr>
          <w:trHeight w:val="284"/>
        </w:trPr>
        <w:tc>
          <w:tcPr>
            <w:tcW w:w="737" w:type="dxa"/>
            <w:tcBorders>
              <w:top w:val="nil"/>
              <w:left w:val="nil"/>
              <w:bottom w:val="nil"/>
              <w:right w:val="nil"/>
            </w:tcBorders>
            <w:shd w:val="clear" w:color="000000" w:fill="FFFFFF"/>
            <w:vAlign w:val="center"/>
            <w:hideMark/>
          </w:tcPr>
          <w:p w14:paraId="2F3AF441" w14:textId="77777777" w:rsidR="0062157C" w:rsidRPr="00A7364B" w:rsidRDefault="0062157C" w:rsidP="00ED3175">
            <w:pPr>
              <w:spacing w:after="0" w:line="240" w:lineRule="auto"/>
              <w:jc w:val="both"/>
              <w:rPr>
                <w:rFonts w:ascii="Arial" w:hAnsi="Arial" w:cs="Arial"/>
                <w:b/>
                <w:bCs/>
                <w:sz w:val="20"/>
                <w:szCs w:val="20"/>
              </w:rPr>
            </w:pPr>
            <w:r w:rsidRPr="00A7364B">
              <w:rPr>
                <w:rFonts w:ascii="Arial" w:hAnsi="Arial" w:cs="Arial"/>
                <w:b/>
                <w:bCs/>
                <w:sz w:val="20"/>
                <w:szCs w:val="20"/>
              </w:rPr>
              <w:t>Min</w:t>
            </w:r>
          </w:p>
        </w:tc>
        <w:tc>
          <w:tcPr>
            <w:tcW w:w="737" w:type="dxa"/>
            <w:tcBorders>
              <w:top w:val="nil"/>
              <w:left w:val="nil"/>
              <w:bottom w:val="nil"/>
              <w:right w:val="nil"/>
            </w:tcBorders>
            <w:shd w:val="clear" w:color="000000" w:fill="FFFFFF"/>
            <w:vAlign w:val="center"/>
            <w:hideMark/>
          </w:tcPr>
          <w:p w14:paraId="03B92102"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00</w:t>
            </w:r>
          </w:p>
        </w:tc>
        <w:tc>
          <w:tcPr>
            <w:tcW w:w="737" w:type="dxa"/>
            <w:tcBorders>
              <w:top w:val="nil"/>
              <w:left w:val="nil"/>
              <w:bottom w:val="nil"/>
              <w:right w:val="nil"/>
            </w:tcBorders>
            <w:shd w:val="clear" w:color="000000" w:fill="FFFFFF"/>
            <w:vAlign w:val="center"/>
            <w:hideMark/>
          </w:tcPr>
          <w:p w14:paraId="7033F076"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00</w:t>
            </w:r>
          </w:p>
        </w:tc>
        <w:tc>
          <w:tcPr>
            <w:tcW w:w="737" w:type="dxa"/>
            <w:tcBorders>
              <w:top w:val="nil"/>
              <w:left w:val="nil"/>
              <w:bottom w:val="nil"/>
              <w:right w:val="nil"/>
            </w:tcBorders>
            <w:shd w:val="clear" w:color="000000" w:fill="FFFFFF"/>
            <w:vAlign w:val="center"/>
            <w:hideMark/>
          </w:tcPr>
          <w:p w14:paraId="139CDB8D"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00</w:t>
            </w:r>
          </w:p>
        </w:tc>
        <w:tc>
          <w:tcPr>
            <w:tcW w:w="737" w:type="dxa"/>
            <w:tcBorders>
              <w:top w:val="nil"/>
              <w:left w:val="nil"/>
              <w:bottom w:val="nil"/>
              <w:right w:val="nil"/>
            </w:tcBorders>
            <w:shd w:val="clear" w:color="000000" w:fill="FFFFFF"/>
            <w:vAlign w:val="center"/>
            <w:hideMark/>
          </w:tcPr>
          <w:p w14:paraId="039F6D4B"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3</w:t>
            </w:r>
            <w:r w:rsidR="00B531B8" w:rsidRPr="00A7364B">
              <w:rPr>
                <w:rFonts w:ascii="Arial" w:hAnsi="Arial" w:cs="Arial"/>
                <w:sz w:val="20"/>
                <w:szCs w:val="20"/>
              </w:rPr>
              <w:t>.</w:t>
            </w:r>
            <w:r w:rsidRPr="00A7364B">
              <w:rPr>
                <w:rFonts w:ascii="Arial" w:hAnsi="Arial" w:cs="Arial"/>
                <w:sz w:val="20"/>
                <w:szCs w:val="20"/>
              </w:rPr>
              <w:t>1</w:t>
            </w:r>
            <w:r w:rsidR="00A90CDD" w:rsidRPr="00A7364B">
              <w:rPr>
                <w:rFonts w:ascii="Arial" w:hAnsi="Arial" w:cs="Arial"/>
                <w:sz w:val="20"/>
                <w:szCs w:val="20"/>
              </w:rPr>
              <w:t>3</w:t>
            </w:r>
          </w:p>
        </w:tc>
        <w:tc>
          <w:tcPr>
            <w:tcW w:w="737" w:type="dxa"/>
            <w:tcBorders>
              <w:top w:val="nil"/>
              <w:left w:val="nil"/>
              <w:bottom w:val="nil"/>
              <w:right w:val="nil"/>
            </w:tcBorders>
            <w:shd w:val="clear" w:color="000000" w:fill="FFFFFF"/>
            <w:vAlign w:val="center"/>
            <w:hideMark/>
          </w:tcPr>
          <w:p w14:paraId="16308B26"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00</w:t>
            </w:r>
          </w:p>
        </w:tc>
        <w:tc>
          <w:tcPr>
            <w:tcW w:w="737" w:type="dxa"/>
            <w:tcBorders>
              <w:top w:val="nil"/>
              <w:left w:val="nil"/>
              <w:bottom w:val="nil"/>
              <w:right w:val="nil"/>
            </w:tcBorders>
            <w:shd w:val="clear" w:color="000000" w:fill="FFFFFF"/>
            <w:vAlign w:val="center"/>
            <w:hideMark/>
          </w:tcPr>
          <w:p w14:paraId="5F56ED6C"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4</w:t>
            </w:r>
            <w:r w:rsidR="00A90CDD" w:rsidRPr="00A7364B">
              <w:rPr>
                <w:rFonts w:ascii="Arial" w:hAnsi="Arial" w:cs="Arial"/>
                <w:sz w:val="20"/>
                <w:szCs w:val="20"/>
              </w:rPr>
              <w:t>9</w:t>
            </w:r>
          </w:p>
        </w:tc>
        <w:tc>
          <w:tcPr>
            <w:tcW w:w="737" w:type="dxa"/>
            <w:tcBorders>
              <w:top w:val="nil"/>
              <w:left w:val="nil"/>
              <w:bottom w:val="nil"/>
              <w:right w:val="nil"/>
            </w:tcBorders>
            <w:shd w:val="clear" w:color="000000" w:fill="FFFFFF"/>
            <w:vAlign w:val="center"/>
            <w:hideMark/>
          </w:tcPr>
          <w:p w14:paraId="24DF200D"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p>
        </w:tc>
        <w:tc>
          <w:tcPr>
            <w:tcW w:w="737" w:type="dxa"/>
            <w:tcBorders>
              <w:top w:val="nil"/>
              <w:left w:val="nil"/>
              <w:bottom w:val="nil"/>
              <w:right w:val="nil"/>
            </w:tcBorders>
            <w:shd w:val="clear" w:color="000000" w:fill="FFFFFF"/>
            <w:vAlign w:val="center"/>
            <w:hideMark/>
          </w:tcPr>
          <w:p w14:paraId="1EDD6811"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11</w:t>
            </w:r>
            <w:r w:rsidR="00B531B8" w:rsidRPr="00A7364B">
              <w:rPr>
                <w:rFonts w:ascii="Arial" w:hAnsi="Arial" w:cs="Arial"/>
                <w:sz w:val="20"/>
                <w:szCs w:val="20"/>
              </w:rPr>
              <w:t>.</w:t>
            </w:r>
            <w:r w:rsidRPr="00A7364B">
              <w:rPr>
                <w:rFonts w:ascii="Arial" w:hAnsi="Arial" w:cs="Arial"/>
                <w:sz w:val="20"/>
                <w:szCs w:val="20"/>
              </w:rPr>
              <w:t>98</w:t>
            </w:r>
          </w:p>
        </w:tc>
        <w:tc>
          <w:tcPr>
            <w:tcW w:w="737" w:type="dxa"/>
            <w:tcBorders>
              <w:top w:val="nil"/>
              <w:left w:val="nil"/>
              <w:bottom w:val="nil"/>
              <w:right w:val="nil"/>
            </w:tcBorders>
            <w:shd w:val="clear" w:color="000000" w:fill="FFFFFF"/>
            <w:vAlign w:val="center"/>
            <w:hideMark/>
          </w:tcPr>
          <w:p w14:paraId="2EEE29BF"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16</w:t>
            </w:r>
          </w:p>
        </w:tc>
        <w:tc>
          <w:tcPr>
            <w:tcW w:w="737" w:type="dxa"/>
            <w:tcBorders>
              <w:top w:val="nil"/>
              <w:left w:val="nil"/>
              <w:bottom w:val="nil"/>
              <w:right w:val="nil"/>
            </w:tcBorders>
            <w:shd w:val="clear" w:color="000000" w:fill="FFFFFF"/>
            <w:vAlign w:val="center"/>
            <w:hideMark/>
          </w:tcPr>
          <w:p w14:paraId="01C44880"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3</w:t>
            </w:r>
            <w:r w:rsidR="00A90CDD" w:rsidRPr="00A7364B">
              <w:rPr>
                <w:rFonts w:ascii="Arial" w:hAnsi="Arial" w:cs="Arial"/>
                <w:sz w:val="20"/>
                <w:szCs w:val="20"/>
              </w:rPr>
              <w:t>5</w:t>
            </w:r>
          </w:p>
        </w:tc>
        <w:tc>
          <w:tcPr>
            <w:tcW w:w="737" w:type="dxa"/>
            <w:tcBorders>
              <w:top w:val="nil"/>
              <w:left w:val="nil"/>
              <w:bottom w:val="nil"/>
              <w:right w:val="nil"/>
            </w:tcBorders>
            <w:shd w:val="clear" w:color="000000" w:fill="FFFFFF"/>
            <w:vAlign w:val="center"/>
            <w:hideMark/>
          </w:tcPr>
          <w:p w14:paraId="621E0E3F"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11</w:t>
            </w:r>
          </w:p>
        </w:tc>
        <w:tc>
          <w:tcPr>
            <w:tcW w:w="737" w:type="dxa"/>
            <w:tcBorders>
              <w:top w:val="nil"/>
              <w:left w:val="nil"/>
              <w:bottom w:val="nil"/>
              <w:right w:val="nil"/>
            </w:tcBorders>
            <w:shd w:val="clear" w:color="000000" w:fill="FFFFFF"/>
            <w:vAlign w:val="center"/>
            <w:hideMark/>
          </w:tcPr>
          <w:p w14:paraId="36156620"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3</w:t>
            </w:r>
            <w:r w:rsidR="00A90CDD" w:rsidRPr="00A7364B">
              <w:rPr>
                <w:rFonts w:ascii="Arial" w:hAnsi="Arial" w:cs="Arial"/>
                <w:sz w:val="20"/>
                <w:szCs w:val="20"/>
              </w:rPr>
              <w:t>3</w:t>
            </w:r>
          </w:p>
        </w:tc>
      </w:tr>
      <w:tr w:rsidR="0062157C" w:rsidRPr="00A7364B" w14:paraId="08A0D5EA" w14:textId="77777777" w:rsidTr="00A90CDD">
        <w:trPr>
          <w:trHeight w:val="284"/>
        </w:trPr>
        <w:tc>
          <w:tcPr>
            <w:tcW w:w="737" w:type="dxa"/>
            <w:tcBorders>
              <w:top w:val="nil"/>
              <w:left w:val="nil"/>
              <w:bottom w:val="nil"/>
              <w:right w:val="nil"/>
            </w:tcBorders>
            <w:shd w:val="clear" w:color="000000" w:fill="FFFFFF"/>
            <w:vAlign w:val="center"/>
            <w:hideMark/>
          </w:tcPr>
          <w:p w14:paraId="690D1156" w14:textId="77777777" w:rsidR="0062157C" w:rsidRPr="00A7364B" w:rsidRDefault="0062157C" w:rsidP="00ED3175">
            <w:pPr>
              <w:spacing w:after="0" w:line="240" w:lineRule="auto"/>
              <w:jc w:val="both"/>
              <w:rPr>
                <w:rFonts w:ascii="Arial" w:hAnsi="Arial" w:cs="Arial"/>
                <w:b/>
                <w:bCs/>
                <w:sz w:val="20"/>
                <w:szCs w:val="20"/>
              </w:rPr>
            </w:pPr>
            <w:r w:rsidRPr="00A7364B">
              <w:rPr>
                <w:rFonts w:ascii="Arial" w:hAnsi="Arial" w:cs="Arial"/>
                <w:b/>
                <w:bCs/>
                <w:sz w:val="20"/>
                <w:szCs w:val="20"/>
              </w:rPr>
              <w:t>Max</w:t>
            </w:r>
          </w:p>
        </w:tc>
        <w:tc>
          <w:tcPr>
            <w:tcW w:w="737" w:type="dxa"/>
            <w:tcBorders>
              <w:top w:val="nil"/>
              <w:left w:val="nil"/>
              <w:bottom w:val="nil"/>
              <w:right w:val="nil"/>
            </w:tcBorders>
            <w:shd w:val="clear" w:color="000000" w:fill="FFFFFF"/>
            <w:vAlign w:val="center"/>
            <w:hideMark/>
          </w:tcPr>
          <w:p w14:paraId="355EFA44"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42</w:t>
            </w:r>
          </w:p>
        </w:tc>
        <w:tc>
          <w:tcPr>
            <w:tcW w:w="737" w:type="dxa"/>
            <w:tcBorders>
              <w:top w:val="nil"/>
              <w:left w:val="nil"/>
              <w:bottom w:val="nil"/>
              <w:right w:val="nil"/>
            </w:tcBorders>
            <w:shd w:val="clear" w:color="000000" w:fill="FFFFFF"/>
            <w:vAlign w:val="center"/>
            <w:hideMark/>
          </w:tcPr>
          <w:p w14:paraId="17B3DD5F"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35</w:t>
            </w:r>
            <w:r w:rsidR="00B531B8" w:rsidRPr="00A7364B">
              <w:rPr>
                <w:rFonts w:ascii="Arial" w:hAnsi="Arial" w:cs="Arial"/>
                <w:sz w:val="20"/>
                <w:szCs w:val="20"/>
              </w:rPr>
              <w:t>.</w:t>
            </w:r>
            <w:r w:rsidRPr="00A7364B">
              <w:rPr>
                <w:rFonts w:ascii="Arial" w:hAnsi="Arial" w:cs="Arial"/>
                <w:sz w:val="20"/>
                <w:szCs w:val="20"/>
              </w:rPr>
              <w:t>92</w:t>
            </w:r>
          </w:p>
        </w:tc>
        <w:tc>
          <w:tcPr>
            <w:tcW w:w="737" w:type="dxa"/>
            <w:tcBorders>
              <w:top w:val="nil"/>
              <w:left w:val="nil"/>
              <w:bottom w:val="nil"/>
              <w:right w:val="nil"/>
            </w:tcBorders>
            <w:shd w:val="clear" w:color="000000" w:fill="FFFFFF"/>
            <w:vAlign w:val="center"/>
            <w:hideMark/>
          </w:tcPr>
          <w:p w14:paraId="6A4030BE"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16</w:t>
            </w:r>
          </w:p>
        </w:tc>
        <w:tc>
          <w:tcPr>
            <w:tcW w:w="737" w:type="dxa"/>
            <w:tcBorders>
              <w:top w:val="nil"/>
              <w:left w:val="nil"/>
              <w:bottom w:val="nil"/>
              <w:right w:val="nil"/>
            </w:tcBorders>
            <w:shd w:val="clear" w:color="000000" w:fill="FFFFFF"/>
            <w:vAlign w:val="center"/>
            <w:hideMark/>
          </w:tcPr>
          <w:p w14:paraId="3B9AE1CF"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31</w:t>
            </w:r>
            <w:r w:rsidR="00B531B8" w:rsidRPr="00A7364B">
              <w:rPr>
                <w:rFonts w:ascii="Arial" w:hAnsi="Arial" w:cs="Arial"/>
                <w:sz w:val="20"/>
                <w:szCs w:val="20"/>
              </w:rPr>
              <w:t>.</w:t>
            </w:r>
            <w:r w:rsidRPr="00A7364B">
              <w:rPr>
                <w:rFonts w:ascii="Arial" w:hAnsi="Arial" w:cs="Arial"/>
                <w:sz w:val="20"/>
                <w:szCs w:val="20"/>
              </w:rPr>
              <w:t>33</w:t>
            </w:r>
          </w:p>
        </w:tc>
        <w:tc>
          <w:tcPr>
            <w:tcW w:w="737" w:type="dxa"/>
            <w:tcBorders>
              <w:top w:val="nil"/>
              <w:left w:val="nil"/>
              <w:bottom w:val="nil"/>
              <w:right w:val="nil"/>
            </w:tcBorders>
            <w:shd w:val="clear" w:color="000000" w:fill="FFFFFF"/>
            <w:vAlign w:val="center"/>
            <w:hideMark/>
          </w:tcPr>
          <w:p w14:paraId="3FD5948C"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02</w:t>
            </w:r>
          </w:p>
        </w:tc>
        <w:tc>
          <w:tcPr>
            <w:tcW w:w="737" w:type="dxa"/>
            <w:tcBorders>
              <w:top w:val="nil"/>
              <w:left w:val="nil"/>
              <w:bottom w:val="nil"/>
              <w:right w:val="nil"/>
            </w:tcBorders>
            <w:shd w:val="clear" w:color="000000" w:fill="FFFFFF"/>
            <w:vAlign w:val="center"/>
            <w:hideMark/>
          </w:tcPr>
          <w:p w14:paraId="7FB08A3C"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1</w:t>
            </w:r>
            <w:r w:rsidR="00B531B8" w:rsidRPr="00A7364B">
              <w:rPr>
                <w:rFonts w:ascii="Arial" w:hAnsi="Arial" w:cs="Arial"/>
                <w:sz w:val="20"/>
                <w:szCs w:val="20"/>
              </w:rPr>
              <w:t>.</w:t>
            </w:r>
            <w:r w:rsidRPr="00A7364B">
              <w:rPr>
                <w:rFonts w:ascii="Arial" w:hAnsi="Arial" w:cs="Arial"/>
                <w:sz w:val="20"/>
                <w:szCs w:val="20"/>
              </w:rPr>
              <w:t>57</w:t>
            </w:r>
          </w:p>
        </w:tc>
        <w:tc>
          <w:tcPr>
            <w:tcW w:w="737" w:type="dxa"/>
            <w:tcBorders>
              <w:top w:val="nil"/>
              <w:left w:val="nil"/>
              <w:bottom w:val="nil"/>
              <w:right w:val="nil"/>
            </w:tcBorders>
            <w:shd w:val="clear" w:color="000000" w:fill="FFFFFF"/>
            <w:vAlign w:val="center"/>
            <w:hideMark/>
          </w:tcPr>
          <w:p w14:paraId="32B415A9"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08</w:t>
            </w:r>
          </w:p>
        </w:tc>
        <w:tc>
          <w:tcPr>
            <w:tcW w:w="737" w:type="dxa"/>
            <w:tcBorders>
              <w:top w:val="nil"/>
              <w:left w:val="nil"/>
              <w:bottom w:val="nil"/>
              <w:right w:val="nil"/>
            </w:tcBorders>
            <w:shd w:val="clear" w:color="000000" w:fill="FFFFFF"/>
            <w:vAlign w:val="center"/>
            <w:hideMark/>
          </w:tcPr>
          <w:p w14:paraId="41AFC398"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25</w:t>
            </w:r>
            <w:r w:rsidR="00B531B8" w:rsidRPr="00A7364B">
              <w:rPr>
                <w:rFonts w:ascii="Arial" w:hAnsi="Arial" w:cs="Arial"/>
                <w:sz w:val="20"/>
                <w:szCs w:val="20"/>
              </w:rPr>
              <w:t>.</w:t>
            </w:r>
            <w:r w:rsidRPr="00A7364B">
              <w:rPr>
                <w:rFonts w:ascii="Arial" w:hAnsi="Arial" w:cs="Arial"/>
                <w:sz w:val="20"/>
                <w:szCs w:val="20"/>
              </w:rPr>
              <w:t>80</w:t>
            </w:r>
          </w:p>
        </w:tc>
        <w:tc>
          <w:tcPr>
            <w:tcW w:w="737" w:type="dxa"/>
            <w:tcBorders>
              <w:top w:val="nil"/>
              <w:left w:val="nil"/>
              <w:bottom w:val="nil"/>
              <w:right w:val="nil"/>
            </w:tcBorders>
            <w:shd w:val="clear" w:color="000000" w:fill="FFFFFF"/>
            <w:vAlign w:val="center"/>
            <w:hideMark/>
          </w:tcPr>
          <w:p w14:paraId="0EEF77D6"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83</w:t>
            </w:r>
          </w:p>
        </w:tc>
        <w:tc>
          <w:tcPr>
            <w:tcW w:w="737" w:type="dxa"/>
            <w:tcBorders>
              <w:top w:val="nil"/>
              <w:left w:val="nil"/>
              <w:bottom w:val="nil"/>
              <w:right w:val="nil"/>
            </w:tcBorders>
            <w:shd w:val="clear" w:color="000000" w:fill="FFFFFF"/>
            <w:vAlign w:val="center"/>
            <w:hideMark/>
          </w:tcPr>
          <w:p w14:paraId="13D50983"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2</w:t>
            </w:r>
            <w:r w:rsidR="00B531B8" w:rsidRPr="00A7364B">
              <w:rPr>
                <w:rFonts w:ascii="Arial" w:hAnsi="Arial" w:cs="Arial"/>
                <w:sz w:val="20"/>
                <w:szCs w:val="20"/>
              </w:rPr>
              <w:t>.</w:t>
            </w:r>
            <w:r w:rsidRPr="00A7364B">
              <w:rPr>
                <w:rFonts w:ascii="Arial" w:hAnsi="Arial" w:cs="Arial"/>
                <w:sz w:val="20"/>
                <w:szCs w:val="20"/>
              </w:rPr>
              <w:t>21</w:t>
            </w:r>
          </w:p>
        </w:tc>
        <w:tc>
          <w:tcPr>
            <w:tcW w:w="737" w:type="dxa"/>
            <w:tcBorders>
              <w:top w:val="nil"/>
              <w:left w:val="nil"/>
              <w:bottom w:val="nil"/>
              <w:right w:val="nil"/>
            </w:tcBorders>
            <w:shd w:val="clear" w:color="000000" w:fill="FFFFFF"/>
            <w:vAlign w:val="center"/>
            <w:hideMark/>
          </w:tcPr>
          <w:p w14:paraId="6EDAA5FA"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39</w:t>
            </w:r>
          </w:p>
        </w:tc>
        <w:tc>
          <w:tcPr>
            <w:tcW w:w="737" w:type="dxa"/>
            <w:tcBorders>
              <w:top w:val="nil"/>
              <w:left w:val="nil"/>
              <w:bottom w:val="nil"/>
              <w:right w:val="nil"/>
            </w:tcBorders>
            <w:shd w:val="clear" w:color="000000" w:fill="FFFFFF"/>
            <w:vAlign w:val="center"/>
            <w:hideMark/>
          </w:tcPr>
          <w:p w14:paraId="551E5B49"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11</w:t>
            </w:r>
            <w:r w:rsidR="00B531B8" w:rsidRPr="00A7364B">
              <w:rPr>
                <w:rFonts w:ascii="Arial" w:hAnsi="Arial" w:cs="Arial"/>
                <w:sz w:val="20"/>
                <w:szCs w:val="20"/>
              </w:rPr>
              <w:t>.</w:t>
            </w:r>
            <w:r w:rsidRPr="00A7364B">
              <w:rPr>
                <w:rFonts w:ascii="Arial" w:hAnsi="Arial" w:cs="Arial"/>
                <w:sz w:val="20"/>
                <w:szCs w:val="20"/>
              </w:rPr>
              <w:t>9</w:t>
            </w:r>
            <w:r w:rsidR="00A90CDD" w:rsidRPr="00A7364B">
              <w:rPr>
                <w:rFonts w:ascii="Arial" w:hAnsi="Arial" w:cs="Arial"/>
                <w:sz w:val="20"/>
                <w:szCs w:val="20"/>
              </w:rPr>
              <w:t>8</w:t>
            </w:r>
          </w:p>
        </w:tc>
      </w:tr>
      <w:tr w:rsidR="0062157C" w:rsidRPr="00A7364B" w14:paraId="5DF00C2A" w14:textId="77777777" w:rsidTr="00A90CDD">
        <w:trPr>
          <w:trHeight w:val="284"/>
        </w:trPr>
        <w:tc>
          <w:tcPr>
            <w:tcW w:w="737" w:type="dxa"/>
            <w:tcBorders>
              <w:top w:val="nil"/>
              <w:left w:val="nil"/>
              <w:bottom w:val="single" w:sz="8" w:space="0" w:color="auto"/>
              <w:right w:val="nil"/>
            </w:tcBorders>
            <w:shd w:val="clear" w:color="000000" w:fill="FFFFFF"/>
            <w:vAlign w:val="center"/>
            <w:hideMark/>
          </w:tcPr>
          <w:p w14:paraId="1D3B360C" w14:textId="77777777" w:rsidR="0062157C" w:rsidRPr="00A7364B" w:rsidRDefault="00460120" w:rsidP="00ED3175">
            <w:pPr>
              <w:spacing w:after="0" w:line="240" w:lineRule="auto"/>
              <w:jc w:val="both"/>
              <w:rPr>
                <w:rFonts w:ascii="Arial" w:hAnsi="Arial" w:cs="Arial"/>
                <w:b/>
                <w:bCs/>
                <w:sz w:val="20"/>
                <w:szCs w:val="20"/>
              </w:rPr>
            </w:pPr>
            <w:r w:rsidRPr="00A7364B">
              <w:rPr>
                <w:rFonts w:ascii="Arial" w:hAnsi="Arial" w:cs="Arial"/>
                <w:b/>
                <w:bCs/>
                <w:sz w:val="20"/>
                <w:szCs w:val="20"/>
              </w:rPr>
              <w:t>Average</w:t>
            </w:r>
          </w:p>
        </w:tc>
        <w:tc>
          <w:tcPr>
            <w:tcW w:w="737" w:type="dxa"/>
            <w:tcBorders>
              <w:top w:val="nil"/>
              <w:left w:val="nil"/>
              <w:bottom w:val="single" w:sz="8" w:space="0" w:color="auto"/>
              <w:right w:val="nil"/>
            </w:tcBorders>
            <w:shd w:val="clear" w:color="000000" w:fill="FFFFFF"/>
            <w:vAlign w:val="center"/>
            <w:hideMark/>
          </w:tcPr>
          <w:p w14:paraId="03951B24"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18</w:t>
            </w:r>
          </w:p>
        </w:tc>
        <w:tc>
          <w:tcPr>
            <w:tcW w:w="737" w:type="dxa"/>
            <w:tcBorders>
              <w:top w:val="nil"/>
              <w:left w:val="nil"/>
              <w:bottom w:val="single" w:sz="8" w:space="0" w:color="auto"/>
              <w:right w:val="nil"/>
            </w:tcBorders>
            <w:shd w:val="clear" w:color="000000" w:fill="FFFFFF"/>
            <w:vAlign w:val="center"/>
            <w:hideMark/>
          </w:tcPr>
          <w:p w14:paraId="0A3EF113"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11</w:t>
            </w:r>
            <w:r w:rsidR="00B531B8" w:rsidRPr="00A7364B">
              <w:rPr>
                <w:rFonts w:ascii="Arial" w:hAnsi="Arial" w:cs="Arial"/>
                <w:sz w:val="20"/>
                <w:szCs w:val="20"/>
              </w:rPr>
              <w:t>.</w:t>
            </w:r>
            <w:r w:rsidRPr="00A7364B">
              <w:rPr>
                <w:rFonts w:ascii="Arial" w:hAnsi="Arial" w:cs="Arial"/>
                <w:sz w:val="20"/>
                <w:szCs w:val="20"/>
              </w:rPr>
              <w:t>25</w:t>
            </w:r>
          </w:p>
        </w:tc>
        <w:tc>
          <w:tcPr>
            <w:tcW w:w="737" w:type="dxa"/>
            <w:tcBorders>
              <w:top w:val="nil"/>
              <w:left w:val="nil"/>
              <w:bottom w:val="single" w:sz="8" w:space="0" w:color="auto"/>
              <w:right w:val="nil"/>
            </w:tcBorders>
            <w:shd w:val="clear" w:color="000000" w:fill="FFFFFF"/>
            <w:vAlign w:val="center"/>
            <w:hideMark/>
          </w:tcPr>
          <w:p w14:paraId="2BB313D6"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07</w:t>
            </w:r>
          </w:p>
        </w:tc>
        <w:tc>
          <w:tcPr>
            <w:tcW w:w="737" w:type="dxa"/>
            <w:tcBorders>
              <w:top w:val="nil"/>
              <w:left w:val="nil"/>
              <w:bottom w:val="single" w:sz="8" w:space="0" w:color="auto"/>
              <w:right w:val="nil"/>
            </w:tcBorders>
            <w:shd w:val="clear" w:color="000000" w:fill="FFFFFF"/>
            <w:vAlign w:val="center"/>
            <w:hideMark/>
          </w:tcPr>
          <w:p w14:paraId="100CB97C"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15</w:t>
            </w:r>
            <w:r w:rsidR="00B531B8" w:rsidRPr="00A7364B">
              <w:rPr>
                <w:rFonts w:ascii="Arial" w:hAnsi="Arial" w:cs="Arial"/>
                <w:sz w:val="20"/>
                <w:szCs w:val="20"/>
              </w:rPr>
              <w:t>.</w:t>
            </w:r>
            <w:r w:rsidRPr="00A7364B">
              <w:rPr>
                <w:rFonts w:ascii="Arial" w:hAnsi="Arial" w:cs="Arial"/>
                <w:sz w:val="20"/>
                <w:szCs w:val="20"/>
              </w:rPr>
              <w:t>05</w:t>
            </w:r>
          </w:p>
        </w:tc>
        <w:tc>
          <w:tcPr>
            <w:tcW w:w="737" w:type="dxa"/>
            <w:tcBorders>
              <w:top w:val="nil"/>
              <w:left w:val="nil"/>
              <w:bottom w:val="single" w:sz="8" w:space="0" w:color="auto"/>
              <w:right w:val="nil"/>
            </w:tcBorders>
            <w:shd w:val="clear" w:color="000000" w:fill="FFFFFF"/>
            <w:vAlign w:val="center"/>
            <w:hideMark/>
          </w:tcPr>
          <w:p w14:paraId="53347B20"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0,01</w:t>
            </w:r>
          </w:p>
        </w:tc>
        <w:tc>
          <w:tcPr>
            <w:tcW w:w="737" w:type="dxa"/>
            <w:tcBorders>
              <w:top w:val="nil"/>
              <w:left w:val="nil"/>
              <w:bottom w:val="single" w:sz="8" w:space="0" w:color="auto"/>
              <w:right w:val="nil"/>
            </w:tcBorders>
            <w:shd w:val="clear" w:color="000000" w:fill="FFFFFF"/>
            <w:vAlign w:val="center"/>
            <w:hideMark/>
          </w:tcPr>
          <w:p w14:paraId="1F64537E"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97</w:t>
            </w:r>
          </w:p>
        </w:tc>
        <w:tc>
          <w:tcPr>
            <w:tcW w:w="737" w:type="dxa"/>
            <w:tcBorders>
              <w:top w:val="nil"/>
              <w:left w:val="nil"/>
              <w:bottom w:val="single" w:sz="8" w:space="0" w:color="auto"/>
              <w:right w:val="nil"/>
            </w:tcBorders>
            <w:shd w:val="clear" w:color="000000" w:fill="FFFFFF"/>
            <w:vAlign w:val="center"/>
            <w:hideMark/>
          </w:tcPr>
          <w:p w14:paraId="66E3CC95"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0</w:t>
            </w:r>
            <w:r w:rsidR="00A90CDD" w:rsidRPr="00A7364B">
              <w:rPr>
                <w:rFonts w:ascii="Arial" w:hAnsi="Arial" w:cs="Arial"/>
                <w:sz w:val="20"/>
                <w:szCs w:val="20"/>
              </w:rPr>
              <w:t>5</w:t>
            </w:r>
          </w:p>
        </w:tc>
        <w:tc>
          <w:tcPr>
            <w:tcW w:w="737" w:type="dxa"/>
            <w:tcBorders>
              <w:top w:val="nil"/>
              <w:left w:val="nil"/>
              <w:bottom w:val="single" w:sz="8" w:space="0" w:color="auto"/>
              <w:right w:val="nil"/>
            </w:tcBorders>
            <w:shd w:val="clear" w:color="000000" w:fill="FFFFFF"/>
            <w:vAlign w:val="center"/>
            <w:hideMark/>
          </w:tcPr>
          <w:p w14:paraId="4C2C58BA"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17</w:t>
            </w:r>
            <w:r w:rsidR="00B531B8" w:rsidRPr="00A7364B">
              <w:rPr>
                <w:rFonts w:ascii="Arial" w:hAnsi="Arial" w:cs="Arial"/>
                <w:sz w:val="20"/>
                <w:szCs w:val="20"/>
              </w:rPr>
              <w:t>.</w:t>
            </w:r>
            <w:r w:rsidRPr="00A7364B">
              <w:rPr>
                <w:rFonts w:ascii="Arial" w:hAnsi="Arial" w:cs="Arial"/>
                <w:sz w:val="20"/>
                <w:szCs w:val="20"/>
              </w:rPr>
              <w:t>69</w:t>
            </w:r>
          </w:p>
        </w:tc>
        <w:tc>
          <w:tcPr>
            <w:tcW w:w="737" w:type="dxa"/>
            <w:tcBorders>
              <w:top w:val="nil"/>
              <w:left w:val="nil"/>
              <w:bottom w:val="single" w:sz="8" w:space="0" w:color="auto"/>
              <w:right w:val="nil"/>
            </w:tcBorders>
            <w:shd w:val="clear" w:color="000000" w:fill="FFFFFF"/>
            <w:vAlign w:val="center"/>
            <w:hideMark/>
          </w:tcPr>
          <w:p w14:paraId="5C54C749"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54</w:t>
            </w:r>
          </w:p>
        </w:tc>
        <w:tc>
          <w:tcPr>
            <w:tcW w:w="737" w:type="dxa"/>
            <w:tcBorders>
              <w:top w:val="nil"/>
              <w:left w:val="nil"/>
              <w:bottom w:val="single" w:sz="8" w:space="0" w:color="auto"/>
              <w:right w:val="nil"/>
            </w:tcBorders>
            <w:shd w:val="clear" w:color="000000" w:fill="FFFFFF"/>
            <w:vAlign w:val="center"/>
            <w:hideMark/>
          </w:tcPr>
          <w:p w14:paraId="3B6E350E"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1</w:t>
            </w:r>
            <w:r w:rsidR="00B531B8" w:rsidRPr="00A7364B">
              <w:rPr>
                <w:rFonts w:ascii="Arial" w:hAnsi="Arial" w:cs="Arial"/>
                <w:sz w:val="20"/>
                <w:szCs w:val="20"/>
              </w:rPr>
              <w:t>.</w:t>
            </w:r>
            <w:r w:rsidRPr="00A7364B">
              <w:rPr>
                <w:rFonts w:ascii="Arial" w:hAnsi="Arial" w:cs="Arial"/>
                <w:sz w:val="20"/>
                <w:szCs w:val="20"/>
              </w:rPr>
              <w:t>28</w:t>
            </w:r>
          </w:p>
        </w:tc>
        <w:tc>
          <w:tcPr>
            <w:tcW w:w="737" w:type="dxa"/>
            <w:tcBorders>
              <w:top w:val="nil"/>
              <w:left w:val="nil"/>
              <w:bottom w:val="single" w:sz="8" w:space="0" w:color="auto"/>
              <w:right w:val="nil"/>
            </w:tcBorders>
            <w:shd w:val="clear" w:color="000000" w:fill="FFFFFF"/>
            <w:vAlign w:val="center"/>
            <w:hideMark/>
          </w:tcPr>
          <w:p w14:paraId="0DF62564"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0</w:t>
            </w:r>
            <w:r w:rsidR="00B531B8" w:rsidRPr="00A7364B">
              <w:rPr>
                <w:rFonts w:ascii="Arial" w:hAnsi="Arial" w:cs="Arial"/>
                <w:sz w:val="20"/>
                <w:szCs w:val="20"/>
              </w:rPr>
              <w:t>.</w:t>
            </w:r>
            <w:r w:rsidRPr="00A7364B">
              <w:rPr>
                <w:rFonts w:ascii="Arial" w:hAnsi="Arial" w:cs="Arial"/>
                <w:sz w:val="20"/>
                <w:szCs w:val="20"/>
              </w:rPr>
              <w:t>2</w:t>
            </w:r>
            <w:r w:rsidR="00A90CDD" w:rsidRPr="00A7364B">
              <w:rPr>
                <w:rFonts w:ascii="Arial" w:hAnsi="Arial" w:cs="Arial"/>
                <w:sz w:val="20"/>
                <w:szCs w:val="20"/>
              </w:rPr>
              <w:t>4</w:t>
            </w:r>
          </w:p>
        </w:tc>
        <w:tc>
          <w:tcPr>
            <w:tcW w:w="737" w:type="dxa"/>
            <w:tcBorders>
              <w:top w:val="nil"/>
              <w:left w:val="nil"/>
              <w:bottom w:val="single" w:sz="8" w:space="0" w:color="auto"/>
              <w:right w:val="nil"/>
            </w:tcBorders>
            <w:shd w:val="clear" w:color="000000" w:fill="FFFFFF"/>
            <w:vAlign w:val="center"/>
            <w:hideMark/>
          </w:tcPr>
          <w:p w14:paraId="370535DC" w14:textId="77777777" w:rsidR="0062157C" w:rsidRPr="00A7364B" w:rsidRDefault="0062157C" w:rsidP="00ED3175">
            <w:pPr>
              <w:spacing w:after="0" w:line="240" w:lineRule="auto"/>
              <w:jc w:val="both"/>
              <w:rPr>
                <w:rFonts w:ascii="Arial" w:hAnsi="Arial" w:cs="Arial"/>
                <w:sz w:val="20"/>
                <w:szCs w:val="20"/>
              </w:rPr>
            </w:pPr>
            <w:r w:rsidRPr="00A7364B">
              <w:rPr>
                <w:rFonts w:ascii="Arial" w:hAnsi="Arial" w:cs="Arial"/>
                <w:sz w:val="20"/>
                <w:szCs w:val="20"/>
              </w:rPr>
              <w:t>5</w:t>
            </w:r>
            <w:r w:rsidR="00B531B8" w:rsidRPr="00A7364B">
              <w:rPr>
                <w:rFonts w:ascii="Arial" w:hAnsi="Arial" w:cs="Arial"/>
                <w:sz w:val="20"/>
                <w:szCs w:val="20"/>
              </w:rPr>
              <w:t>.</w:t>
            </w:r>
            <w:r w:rsidRPr="00A7364B">
              <w:rPr>
                <w:rFonts w:ascii="Arial" w:hAnsi="Arial" w:cs="Arial"/>
                <w:sz w:val="20"/>
                <w:szCs w:val="20"/>
              </w:rPr>
              <w:t>43</w:t>
            </w:r>
          </w:p>
        </w:tc>
      </w:tr>
    </w:tbl>
    <w:p w14:paraId="5D0F9FE4" w14:textId="77777777" w:rsidR="0062157C" w:rsidRPr="00A7364B" w:rsidRDefault="0062157C" w:rsidP="00ED3175">
      <w:pPr>
        <w:jc w:val="both"/>
        <w:rPr>
          <w:rFonts w:ascii="Arial" w:hAnsi="Arial" w:cs="Arial"/>
          <w:sz w:val="20"/>
          <w:szCs w:val="20"/>
          <w:lang w:val="en-US"/>
        </w:rPr>
      </w:pPr>
    </w:p>
    <w:p w14:paraId="3B75D89A" w14:textId="77777777" w:rsidR="00A90CDD" w:rsidRPr="00A7364B" w:rsidRDefault="00A90CDD" w:rsidP="00ED3175">
      <w:pPr>
        <w:jc w:val="both"/>
        <w:rPr>
          <w:rFonts w:ascii="Arial" w:hAnsi="Arial" w:cs="Arial"/>
          <w:b/>
          <w:bCs/>
          <w:sz w:val="20"/>
          <w:szCs w:val="20"/>
          <w:lang w:val="en-US"/>
        </w:rPr>
      </w:pPr>
      <w:r w:rsidRPr="00A7364B">
        <w:rPr>
          <w:rFonts w:ascii="Arial" w:hAnsi="Arial" w:cs="Arial"/>
          <w:b/>
          <w:bCs/>
          <w:sz w:val="20"/>
          <w:szCs w:val="20"/>
          <w:lang w:val="en-US"/>
        </w:rPr>
        <w:t>3.2.3. Environmental Quality of Sediments</w:t>
      </w:r>
    </w:p>
    <w:p w14:paraId="33035F91" w14:textId="77777777" w:rsidR="00A90CDD" w:rsidRPr="00A7364B" w:rsidRDefault="00A90CDD" w:rsidP="00ED3175">
      <w:pPr>
        <w:jc w:val="both"/>
        <w:rPr>
          <w:rFonts w:ascii="Arial" w:hAnsi="Arial" w:cs="Arial"/>
          <w:sz w:val="20"/>
          <w:szCs w:val="20"/>
          <w:lang w:val="en-US"/>
        </w:rPr>
      </w:pPr>
      <w:r w:rsidRPr="00A7364B">
        <w:rPr>
          <w:rFonts w:ascii="Arial" w:hAnsi="Arial"/>
          <w:sz w:val="20"/>
        </w:rPr>
        <w:t>The environmental quality of sediments in the Treichville sector of the Ebrié Lagoon was assessed using the guidance values from the TEC-PEC model. The results indicate that 100% of the concentrations of lead, arsenic, cadmium, and mercury, and 83.33% of the concentrations of copper and zinc, are below the TEC reference value. The concentrations of lead, arsenic, and cadmium do not exceed the PEC standard, while 16.67% of the copper and zinc concentrations exceed the PEC reference value. The TEC and PEC guideline values for other metals not mentioned here are undetermined.</w:t>
      </w:r>
    </w:p>
    <w:p w14:paraId="23760C6D" w14:textId="77777777" w:rsidR="00460120" w:rsidRPr="00A7364B" w:rsidRDefault="00460120" w:rsidP="00ED3175">
      <w:pPr>
        <w:jc w:val="both"/>
        <w:rPr>
          <w:rFonts w:ascii="Arial" w:hAnsi="Arial" w:cs="Arial"/>
          <w:sz w:val="20"/>
          <w:szCs w:val="20"/>
          <w:lang w:val="en-US"/>
        </w:rPr>
      </w:pPr>
    </w:p>
    <w:p w14:paraId="02C787C5" w14:textId="77777777" w:rsidR="00A90CDD" w:rsidRPr="00A7364B" w:rsidRDefault="00A90CDD" w:rsidP="00ED3175">
      <w:pPr>
        <w:jc w:val="both"/>
        <w:rPr>
          <w:rFonts w:ascii="Arial" w:hAnsi="Arial" w:cs="Arial"/>
          <w:sz w:val="20"/>
          <w:szCs w:val="20"/>
          <w:lang w:val="en-US"/>
        </w:rPr>
      </w:pPr>
      <w:r w:rsidRPr="00A7364B">
        <w:rPr>
          <w:rFonts w:ascii="Arial" w:hAnsi="Arial" w:cs="Arial"/>
          <w:b/>
          <w:bCs/>
          <w:sz w:val="20"/>
          <w:szCs w:val="20"/>
          <w:lang w:val="en-US"/>
        </w:rPr>
        <w:t>Table 7</w:t>
      </w:r>
      <w:r w:rsidRPr="00A7364B">
        <w:rPr>
          <w:rFonts w:ascii="Arial" w:hAnsi="Arial" w:cs="Arial"/>
          <w:sz w:val="20"/>
          <w:szCs w:val="20"/>
          <w:lang w:val="en-US"/>
        </w:rPr>
        <w:t>—Proportion (mg/kg) of sediments relative to TEC and PEC</w:t>
      </w:r>
    </w:p>
    <w:tbl>
      <w:tblPr>
        <w:tblStyle w:val="TableGrid0"/>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84"/>
        <w:gridCol w:w="984"/>
        <w:gridCol w:w="709"/>
        <w:gridCol w:w="992"/>
        <w:gridCol w:w="1134"/>
        <w:gridCol w:w="993"/>
        <w:gridCol w:w="850"/>
        <w:gridCol w:w="1276"/>
      </w:tblGrid>
      <w:tr w:rsidR="00A90CDD" w:rsidRPr="00A7364B" w14:paraId="4B3BE4C8" w14:textId="77777777" w:rsidTr="001C5797">
        <w:trPr>
          <w:trHeight w:val="20"/>
        </w:trPr>
        <w:tc>
          <w:tcPr>
            <w:tcW w:w="1284" w:type="dxa"/>
            <w:tcBorders>
              <w:bottom w:val="single" w:sz="4" w:space="0" w:color="000000"/>
            </w:tcBorders>
            <w:vAlign w:val="center"/>
          </w:tcPr>
          <w:p w14:paraId="3BB03FB2" w14:textId="77777777" w:rsidR="00A90CDD" w:rsidRPr="00A7364B" w:rsidRDefault="00A90CDD" w:rsidP="00ED3175">
            <w:pPr>
              <w:jc w:val="both"/>
              <w:rPr>
                <w:rFonts w:ascii="Arial" w:hAnsi="Arial" w:cs="Arial"/>
                <w:b/>
                <w:lang w:val="en-US"/>
              </w:rPr>
            </w:pPr>
          </w:p>
        </w:tc>
        <w:tc>
          <w:tcPr>
            <w:tcW w:w="1693" w:type="dxa"/>
            <w:gridSpan w:val="2"/>
            <w:tcBorders>
              <w:bottom w:val="single" w:sz="4" w:space="0" w:color="000000"/>
            </w:tcBorders>
            <w:vAlign w:val="center"/>
          </w:tcPr>
          <w:p w14:paraId="7388732B" w14:textId="77777777" w:rsidR="00A90CDD" w:rsidRPr="00A7364B" w:rsidRDefault="001C5797" w:rsidP="00ED3175">
            <w:pPr>
              <w:jc w:val="both"/>
              <w:rPr>
                <w:rFonts w:ascii="Arial" w:hAnsi="Arial" w:cs="Arial"/>
                <w:b/>
              </w:rPr>
            </w:pPr>
            <w:r w:rsidRPr="00A7364B">
              <w:rPr>
                <w:rFonts w:ascii="Arial" w:hAnsi="Arial" w:cs="Arial"/>
                <w:b/>
                <w:lang w:val="en-US"/>
              </w:rPr>
              <w:t xml:space="preserve">       </w:t>
            </w:r>
            <w:r w:rsidRPr="00A7364B">
              <w:rPr>
                <w:rFonts w:ascii="Arial" w:hAnsi="Arial" w:cs="Arial"/>
                <w:b/>
              </w:rPr>
              <w:t>C</w:t>
            </w:r>
            <w:r w:rsidR="00A90CDD" w:rsidRPr="00A7364B">
              <w:rPr>
                <w:rFonts w:ascii="Arial" w:hAnsi="Arial" w:cs="Arial"/>
                <w:b/>
              </w:rPr>
              <w:t>admium</w:t>
            </w:r>
          </w:p>
        </w:tc>
        <w:tc>
          <w:tcPr>
            <w:tcW w:w="992" w:type="dxa"/>
            <w:tcBorders>
              <w:bottom w:val="single" w:sz="4" w:space="0" w:color="000000"/>
            </w:tcBorders>
            <w:vAlign w:val="center"/>
          </w:tcPr>
          <w:p w14:paraId="54B731DB" w14:textId="77777777" w:rsidR="00A90CDD" w:rsidRPr="00A7364B" w:rsidRDefault="001C5797" w:rsidP="00ED3175">
            <w:pPr>
              <w:jc w:val="both"/>
              <w:rPr>
                <w:rFonts w:ascii="Arial" w:hAnsi="Arial" w:cs="Arial"/>
                <w:b/>
              </w:rPr>
            </w:pPr>
            <w:r w:rsidRPr="00A7364B">
              <w:rPr>
                <w:rFonts w:ascii="Arial" w:hAnsi="Arial" w:cs="Arial"/>
                <w:b/>
              </w:rPr>
              <w:t>Lead</w:t>
            </w:r>
          </w:p>
        </w:tc>
        <w:tc>
          <w:tcPr>
            <w:tcW w:w="1134" w:type="dxa"/>
            <w:tcBorders>
              <w:bottom w:val="single" w:sz="4" w:space="0" w:color="000000"/>
            </w:tcBorders>
            <w:vAlign w:val="center"/>
          </w:tcPr>
          <w:p w14:paraId="13007481" w14:textId="77777777" w:rsidR="00A90CDD" w:rsidRPr="00A7364B" w:rsidRDefault="001C5797" w:rsidP="00ED3175">
            <w:pPr>
              <w:jc w:val="both"/>
              <w:rPr>
                <w:rFonts w:ascii="Arial" w:hAnsi="Arial" w:cs="Arial"/>
                <w:b/>
              </w:rPr>
            </w:pPr>
            <w:r w:rsidRPr="00A7364B">
              <w:rPr>
                <w:rFonts w:ascii="Arial" w:hAnsi="Arial" w:cs="Arial"/>
                <w:b/>
              </w:rPr>
              <w:t>A</w:t>
            </w:r>
            <w:r w:rsidR="00A90CDD" w:rsidRPr="00A7364B">
              <w:rPr>
                <w:rFonts w:ascii="Arial" w:hAnsi="Arial" w:cs="Arial"/>
                <w:b/>
              </w:rPr>
              <w:t>rsenic</w:t>
            </w:r>
          </w:p>
        </w:tc>
        <w:tc>
          <w:tcPr>
            <w:tcW w:w="993" w:type="dxa"/>
            <w:tcBorders>
              <w:bottom w:val="single" w:sz="4" w:space="0" w:color="000000"/>
            </w:tcBorders>
            <w:vAlign w:val="center"/>
          </w:tcPr>
          <w:p w14:paraId="13823974" w14:textId="77777777" w:rsidR="00A90CDD" w:rsidRPr="00A7364B" w:rsidRDefault="001C5797" w:rsidP="00ED3175">
            <w:pPr>
              <w:jc w:val="both"/>
              <w:rPr>
                <w:rFonts w:ascii="Arial" w:hAnsi="Arial" w:cs="Arial"/>
                <w:b/>
              </w:rPr>
            </w:pPr>
            <w:r w:rsidRPr="00A7364B">
              <w:rPr>
                <w:rFonts w:ascii="Arial" w:hAnsi="Arial" w:cs="Arial"/>
                <w:b/>
              </w:rPr>
              <w:t>Copper</w:t>
            </w:r>
          </w:p>
        </w:tc>
        <w:tc>
          <w:tcPr>
            <w:tcW w:w="850" w:type="dxa"/>
            <w:tcBorders>
              <w:bottom w:val="single" w:sz="4" w:space="0" w:color="000000"/>
            </w:tcBorders>
            <w:vAlign w:val="center"/>
          </w:tcPr>
          <w:p w14:paraId="05E2E0A6" w14:textId="77777777" w:rsidR="00A90CDD" w:rsidRPr="00A7364B" w:rsidRDefault="001C5797" w:rsidP="00ED3175">
            <w:pPr>
              <w:jc w:val="both"/>
              <w:rPr>
                <w:rFonts w:ascii="Arial" w:hAnsi="Arial" w:cs="Arial"/>
                <w:b/>
              </w:rPr>
            </w:pPr>
            <w:r w:rsidRPr="00A7364B">
              <w:rPr>
                <w:rFonts w:ascii="Arial" w:hAnsi="Arial" w:cs="Arial"/>
                <w:b/>
              </w:rPr>
              <w:t>Z</w:t>
            </w:r>
            <w:r w:rsidR="00A90CDD" w:rsidRPr="00A7364B">
              <w:rPr>
                <w:rFonts w:ascii="Arial" w:hAnsi="Arial" w:cs="Arial"/>
                <w:b/>
              </w:rPr>
              <w:t>inc</w:t>
            </w:r>
          </w:p>
        </w:tc>
        <w:tc>
          <w:tcPr>
            <w:tcW w:w="1276" w:type="dxa"/>
            <w:tcBorders>
              <w:bottom w:val="single" w:sz="4" w:space="0" w:color="000000"/>
            </w:tcBorders>
            <w:vAlign w:val="center"/>
          </w:tcPr>
          <w:p w14:paraId="6BD0FB0C" w14:textId="77777777" w:rsidR="00A90CDD" w:rsidRPr="00A7364B" w:rsidRDefault="001C5797" w:rsidP="00ED3175">
            <w:pPr>
              <w:jc w:val="both"/>
              <w:rPr>
                <w:rFonts w:ascii="Arial" w:hAnsi="Arial" w:cs="Arial"/>
                <w:b/>
              </w:rPr>
            </w:pPr>
            <w:r w:rsidRPr="00A7364B">
              <w:rPr>
                <w:rFonts w:ascii="Arial" w:hAnsi="Arial" w:cs="Arial"/>
                <w:b/>
              </w:rPr>
              <w:t>M</w:t>
            </w:r>
            <w:r w:rsidR="00A90CDD" w:rsidRPr="00A7364B">
              <w:rPr>
                <w:rFonts w:ascii="Arial" w:hAnsi="Arial" w:cs="Arial"/>
                <w:b/>
              </w:rPr>
              <w:t>ercur</w:t>
            </w:r>
            <w:r w:rsidRPr="00A7364B">
              <w:rPr>
                <w:rFonts w:ascii="Arial" w:hAnsi="Arial" w:cs="Arial"/>
                <w:b/>
              </w:rPr>
              <w:t>y</w:t>
            </w:r>
          </w:p>
        </w:tc>
      </w:tr>
      <w:tr w:rsidR="00A90CDD" w:rsidRPr="00A7364B" w14:paraId="1CD4445F" w14:textId="77777777" w:rsidTr="001C5797">
        <w:trPr>
          <w:trHeight w:val="20"/>
        </w:trPr>
        <w:tc>
          <w:tcPr>
            <w:tcW w:w="2268" w:type="dxa"/>
            <w:gridSpan w:val="2"/>
            <w:tcBorders>
              <w:bottom w:val="nil"/>
            </w:tcBorders>
            <w:vAlign w:val="center"/>
          </w:tcPr>
          <w:p w14:paraId="53C4BC60" w14:textId="77777777" w:rsidR="00A90CDD" w:rsidRPr="00A7364B" w:rsidRDefault="00A90CDD" w:rsidP="00ED3175">
            <w:pPr>
              <w:jc w:val="both"/>
              <w:rPr>
                <w:rFonts w:ascii="Arial" w:hAnsi="Arial" w:cs="Arial"/>
                <w:b/>
              </w:rPr>
            </w:pPr>
            <w:r w:rsidRPr="00A7364B">
              <w:rPr>
                <w:rFonts w:ascii="Arial" w:hAnsi="Arial" w:cs="Arial"/>
                <w:b/>
              </w:rPr>
              <w:t>Tec</w:t>
            </w:r>
          </w:p>
        </w:tc>
        <w:tc>
          <w:tcPr>
            <w:tcW w:w="709" w:type="dxa"/>
            <w:tcBorders>
              <w:bottom w:val="nil"/>
            </w:tcBorders>
            <w:vAlign w:val="center"/>
          </w:tcPr>
          <w:p w14:paraId="3D7B820C" w14:textId="77777777" w:rsidR="00A90CDD" w:rsidRPr="00A7364B" w:rsidRDefault="00A90CDD" w:rsidP="00ED3175">
            <w:pPr>
              <w:jc w:val="both"/>
              <w:rPr>
                <w:rFonts w:ascii="Arial" w:hAnsi="Arial" w:cs="Arial"/>
              </w:rPr>
            </w:pPr>
            <w:r w:rsidRPr="00A7364B">
              <w:rPr>
                <w:rFonts w:ascii="Arial" w:hAnsi="Arial" w:cs="Arial"/>
              </w:rPr>
              <w:t>0</w:t>
            </w:r>
            <w:r w:rsidR="00B531B8" w:rsidRPr="00A7364B">
              <w:rPr>
                <w:rFonts w:ascii="Arial" w:hAnsi="Arial" w:cs="Arial"/>
              </w:rPr>
              <w:t>.</w:t>
            </w:r>
            <w:r w:rsidRPr="00A7364B">
              <w:rPr>
                <w:rFonts w:ascii="Arial" w:hAnsi="Arial" w:cs="Arial"/>
              </w:rPr>
              <w:t>99</w:t>
            </w:r>
          </w:p>
        </w:tc>
        <w:tc>
          <w:tcPr>
            <w:tcW w:w="992" w:type="dxa"/>
            <w:tcBorders>
              <w:bottom w:val="nil"/>
            </w:tcBorders>
            <w:vAlign w:val="center"/>
          </w:tcPr>
          <w:p w14:paraId="4638D1AA" w14:textId="77777777" w:rsidR="00A90CDD" w:rsidRPr="00A7364B" w:rsidRDefault="00A90CDD" w:rsidP="00ED3175">
            <w:pPr>
              <w:jc w:val="both"/>
              <w:rPr>
                <w:rFonts w:ascii="Arial" w:hAnsi="Arial" w:cs="Arial"/>
              </w:rPr>
            </w:pPr>
            <w:r w:rsidRPr="00A7364B">
              <w:rPr>
                <w:rFonts w:ascii="Arial" w:hAnsi="Arial" w:cs="Arial"/>
              </w:rPr>
              <w:t>36</w:t>
            </w:r>
          </w:p>
        </w:tc>
        <w:tc>
          <w:tcPr>
            <w:tcW w:w="1134" w:type="dxa"/>
            <w:tcBorders>
              <w:bottom w:val="nil"/>
            </w:tcBorders>
            <w:vAlign w:val="center"/>
          </w:tcPr>
          <w:p w14:paraId="0CD02F4B" w14:textId="77777777" w:rsidR="00A90CDD" w:rsidRPr="00A7364B" w:rsidRDefault="00A90CDD" w:rsidP="00ED3175">
            <w:pPr>
              <w:jc w:val="both"/>
              <w:rPr>
                <w:rFonts w:ascii="Arial" w:hAnsi="Arial" w:cs="Arial"/>
              </w:rPr>
            </w:pPr>
            <w:r w:rsidRPr="00A7364B">
              <w:rPr>
                <w:rFonts w:ascii="Arial" w:hAnsi="Arial" w:cs="Arial"/>
              </w:rPr>
              <w:t>9</w:t>
            </w:r>
            <w:r w:rsidR="00B531B8" w:rsidRPr="00A7364B">
              <w:rPr>
                <w:rFonts w:ascii="Arial" w:hAnsi="Arial" w:cs="Arial"/>
              </w:rPr>
              <w:t>.</w:t>
            </w:r>
            <w:r w:rsidRPr="00A7364B">
              <w:rPr>
                <w:rFonts w:ascii="Arial" w:hAnsi="Arial" w:cs="Arial"/>
              </w:rPr>
              <w:t>79</w:t>
            </w:r>
          </w:p>
        </w:tc>
        <w:tc>
          <w:tcPr>
            <w:tcW w:w="993" w:type="dxa"/>
            <w:tcBorders>
              <w:bottom w:val="nil"/>
            </w:tcBorders>
            <w:vAlign w:val="center"/>
          </w:tcPr>
          <w:p w14:paraId="29B2FD21" w14:textId="77777777" w:rsidR="00A90CDD" w:rsidRPr="00A7364B" w:rsidRDefault="00A90CDD" w:rsidP="00ED3175">
            <w:pPr>
              <w:jc w:val="both"/>
              <w:rPr>
                <w:rFonts w:ascii="Arial" w:hAnsi="Arial" w:cs="Arial"/>
              </w:rPr>
            </w:pPr>
            <w:r w:rsidRPr="00A7364B">
              <w:rPr>
                <w:rFonts w:ascii="Arial" w:hAnsi="Arial" w:cs="Arial"/>
              </w:rPr>
              <w:t>31</w:t>
            </w:r>
            <w:r w:rsidR="00B531B8" w:rsidRPr="00A7364B">
              <w:rPr>
                <w:rFonts w:ascii="Arial" w:hAnsi="Arial" w:cs="Arial"/>
              </w:rPr>
              <w:t>.</w:t>
            </w:r>
            <w:r w:rsidRPr="00A7364B">
              <w:rPr>
                <w:rFonts w:ascii="Arial" w:hAnsi="Arial" w:cs="Arial"/>
              </w:rPr>
              <w:t>6</w:t>
            </w:r>
          </w:p>
        </w:tc>
        <w:tc>
          <w:tcPr>
            <w:tcW w:w="850" w:type="dxa"/>
            <w:tcBorders>
              <w:bottom w:val="nil"/>
            </w:tcBorders>
            <w:vAlign w:val="center"/>
          </w:tcPr>
          <w:p w14:paraId="52A5AD42" w14:textId="77777777" w:rsidR="00A90CDD" w:rsidRPr="00A7364B" w:rsidRDefault="00A90CDD" w:rsidP="00ED3175">
            <w:pPr>
              <w:jc w:val="both"/>
              <w:rPr>
                <w:rFonts w:ascii="Arial" w:hAnsi="Arial" w:cs="Arial"/>
              </w:rPr>
            </w:pPr>
            <w:r w:rsidRPr="00A7364B">
              <w:rPr>
                <w:rFonts w:ascii="Arial" w:hAnsi="Arial" w:cs="Arial"/>
              </w:rPr>
              <w:t>121</w:t>
            </w:r>
          </w:p>
        </w:tc>
        <w:tc>
          <w:tcPr>
            <w:tcW w:w="1276" w:type="dxa"/>
            <w:tcBorders>
              <w:bottom w:val="nil"/>
            </w:tcBorders>
            <w:vAlign w:val="center"/>
          </w:tcPr>
          <w:p w14:paraId="38F4A7C0" w14:textId="77777777" w:rsidR="00A90CDD" w:rsidRPr="00A7364B" w:rsidRDefault="00A90CDD" w:rsidP="00ED3175">
            <w:pPr>
              <w:jc w:val="both"/>
              <w:rPr>
                <w:rFonts w:ascii="Arial" w:hAnsi="Arial" w:cs="Arial"/>
              </w:rPr>
            </w:pPr>
            <w:r w:rsidRPr="00A7364B">
              <w:rPr>
                <w:rFonts w:ascii="Arial" w:hAnsi="Arial" w:cs="Arial"/>
              </w:rPr>
              <w:t>0</w:t>
            </w:r>
            <w:r w:rsidR="00B531B8" w:rsidRPr="00A7364B">
              <w:rPr>
                <w:rFonts w:ascii="Arial" w:hAnsi="Arial" w:cs="Arial"/>
              </w:rPr>
              <w:t>.</w:t>
            </w:r>
            <w:r w:rsidRPr="00A7364B">
              <w:rPr>
                <w:rFonts w:ascii="Arial" w:hAnsi="Arial" w:cs="Arial"/>
              </w:rPr>
              <w:t>18</w:t>
            </w:r>
          </w:p>
        </w:tc>
      </w:tr>
      <w:tr w:rsidR="00A90CDD" w:rsidRPr="00A7364B" w14:paraId="7FDD942A" w14:textId="77777777" w:rsidTr="001C5797">
        <w:trPr>
          <w:trHeight w:val="20"/>
        </w:trPr>
        <w:tc>
          <w:tcPr>
            <w:tcW w:w="2268" w:type="dxa"/>
            <w:gridSpan w:val="2"/>
            <w:tcBorders>
              <w:top w:val="nil"/>
              <w:bottom w:val="nil"/>
            </w:tcBorders>
            <w:vAlign w:val="center"/>
          </w:tcPr>
          <w:p w14:paraId="164FBF44" w14:textId="77777777" w:rsidR="00A90CDD" w:rsidRPr="00A7364B" w:rsidRDefault="00A90CDD" w:rsidP="00ED3175">
            <w:pPr>
              <w:jc w:val="both"/>
              <w:rPr>
                <w:rFonts w:ascii="Arial" w:hAnsi="Arial" w:cs="Arial"/>
                <w:b/>
              </w:rPr>
            </w:pPr>
            <w:r w:rsidRPr="00A7364B">
              <w:rPr>
                <w:rFonts w:ascii="Arial" w:hAnsi="Arial" w:cs="Arial"/>
                <w:b/>
              </w:rPr>
              <w:t>Pec</w:t>
            </w:r>
          </w:p>
        </w:tc>
        <w:tc>
          <w:tcPr>
            <w:tcW w:w="709" w:type="dxa"/>
            <w:tcBorders>
              <w:top w:val="nil"/>
              <w:bottom w:val="nil"/>
            </w:tcBorders>
            <w:vAlign w:val="center"/>
          </w:tcPr>
          <w:p w14:paraId="0C694383" w14:textId="77777777" w:rsidR="00A90CDD" w:rsidRPr="00A7364B" w:rsidRDefault="00A90CDD" w:rsidP="00ED3175">
            <w:pPr>
              <w:jc w:val="both"/>
              <w:rPr>
                <w:rFonts w:ascii="Arial" w:hAnsi="Arial" w:cs="Arial"/>
              </w:rPr>
            </w:pPr>
            <w:r w:rsidRPr="00A7364B">
              <w:rPr>
                <w:rFonts w:ascii="Arial" w:hAnsi="Arial" w:cs="Arial"/>
              </w:rPr>
              <w:t>5</w:t>
            </w:r>
            <w:r w:rsidR="00B531B8" w:rsidRPr="00A7364B">
              <w:rPr>
                <w:rFonts w:ascii="Arial" w:hAnsi="Arial" w:cs="Arial"/>
              </w:rPr>
              <w:t>.</w:t>
            </w:r>
            <w:r w:rsidRPr="00A7364B">
              <w:rPr>
                <w:rFonts w:ascii="Arial" w:hAnsi="Arial" w:cs="Arial"/>
              </w:rPr>
              <w:t>0</w:t>
            </w:r>
          </w:p>
        </w:tc>
        <w:tc>
          <w:tcPr>
            <w:tcW w:w="992" w:type="dxa"/>
            <w:tcBorders>
              <w:top w:val="nil"/>
              <w:bottom w:val="nil"/>
            </w:tcBorders>
            <w:vAlign w:val="center"/>
          </w:tcPr>
          <w:p w14:paraId="3D4FA7B8" w14:textId="77777777" w:rsidR="00A90CDD" w:rsidRPr="00A7364B" w:rsidRDefault="00A90CDD" w:rsidP="00ED3175">
            <w:pPr>
              <w:jc w:val="both"/>
              <w:rPr>
                <w:rFonts w:ascii="Arial" w:hAnsi="Arial" w:cs="Arial"/>
              </w:rPr>
            </w:pPr>
            <w:r w:rsidRPr="00A7364B">
              <w:rPr>
                <w:rFonts w:ascii="Arial" w:hAnsi="Arial" w:cs="Arial"/>
              </w:rPr>
              <w:t>130</w:t>
            </w:r>
          </w:p>
        </w:tc>
        <w:tc>
          <w:tcPr>
            <w:tcW w:w="1134" w:type="dxa"/>
            <w:tcBorders>
              <w:top w:val="nil"/>
              <w:bottom w:val="nil"/>
            </w:tcBorders>
            <w:vAlign w:val="center"/>
          </w:tcPr>
          <w:p w14:paraId="33E22159" w14:textId="77777777" w:rsidR="00A90CDD" w:rsidRPr="00A7364B" w:rsidRDefault="00A90CDD" w:rsidP="00ED3175">
            <w:pPr>
              <w:jc w:val="both"/>
              <w:rPr>
                <w:rFonts w:ascii="Arial" w:hAnsi="Arial" w:cs="Arial"/>
              </w:rPr>
            </w:pPr>
            <w:r w:rsidRPr="00A7364B">
              <w:rPr>
                <w:rFonts w:ascii="Arial" w:hAnsi="Arial" w:cs="Arial"/>
              </w:rPr>
              <w:t>33</w:t>
            </w:r>
            <w:r w:rsidR="00B531B8" w:rsidRPr="00A7364B">
              <w:rPr>
                <w:rFonts w:ascii="Arial" w:hAnsi="Arial" w:cs="Arial"/>
              </w:rPr>
              <w:t>.</w:t>
            </w:r>
            <w:r w:rsidRPr="00A7364B">
              <w:rPr>
                <w:rFonts w:ascii="Arial" w:hAnsi="Arial" w:cs="Arial"/>
              </w:rPr>
              <w:t>0</w:t>
            </w:r>
          </w:p>
        </w:tc>
        <w:tc>
          <w:tcPr>
            <w:tcW w:w="993" w:type="dxa"/>
            <w:tcBorders>
              <w:top w:val="nil"/>
              <w:bottom w:val="nil"/>
            </w:tcBorders>
            <w:vAlign w:val="center"/>
          </w:tcPr>
          <w:p w14:paraId="05263591" w14:textId="77777777" w:rsidR="00A90CDD" w:rsidRPr="00A7364B" w:rsidRDefault="00A90CDD" w:rsidP="00ED3175">
            <w:pPr>
              <w:jc w:val="both"/>
              <w:rPr>
                <w:rFonts w:ascii="Arial" w:hAnsi="Arial" w:cs="Arial"/>
              </w:rPr>
            </w:pPr>
            <w:r w:rsidRPr="00A7364B">
              <w:rPr>
                <w:rFonts w:ascii="Arial" w:hAnsi="Arial" w:cs="Arial"/>
              </w:rPr>
              <w:t>149</w:t>
            </w:r>
          </w:p>
        </w:tc>
        <w:tc>
          <w:tcPr>
            <w:tcW w:w="850" w:type="dxa"/>
            <w:tcBorders>
              <w:top w:val="nil"/>
              <w:bottom w:val="nil"/>
            </w:tcBorders>
            <w:vAlign w:val="center"/>
          </w:tcPr>
          <w:p w14:paraId="25E1B42C" w14:textId="77777777" w:rsidR="00A90CDD" w:rsidRPr="00A7364B" w:rsidRDefault="00A90CDD" w:rsidP="00ED3175">
            <w:pPr>
              <w:jc w:val="both"/>
              <w:rPr>
                <w:rFonts w:ascii="Arial" w:hAnsi="Arial" w:cs="Arial"/>
              </w:rPr>
            </w:pPr>
            <w:r w:rsidRPr="00A7364B">
              <w:rPr>
                <w:rFonts w:ascii="Arial" w:hAnsi="Arial" w:cs="Arial"/>
              </w:rPr>
              <w:t>459</w:t>
            </w:r>
          </w:p>
        </w:tc>
        <w:tc>
          <w:tcPr>
            <w:tcW w:w="1276" w:type="dxa"/>
            <w:tcBorders>
              <w:top w:val="nil"/>
              <w:bottom w:val="nil"/>
            </w:tcBorders>
            <w:vAlign w:val="center"/>
          </w:tcPr>
          <w:p w14:paraId="5EC9D42C" w14:textId="77777777" w:rsidR="00A90CDD" w:rsidRPr="00A7364B" w:rsidRDefault="00A90CDD" w:rsidP="00ED3175">
            <w:pPr>
              <w:jc w:val="both"/>
              <w:rPr>
                <w:rFonts w:ascii="Arial" w:hAnsi="Arial" w:cs="Arial"/>
              </w:rPr>
            </w:pPr>
            <w:r w:rsidRPr="00A7364B">
              <w:rPr>
                <w:rFonts w:ascii="Arial" w:hAnsi="Arial" w:cs="Arial"/>
              </w:rPr>
              <w:t>1</w:t>
            </w:r>
            <w:r w:rsidR="00B531B8" w:rsidRPr="00A7364B">
              <w:rPr>
                <w:rFonts w:ascii="Arial" w:hAnsi="Arial" w:cs="Arial"/>
              </w:rPr>
              <w:t>.</w:t>
            </w:r>
            <w:r w:rsidRPr="00A7364B">
              <w:rPr>
                <w:rFonts w:ascii="Arial" w:hAnsi="Arial" w:cs="Arial"/>
              </w:rPr>
              <w:t>06</w:t>
            </w:r>
          </w:p>
        </w:tc>
      </w:tr>
      <w:tr w:rsidR="00A90CDD" w:rsidRPr="00A7364B" w14:paraId="73CFDF31" w14:textId="77777777" w:rsidTr="001C5797">
        <w:trPr>
          <w:trHeight w:val="20"/>
        </w:trPr>
        <w:tc>
          <w:tcPr>
            <w:tcW w:w="2268" w:type="dxa"/>
            <w:gridSpan w:val="2"/>
            <w:tcBorders>
              <w:top w:val="nil"/>
              <w:bottom w:val="nil"/>
            </w:tcBorders>
            <w:vAlign w:val="center"/>
          </w:tcPr>
          <w:p w14:paraId="728A1CF2" w14:textId="77777777" w:rsidR="00A90CDD" w:rsidRPr="00A7364B" w:rsidRDefault="00460120" w:rsidP="00ED3175">
            <w:pPr>
              <w:jc w:val="both"/>
              <w:rPr>
                <w:rFonts w:ascii="Arial" w:hAnsi="Arial" w:cs="Arial"/>
                <w:b/>
                <w:lang w:val="fr-CI"/>
              </w:rPr>
            </w:pPr>
            <w:r w:rsidRPr="00A7364B">
              <w:rPr>
                <w:rFonts w:ascii="Arial" w:hAnsi="Arial" w:cs="Arial"/>
                <w:b/>
                <w:lang w:val="fr-CI"/>
              </w:rPr>
              <w:t>% lower than the Tec</w:t>
            </w:r>
          </w:p>
        </w:tc>
        <w:tc>
          <w:tcPr>
            <w:tcW w:w="709" w:type="dxa"/>
            <w:tcBorders>
              <w:top w:val="nil"/>
              <w:bottom w:val="nil"/>
            </w:tcBorders>
            <w:vAlign w:val="center"/>
          </w:tcPr>
          <w:p w14:paraId="37855C56" w14:textId="77777777" w:rsidR="00A90CDD" w:rsidRPr="00A7364B" w:rsidRDefault="00A90CDD" w:rsidP="00ED3175">
            <w:pPr>
              <w:jc w:val="both"/>
              <w:rPr>
                <w:rFonts w:ascii="Arial" w:hAnsi="Arial" w:cs="Arial"/>
              </w:rPr>
            </w:pPr>
            <w:r w:rsidRPr="00A7364B">
              <w:rPr>
                <w:rFonts w:ascii="Arial" w:hAnsi="Arial" w:cs="Arial"/>
              </w:rPr>
              <w:t>100</w:t>
            </w:r>
          </w:p>
        </w:tc>
        <w:tc>
          <w:tcPr>
            <w:tcW w:w="992" w:type="dxa"/>
            <w:tcBorders>
              <w:top w:val="nil"/>
              <w:bottom w:val="nil"/>
            </w:tcBorders>
            <w:vAlign w:val="center"/>
          </w:tcPr>
          <w:p w14:paraId="123422CA" w14:textId="77777777" w:rsidR="00A90CDD" w:rsidRPr="00A7364B" w:rsidRDefault="00A90CDD" w:rsidP="00ED3175">
            <w:pPr>
              <w:jc w:val="both"/>
              <w:rPr>
                <w:rFonts w:ascii="Arial" w:hAnsi="Arial" w:cs="Arial"/>
              </w:rPr>
            </w:pPr>
            <w:r w:rsidRPr="00A7364B">
              <w:rPr>
                <w:rFonts w:ascii="Arial" w:hAnsi="Arial" w:cs="Arial"/>
              </w:rPr>
              <w:t>100</w:t>
            </w:r>
          </w:p>
        </w:tc>
        <w:tc>
          <w:tcPr>
            <w:tcW w:w="1134" w:type="dxa"/>
            <w:tcBorders>
              <w:top w:val="nil"/>
              <w:bottom w:val="nil"/>
            </w:tcBorders>
            <w:vAlign w:val="center"/>
          </w:tcPr>
          <w:p w14:paraId="75276729" w14:textId="77777777" w:rsidR="00A90CDD" w:rsidRPr="00A7364B" w:rsidRDefault="00A90CDD" w:rsidP="00ED3175">
            <w:pPr>
              <w:jc w:val="both"/>
              <w:rPr>
                <w:rFonts w:ascii="Arial" w:hAnsi="Arial" w:cs="Arial"/>
              </w:rPr>
            </w:pPr>
            <w:r w:rsidRPr="00A7364B">
              <w:rPr>
                <w:rFonts w:ascii="Arial" w:hAnsi="Arial" w:cs="Arial"/>
              </w:rPr>
              <w:t>100</w:t>
            </w:r>
          </w:p>
        </w:tc>
        <w:tc>
          <w:tcPr>
            <w:tcW w:w="993" w:type="dxa"/>
            <w:tcBorders>
              <w:top w:val="nil"/>
              <w:bottom w:val="nil"/>
            </w:tcBorders>
            <w:vAlign w:val="center"/>
          </w:tcPr>
          <w:p w14:paraId="03AD908D" w14:textId="77777777" w:rsidR="00A90CDD" w:rsidRPr="00A7364B" w:rsidRDefault="00A90CDD" w:rsidP="00ED3175">
            <w:pPr>
              <w:jc w:val="both"/>
              <w:rPr>
                <w:rFonts w:ascii="Arial" w:hAnsi="Arial" w:cs="Arial"/>
              </w:rPr>
            </w:pPr>
            <w:r w:rsidRPr="00A7364B">
              <w:rPr>
                <w:rFonts w:ascii="Arial" w:hAnsi="Arial" w:cs="Arial"/>
              </w:rPr>
              <w:t>83</w:t>
            </w:r>
            <w:r w:rsidR="00B531B8" w:rsidRPr="00A7364B">
              <w:rPr>
                <w:rFonts w:ascii="Arial" w:hAnsi="Arial" w:cs="Arial"/>
              </w:rPr>
              <w:t>.</w:t>
            </w:r>
            <w:r w:rsidRPr="00A7364B">
              <w:rPr>
                <w:rFonts w:ascii="Arial" w:hAnsi="Arial" w:cs="Arial"/>
              </w:rPr>
              <w:t>33</w:t>
            </w:r>
          </w:p>
        </w:tc>
        <w:tc>
          <w:tcPr>
            <w:tcW w:w="850" w:type="dxa"/>
            <w:tcBorders>
              <w:top w:val="nil"/>
              <w:bottom w:val="nil"/>
            </w:tcBorders>
            <w:vAlign w:val="center"/>
          </w:tcPr>
          <w:p w14:paraId="348F200E" w14:textId="77777777" w:rsidR="00A90CDD" w:rsidRPr="00A7364B" w:rsidRDefault="00A90CDD" w:rsidP="00ED3175">
            <w:pPr>
              <w:jc w:val="both"/>
              <w:rPr>
                <w:rFonts w:ascii="Arial" w:hAnsi="Arial" w:cs="Arial"/>
              </w:rPr>
            </w:pPr>
            <w:r w:rsidRPr="00A7364B">
              <w:rPr>
                <w:rFonts w:ascii="Arial" w:hAnsi="Arial" w:cs="Arial"/>
              </w:rPr>
              <w:t>83</w:t>
            </w:r>
            <w:r w:rsidR="00B531B8" w:rsidRPr="00A7364B">
              <w:rPr>
                <w:rFonts w:ascii="Arial" w:hAnsi="Arial" w:cs="Arial"/>
              </w:rPr>
              <w:t>.</w:t>
            </w:r>
            <w:r w:rsidRPr="00A7364B">
              <w:rPr>
                <w:rFonts w:ascii="Arial" w:hAnsi="Arial" w:cs="Arial"/>
              </w:rPr>
              <w:t>33</w:t>
            </w:r>
          </w:p>
        </w:tc>
        <w:tc>
          <w:tcPr>
            <w:tcW w:w="1276" w:type="dxa"/>
            <w:tcBorders>
              <w:top w:val="nil"/>
              <w:bottom w:val="nil"/>
            </w:tcBorders>
            <w:vAlign w:val="center"/>
          </w:tcPr>
          <w:p w14:paraId="71CD80B7" w14:textId="77777777" w:rsidR="00A90CDD" w:rsidRPr="00A7364B" w:rsidRDefault="00A90CDD" w:rsidP="00ED3175">
            <w:pPr>
              <w:jc w:val="both"/>
              <w:rPr>
                <w:rFonts w:ascii="Arial" w:hAnsi="Arial" w:cs="Arial"/>
              </w:rPr>
            </w:pPr>
            <w:r w:rsidRPr="00A7364B">
              <w:rPr>
                <w:rFonts w:ascii="Arial" w:hAnsi="Arial" w:cs="Arial"/>
              </w:rPr>
              <w:t>100</w:t>
            </w:r>
          </w:p>
        </w:tc>
      </w:tr>
      <w:tr w:rsidR="00A90CDD" w:rsidRPr="00A7364B" w14:paraId="43BEDA0B" w14:textId="77777777" w:rsidTr="001C5797">
        <w:trPr>
          <w:trHeight w:val="20"/>
        </w:trPr>
        <w:tc>
          <w:tcPr>
            <w:tcW w:w="2268" w:type="dxa"/>
            <w:gridSpan w:val="2"/>
            <w:tcBorders>
              <w:top w:val="nil"/>
            </w:tcBorders>
            <w:vAlign w:val="center"/>
          </w:tcPr>
          <w:p w14:paraId="08B25E9A" w14:textId="77777777" w:rsidR="00A90CDD" w:rsidRPr="00A7364B" w:rsidRDefault="00460120" w:rsidP="00ED3175">
            <w:pPr>
              <w:jc w:val="both"/>
              <w:rPr>
                <w:rFonts w:ascii="Arial" w:hAnsi="Arial" w:cs="Arial"/>
                <w:b/>
                <w:lang w:val="fr-CI"/>
              </w:rPr>
            </w:pPr>
            <w:r w:rsidRPr="00A7364B">
              <w:rPr>
                <w:rFonts w:ascii="Arial" w:hAnsi="Arial" w:cs="Arial"/>
                <w:b/>
                <w:lang w:val="fr-CI"/>
              </w:rPr>
              <w:lastRenderedPageBreak/>
              <w:t>% higher than the Pec</w:t>
            </w:r>
          </w:p>
        </w:tc>
        <w:tc>
          <w:tcPr>
            <w:tcW w:w="709" w:type="dxa"/>
            <w:tcBorders>
              <w:top w:val="nil"/>
            </w:tcBorders>
            <w:vAlign w:val="center"/>
          </w:tcPr>
          <w:p w14:paraId="3DE400E7" w14:textId="77777777" w:rsidR="00A90CDD" w:rsidRPr="00A7364B" w:rsidRDefault="00A90CDD" w:rsidP="00ED3175">
            <w:pPr>
              <w:jc w:val="both"/>
              <w:rPr>
                <w:rFonts w:ascii="Arial" w:hAnsi="Arial" w:cs="Arial"/>
              </w:rPr>
            </w:pPr>
            <w:r w:rsidRPr="00A7364B">
              <w:rPr>
                <w:rFonts w:ascii="Arial" w:hAnsi="Arial" w:cs="Arial"/>
              </w:rPr>
              <w:t>0</w:t>
            </w:r>
          </w:p>
        </w:tc>
        <w:tc>
          <w:tcPr>
            <w:tcW w:w="992" w:type="dxa"/>
            <w:tcBorders>
              <w:top w:val="nil"/>
            </w:tcBorders>
            <w:vAlign w:val="center"/>
          </w:tcPr>
          <w:p w14:paraId="6F037847" w14:textId="77777777" w:rsidR="00A90CDD" w:rsidRPr="00A7364B" w:rsidRDefault="00A90CDD" w:rsidP="00ED3175">
            <w:pPr>
              <w:jc w:val="both"/>
              <w:rPr>
                <w:rFonts w:ascii="Arial" w:hAnsi="Arial" w:cs="Arial"/>
              </w:rPr>
            </w:pPr>
            <w:r w:rsidRPr="00A7364B">
              <w:rPr>
                <w:rFonts w:ascii="Arial" w:hAnsi="Arial" w:cs="Arial"/>
              </w:rPr>
              <w:t>0</w:t>
            </w:r>
          </w:p>
        </w:tc>
        <w:tc>
          <w:tcPr>
            <w:tcW w:w="1134" w:type="dxa"/>
            <w:tcBorders>
              <w:top w:val="nil"/>
            </w:tcBorders>
            <w:vAlign w:val="center"/>
          </w:tcPr>
          <w:p w14:paraId="732A3E3E" w14:textId="77777777" w:rsidR="00A90CDD" w:rsidRPr="00A7364B" w:rsidRDefault="00A90CDD" w:rsidP="00ED3175">
            <w:pPr>
              <w:jc w:val="both"/>
              <w:rPr>
                <w:rFonts w:ascii="Arial" w:hAnsi="Arial" w:cs="Arial"/>
              </w:rPr>
            </w:pPr>
            <w:r w:rsidRPr="00A7364B">
              <w:rPr>
                <w:rFonts w:ascii="Arial" w:hAnsi="Arial" w:cs="Arial"/>
              </w:rPr>
              <w:t>0</w:t>
            </w:r>
          </w:p>
        </w:tc>
        <w:tc>
          <w:tcPr>
            <w:tcW w:w="993" w:type="dxa"/>
            <w:tcBorders>
              <w:top w:val="nil"/>
            </w:tcBorders>
            <w:vAlign w:val="center"/>
          </w:tcPr>
          <w:p w14:paraId="36A2B381" w14:textId="77777777" w:rsidR="00A90CDD" w:rsidRPr="00A7364B" w:rsidRDefault="00A90CDD" w:rsidP="00ED3175">
            <w:pPr>
              <w:jc w:val="both"/>
              <w:rPr>
                <w:rFonts w:ascii="Arial" w:hAnsi="Arial" w:cs="Arial"/>
              </w:rPr>
            </w:pPr>
            <w:r w:rsidRPr="00A7364B">
              <w:rPr>
                <w:rFonts w:ascii="Arial" w:hAnsi="Arial" w:cs="Arial"/>
              </w:rPr>
              <w:t>16</w:t>
            </w:r>
            <w:r w:rsidR="00B531B8" w:rsidRPr="00A7364B">
              <w:rPr>
                <w:rFonts w:ascii="Arial" w:hAnsi="Arial" w:cs="Arial"/>
              </w:rPr>
              <w:t>.</w:t>
            </w:r>
            <w:r w:rsidRPr="00A7364B">
              <w:rPr>
                <w:rFonts w:ascii="Arial" w:hAnsi="Arial" w:cs="Arial"/>
              </w:rPr>
              <w:t>67</w:t>
            </w:r>
          </w:p>
        </w:tc>
        <w:tc>
          <w:tcPr>
            <w:tcW w:w="850" w:type="dxa"/>
            <w:tcBorders>
              <w:top w:val="nil"/>
            </w:tcBorders>
            <w:vAlign w:val="center"/>
          </w:tcPr>
          <w:p w14:paraId="1ACD33C2" w14:textId="77777777" w:rsidR="00A90CDD" w:rsidRPr="00A7364B" w:rsidRDefault="00A90CDD" w:rsidP="00ED3175">
            <w:pPr>
              <w:jc w:val="both"/>
              <w:rPr>
                <w:rFonts w:ascii="Arial" w:hAnsi="Arial" w:cs="Arial"/>
              </w:rPr>
            </w:pPr>
            <w:r w:rsidRPr="00A7364B">
              <w:rPr>
                <w:rFonts w:ascii="Arial" w:hAnsi="Arial" w:cs="Arial"/>
              </w:rPr>
              <w:t>16</w:t>
            </w:r>
            <w:r w:rsidR="00B531B8" w:rsidRPr="00A7364B">
              <w:rPr>
                <w:rFonts w:ascii="Arial" w:hAnsi="Arial" w:cs="Arial"/>
              </w:rPr>
              <w:t>.</w:t>
            </w:r>
            <w:r w:rsidRPr="00A7364B">
              <w:rPr>
                <w:rFonts w:ascii="Arial" w:hAnsi="Arial" w:cs="Arial"/>
              </w:rPr>
              <w:t>67</w:t>
            </w:r>
          </w:p>
        </w:tc>
        <w:tc>
          <w:tcPr>
            <w:tcW w:w="1276" w:type="dxa"/>
            <w:tcBorders>
              <w:top w:val="nil"/>
            </w:tcBorders>
            <w:vAlign w:val="center"/>
          </w:tcPr>
          <w:p w14:paraId="4D474F6D" w14:textId="77777777" w:rsidR="00A90CDD" w:rsidRPr="00A7364B" w:rsidRDefault="00A90CDD" w:rsidP="00ED3175">
            <w:pPr>
              <w:jc w:val="both"/>
              <w:rPr>
                <w:rFonts w:ascii="Arial" w:hAnsi="Arial" w:cs="Arial"/>
              </w:rPr>
            </w:pPr>
            <w:r w:rsidRPr="00A7364B">
              <w:rPr>
                <w:rFonts w:ascii="Arial" w:hAnsi="Arial" w:cs="Arial"/>
              </w:rPr>
              <w:t>0</w:t>
            </w:r>
          </w:p>
        </w:tc>
      </w:tr>
    </w:tbl>
    <w:p w14:paraId="0BBFC2D9" w14:textId="77777777" w:rsidR="00A21449" w:rsidRPr="00A7364B" w:rsidRDefault="00A21449" w:rsidP="00ED3175">
      <w:pPr>
        <w:jc w:val="both"/>
        <w:rPr>
          <w:rFonts w:ascii="Arial" w:hAnsi="Arial" w:cs="Arial"/>
          <w:sz w:val="20"/>
          <w:szCs w:val="20"/>
          <w:lang w:val="en-US"/>
        </w:rPr>
      </w:pPr>
    </w:p>
    <w:p w14:paraId="56A2B30E" w14:textId="77777777" w:rsidR="00A21449" w:rsidRPr="00A7364B" w:rsidRDefault="001C5797" w:rsidP="00ED3175">
      <w:pPr>
        <w:jc w:val="both"/>
        <w:rPr>
          <w:rFonts w:ascii="Arial" w:hAnsi="Arial" w:cs="Arial"/>
          <w:sz w:val="20"/>
          <w:szCs w:val="20"/>
          <w:lang w:val="en-US"/>
        </w:rPr>
      </w:pPr>
      <w:r w:rsidRPr="00A7364B">
        <w:rPr>
          <w:rFonts w:ascii="Arial" w:hAnsi="Arial" w:cs="Arial"/>
          <w:sz w:val="20"/>
          <w:szCs w:val="20"/>
          <w:lang w:val="en-US"/>
        </w:rPr>
        <w:t>Cadmium Lead Arsenic Copper Zinc Mercury</w:t>
      </w:r>
    </w:p>
    <w:p w14:paraId="3ABC1114" w14:textId="77777777" w:rsidR="00A21449" w:rsidRPr="00A7364B" w:rsidRDefault="00A21449" w:rsidP="00ED3175">
      <w:pPr>
        <w:jc w:val="both"/>
        <w:rPr>
          <w:rFonts w:ascii="Arial" w:hAnsi="Arial" w:cs="Arial"/>
          <w:sz w:val="20"/>
          <w:szCs w:val="20"/>
          <w:lang w:val="en-US"/>
        </w:rPr>
      </w:pPr>
    </w:p>
    <w:p w14:paraId="5BE802CE" w14:textId="77777777" w:rsidR="00A21449" w:rsidRPr="00A7364B" w:rsidRDefault="00D35875" w:rsidP="00ED3175">
      <w:pPr>
        <w:jc w:val="both"/>
        <w:rPr>
          <w:rFonts w:ascii="Arial" w:hAnsi="Arial" w:cs="Arial"/>
          <w:sz w:val="20"/>
          <w:szCs w:val="20"/>
          <w:lang w:val="en-US"/>
        </w:rPr>
      </w:pPr>
      <w:r w:rsidRPr="00A7364B">
        <w:rPr>
          <w:rFonts w:ascii="Arial" w:hAnsi="Arial" w:cs="Arial"/>
          <w:noProof/>
          <w:sz w:val="20"/>
          <w:szCs w:val="20"/>
          <w:lang w:eastAsia="fr-FR"/>
        </w:rPr>
        <w:drawing>
          <wp:inline distT="0" distB="0" distL="0" distR="0" wp14:anchorId="7FC92486" wp14:editId="5570C387">
            <wp:extent cx="4746307" cy="2585085"/>
            <wp:effectExtent l="0" t="0" r="16510" b="5715"/>
            <wp:docPr id="616" name="Graphique 616">
              <a:extLst xmlns:a="http://schemas.openxmlformats.org/drawingml/2006/main">
                <a:ext uri="{FF2B5EF4-FFF2-40B4-BE49-F238E27FC236}">
                  <a16:creationId xmlns:a16="http://schemas.microsoft.com/office/drawing/2014/main" id="{86BACBD0-0BD0-4729-B949-7D71D2603C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EC0912B" w14:textId="77777777" w:rsidR="00B43D92" w:rsidRPr="00A7364B" w:rsidRDefault="00D35875" w:rsidP="00ED3175">
      <w:pPr>
        <w:jc w:val="both"/>
        <w:rPr>
          <w:rFonts w:ascii="Arial" w:hAnsi="Arial" w:cs="Arial"/>
          <w:sz w:val="20"/>
          <w:szCs w:val="20"/>
          <w:lang w:val="en-US"/>
        </w:rPr>
        <w:sectPr w:rsidR="00B43D92" w:rsidRPr="00A7364B">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20" w:footer="720" w:gutter="0"/>
          <w:cols w:space="720"/>
        </w:sectPr>
      </w:pPr>
      <w:r w:rsidRPr="00A7364B">
        <w:rPr>
          <w:rFonts w:ascii="Arial" w:hAnsi="Arial" w:cs="Arial"/>
          <w:b/>
          <w:bCs/>
          <w:sz w:val="20"/>
          <w:szCs w:val="20"/>
          <w:lang w:val="en-US"/>
        </w:rPr>
        <w:t xml:space="preserve">Figure </w:t>
      </w:r>
      <w:r w:rsidR="00F70F95" w:rsidRPr="00A7364B">
        <w:rPr>
          <w:rFonts w:ascii="Arial" w:hAnsi="Arial" w:cs="Arial"/>
          <w:b/>
          <w:bCs/>
          <w:sz w:val="20"/>
          <w:szCs w:val="20"/>
          <w:lang w:val="en-US"/>
        </w:rPr>
        <w:t>3</w:t>
      </w:r>
      <w:r w:rsidRPr="00A7364B">
        <w:rPr>
          <w:rFonts w:ascii="Arial" w:hAnsi="Arial" w:cs="Arial"/>
          <w:b/>
          <w:bCs/>
          <w:sz w:val="20"/>
          <w:szCs w:val="20"/>
          <w:lang w:val="en-US"/>
        </w:rPr>
        <w:t>:</w:t>
      </w:r>
      <w:r w:rsidRPr="00A7364B">
        <w:rPr>
          <w:rFonts w:ascii="Arial" w:hAnsi="Arial" w:cs="Arial"/>
          <w:sz w:val="20"/>
          <w:szCs w:val="20"/>
          <w:lang w:val="en-US"/>
        </w:rPr>
        <w:t xml:space="preserve"> Copper concentrations in sediments compared to biological effect guideline values (TEC and PEC)</w:t>
      </w:r>
    </w:p>
    <w:p w14:paraId="6C8E13E2" w14:textId="77777777" w:rsidR="00D35875" w:rsidRPr="00A7364B" w:rsidRDefault="00D35875" w:rsidP="00ED3175">
      <w:pPr>
        <w:jc w:val="both"/>
        <w:rPr>
          <w:rFonts w:ascii="Arial" w:hAnsi="Arial" w:cs="Arial"/>
          <w:sz w:val="20"/>
          <w:szCs w:val="20"/>
          <w:lang w:val="en-US"/>
        </w:rPr>
      </w:pPr>
    </w:p>
    <w:p w14:paraId="219DA948" w14:textId="77777777" w:rsidR="002917A4" w:rsidRPr="00A7364B" w:rsidRDefault="002917A4" w:rsidP="00ED3175">
      <w:pPr>
        <w:jc w:val="both"/>
        <w:rPr>
          <w:rFonts w:ascii="Arial" w:hAnsi="Arial" w:cs="Arial"/>
          <w:sz w:val="20"/>
          <w:szCs w:val="20"/>
          <w:lang w:val="en-US"/>
        </w:rPr>
      </w:pPr>
      <w:r w:rsidRPr="00A7364B">
        <w:rPr>
          <w:rFonts w:ascii="Arial" w:hAnsi="Arial" w:cs="Arial"/>
          <w:noProof/>
          <w:sz w:val="20"/>
          <w:szCs w:val="20"/>
          <w:lang w:eastAsia="fr-FR"/>
        </w:rPr>
        <mc:AlternateContent>
          <mc:Choice Requires="wps">
            <w:drawing>
              <wp:inline distT="0" distB="0" distL="0" distR="0" wp14:anchorId="48F3740F" wp14:editId="6A3AB264">
                <wp:extent cx="8839200" cy="4876800"/>
                <wp:effectExtent l="0" t="0" r="19050" b="19050"/>
                <wp:docPr id="243902715"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0" cy="487680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14:paraId="492106F7" w14:textId="77777777" w:rsidR="002917A4" w:rsidRDefault="002917A4" w:rsidP="002917A4">
                            <w:pPr>
                              <w:rPr>
                                <w:noProof/>
                                <w:lang w:eastAsia="fr-FR"/>
                              </w:rPr>
                            </w:pPr>
                            <w:r w:rsidRPr="009A6BBC">
                              <w:rPr>
                                <w:noProof/>
                                <w:lang w:eastAsia="fr-FR"/>
                              </w:rPr>
                              <w:drawing>
                                <wp:inline distT="0" distB="0" distL="0" distR="0" wp14:anchorId="5C9A3A81" wp14:editId="7CA9DC1F">
                                  <wp:extent cx="4086970" cy="2218414"/>
                                  <wp:effectExtent l="0" t="0" r="8890" b="10795"/>
                                  <wp:docPr id="1750667983" name="Graphique 1750667983">
                                    <a:extLst xmlns:a="http://schemas.openxmlformats.org/drawingml/2006/main">
                                      <a:ext uri="{FF2B5EF4-FFF2-40B4-BE49-F238E27FC236}">
                                        <a16:creationId xmlns:a16="http://schemas.microsoft.com/office/drawing/2014/main" id="{57C6A3CE-F2C1-4AF3-B8C9-81528C1B5D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lang w:eastAsia="fr-FR"/>
                              </w:rPr>
                              <w:t xml:space="preserve">              </w:t>
                            </w:r>
                            <w:r w:rsidRPr="009A6BBC">
                              <w:rPr>
                                <w:noProof/>
                                <w:lang w:eastAsia="fr-FR"/>
                              </w:rPr>
                              <w:drawing>
                                <wp:inline distT="0" distB="0" distL="0" distR="0" wp14:anchorId="1573611B" wp14:editId="47553581">
                                  <wp:extent cx="4007099" cy="2130949"/>
                                  <wp:effectExtent l="0" t="0" r="12700" b="3175"/>
                                  <wp:docPr id="1569468702" name="Graphique 1569468702">
                                    <a:extLst xmlns:a="http://schemas.openxmlformats.org/drawingml/2006/main">
                                      <a:ext uri="{FF2B5EF4-FFF2-40B4-BE49-F238E27FC236}">
                                        <a16:creationId xmlns:a16="http://schemas.microsoft.com/office/drawing/2014/main" id="{D4319369-722B-4961-95CA-CAAC193916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3150308" w14:textId="77777777" w:rsidR="002917A4" w:rsidRDefault="002917A4" w:rsidP="002917A4">
                            <w:r>
                              <w:t xml:space="preserve"> </w:t>
                            </w:r>
                            <w:r w:rsidRPr="009A6BBC">
                              <w:rPr>
                                <w:noProof/>
                                <w:lang w:eastAsia="fr-FR"/>
                              </w:rPr>
                              <w:drawing>
                                <wp:inline distT="0" distB="0" distL="0" distR="0" wp14:anchorId="55DA3EBA" wp14:editId="30A55511">
                                  <wp:extent cx="3951798" cy="2218414"/>
                                  <wp:effectExtent l="0" t="0" r="0" b="0"/>
                                  <wp:docPr id="186728246" name="Graphique 186728246">
                                    <a:extLst xmlns:a="http://schemas.openxmlformats.org/drawingml/2006/main">
                                      <a:ext uri="{FF2B5EF4-FFF2-40B4-BE49-F238E27FC236}">
                                        <a16:creationId xmlns:a16="http://schemas.microsoft.com/office/drawing/2014/main" id="{E3ED9F5A-E4A1-42E9-8641-49369C3F7E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t xml:space="preserve">                 </w:t>
                            </w:r>
                            <w:r w:rsidRPr="009A6BBC">
                              <w:rPr>
                                <w:noProof/>
                                <w:lang w:eastAsia="fr-FR"/>
                              </w:rPr>
                              <w:drawing>
                                <wp:inline distT="0" distB="0" distL="0" distR="0" wp14:anchorId="51BD2B71" wp14:editId="613865B7">
                                  <wp:extent cx="4023222" cy="2289976"/>
                                  <wp:effectExtent l="0" t="0" r="0" b="0"/>
                                  <wp:docPr id="2065528751" name="Graphique 2065528751">
                                    <a:extLst xmlns:a="http://schemas.openxmlformats.org/drawingml/2006/main">
                                      <a:ext uri="{FF2B5EF4-FFF2-40B4-BE49-F238E27FC236}">
                                        <a16:creationId xmlns:a16="http://schemas.microsoft.com/office/drawing/2014/main" id="{AE97D339-7148-4DE3-844D-6693B08046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xbxContent>
                      </wps:txbx>
                      <wps:bodyPr rot="0" vert="horz" wrap="square" lIns="91440" tIns="45720" rIns="91440" bIns="45720" anchor="t" anchorCtr="0" upright="1">
                        <a:noAutofit/>
                      </wps:bodyPr>
                    </wps:wsp>
                  </a:graphicData>
                </a:graphic>
              </wp:inline>
            </w:drawing>
          </mc:Choice>
          <mc:Fallback>
            <w:pict>
              <v:shape w14:anchorId="48F3740F" id="Zone de texte 10" o:spid="_x0000_s1027" type="#_x0000_t202" style="width:696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" fillcolor="white [3201]" strokecolor="black [3213]" strokeweight="1pt">
                <v:textbox>
                  <w:txbxContent>
                    <w:p w14:paraId="492106F7" w14:textId="77777777" w:rsidR="002917A4" w:rsidRDefault="002917A4" w:rsidP="002917A4">
                      <w:pPr>
                        <w:rPr>
                          <w:noProof/>
                          <w:lang w:eastAsia="fr-FR"/>
                        </w:rPr>
                      </w:pPr>
                      <w:r w:rsidRPr="009A6BBC">
                        <w:rPr>
                          <w:noProof/>
                          <w:lang w:eastAsia="fr-FR"/>
                        </w:rPr>
                        <w:drawing>
                          <wp:inline distT="0" distB="0" distL="0" distR="0" wp14:anchorId="5C9A3A81" wp14:editId="7CA9DC1F">
                            <wp:extent cx="4086970" cy="2218414"/>
                            <wp:effectExtent l="0" t="0" r="8890" b="10795"/>
                            <wp:docPr id="1750667983" name="Graphique 1750667983">
                              <a:extLst xmlns:a="http://schemas.openxmlformats.org/drawingml/2006/main">
                                <a:ext uri="{FF2B5EF4-FFF2-40B4-BE49-F238E27FC236}">
                                  <a16:creationId xmlns:a16="http://schemas.microsoft.com/office/drawing/2014/main" id="{57C6A3CE-F2C1-4AF3-B8C9-81528C1B5D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lang w:eastAsia="fr-FR"/>
                        </w:rPr>
                        <w:t xml:space="preserve">              </w:t>
                      </w:r>
                      <w:r w:rsidRPr="009A6BBC">
                        <w:rPr>
                          <w:noProof/>
                          <w:lang w:eastAsia="fr-FR"/>
                        </w:rPr>
                        <w:drawing>
                          <wp:inline distT="0" distB="0" distL="0" distR="0" wp14:anchorId="1573611B" wp14:editId="47553581">
                            <wp:extent cx="4007099" cy="2130949"/>
                            <wp:effectExtent l="0" t="0" r="12700" b="3175"/>
                            <wp:docPr id="1569468702" name="Graphique 1569468702">
                              <a:extLst xmlns:a="http://schemas.openxmlformats.org/drawingml/2006/main">
                                <a:ext uri="{FF2B5EF4-FFF2-40B4-BE49-F238E27FC236}">
                                  <a16:creationId xmlns:a16="http://schemas.microsoft.com/office/drawing/2014/main" id="{D4319369-722B-4961-95CA-CAAC193916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3150308" w14:textId="77777777" w:rsidR="002917A4" w:rsidRDefault="002917A4" w:rsidP="002917A4">
                      <w:r>
                        <w:t xml:space="preserve"> </w:t>
                      </w:r>
                      <w:r w:rsidRPr="009A6BBC">
                        <w:rPr>
                          <w:noProof/>
                          <w:lang w:eastAsia="fr-FR"/>
                        </w:rPr>
                        <w:drawing>
                          <wp:inline distT="0" distB="0" distL="0" distR="0" wp14:anchorId="55DA3EBA" wp14:editId="30A55511">
                            <wp:extent cx="3951798" cy="2218414"/>
                            <wp:effectExtent l="0" t="0" r="0" b="0"/>
                            <wp:docPr id="186728246" name="Graphique 186728246">
                              <a:extLst xmlns:a="http://schemas.openxmlformats.org/drawingml/2006/main">
                                <a:ext uri="{FF2B5EF4-FFF2-40B4-BE49-F238E27FC236}">
                                  <a16:creationId xmlns:a16="http://schemas.microsoft.com/office/drawing/2014/main" id="{E3ED9F5A-E4A1-42E9-8641-49369C3F7E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t xml:space="preserve">                 </w:t>
                      </w:r>
                      <w:r w:rsidRPr="009A6BBC">
                        <w:rPr>
                          <w:noProof/>
                          <w:lang w:eastAsia="fr-FR"/>
                        </w:rPr>
                        <w:drawing>
                          <wp:inline distT="0" distB="0" distL="0" distR="0" wp14:anchorId="51BD2B71" wp14:editId="613865B7">
                            <wp:extent cx="4023222" cy="2289976"/>
                            <wp:effectExtent l="0" t="0" r="0" b="0"/>
                            <wp:docPr id="2065528751" name="Graphique 2065528751">
                              <a:extLst xmlns:a="http://schemas.openxmlformats.org/drawingml/2006/main">
                                <a:ext uri="{FF2B5EF4-FFF2-40B4-BE49-F238E27FC236}">
                                  <a16:creationId xmlns:a16="http://schemas.microsoft.com/office/drawing/2014/main" id="{AE97D339-7148-4DE3-844D-6693B08046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xbxContent>
                </v:textbox>
                <w10:anchorlock/>
              </v:shape>
            </w:pict>
          </mc:Fallback>
        </mc:AlternateContent>
      </w:r>
    </w:p>
    <w:p w14:paraId="38740374" w14:textId="77777777" w:rsidR="0019456B" w:rsidRPr="00A7364B" w:rsidRDefault="0019456B" w:rsidP="00ED3175">
      <w:pPr>
        <w:jc w:val="both"/>
        <w:rPr>
          <w:rFonts w:ascii="Arial" w:hAnsi="Arial" w:cs="Arial"/>
          <w:sz w:val="20"/>
          <w:szCs w:val="20"/>
          <w:lang w:val="en-US"/>
        </w:rPr>
      </w:pPr>
    </w:p>
    <w:p w14:paraId="55B539E1" w14:textId="77777777" w:rsidR="0019456B" w:rsidRPr="00A7364B" w:rsidRDefault="0019456B" w:rsidP="00ED3175">
      <w:pPr>
        <w:jc w:val="both"/>
        <w:rPr>
          <w:rFonts w:ascii="Arial" w:hAnsi="Arial" w:cs="Arial"/>
          <w:sz w:val="20"/>
          <w:szCs w:val="20"/>
          <w:lang w:val="en-US"/>
        </w:rPr>
      </w:pPr>
      <w:r w:rsidRPr="00A7364B">
        <w:rPr>
          <w:rFonts w:ascii="Arial" w:hAnsi="Arial" w:cs="Arial"/>
          <w:b/>
          <w:bCs/>
          <w:sz w:val="20"/>
          <w:szCs w:val="20"/>
          <w:lang w:val="en-US"/>
        </w:rPr>
        <w:t xml:space="preserve">Figure </w:t>
      </w:r>
      <w:r w:rsidR="00F70F95" w:rsidRPr="00A7364B">
        <w:rPr>
          <w:rFonts w:ascii="Arial" w:hAnsi="Arial" w:cs="Arial"/>
          <w:b/>
          <w:bCs/>
          <w:sz w:val="20"/>
          <w:szCs w:val="20"/>
          <w:lang w:val="en-US"/>
        </w:rPr>
        <w:t>4</w:t>
      </w:r>
      <w:r w:rsidRPr="00A7364B">
        <w:rPr>
          <w:rFonts w:ascii="Arial" w:hAnsi="Arial" w:cs="Arial"/>
          <w:b/>
          <w:bCs/>
          <w:sz w:val="20"/>
          <w:szCs w:val="20"/>
          <w:lang w:val="en-US"/>
        </w:rPr>
        <w:t>:</w:t>
      </w:r>
      <w:r w:rsidRPr="00A7364B">
        <w:rPr>
          <w:rFonts w:ascii="Arial" w:hAnsi="Arial" w:cs="Arial"/>
          <w:sz w:val="20"/>
          <w:szCs w:val="20"/>
          <w:lang w:val="en-US"/>
        </w:rPr>
        <w:t xml:space="preserve"> Concentrations of heavy metals (Hg, </w:t>
      </w:r>
      <w:r w:rsidR="001C5797" w:rsidRPr="00A7364B">
        <w:rPr>
          <w:rFonts w:ascii="Arial" w:hAnsi="Arial" w:cs="Arial"/>
          <w:sz w:val="20"/>
          <w:szCs w:val="20"/>
          <w:lang w:val="en-US"/>
        </w:rPr>
        <w:t>Ld</w:t>
      </w:r>
      <w:r w:rsidRPr="00A7364B">
        <w:rPr>
          <w:rFonts w:ascii="Arial" w:hAnsi="Arial" w:cs="Arial"/>
          <w:sz w:val="20"/>
          <w:szCs w:val="20"/>
          <w:lang w:val="en-US"/>
        </w:rPr>
        <w:t>, Zn, and As) in sediments compared to biological effect guideline values (TEC and PEC)</w:t>
      </w:r>
    </w:p>
    <w:p w14:paraId="247A442E" w14:textId="77777777" w:rsidR="0019456B" w:rsidRPr="00A7364B" w:rsidRDefault="0019456B" w:rsidP="00ED3175">
      <w:pPr>
        <w:jc w:val="both"/>
        <w:rPr>
          <w:rFonts w:ascii="Arial" w:hAnsi="Arial" w:cs="Arial"/>
          <w:sz w:val="20"/>
          <w:szCs w:val="20"/>
          <w:lang w:val="en-US"/>
        </w:rPr>
        <w:sectPr w:rsidR="0019456B" w:rsidRPr="00A7364B" w:rsidSect="00B43D92">
          <w:pgSz w:w="15840" w:h="12240" w:orient="landscape"/>
          <w:pgMar w:top="1417" w:right="1417" w:bottom="1417" w:left="1417" w:header="720" w:footer="720" w:gutter="0"/>
          <w:cols w:space="720"/>
          <w:docGrid w:linePitch="299"/>
        </w:sectPr>
      </w:pPr>
    </w:p>
    <w:p w14:paraId="01967194" w14:textId="77777777" w:rsidR="00FB5388" w:rsidRPr="00A7364B" w:rsidRDefault="00FB5388" w:rsidP="00ED3175">
      <w:pPr>
        <w:jc w:val="both"/>
        <w:rPr>
          <w:rFonts w:ascii="Arial" w:hAnsi="Arial" w:cs="Arial"/>
          <w:b/>
          <w:bCs/>
          <w:lang w:val="en-US"/>
        </w:rPr>
      </w:pPr>
      <w:r w:rsidRPr="00A7364B">
        <w:rPr>
          <w:rFonts w:ascii="Arial" w:hAnsi="Arial" w:cs="Arial"/>
          <w:b/>
          <w:bCs/>
          <w:lang w:val="en-US"/>
        </w:rPr>
        <w:lastRenderedPageBreak/>
        <w:t>3.3. Geochemical Study Findings</w:t>
      </w:r>
    </w:p>
    <w:p w14:paraId="038FFE94" w14:textId="77777777" w:rsidR="00FB5388" w:rsidRPr="00A7364B" w:rsidRDefault="00FB5388" w:rsidP="00ED3175">
      <w:pPr>
        <w:jc w:val="both"/>
        <w:rPr>
          <w:rFonts w:ascii="Arial" w:hAnsi="Arial" w:cs="Arial"/>
          <w:b/>
          <w:bCs/>
          <w:sz w:val="20"/>
          <w:szCs w:val="20"/>
          <w:lang w:val="en-US"/>
        </w:rPr>
      </w:pPr>
      <w:r w:rsidRPr="00A7364B">
        <w:rPr>
          <w:rFonts w:ascii="Arial" w:hAnsi="Arial" w:cs="Arial"/>
          <w:b/>
          <w:bCs/>
          <w:sz w:val="20"/>
          <w:szCs w:val="20"/>
          <w:lang w:val="en-US"/>
        </w:rPr>
        <w:t>3.3.1. Trace Metal Concentrations</w:t>
      </w:r>
    </w:p>
    <w:p w14:paraId="46263601" w14:textId="77777777" w:rsidR="00FB5388" w:rsidRPr="00A7364B" w:rsidRDefault="00FB5388" w:rsidP="00ED3175">
      <w:pPr>
        <w:jc w:val="both"/>
        <w:rPr>
          <w:rFonts w:ascii="Arial" w:hAnsi="Arial" w:cs="Arial"/>
          <w:sz w:val="20"/>
          <w:szCs w:val="20"/>
          <w:lang w:val="en-US"/>
        </w:rPr>
      </w:pPr>
      <w:r w:rsidRPr="00A7364B">
        <w:rPr>
          <w:rFonts w:ascii="Arial" w:hAnsi="Arial"/>
          <w:sz w:val="20"/>
        </w:rPr>
        <w:t>The average metal concentrations in this study, when compared with those of the upper continental crust (UCC) reported by Wedepohl (1995), indicate polymetallic contamination of the sediments, characterised by elevated levels of Cu, Al, Pb, Na, Zn, and Fe. According to Keuméan et al. (2013), the abnormal concentrations of these metals could be attributed to the pollutant load contributed by various discharges from agricultural, domestic, and artisanal activities. Added to this is the load from numerous industrial and domestic effluents. These metals may therefore pose risks to water, living organisms, and human health. The metal concentrations obtained in the sediments of this study were compared with those obtained by Chouti et al. (2011) in the sediments of the Porto-Novo Lagoon in southern Benin. The iron and lead concentrations in this study are high compared with those in the Porto-Novo Lagoon (Fe: 328-555 mg/kg; Pb: 3.52-60.62 mg/kg). Furthermore, the concentrations of Cd, Hg, and As in the port area are lower than those in the Porto-Novo Lagoon (Cd: 5.39-7.33 mg/kg; Hg: 0.90-2.73 mg/kg; As: 0.20-0.40 mg/kg). The results for metal concentrations were also compared with those obtained in the same study area by Traoré (2016) and with those of Soro et al. (2009) in the sediments of the Ebrié Lagoon (Ivory Coast).</w:t>
      </w:r>
    </w:p>
    <w:p w14:paraId="42F29937" w14:textId="77777777" w:rsidR="006156B6" w:rsidRPr="00A7364B" w:rsidRDefault="006156B6" w:rsidP="00ED3175">
      <w:pPr>
        <w:jc w:val="both"/>
        <w:rPr>
          <w:rFonts w:ascii="Arial" w:hAnsi="Arial" w:cs="Arial"/>
          <w:sz w:val="20"/>
          <w:szCs w:val="20"/>
          <w:lang w:val="en-US"/>
        </w:rPr>
      </w:pPr>
      <w:r w:rsidRPr="00A7364B">
        <w:rPr>
          <w:rFonts w:ascii="Arial" w:hAnsi="Arial"/>
          <w:sz w:val="20"/>
        </w:rPr>
        <w:t>It is noted that the concentrations of heavy metals in this study differ from those found by Traoré (2016) in the same area (Fe: 27,267.47-75,661.72 mg/kg; Cd: 0.03-0.13 mg/kg; Pb: 2.03-3.31 mg/kg; Zn: 0.05-0.11 mg/kg; Cu: 43.20-149.25 mg/kg) and from those obtained by Soro et al. (2009) in the same area (Zn: 21.6-1,081.7 mg/kg; Cu: 4.8-217.4 mg/kg).</w:t>
      </w:r>
    </w:p>
    <w:p w14:paraId="6FECAD31" w14:textId="77777777" w:rsidR="00142417" w:rsidRPr="00A7364B" w:rsidRDefault="00142417" w:rsidP="00ED3175">
      <w:pPr>
        <w:jc w:val="both"/>
        <w:rPr>
          <w:rFonts w:ascii="Arial" w:hAnsi="Arial" w:cs="Arial"/>
          <w:b/>
          <w:bCs/>
          <w:sz w:val="20"/>
          <w:szCs w:val="20"/>
          <w:lang w:val="en-US"/>
        </w:rPr>
      </w:pPr>
      <w:r w:rsidRPr="00A7364B">
        <w:rPr>
          <w:rFonts w:ascii="Arial" w:hAnsi="Arial" w:cs="Arial"/>
          <w:b/>
          <w:bCs/>
          <w:sz w:val="20"/>
          <w:szCs w:val="20"/>
          <w:lang w:val="en-US"/>
        </w:rPr>
        <w:t xml:space="preserve">3.3.2. Enrichment Factor </w:t>
      </w:r>
    </w:p>
    <w:p w14:paraId="65BD2550" w14:textId="77777777" w:rsidR="008014B9" w:rsidRPr="00A7364B" w:rsidRDefault="00142417" w:rsidP="00ED3175">
      <w:pPr>
        <w:jc w:val="both"/>
        <w:rPr>
          <w:rFonts w:ascii="Arial" w:hAnsi="Arial" w:cs="Arial"/>
          <w:sz w:val="20"/>
          <w:szCs w:val="20"/>
          <w:lang w:val="en-US"/>
        </w:rPr>
      </w:pPr>
      <w:r w:rsidRPr="00A7364B">
        <w:rPr>
          <w:rFonts w:ascii="Arial" w:hAnsi="Arial"/>
          <w:sz w:val="20"/>
        </w:rPr>
        <w:t>An analysis of trace-element enrichment, using the method proposed by Sutherland (2000), shows that most of the metals studied exhibit a range from zero enrichment to low enrichment (EF &lt; 2), with the exception of sodium, lead, zinc, phosphorus, and copper. The enrichment factors for these metals range from 2 to 5 for sodium, from 5 to 20 for lead and copper, and from 20 to 40 for copper and phosphorus, corresponding to moderate, significant, and very high enrichment, respectively. The findings of Irié et al. (2019), which confirm this, are very close to the results for copper and lead obtained in this study. The geoaccumulation index values are 2.78 for Zn, 2.21 for copper, and 0.28 for lead. In contrast, the geoaccumulation indices for ETMs (arsenic, cadmium, and mercury) are negative. According to Müller (1969), when a metal's geoaccumulation index is negative, it does not cause any pollution; conversely, an index between 0 and 1, such as that of lead, indicates a range from no pollution to moderate pollution by that metal. When the geoaccumulation index is between 2 and 3, as with copper and zinc, the environment is moderately to heavily polluted. Finally, when the Igeo is greater than 5, as with P, Al, Fe, K, and Mg, the sediments are extremely polluted.</w:t>
      </w:r>
    </w:p>
    <w:p w14:paraId="244D5949" w14:textId="77777777" w:rsidR="00142417" w:rsidRPr="00A7364B" w:rsidRDefault="00142417" w:rsidP="00ED3175">
      <w:pPr>
        <w:jc w:val="both"/>
        <w:rPr>
          <w:rFonts w:ascii="Arial" w:hAnsi="Arial" w:cs="Arial"/>
          <w:sz w:val="20"/>
          <w:szCs w:val="20"/>
          <w:lang w:val="en-US"/>
        </w:rPr>
      </w:pPr>
    </w:p>
    <w:p w14:paraId="46671C96" w14:textId="77777777" w:rsidR="00663B58" w:rsidRPr="00A7364B" w:rsidRDefault="00663B58" w:rsidP="00ED3175">
      <w:pPr>
        <w:jc w:val="both"/>
        <w:rPr>
          <w:rFonts w:ascii="Arial" w:hAnsi="Arial" w:cs="Arial"/>
          <w:sz w:val="20"/>
          <w:szCs w:val="20"/>
          <w:lang w:val="en-US"/>
        </w:rPr>
      </w:pPr>
      <w:r w:rsidRPr="00A7364B">
        <w:rPr>
          <w:rFonts w:ascii="Arial" w:hAnsi="Arial"/>
          <w:sz w:val="20"/>
        </w:rPr>
        <w:t>The Cu and Zn indices obtained in this study are virtually identical to those previously reported by Irié (2017). Irié et al. (2019) demonstrated that zinc, cadmium, copper, and lead are the most significant pollutants in the sediments of the Ebrié Lagoon. This situation can occasionally be harmful to benthic organisms. However, unlike our findings, the results previously reported by Traoré (2016) indicate zero enrichment for zinc (EF (Zn): 0) and moderate enrichment for copper (EF (Cu): 4.3), which is consistent with our results. The study by Oumar et al. (2014), conducted on sediments from Lakes Bini and Dang in the Adamaoua region of Cameroon, indicates excessively high enrichment values for Cd and Pb compared with those in this study.</w:t>
      </w:r>
    </w:p>
    <w:p w14:paraId="7CC082E0" w14:textId="77777777" w:rsidR="004D1B68" w:rsidRPr="00A7364B" w:rsidRDefault="004D1B68" w:rsidP="00ED3175">
      <w:pPr>
        <w:jc w:val="both"/>
        <w:rPr>
          <w:rFonts w:ascii="Arial" w:hAnsi="Arial" w:cs="Arial"/>
          <w:sz w:val="20"/>
          <w:szCs w:val="20"/>
          <w:lang w:val="en-US"/>
        </w:rPr>
      </w:pPr>
      <w:r w:rsidRPr="00A7364B">
        <w:rPr>
          <w:rFonts w:ascii="Arial" w:hAnsi="Arial"/>
          <w:sz w:val="20"/>
        </w:rPr>
        <w:t xml:space="preserve">Regarding the geoaccumulation index, it should be noted that the Fe geoaccumulation index is higher than that estimated by Traoré (2016), which suggests the absence of iron pollution or moderate iron pollution. This is also the case for the Cu and Zn geoaccumulation indices. The Cu geoaccumulation index found by this author is 1.7, and the Zn geoaccumulation index is -10. However, the Igeo values found for Cd and Pb, which are -1.4 and -3.3, respectively, confirm that the sediments are not affected by these two metals. These </w:t>
      </w:r>
      <w:r w:rsidRPr="00A7364B">
        <w:rPr>
          <w:rFonts w:ascii="Arial" w:hAnsi="Arial"/>
          <w:sz w:val="20"/>
        </w:rPr>
        <w:lastRenderedPageBreak/>
        <w:t>results are consistent with the fact that the Ebrié Lagoon is located in the urban area of Abidjan, which is heavily polluted by industrial discharges (Metongo et al., 1993).</w:t>
      </w:r>
    </w:p>
    <w:p w14:paraId="0069CA28" w14:textId="77777777" w:rsidR="00C84A9B" w:rsidRPr="00A7364B" w:rsidRDefault="00C84A9B" w:rsidP="00ED3175">
      <w:pPr>
        <w:jc w:val="both"/>
        <w:rPr>
          <w:rFonts w:ascii="Arial" w:hAnsi="Arial" w:cs="Arial"/>
          <w:b/>
          <w:bCs/>
          <w:sz w:val="20"/>
          <w:szCs w:val="20"/>
          <w:lang w:val="en-US"/>
        </w:rPr>
      </w:pPr>
      <w:r w:rsidRPr="00A7364B">
        <w:rPr>
          <w:rFonts w:ascii="Arial" w:hAnsi="Arial" w:cs="Arial"/>
          <w:b/>
          <w:bCs/>
          <w:sz w:val="20"/>
          <w:szCs w:val="20"/>
          <w:lang w:val="en-US"/>
        </w:rPr>
        <w:t xml:space="preserve">3.3.3. Environmental Quality of Sediments </w:t>
      </w:r>
    </w:p>
    <w:p w14:paraId="757D20E4" w14:textId="77777777" w:rsidR="00C84A9B" w:rsidRPr="00A7364B" w:rsidRDefault="00C84A9B" w:rsidP="00ED3175">
      <w:pPr>
        <w:jc w:val="both"/>
        <w:rPr>
          <w:rFonts w:ascii="Arial" w:hAnsi="Arial" w:cs="Arial"/>
          <w:sz w:val="20"/>
          <w:szCs w:val="20"/>
          <w:lang w:val="en-US"/>
        </w:rPr>
      </w:pPr>
      <w:r w:rsidRPr="00A7364B">
        <w:rPr>
          <w:rFonts w:ascii="Arial" w:hAnsi="Arial"/>
          <w:sz w:val="20"/>
        </w:rPr>
        <w:t>The environmental quality of sediments in the port area was assessed by comparing ETM concentrations with the TEC and PEC guideline values proposed by MacDonald et al. (2000). The results indicate that the environmental quality of the area is primarily threatened by zinc and copper. More than 75% of the concentrations of these metals are below the TEC. In contrast to the other metals, for which more than 75% of concentrations were below the TEC and none exceeded the PEC, 16.67% of copper and zinc concentrations exceeded the PEC. Zinc and copper pose a potential hazard to the lagoon environment and, more specifically, to living organisms. According to Environment Canada (1997), the biological effects caused by metals include decreases in the abundance of benthic invertebrates and fertilisation, increased mortality and lethality, behavioural changes, and abnormal development in the early life stages of benthic organisms.</w:t>
      </w:r>
    </w:p>
    <w:p w14:paraId="5C63CC28" w14:textId="77777777" w:rsidR="002D3EAF" w:rsidRPr="00A7364B" w:rsidRDefault="002D3EAF" w:rsidP="00ED3175">
      <w:pPr>
        <w:jc w:val="both"/>
        <w:rPr>
          <w:rFonts w:ascii="Arial" w:hAnsi="Arial" w:cs="Arial"/>
          <w:sz w:val="20"/>
          <w:szCs w:val="20"/>
          <w:lang w:val="en-US"/>
        </w:rPr>
      </w:pPr>
      <w:r w:rsidRPr="00A7364B">
        <w:rPr>
          <w:rFonts w:ascii="Arial" w:hAnsi="Arial"/>
          <w:sz w:val="20"/>
        </w:rPr>
        <w:t>Furthermore, this could also cause numerous health problems in humans, such as damage to the nervous system, cardiac effects, cancers, and many other serious conditions (Charbonnier, 2014). However, zinc and copper are not the only metals capable of harming environmental quality. Studies conducted in the sediments of Abidjan Harbour by Coulibaly (2014) and by Irié (2017) in the Ebrié Lagoon channel have highlighted the negative impact of metals such as Cd, Pb, and As, as evidenced by the concentrations of these metals compared with the TEC and PEC reference standards.</w:t>
      </w:r>
    </w:p>
    <w:p w14:paraId="4E822F3E" w14:textId="77777777" w:rsidR="004800B6" w:rsidRPr="00A7364B" w:rsidRDefault="004800B6" w:rsidP="00D46814">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val="en-US"/>
          <w14:ligatures w14:val="none"/>
        </w:rPr>
      </w:pPr>
      <w:r w:rsidRPr="00A7364B">
        <w:rPr>
          <w:rFonts w:ascii="Times New Roman" w:eastAsia="Times New Roman" w:hAnsi="Times New Roman" w:cs="Times New Roman"/>
          <w:b/>
          <w:bCs/>
          <w:kern w:val="0"/>
          <w:sz w:val="27"/>
          <w:szCs w:val="27"/>
          <w:lang w:val="en-US"/>
          <w14:ligatures w14:val="none"/>
        </w:rPr>
        <w:t>Conclusions</w:t>
      </w:r>
    </w:p>
    <w:p w14:paraId="735B3736" w14:textId="77777777" w:rsidR="004800B6" w:rsidRPr="00A7364B" w:rsidRDefault="004800B6" w:rsidP="00D46814">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A7364B">
        <w:rPr>
          <w:rFonts w:ascii="Times New Roman" w:eastAsia="Times New Roman" w:hAnsi="Times New Roman" w:cs="Times New Roman"/>
          <w:kern w:val="0"/>
          <w:sz w:val="24"/>
          <w:szCs w:val="24"/>
          <w:lang w:val="en-US"/>
          <w14:ligatures w14:val="none"/>
        </w:rPr>
        <w:t>The study indicates that surface sediments in the Treichville sector of the Ebrié Lagoon show variable trace-metal concentrations, reflecting the influence of local environmental and anthropogenic conditions. The results suggest elevated levels of copper, iron, zinc, sodium, phosphorus, aluminium, potassium, and magnesium when compared with the selected continental crust reference values. Enrichment-factor and geoaccumulation-index assessments indicate that copper, zinc, and lead are the principal metals showing notable enrichment, while arsenic, cadmium, and mercury remain comparatively low. The contamination pattern is consistent with the influence of untreated domestic, agricultural, and industrial discharges entering the lagoon environment. The comparison with TEC and PEC sediment quality guidelines further indicates that copper and zinc are the main metals of concern for sediment environmental quality. Overall, the findings support the need for improved control of untreated effluent inputs and continued monitoring of sediment quality in the Treichville sector.</w:t>
      </w:r>
    </w:p>
    <w:p w14:paraId="1A81E875" w14:textId="77777777" w:rsidR="003A375E" w:rsidRPr="00A7364B" w:rsidRDefault="003A375E" w:rsidP="00D46814">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val="en-US"/>
          <w14:ligatures w14:val="none"/>
        </w:rPr>
      </w:pPr>
      <w:r w:rsidRPr="00A7364B">
        <w:rPr>
          <w:rFonts w:ascii="Times New Roman" w:eastAsia="Times New Roman" w:hAnsi="Times New Roman" w:cs="Times New Roman"/>
          <w:b/>
          <w:bCs/>
          <w:kern w:val="0"/>
          <w:sz w:val="27"/>
          <w:szCs w:val="27"/>
          <w:lang w:val="en-US"/>
          <w14:ligatures w14:val="none"/>
        </w:rPr>
        <w:t>Limitation</w:t>
      </w:r>
    </w:p>
    <w:p w14:paraId="04BF89E7" w14:textId="77777777" w:rsidR="003A375E" w:rsidRPr="00A7364B" w:rsidRDefault="003A375E" w:rsidP="00D46814">
      <w:pPr>
        <w:spacing w:before="100" w:beforeAutospacing="1" w:after="100" w:afterAutospacing="1" w:line="240" w:lineRule="auto"/>
        <w:jc w:val="both"/>
        <w:rPr>
          <w:rFonts w:ascii="Times New Roman" w:eastAsia="Times New Roman" w:hAnsi="Times New Roman" w:cs="Times New Roman"/>
          <w:kern w:val="0"/>
          <w:sz w:val="24"/>
          <w:szCs w:val="24"/>
          <w:lang w:val="en-US"/>
          <w14:ligatures w14:val="none"/>
        </w:rPr>
      </w:pPr>
      <w:r w:rsidRPr="00A7364B">
        <w:rPr>
          <w:rFonts w:ascii="Times New Roman" w:eastAsia="Times New Roman" w:hAnsi="Times New Roman" w:cs="Times New Roman"/>
          <w:kern w:val="0"/>
          <w:sz w:val="24"/>
          <w:szCs w:val="24"/>
          <w:lang w:val="en-US"/>
          <w14:ligatures w14:val="none"/>
        </w:rPr>
        <w:t>This assessment is based on surface sediments collected from selected sites in the Treichville sector. Interpretation depends on the reference values and indices used, and TEC-PEC guideline values were unavailable for some metals. Therefore, environmental-quality conclusions for metals without guideline thresholds remain limited.</w:t>
      </w:r>
    </w:p>
    <w:p w14:paraId="1B3942CA" w14:textId="77777777" w:rsidR="003A375E" w:rsidRPr="00A7364B" w:rsidRDefault="003A375E" w:rsidP="00ED3175">
      <w:pPr>
        <w:jc w:val="both"/>
        <w:rPr>
          <w:rFonts w:ascii="Arial" w:hAnsi="Arial" w:cs="Arial"/>
          <w:sz w:val="20"/>
          <w:szCs w:val="20"/>
          <w:lang w:val="en-US"/>
        </w:rPr>
      </w:pPr>
    </w:p>
    <w:p w14:paraId="324A8BE6" w14:textId="77777777" w:rsidR="00373CBE" w:rsidRPr="00A7364B" w:rsidRDefault="00373CBE" w:rsidP="00373CBE">
      <w:pPr>
        <w:pStyle w:val="NoSpacing"/>
        <w:rPr>
          <w:rFonts w:ascii="Arial" w:hAnsi="Arial" w:cs="Arial"/>
        </w:rPr>
      </w:pPr>
    </w:p>
    <w:p w14:paraId="70E5BB7D" w14:textId="77777777" w:rsidR="0041356B" w:rsidRPr="00A7364B" w:rsidRDefault="0041356B" w:rsidP="00ED3175">
      <w:pPr>
        <w:jc w:val="both"/>
        <w:rPr>
          <w:rFonts w:ascii="Arial" w:hAnsi="Arial" w:cs="Arial"/>
          <w:sz w:val="20"/>
          <w:szCs w:val="20"/>
          <w:lang w:val="en-US"/>
        </w:rPr>
      </w:pPr>
    </w:p>
    <w:p w14:paraId="49EED57E" w14:textId="77777777" w:rsidR="00553563" w:rsidRPr="00A7364B" w:rsidRDefault="00553563" w:rsidP="00553563">
      <w:pPr>
        <w:jc w:val="both"/>
        <w:rPr>
          <w:rFonts w:ascii="Arial" w:hAnsi="Arial" w:cs="Arial"/>
          <w:b/>
          <w:bCs/>
          <w:sz w:val="20"/>
          <w:szCs w:val="20"/>
          <w:lang w:val="en-US"/>
        </w:rPr>
      </w:pPr>
      <w:r w:rsidRPr="00A7364B">
        <w:rPr>
          <w:rFonts w:ascii="Arial" w:hAnsi="Arial" w:cs="Arial"/>
          <w:b/>
          <w:bCs/>
          <w:sz w:val="20"/>
          <w:szCs w:val="20"/>
          <w:lang w:val="en-US"/>
        </w:rPr>
        <w:t>Declaration of AI Use</w:t>
      </w:r>
    </w:p>
    <w:p w14:paraId="38569F73" w14:textId="6A810DB3" w:rsidR="0041356B" w:rsidRPr="00A7364B" w:rsidRDefault="00553563" w:rsidP="00553563">
      <w:pPr>
        <w:jc w:val="both"/>
        <w:rPr>
          <w:rFonts w:ascii="Arial" w:hAnsi="Arial" w:cs="Arial"/>
          <w:sz w:val="20"/>
          <w:szCs w:val="20"/>
          <w:lang w:val="en-US"/>
        </w:rPr>
      </w:pPr>
      <w:r w:rsidRPr="00A7364B">
        <w:rPr>
          <w:rFonts w:ascii="Arial" w:hAnsi="Arial" w:cs="Arial"/>
          <w:sz w:val="20"/>
          <w:szCs w:val="20"/>
          <w:lang w:val="en-US"/>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E2FCE20" w14:textId="77777777" w:rsidR="00312D8B" w:rsidRPr="00A7364B" w:rsidRDefault="00F13C7D" w:rsidP="00ED3175">
      <w:pPr>
        <w:jc w:val="both"/>
        <w:rPr>
          <w:rFonts w:ascii="Arial" w:hAnsi="Arial" w:cs="Arial"/>
          <w:b/>
          <w:bCs/>
          <w:sz w:val="20"/>
          <w:szCs w:val="20"/>
          <w:lang w:val="en-US"/>
        </w:rPr>
      </w:pPr>
      <w:r w:rsidRPr="00A7364B">
        <w:rPr>
          <w:rFonts w:ascii="Arial" w:hAnsi="Arial" w:cs="Arial"/>
          <w:b/>
          <w:bCs/>
          <w:sz w:val="20"/>
          <w:szCs w:val="20"/>
          <w:lang w:val="en-US"/>
        </w:rPr>
        <w:t xml:space="preserve">References </w:t>
      </w:r>
    </w:p>
    <w:p w14:paraId="3B03892D" w14:textId="77777777" w:rsidR="00312D8B" w:rsidRPr="00A7364B" w:rsidRDefault="00312D8B" w:rsidP="00ED3175">
      <w:pPr>
        <w:jc w:val="both"/>
        <w:rPr>
          <w:rFonts w:ascii="Arial" w:hAnsi="Arial" w:cs="Arial"/>
          <w:sz w:val="20"/>
          <w:szCs w:val="20"/>
          <w:lang w:val="en-US"/>
        </w:rPr>
      </w:pPr>
      <w:r w:rsidRPr="00A7364B">
        <w:rPr>
          <w:rFonts w:ascii="Arial" w:hAnsi="Arial"/>
          <w:sz w:val="20"/>
        </w:rPr>
        <w:t>Calamari, D., &amp; Naeve, H. (Eds.). (1994). Review of pollution in the African aquatic environment (CIFA Technical Paper No. 25). Food and Agriculture Organization of the United Nations.</w:t>
      </w:r>
    </w:p>
    <w:p w14:paraId="11B25E64" w14:textId="77777777" w:rsidR="00312D8B" w:rsidRPr="00A7364B" w:rsidRDefault="00312D8B" w:rsidP="00ED3175">
      <w:pPr>
        <w:jc w:val="both"/>
        <w:rPr>
          <w:rFonts w:ascii="Arial" w:hAnsi="Arial" w:cs="Arial"/>
          <w:sz w:val="20"/>
          <w:szCs w:val="20"/>
          <w:lang w:val="en-US"/>
        </w:rPr>
      </w:pPr>
      <w:r w:rsidRPr="00A7364B">
        <w:rPr>
          <w:rFonts w:ascii="Arial" w:hAnsi="Arial"/>
          <w:sz w:val="20"/>
        </w:rPr>
        <w:t>Charbonnier, E. (2014). Caractérisation et interprétation des teneurs naturelles en éléments traces métalliques et métalloïdes sur le territoire du SAN Ouest Provence [Internship thesis, University of Burgundy].</w:t>
      </w:r>
    </w:p>
    <w:p w14:paraId="02DBCA0B" w14:textId="77777777" w:rsidR="00312D8B" w:rsidRPr="00A7364B" w:rsidRDefault="00312D8B" w:rsidP="00ED3175">
      <w:pPr>
        <w:jc w:val="both"/>
        <w:rPr>
          <w:rFonts w:ascii="Arial" w:hAnsi="Arial" w:cs="Arial"/>
          <w:sz w:val="20"/>
          <w:szCs w:val="20"/>
          <w:lang w:val="en-US"/>
        </w:rPr>
      </w:pPr>
      <w:r w:rsidRPr="00A7364B">
        <w:rPr>
          <w:rFonts w:ascii="Arial" w:hAnsi="Arial"/>
          <w:sz w:val="20"/>
        </w:rPr>
        <w:t>Chouti, W., Mama, D., Alassane, A., Changotade, O., Alapini, F., Boukari, M., Aminou, T., &amp; Afouda, A. (2011). Physicochemical characterisation of the Porto-Novo Lagoon (southern Benin) and identification of pollution by mercury, copper, and zinc. Journal of Applied Biosciences, 43, 2882-2890.</w:t>
      </w:r>
    </w:p>
    <w:p w14:paraId="44E2C5D0" w14:textId="77777777" w:rsidR="00312D8B" w:rsidRPr="00A7364B" w:rsidRDefault="00312D8B" w:rsidP="00ED3175">
      <w:pPr>
        <w:jc w:val="both"/>
        <w:rPr>
          <w:rFonts w:ascii="Arial" w:hAnsi="Arial" w:cs="Arial"/>
          <w:sz w:val="20"/>
          <w:szCs w:val="20"/>
          <w:lang w:val="en-US"/>
        </w:rPr>
      </w:pPr>
      <w:r w:rsidRPr="00A7364B">
        <w:rPr>
          <w:rFonts w:ascii="Arial" w:hAnsi="Arial"/>
          <w:sz w:val="20"/>
        </w:rPr>
        <w:t>Coulibaly, A. S., Toure, M., Diangone, E., Monde, S., Kouame, A., &amp; Blanc, G. (2014). Impacts of accidental discharges on the environmental quality of sediments in the Abidjan harbour basin (Ebrié Lagoon, Ivory Coast). International Journal of Biological and Chemical Sciences, 8(6), 2842-2848. https://doi.org/10.4314/ijbcs.v8i6.40</w:t>
      </w:r>
    </w:p>
    <w:p w14:paraId="4ACB90C9" w14:textId="77777777" w:rsidR="00312D8B" w:rsidRPr="00A7364B" w:rsidRDefault="00312D8B" w:rsidP="00ED3175">
      <w:pPr>
        <w:jc w:val="both"/>
        <w:rPr>
          <w:rFonts w:ascii="Arial" w:hAnsi="Arial" w:cs="Arial"/>
          <w:sz w:val="20"/>
          <w:szCs w:val="20"/>
          <w:lang w:val="en-US"/>
        </w:rPr>
      </w:pPr>
      <w:r w:rsidRPr="00A7364B">
        <w:rPr>
          <w:rFonts w:ascii="Arial" w:hAnsi="Arial"/>
          <w:sz w:val="20"/>
        </w:rPr>
        <w:t>Dufour, P. (1981). Notre lagune en péril: L'écosystème lagunaire Ebrié bouleversé par les interventions humaines [Our lagoon in peril: The Ebrié Lagoon ecosystem disrupted by human interventions]. Archives Scientifiques du Centre de Recherches Océanographiques d'Abidjan, 7(3), 1-12.</w:t>
      </w:r>
    </w:p>
    <w:p w14:paraId="7E7E3FCA" w14:textId="77777777" w:rsidR="001F46A9" w:rsidRPr="00A7364B" w:rsidRDefault="001F46A9" w:rsidP="00ED3175">
      <w:pPr>
        <w:jc w:val="both"/>
        <w:rPr>
          <w:rFonts w:ascii="Arial" w:hAnsi="Arial" w:cs="Arial"/>
          <w:sz w:val="20"/>
          <w:szCs w:val="20"/>
          <w:lang w:val="en-US"/>
        </w:rPr>
      </w:pPr>
      <w:r w:rsidRPr="00A7364B">
        <w:rPr>
          <w:rFonts w:ascii="Arial" w:hAnsi="Arial"/>
          <w:sz w:val="20"/>
        </w:rPr>
        <w:t>Environment Canada. (1997). Canadian sediment quality guidelines for cadmium: Supporting document. Environmental Conservation Service, Ecosystem Science Branch, Environmental Quality and Science Policy Directorate, Guidelines and Standards Division.</w:t>
      </w:r>
    </w:p>
    <w:p w14:paraId="4C62213E" w14:textId="77777777" w:rsidR="001F46A9" w:rsidRPr="00A7364B" w:rsidRDefault="001F46A9" w:rsidP="00ED3175">
      <w:pPr>
        <w:jc w:val="both"/>
        <w:rPr>
          <w:rFonts w:ascii="Arial" w:hAnsi="Arial" w:cs="Arial"/>
          <w:sz w:val="20"/>
          <w:szCs w:val="20"/>
          <w:lang w:val="en-US"/>
        </w:rPr>
      </w:pPr>
      <w:r w:rsidRPr="00A7364B">
        <w:rPr>
          <w:rFonts w:ascii="Arial" w:hAnsi="Arial"/>
          <w:sz w:val="20"/>
        </w:rPr>
        <w:t>Gouda, S., Jayapalan, C., &amp; Majagi, S. (2025). Assessment of heavy metals in water and sediments of Chikkere, Sira: Impacts on aquatic biodiversity. Asian Journal of Environment &amp; Ecology, 24(9), 163-175. https://doi.org/10.9734/ajee/2025/v24i9796</w:t>
      </w:r>
    </w:p>
    <w:p w14:paraId="6BA220E9" w14:textId="77777777" w:rsidR="001F46A9" w:rsidRPr="00A7364B" w:rsidRDefault="001F46A9" w:rsidP="00ED3175">
      <w:pPr>
        <w:jc w:val="both"/>
        <w:rPr>
          <w:rFonts w:ascii="Arial" w:hAnsi="Arial" w:cs="Arial"/>
          <w:sz w:val="20"/>
          <w:szCs w:val="20"/>
          <w:lang w:val="en-US"/>
        </w:rPr>
      </w:pPr>
      <w:r w:rsidRPr="00A7364B">
        <w:rPr>
          <w:rFonts w:ascii="Arial" w:hAnsi="Arial"/>
          <w:sz w:val="20"/>
        </w:rPr>
        <w:t>Irié, B. T. J.-G. (2017). Characterization of the water-sediment interface in a forced lagoon environment: Hydrology and environmental assessment of the eastern channel of the Ebrié Lagoon (Ivory Coast) [Doctoral thesis, Félix Houphouët-Boigny University].</w:t>
      </w:r>
    </w:p>
    <w:p w14:paraId="45D57F3C" w14:textId="77777777" w:rsidR="001F46A9" w:rsidRPr="00A7364B" w:rsidRDefault="001F46A9" w:rsidP="00ED3175">
      <w:pPr>
        <w:jc w:val="both"/>
        <w:rPr>
          <w:rFonts w:ascii="Arial" w:hAnsi="Arial" w:cs="Arial"/>
          <w:sz w:val="20"/>
          <w:szCs w:val="20"/>
          <w:lang w:val="en-US"/>
        </w:rPr>
      </w:pPr>
      <w:r w:rsidRPr="00A7364B">
        <w:rPr>
          <w:rFonts w:ascii="Arial" w:hAnsi="Arial"/>
          <w:sz w:val="20"/>
        </w:rPr>
        <w:t>Irié, B. T. J.-G., Aka, N., Kando, A. M.-L., Coulibaly, A. S., &amp; Monde, S. (2019). Enrichment of sediments in the Ebrié Lagoon (Ivory Coast) with trace metals (TM): Influence on sediment quality and benthic organisms. Journal of Applied Biosciences, 142, 14448-14463.</w:t>
      </w:r>
    </w:p>
    <w:p w14:paraId="2A7EEC8D" w14:textId="77777777" w:rsidR="001F46A9" w:rsidRPr="00A7364B" w:rsidRDefault="001F46A9" w:rsidP="00ED3175">
      <w:pPr>
        <w:jc w:val="both"/>
        <w:rPr>
          <w:rFonts w:ascii="Arial" w:hAnsi="Arial" w:cs="Arial"/>
          <w:sz w:val="20"/>
          <w:szCs w:val="20"/>
          <w:lang w:val="en-US"/>
        </w:rPr>
      </w:pPr>
      <w:r w:rsidRPr="00A7364B">
        <w:rPr>
          <w:rFonts w:ascii="Arial" w:hAnsi="Arial"/>
          <w:sz w:val="20"/>
        </w:rPr>
        <w:t>Keuméan, K. N., Bamba, S. B., Soro, G., Soro, N., Métongo, B. S., &amp; Biémi, J. (2013). Heavy metal concentrations in sediments of the Comoé River estuary at Grand-Bassam (southeastern Côte d'Ivoire). Journal of Applied Biosciences, 61, 4530-4539.</w:t>
      </w:r>
    </w:p>
    <w:p w14:paraId="6245A933" w14:textId="77777777" w:rsidR="001F46A9" w:rsidRPr="00A7364B" w:rsidRDefault="001F46A9" w:rsidP="00ED3175">
      <w:pPr>
        <w:jc w:val="both"/>
        <w:rPr>
          <w:rFonts w:ascii="Arial" w:hAnsi="Arial" w:cs="Arial"/>
          <w:sz w:val="20"/>
          <w:szCs w:val="20"/>
        </w:rPr>
      </w:pPr>
      <w:r w:rsidRPr="00A7364B">
        <w:rPr>
          <w:rFonts w:ascii="Arial" w:hAnsi="Arial"/>
          <w:sz w:val="20"/>
        </w:rPr>
        <w:t>Kikouama, J. R. O., Le Cornec, F., Bouttier, S., Launay, A., Baldé, L., &amp; Yagoubi, N. (2009). Evaluation of trace elements released by edible clays in physicochemically simulated physiological media. International Journal of Food Sciences and Nutrition, 60(2), 130-142. https://doi.org/10.1080/09637480701614956</w:t>
      </w:r>
    </w:p>
    <w:p w14:paraId="2578EA69" w14:textId="77777777" w:rsidR="00604774" w:rsidRPr="00A7364B" w:rsidRDefault="00604774" w:rsidP="00ED3175">
      <w:pPr>
        <w:jc w:val="both"/>
        <w:rPr>
          <w:rFonts w:ascii="Arial" w:hAnsi="Arial" w:cs="Arial"/>
          <w:sz w:val="20"/>
          <w:szCs w:val="20"/>
          <w:lang w:val="en-US"/>
        </w:rPr>
      </w:pPr>
      <w:r w:rsidRPr="00A7364B">
        <w:rPr>
          <w:rFonts w:ascii="Arial" w:hAnsi="Arial"/>
          <w:sz w:val="20"/>
        </w:rPr>
        <w:t>MacDonald, D. D., Ingersoll, C. G., &amp; Berger, T. A. (2000). Development and evaluation of consensus-based sediment quality guidelines for freshwater ecosystems. Archives of Environmental Contamination and Toxicology, 39, 20-31. https://doi.org/10.1007/s002440010075</w:t>
      </w:r>
    </w:p>
    <w:p w14:paraId="2AC592AA" w14:textId="77777777" w:rsidR="00604774" w:rsidRPr="00A7364B" w:rsidRDefault="00604774" w:rsidP="00ED3175">
      <w:pPr>
        <w:jc w:val="both"/>
        <w:rPr>
          <w:rFonts w:ascii="Arial" w:hAnsi="Arial" w:cs="Arial"/>
          <w:sz w:val="20"/>
          <w:szCs w:val="20"/>
          <w:lang w:val="en-US"/>
        </w:rPr>
      </w:pPr>
      <w:r w:rsidRPr="00A7364B">
        <w:rPr>
          <w:rFonts w:ascii="Arial" w:hAnsi="Arial"/>
          <w:sz w:val="20"/>
        </w:rPr>
        <w:lastRenderedPageBreak/>
        <w:t>Metongo, B. S., Kouassi, A. M., &amp; Kaba, N. (1993). Quantitative and qualitative assessment of effluents and pollutants: The case of Côte d'Ivoire and the city of Abidjan. Oceanographic Research Center.</w:t>
      </w:r>
    </w:p>
    <w:p w14:paraId="78985966" w14:textId="77777777" w:rsidR="00604774" w:rsidRPr="00A7364B" w:rsidRDefault="00604774" w:rsidP="00ED3175">
      <w:pPr>
        <w:jc w:val="both"/>
        <w:rPr>
          <w:rFonts w:ascii="Arial" w:hAnsi="Arial" w:cs="Arial"/>
          <w:sz w:val="20"/>
          <w:szCs w:val="20"/>
          <w:lang w:val="en-US"/>
        </w:rPr>
      </w:pPr>
      <w:r w:rsidRPr="00A7364B">
        <w:rPr>
          <w:rFonts w:ascii="Arial" w:hAnsi="Arial"/>
          <w:sz w:val="20"/>
        </w:rPr>
        <w:t>Müller, G. (1969). Index of geoaccumulation in sediments of the Rhine River. Geojournal, 2, 109-118.</w:t>
      </w:r>
    </w:p>
    <w:p w14:paraId="07AA8F80" w14:textId="77777777" w:rsidR="00700B9F" w:rsidRPr="00A7364B" w:rsidRDefault="00700B9F" w:rsidP="00ED3175">
      <w:pPr>
        <w:jc w:val="both"/>
        <w:rPr>
          <w:rFonts w:ascii="Arial" w:hAnsi="Arial" w:cs="Arial"/>
          <w:sz w:val="20"/>
          <w:szCs w:val="20"/>
          <w:lang w:val="en-US"/>
        </w:rPr>
      </w:pPr>
      <w:r w:rsidRPr="00A7364B">
        <w:rPr>
          <w:rFonts w:ascii="Arial" w:hAnsi="Arial"/>
          <w:sz w:val="20"/>
        </w:rPr>
        <w:t>Müller, G. (1981). The heavy metal pollution of the sediments of the Neckar and its tributaries: A stocktaking. Chemiker Zeitung, 105, 157-164.</w:t>
      </w:r>
    </w:p>
    <w:p w14:paraId="354FD547" w14:textId="77777777" w:rsidR="00700B9F" w:rsidRPr="00A7364B" w:rsidRDefault="00700B9F" w:rsidP="00ED3175">
      <w:pPr>
        <w:jc w:val="both"/>
        <w:rPr>
          <w:rFonts w:ascii="Arial" w:hAnsi="Arial" w:cs="Arial"/>
          <w:sz w:val="20"/>
          <w:szCs w:val="20"/>
          <w:lang w:val="en-US"/>
        </w:rPr>
      </w:pPr>
      <w:r w:rsidRPr="00A7364B">
        <w:rPr>
          <w:rFonts w:ascii="Arial" w:hAnsi="Arial"/>
          <w:sz w:val="20"/>
        </w:rPr>
        <w:t>Mutethya, E., Liu, Q., Yongo, E., Guo, Z., Yu, H., Zhang, Y., Lu, Z., &amp; Ye, C. (2025). Ecological risk assessment of heavy metal contamination in Xiaohai Lagoon, Hainan Island, China. Frontiers in Marine Science, 12, Article 1675540. https://doi.org/10.3389/fmars.2025.1675540</w:t>
      </w:r>
    </w:p>
    <w:p w14:paraId="52B5CBF9" w14:textId="77777777" w:rsidR="00700B9F" w:rsidRPr="00A7364B" w:rsidRDefault="00700B9F" w:rsidP="00ED3175">
      <w:pPr>
        <w:jc w:val="both"/>
        <w:rPr>
          <w:rFonts w:ascii="Arial" w:hAnsi="Arial" w:cs="Arial"/>
          <w:sz w:val="20"/>
          <w:szCs w:val="20"/>
          <w:lang w:val="en-US"/>
        </w:rPr>
      </w:pPr>
      <w:r w:rsidRPr="00A7364B">
        <w:rPr>
          <w:rFonts w:ascii="Arial" w:hAnsi="Arial"/>
          <w:sz w:val="20"/>
        </w:rPr>
        <w:t>Oumar, B., Ekengele, N. L., &amp; Balla, O. A. D. (2014). Assessment of heavy metal pollution levels in Lakes Bini and Dang, Adamaoua Region, Cameroon. Afrique Science, 10, 184-198.</w:t>
      </w:r>
    </w:p>
    <w:p w14:paraId="235EFEBA" w14:textId="77777777" w:rsidR="00700B9F" w:rsidRPr="00A7364B" w:rsidRDefault="00700B9F" w:rsidP="00ED3175">
      <w:pPr>
        <w:jc w:val="both"/>
        <w:rPr>
          <w:rFonts w:ascii="Arial" w:hAnsi="Arial" w:cs="Arial"/>
          <w:sz w:val="20"/>
          <w:szCs w:val="20"/>
          <w:lang w:val="en-US"/>
        </w:rPr>
      </w:pPr>
      <w:r w:rsidRPr="00A7364B">
        <w:rPr>
          <w:rFonts w:ascii="Arial" w:hAnsi="Arial"/>
          <w:sz w:val="20"/>
        </w:rPr>
        <w:t>Soro, G., Soro, M. B., Soro, N., Ahoussi, K. E., Kouamé, K. F., Zade, S. G. P., &amp; Soro, T. (2009). Heavy metals (Cu, Cr, Mn, and Zn) in surface sediments of an African tropical lagoon: The case of the Ebrié Lagoon (Ivory Coast). International Journal of Biological and Chemical Sciences, 3(6), 1408-1427. https://doi.org/10.4314/ijbcs.v3i6.53161</w:t>
      </w:r>
    </w:p>
    <w:p w14:paraId="0E5EF54C" w14:textId="77777777" w:rsidR="00625EA4" w:rsidRPr="00A7364B" w:rsidRDefault="00625EA4" w:rsidP="00ED3175">
      <w:pPr>
        <w:jc w:val="both"/>
        <w:rPr>
          <w:rFonts w:ascii="Arial" w:hAnsi="Arial" w:cs="Arial"/>
          <w:sz w:val="20"/>
          <w:szCs w:val="20"/>
          <w:lang w:val="en-US"/>
        </w:rPr>
      </w:pPr>
      <w:r w:rsidRPr="00A7364B">
        <w:rPr>
          <w:rFonts w:ascii="Arial" w:hAnsi="Arial"/>
          <w:sz w:val="20"/>
        </w:rPr>
        <w:t>Sutherland, R. A. (2000). Bed sediment-associated trace metals in an urban stream, Oahu, Hawaii. Environmental Geology, 39, 611-627. https://doi.org/10.1007/s002540050473</w:t>
      </w:r>
    </w:p>
    <w:p w14:paraId="6BF52246" w14:textId="77777777" w:rsidR="00625EA4" w:rsidRPr="00A7364B" w:rsidRDefault="00625EA4" w:rsidP="00ED3175">
      <w:pPr>
        <w:jc w:val="both"/>
        <w:rPr>
          <w:rFonts w:ascii="Arial" w:hAnsi="Arial" w:cs="Arial"/>
          <w:sz w:val="20"/>
          <w:szCs w:val="20"/>
        </w:rPr>
      </w:pPr>
      <w:r w:rsidRPr="00A7364B">
        <w:rPr>
          <w:rFonts w:ascii="Arial" w:hAnsi="Arial"/>
          <w:sz w:val="20"/>
        </w:rPr>
        <w:t>Tessier, E. (2012). Assessment of sediment contamination by metals and metalloids in Toulon Harbor and mechanisms controlling their mobility [Doctoral dissertation, University of Toulon Var].</w:t>
      </w:r>
    </w:p>
    <w:p w14:paraId="3630C414" w14:textId="77777777" w:rsidR="00625EA4" w:rsidRPr="00A7364B" w:rsidRDefault="00625EA4" w:rsidP="00ED3175">
      <w:r w:rsidRPr="00A7364B">
        <w:t>Thabet, W. M., Moneer, A. A., Abdelwahab, O., Ahdy, H. H. H., Khedawy, M., &amp; Shabaan, N. A. (2024). Ecological risk assessment of metal pollution in the surface sediments of delta region, Egypt. Environmental Monitoring and Assessment, 196, Article 351. https://doi.org/10.1007/s10661-024-12481-w</w:t>
      </w:r>
    </w:p>
    <w:p w14:paraId="07DEF56E" w14:textId="77777777" w:rsidR="00625EA4" w:rsidRPr="00A7364B" w:rsidRDefault="00625EA4" w:rsidP="00ED3175">
      <w:r w:rsidRPr="00A7364B">
        <w:t>Traoré, A. (2016). Impacts of climate change and changes in land cover and land use on water resources in the Aghien and Potou lagoon environments (southeastern Côte d'Ivoire) [Doctoral thesis, Félix Houphouët-Boigny University].</w:t>
      </w:r>
    </w:p>
    <w:p w14:paraId="0F7A3F5A" w14:textId="77777777" w:rsidR="00625EA4" w:rsidRPr="00A7364B" w:rsidRDefault="00625EA4" w:rsidP="00ED3175">
      <w:r w:rsidRPr="00A7364B">
        <w:t>Wariboko, O. G., Ideriah, T. J. K., Gobo, A. E., Iyama, W. A., &amp; Awolo, S. N. (2026). Assessment of heavy metals concentrations and health risk in fish from creeks around Okrika Communities, Rivers State, Nigeria. Journal of Applied Chemical Science International, 17(1), 178-187. https://doi.org/10.56557/jacsi/2026/v17i110490</w:t>
      </w:r>
    </w:p>
    <w:p w14:paraId="5FDD109F" w14:textId="77777777" w:rsidR="00625EA4" w:rsidRPr="00D73C18" w:rsidRDefault="00625EA4" w:rsidP="00ED3175">
      <w:r w:rsidRPr="00A7364B">
        <w:t>Wedepohl, K. H. (1995). The composition of the continental crust. Geochimica et Cosmochimica Acta, 59(7), 1217-1232. https://doi.org/10.1016/0016-7037(95)00038-2</w:t>
      </w:r>
    </w:p>
    <w:p w14:paraId="3ED3950E" w14:textId="77777777" w:rsidR="00D35875" w:rsidRPr="00D73C18" w:rsidRDefault="00D35875" w:rsidP="00ED3175">
      <w:pPr>
        <w:jc w:val="both"/>
        <w:rPr>
          <w:rFonts w:ascii="Arial" w:hAnsi="Arial" w:cs="Arial"/>
          <w:sz w:val="20"/>
          <w:szCs w:val="20"/>
          <w:lang w:val="en-US"/>
        </w:rPr>
      </w:pPr>
      <w:r w:rsidRPr="00D73C18">
        <w:rPr>
          <w:rFonts w:ascii="Arial" w:hAnsi="Arial" w:cs="Arial"/>
          <w:sz w:val="20"/>
          <w:szCs w:val="20"/>
          <w:lang w:val="en-US"/>
        </w:rPr>
        <w:br w:type="page"/>
      </w:r>
    </w:p>
    <w:p w14:paraId="560A0623" w14:textId="77777777" w:rsidR="00D35875" w:rsidRPr="00D73C18" w:rsidRDefault="00D35875" w:rsidP="00ED3175">
      <w:pPr>
        <w:jc w:val="both"/>
        <w:rPr>
          <w:rFonts w:ascii="Arial" w:hAnsi="Arial" w:cs="Arial"/>
          <w:sz w:val="20"/>
          <w:szCs w:val="20"/>
          <w:lang w:val="en-US"/>
        </w:rPr>
      </w:pPr>
    </w:p>
    <w:p w14:paraId="599A5490" w14:textId="77777777" w:rsidR="00A21449" w:rsidRPr="00D73C18" w:rsidRDefault="00A21449" w:rsidP="00ED3175">
      <w:pPr>
        <w:jc w:val="both"/>
        <w:rPr>
          <w:rFonts w:ascii="Arial" w:hAnsi="Arial" w:cs="Arial"/>
          <w:sz w:val="20"/>
          <w:szCs w:val="20"/>
          <w:lang w:val="en-US"/>
        </w:rPr>
      </w:pPr>
    </w:p>
    <w:p w14:paraId="10AB0F14" w14:textId="77777777" w:rsidR="00193A44" w:rsidRDefault="00193A44"/>
    <w:p w14:paraId="0D6E21EC" w14:textId="77777777" w:rsidR="00193A44" w:rsidRDefault="00193A44"/>
    <w:p w14:paraId="5518224A" w14:textId="77777777" w:rsidR="00193A44" w:rsidRDefault="00193A44"/>
    <w:p w14:paraId="19E85CA2" w14:textId="77777777" w:rsidR="00193A44" w:rsidRDefault="00193A44"/>
    <w:p w14:paraId="02366DF9" w14:textId="77777777" w:rsidR="00193A44" w:rsidRDefault="00193A44"/>
    <w:p w14:paraId="7D25A8FE" w14:textId="77777777" w:rsidR="00193A44" w:rsidRDefault="00193A44"/>
    <w:p w14:paraId="28D119AE" w14:textId="77777777" w:rsidR="00193A44" w:rsidRDefault="00193A44"/>
    <w:sectPr w:rsidR="00193A44" w:rsidSect="002917A4">
      <w:pgSz w:w="12240" w:h="15840"/>
      <w:pgMar w:top="1417" w:right="1417" w:bottom="1417" w:left="141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B18C5" w14:textId="77777777" w:rsidR="004E5E87" w:rsidRDefault="004E5E87" w:rsidP="0032202A">
      <w:pPr>
        <w:spacing w:after="0" w:line="240" w:lineRule="auto"/>
      </w:pPr>
      <w:r>
        <w:separator/>
      </w:r>
    </w:p>
  </w:endnote>
  <w:endnote w:type="continuationSeparator" w:id="0">
    <w:p w14:paraId="251C4410" w14:textId="77777777" w:rsidR="004E5E87" w:rsidRDefault="004E5E87" w:rsidP="00322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211C" w14:textId="77777777" w:rsidR="0032202A" w:rsidRDefault="003220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5D38" w14:textId="77777777" w:rsidR="0032202A" w:rsidRDefault="003220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32AE8" w14:textId="77777777" w:rsidR="0032202A" w:rsidRDefault="00322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7180C" w14:textId="77777777" w:rsidR="004E5E87" w:rsidRDefault="004E5E87" w:rsidP="0032202A">
      <w:pPr>
        <w:spacing w:after="0" w:line="240" w:lineRule="auto"/>
      </w:pPr>
      <w:r>
        <w:separator/>
      </w:r>
    </w:p>
  </w:footnote>
  <w:footnote w:type="continuationSeparator" w:id="0">
    <w:p w14:paraId="4F1ABD5D" w14:textId="77777777" w:rsidR="004E5E87" w:rsidRDefault="004E5E87" w:rsidP="003220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452D1" w14:textId="77777777" w:rsidR="0032202A" w:rsidRDefault="00000000">
    <w:pPr>
      <w:pStyle w:val="Header"/>
    </w:pPr>
    <w:r>
      <w:rPr>
        <w:noProof/>
      </w:rPr>
      <w:pict w14:anchorId="265EAC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8816657" o:spid="_x0000_s1026" type="#_x0000_t136" style="position:absolute;margin-left:0;margin-top:0;width:558.3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A0BF" w14:textId="77777777" w:rsidR="0032202A" w:rsidRDefault="00000000">
    <w:pPr>
      <w:pStyle w:val="Header"/>
    </w:pPr>
    <w:r>
      <w:rPr>
        <w:noProof/>
      </w:rPr>
      <w:pict w14:anchorId="22070D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8816658" o:spid="_x0000_s1027" type="#_x0000_t136" style="position:absolute;margin-left:0;margin-top:0;width:558.3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0432" w14:textId="77777777" w:rsidR="0032202A" w:rsidRDefault="00000000">
    <w:pPr>
      <w:pStyle w:val="Header"/>
    </w:pPr>
    <w:r>
      <w:rPr>
        <w:noProof/>
      </w:rPr>
      <w:pict w14:anchorId="31F5FB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8816656" o:spid="_x0000_s1025" type="#_x0000_t136" style="position:absolute;margin-left:0;margin-top:0;width:558.3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MxsjQ3N7AwMDS0MDBW0lEKTi0uzszPAykwqQUAxy5RJSwAAAA="/>
  </w:docVars>
  <w:rsids>
    <w:rsidRoot w:val="008A07A1"/>
    <w:rsid w:val="00002C42"/>
    <w:rsid w:val="000049E3"/>
    <w:rsid w:val="00013E95"/>
    <w:rsid w:val="00024042"/>
    <w:rsid w:val="00027449"/>
    <w:rsid w:val="00033235"/>
    <w:rsid w:val="0003671F"/>
    <w:rsid w:val="00090A0B"/>
    <w:rsid w:val="000A71D1"/>
    <w:rsid w:val="000C2D34"/>
    <w:rsid w:val="000D667D"/>
    <w:rsid w:val="000E0643"/>
    <w:rsid w:val="00130DBC"/>
    <w:rsid w:val="00142417"/>
    <w:rsid w:val="00161AA5"/>
    <w:rsid w:val="00166705"/>
    <w:rsid w:val="0017547A"/>
    <w:rsid w:val="00183DA0"/>
    <w:rsid w:val="00193A44"/>
    <w:rsid w:val="0019456B"/>
    <w:rsid w:val="001C5797"/>
    <w:rsid w:val="001F46A9"/>
    <w:rsid w:val="00207C5F"/>
    <w:rsid w:val="0022134A"/>
    <w:rsid w:val="00222BA1"/>
    <w:rsid w:val="00240215"/>
    <w:rsid w:val="002917A4"/>
    <w:rsid w:val="002D3EAF"/>
    <w:rsid w:val="0030107F"/>
    <w:rsid w:val="00307774"/>
    <w:rsid w:val="00312D8B"/>
    <w:rsid w:val="0032202A"/>
    <w:rsid w:val="00322EDC"/>
    <w:rsid w:val="003253A7"/>
    <w:rsid w:val="003341FE"/>
    <w:rsid w:val="00354835"/>
    <w:rsid w:val="00373CBE"/>
    <w:rsid w:val="003A0C9E"/>
    <w:rsid w:val="003A375E"/>
    <w:rsid w:val="003A623D"/>
    <w:rsid w:val="003C6DAE"/>
    <w:rsid w:val="003D39B7"/>
    <w:rsid w:val="003F4F15"/>
    <w:rsid w:val="00405EDD"/>
    <w:rsid w:val="0041356B"/>
    <w:rsid w:val="00460120"/>
    <w:rsid w:val="004800B6"/>
    <w:rsid w:val="004A3839"/>
    <w:rsid w:val="004B0EAF"/>
    <w:rsid w:val="004B5D00"/>
    <w:rsid w:val="004D1B68"/>
    <w:rsid w:val="004E5E87"/>
    <w:rsid w:val="00505043"/>
    <w:rsid w:val="0051636A"/>
    <w:rsid w:val="00524713"/>
    <w:rsid w:val="00553563"/>
    <w:rsid w:val="005623C2"/>
    <w:rsid w:val="00566540"/>
    <w:rsid w:val="005B786E"/>
    <w:rsid w:val="005E0F62"/>
    <w:rsid w:val="005E709C"/>
    <w:rsid w:val="00602A04"/>
    <w:rsid w:val="00604774"/>
    <w:rsid w:val="00615356"/>
    <w:rsid w:val="006156B6"/>
    <w:rsid w:val="0062157C"/>
    <w:rsid w:val="00625EA4"/>
    <w:rsid w:val="00642623"/>
    <w:rsid w:val="00663B58"/>
    <w:rsid w:val="006643FC"/>
    <w:rsid w:val="006941B4"/>
    <w:rsid w:val="006B056F"/>
    <w:rsid w:val="006E7AD4"/>
    <w:rsid w:val="0070017D"/>
    <w:rsid w:val="00700B9F"/>
    <w:rsid w:val="0070236F"/>
    <w:rsid w:val="00705055"/>
    <w:rsid w:val="00733534"/>
    <w:rsid w:val="007363EB"/>
    <w:rsid w:val="0074519D"/>
    <w:rsid w:val="007513B1"/>
    <w:rsid w:val="008014B9"/>
    <w:rsid w:val="008169E9"/>
    <w:rsid w:val="008548F0"/>
    <w:rsid w:val="00866E58"/>
    <w:rsid w:val="008A07A1"/>
    <w:rsid w:val="008A1692"/>
    <w:rsid w:val="008A313A"/>
    <w:rsid w:val="008A7C9E"/>
    <w:rsid w:val="008B3493"/>
    <w:rsid w:val="008F45FB"/>
    <w:rsid w:val="009048D0"/>
    <w:rsid w:val="00935B17"/>
    <w:rsid w:val="00943B58"/>
    <w:rsid w:val="009623DE"/>
    <w:rsid w:val="00965A20"/>
    <w:rsid w:val="009C0185"/>
    <w:rsid w:val="009F1635"/>
    <w:rsid w:val="00A21449"/>
    <w:rsid w:val="00A7364B"/>
    <w:rsid w:val="00A74689"/>
    <w:rsid w:val="00A90CDD"/>
    <w:rsid w:val="00AA4DA9"/>
    <w:rsid w:val="00AB1E68"/>
    <w:rsid w:val="00AB2FE3"/>
    <w:rsid w:val="00AB3053"/>
    <w:rsid w:val="00AE5EAF"/>
    <w:rsid w:val="00AF4274"/>
    <w:rsid w:val="00B10CA2"/>
    <w:rsid w:val="00B36E7B"/>
    <w:rsid w:val="00B43D92"/>
    <w:rsid w:val="00B531B8"/>
    <w:rsid w:val="00BA68FF"/>
    <w:rsid w:val="00BD7AA6"/>
    <w:rsid w:val="00BF0FAB"/>
    <w:rsid w:val="00C30885"/>
    <w:rsid w:val="00C73E11"/>
    <w:rsid w:val="00C84A9B"/>
    <w:rsid w:val="00C93F59"/>
    <w:rsid w:val="00CC079B"/>
    <w:rsid w:val="00CC429D"/>
    <w:rsid w:val="00CD4CC2"/>
    <w:rsid w:val="00CE2DFA"/>
    <w:rsid w:val="00CF1196"/>
    <w:rsid w:val="00CF6ED2"/>
    <w:rsid w:val="00CF75AA"/>
    <w:rsid w:val="00D17629"/>
    <w:rsid w:val="00D2193F"/>
    <w:rsid w:val="00D35875"/>
    <w:rsid w:val="00D46814"/>
    <w:rsid w:val="00D73C18"/>
    <w:rsid w:val="00D87C7F"/>
    <w:rsid w:val="00D97F82"/>
    <w:rsid w:val="00DC4B40"/>
    <w:rsid w:val="00E0089D"/>
    <w:rsid w:val="00E21332"/>
    <w:rsid w:val="00E574E7"/>
    <w:rsid w:val="00E94702"/>
    <w:rsid w:val="00EA1590"/>
    <w:rsid w:val="00EA2B0F"/>
    <w:rsid w:val="00ED2A20"/>
    <w:rsid w:val="00ED3175"/>
    <w:rsid w:val="00F04982"/>
    <w:rsid w:val="00F13C7D"/>
    <w:rsid w:val="00F601B1"/>
    <w:rsid w:val="00F70F95"/>
    <w:rsid w:val="00FB5388"/>
  </w:rsids>
  <m:mathPr>
    <m:mathFont m:val="Cambria Math"/>
    <m:brkBin m:val="before"/>
    <m:brkBinSub m:val="--"/>
    <m:smallFrac m:val="0"/>
    <m:dispDef/>
    <m:lMargin m:val="0"/>
    <m:rMargin m:val="0"/>
    <m:defJc m:val="centerGroup"/>
    <m:wrapIndent m:val="1440"/>
    <m:intLim m:val="subSup"/>
    <m:naryLim m:val="undOvr"/>
  </m:mathPr>
  <w:themeFontLang w:val="fr-C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7E04C"/>
  <w15:chartTrackingRefBased/>
  <w15:docId w15:val="{29A7EA86-A11E-43CD-A3A5-50A9E9F9C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07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07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07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07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07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07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07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07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07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7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07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07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07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07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07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07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07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07A1"/>
    <w:rPr>
      <w:rFonts w:eastAsiaTheme="majorEastAsia" w:cstheme="majorBidi"/>
      <w:color w:val="272727" w:themeColor="text1" w:themeTint="D8"/>
    </w:rPr>
  </w:style>
  <w:style w:type="paragraph" w:styleId="Title">
    <w:name w:val="Title"/>
    <w:basedOn w:val="Normal"/>
    <w:next w:val="Normal"/>
    <w:link w:val="TitleChar"/>
    <w:uiPriority w:val="10"/>
    <w:qFormat/>
    <w:rsid w:val="008A07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07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7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07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07A1"/>
    <w:pPr>
      <w:spacing w:before="160"/>
      <w:jc w:val="center"/>
    </w:pPr>
    <w:rPr>
      <w:i/>
      <w:iCs/>
      <w:color w:val="404040" w:themeColor="text1" w:themeTint="BF"/>
    </w:rPr>
  </w:style>
  <w:style w:type="character" w:customStyle="1" w:styleId="QuoteChar">
    <w:name w:val="Quote Char"/>
    <w:basedOn w:val="DefaultParagraphFont"/>
    <w:link w:val="Quote"/>
    <w:uiPriority w:val="29"/>
    <w:rsid w:val="008A07A1"/>
    <w:rPr>
      <w:i/>
      <w:iCs/>
      <w:color w:val="404040" w:themeColor="text1" w:themeTint="BF"/>
    </w:rPr>
  </w:style>
  <w:style w:type="paragraph" w:styleId="ListParagraph">
    <w:name w:val="List Paragraph"/>
    <w:basedOn w:val="Normal"/>
    <w:uiPriority w:val="34"/>
    <w:qFormat/>
    <w:rsid w:val="008A07A1"/>
    <w:pPr>
      <w:ind w:left="720"/>
      <w:contextualSpacing/>
    </w:pPr>
  </w:style>
  <w:style w:type="character" w:styleId="IntenseEmphasis">
    <w:name w:val="Intense Emphasis"/>
    <w:basedOn w:val="DefaultParagraphFont"/>
    <w:uiPriority w:val="21"/>
    <w:qFormat/>
    <w:rsid w:val="008A07A1"/>
    <w:rPr>
      <w:i/>
      <w:iCs/>
      <w:color w:val="0F4761" w:themeColor="accent1" w:themeShade="BF"/>
    </w:rPr>
  </w:style>
  <w:style w:type="paragraph" w:styleId="IntenseQuote">
    <w:name w:val="Intense Quote"/>
    <w:basedOn w:val="Normal"/>
    <w:next w:val="Normal"/>
    <w:link w:val="IntenseQuoteChar"/>
    <w:uiPriority w:val="30"/>
    <w:qFormat/>
    <w:rsid w:val="008A07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07A1"/>
    <w:rPr>
      <w:i/>
      <w:iCs/>
      <w:color w:val="0F4761" w:themeColor="accent1" w:themeShade="BF"/>
    </w:rPr>
  </w:style>
  <w:style w:type="character" w:styleId="IntenseReference">
    <w:name w:val="Intense Reference"/>
    <w:basedOn w:val="DefaultParagraphFont"/>
    <w:uiPriority w:val="32"/>
    <w:qFormat/>
    <w:rsid w:val="008A07A1"/>
    <w:rPr>
      <w:b/>
      <w:bCs/>
      <w:smallCaps/>
      <w:color w:val="0F4761" w:themeColor="accent1" w:themeShade="BF"/>
      <w:spacing w:val="5"/>
    </w:rPr>
  </w:style>
  <w:style w:type="character" w:styleId="Hyperlink">
    <w:name w:val="Hyperlink"/>
    <w:basedOn w:val="DefaultParagraphFont"/>
    <w:uiPriority w:val="99"/>
    <w:unhideWhenUsed/>
    <w:rsid w:val="008A07A1"/>
    <w:rPr>
      <w:color w:val="467886" w:themeColor="hyperlink"/>
      <w:u w:val="single"/>
    </w:rPr>
  </w:style>
  <w:style w:type="character" w:styleId="UnresolvedMention">
    <w:name w:val="Unresolved Mention"/>
    <w:basedOn w:val="DefaultParagraphFont"/>
    <w:uiPriority w:val="99"/>
    <w:semiHidden/>
    <w:unhideWhenUsed/>
    <w:rsid w:val="008A07A1"/>
    <w:rPr>
      <w:color w:val="605E5C"/>
      <w:shd w:val="clear" w:color="auto" w:fill="E1DFDD"/>
    </w:rPr>
  </w:style>
  <w:style w:type="table" w:customStyle="1" w:styleId="TableGrid">
    <w:name w:val="TableGrid"/>
    <w:rsid w:val="00A21449"/>
    <w:pPr>
      <w:spacing w:after="0" w:line="240" w:lineRule="auto"/>
    </w:pPr>
    <w:rPr>
      <w:rFonts w:eastAsiaTheme="minorEastAsia"/>
      <w:kern w:val="0"/>
      <w:lang w:val="fr-FR" w:eastAsia="fr-FR"/>
      <w14:ligatures w14:val="none"/>
    </w:rPr>
    <w:tblPr>
      <w:tblCellMar>
        <w:top w:w="0" w:type="dxa"/>
        <w:left w:w="0" w:type="dxa"/>
        <w:bottom w:w="0" w:type="dxa"/>
        <w:right w:w="0" w:type="dxa"/>
      </w:tblCellMar>
    </w:tblPr>
  </w:style>
  <w:style w:type="table" w:styleId="TableGrid0">
    <w:name w:val="Table Grid"/>
    <w:basedOn w:val="TableNormal"/>
    <w:uiPriority w:val="59"/>
    <w:rsid w:val="00A90CDD"/>
    <w:pPr>
      <w:spacing w:after="0" w:line="240" w:lineRule="auto"/>
    </w:pPr>
    <w:rPr>
      <w:rFonts w:ascii="Calibri" w:eastAsia="Calibri" w:hAnsi="Calibri" w:cs="Times New Roman"/>
      <w:kern w:val="0"/>
      <w:sz w:val="20"/>
      <w:szCs w:val="20"/>
      <w:lang w:val="fr-FR" w:eastAsia="fr-F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220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202A"/>
  </w:style>
  <w:style w:type="paragraph" w:styleId="Footer">
    <w:name w:val="footer"/>
    <w:basedOn w:val="Normal"/>
    <w:link w:val="FooterChar"/>
    <w:uiPriority w:val="99"/>
    <w:unhideWhenUsed/>
    <w:rsid w:val="003220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202A"/>
  </w:style>
  <w:style w:type="paragraph" w:styleId="NoSpacing">
    <w:name w:val="No Spacing"/>
    <w:uiPriority w:val="1"/>
    <w:qFormat/>
    <w:rsid w:val="00373CBE"/>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18" Type="http://schemas.openxmlformats.org/officeDocument/2006/relationships/chart" Target="charts/chart5.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oter" Target="footer2.xml"/><Relationship Id="rId17" Type="http://schemas.openxmlformats.org/officeDocument/2006/relationships/chart" Target="charts/chart4.xml"/><Relationship Id="rId2" Type="http://schemas.openxmlformats.org/officeDocument/2006/relationships/settings" Target="settings.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chart" Target="charts/chart2.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b="1">
                <a:solidFill>
                  <a:sysClr val="windowText" lastClr="000000"/>
                </a:solidFill>
                <a:latin typeface="Times New Roman" panose="02020603050405020304" pitchFamily="18" charset="0"/>
                <a:cs typeface="Times New Roman" panose="02020603050405020304" pitchFamily="18" charset="0"/>
              </a:rPr>
              <a:t>Copper</a:t>
            </a:r>
          </a:p>
        </c:rich>
      </c:tx>
      <c:overlay val="0"/>
      <c:spPr>
        <a:noFill/>
        <a:ln>
          <a:noFill/>
        </a:ln>
        <a:effectLst/>
      </c:spPr>
    </c:title>
    <c:autoTitleDeleted val="0"/>
    <c:plotArea>
      <c:layout/>
      <c:scatterChart>
        <c:scatterStyle val="lineMarker"/>
        <c:varyColors val="0"/>
        <c:ser>
          <c:idx val="0"/>
          <c:order val="0"/>
          <c:tx>
            <c:strRef>
              <c:f>Cuivre!$B$1</c:f>
              <c:strCache>
                <c:ptCount val="1"/>
                <c:pt idx="0">
                  <c:v>Cu</c:v>
                </c:pt>
              </c:strCache>
            </c:strRef>
          </c:tx>
          <c:spPr>
            <a:ln w="19050" cap="rnd">
              <a:noFill/>
              <a:round/>
            </a:ln>
            <a:effectLst/>
          </c:spPr>
          <c:marker>
            <c:symbol val="circle"/>
            <c:size val="5"/>
            <c:spPr>
              <a:solidFill>
                <a:schemeClr val="accent1"/>
              </a:solidFill>
              <a:ln w="9525">
                <a:solidFill>
                  <a:schemeClr val="accent1"/>
                </a:solidFill>
              </a:ln>
              <a:effectLst/>
            </c:spPr>
          </c:marker>
          <c:xVal>
            <c:strRef>
              <c:f>Cuivre!$A$2:$A$7</c:f>
              <c:strCache>
                <c:ptCount val="6"/>
                <c:pt idx="0">
                  <c:v>bananier</c:v>
                </c:pt>
                <c:pt idx="1">
                  <c:v>Qi5 bis</c:v>
                </c:pt>
                <c:pt idx="2">
                  <c:v>Mouillage</c:v>
                </c:pt>
                <c:pt idx="3">
                  <c:v>Mol port</c:v>
                </c:pt>
                <c:pt idx="4">
                  <c:v>Carena</c:v>
                </c:pt>
                <c:pt idx="5">
                  <c:v>Pont FHB</c:v>
                </c:pt>
              </c:strCache>
            </c:strRef>
          </c:xVal>
          <c:yVal>
            <c:numRef>
              <c:f>Cuivre!$B$2:$B$7</c:f>
              <c:numCache>
                <c:formatCode>General</c:formatCode>
                <c:ptCount val="6"/>
                <c:pt idx="0">
                  <c:v>13.239999999999998</c:v>
                </c:pt>
                <c:pt idx="1">
                  <c:v>7.1949999999999994</c:v>
                </c:pt>
                <c:pt idx="2">
                  <c:v>528.79999999999995</c:v>
                </c:pt>
                <c:pt idx="3">
                  <c:v>11.18</c:v>
                </c:pt>
                <c:pt idx="4">
                  <c:v>4.2489999999999997</c:v>
                </c:pt>
                <c:pt idx="5">
                  <c:v>2.718</c:v>
                </c:pt>
              </c:numCache>
            </c:numRef>
          </c:yVal>
          <c:smooth val="0"/>
          <c:extLst>
            <c:ext xmlns:c16="http://schemas.microsoft.com/office/drawing/2014/chart" uri="{C3380CC4-5D6E-409C-BE32-E72D297353CC}">
              <c16:uniqueId val="{00000000-F2EC-4FA2-9A28-D396ECBE1FB6}"/>
            </c:ext>
          </c:extLst>
        </c:ser>
        <c:ser>
          <c:idx val="1"/>
          <c:order val="1"/>
          <c:tx>
            <c:strRef>
              <c:f>Cuivre!$C$1</c:f>
              <c:strCache>
                <c:ptCount val="1"/>
                <c:pt idx="0">
                  <c:v>Tec</c:v>
                </c:pt>
              </c:strCache>
            </c:strRef>
          </c:tx>
          <c:spPr>
            <a:ln w="19050" cap="rnd">
              <a:solidFill>
                <a:schemeClr val="tx1"/>
              </a:solidFill>
              <a:prstDash val="sysDash"/>
              <a:round/>
            </a:ln>
            <a:effectLst/>
          </c:spPr>
          <c:marker>
            <c:symbol val="none"/>
          </c:marker>
          <c:xVal>
            <c:strRef>
              <c:f>Cuivre!$A$2:$A$7</c:f>
              <c:strCache>
                <c:ptCount val="6"/>
                <c:pt idx="0">
                  <c:v>bananier</c:v>
                </c:pt>
                <c:pt idx="1">
                  <c:v>Qi5 bis</c:v>
                </c:pt>
                <c:pt idx="2">
                  <c:v>Mouillage</c:v>
                </c:pt>
                <c:pt idx="3">
                  <c:v>Mol port</c:v>
                </c:pt>
                <c:pt idx="4">
                  <c:v>Carena</c:v>
                </c:pt>
                <c:pt idx="5">
                  <c:v>Pont FHB</c:v>
                </c:pt>
              </c:strCache>
            </c:strRef>
          </c:xVal>
          <c:yVal>
            <c:numRef>
              <c:f>Cuivre!$C$2:$C$7</c:f>
              <c:numCache>
                <c:formatCode>General</c:formatCode>
                <c:ptCount val="6"/>
                <c:pt idx="0">
                  <c:v>31.6</c:v>
                </c:pt>
                <c:pt idx="1">
                  <c:v>31.6</c:v>
                </c:pt>
                <c:pt idx="2">
                  <c:v>31.6</c:v>
                </c:pt>
                <c:pt idx="3">
                  <c:v>31.6</c:v>
                </c:pt>
                <c:pt idx="4">
                  <c:v>31.6</c:v>
                </c:pt>
                <c:pt idx="5">
                  <c:v>31.6</c:v>
                </c:pt>
              </c:numCache>
            </c:numRef>
          </c:yVal>
          <c:smooth val="0"/>
          <c:extLst>
            <c:ext xmlns:c16="http://schemas.microsoft.com/office/drawing/2014/chart" uri="{C3380CC4-5D6E-409C-BE32-E72D297353CC}">
              <c16:uniqueId val="{00000001-F2EC-4FA2-9A28-D396ECBE1FB6}"/>
            </c:ext>
          </c:extLst>
        </c:ser>
        <c:ser>
          <c:idx val="2"/>
          <c:order val="2"/>
          <c:tx>
            <c:strRef>
              <c:f>Cuivre!$D$1</c:f>
              <c:strCache>
                <c:ptCount val="1"/>
                <c:pt idx="0">
                  <c:v>Pec</c:v>
                </c:pt>
              </c:strCache>
            </c:strRef>
          </c:tx>
          <c:spPr>
            <a:ln w="19050" cap="rnd">
              <a:solidFill>
                <a:schemeClr val="accent3"/>
              </a:solidFill>
              <a:round/>
            </a:ln>
            <a:effectLst/>
          </c:spPr>
          <c:marker>
            <c:symbol val="none"/>
          </c:marker>
          <c:xVal>
            <c:strRef>
              <c:f>Cuivre!$A$2:$A$7</c:f>
              <c:strCache>
                <c:ptCount val="6"/>
                <c:pt idx="0">
                  <c:v>bananier</c:v>
                </c:pt>
                <c:pt idx="1">
                  <c:v>Qi5 bis</c:v>
                </c:pt>
                <c:pt idx="2">
                  <c:v>Mouillage</c:v>
                </c:pt>
                <c:pt idx="3">
                  <c:v>Mol port</c:v>
                </c:pt>
                <c:pt idx="4">
                  <c:v>Carena</c:v>
                </c:pt>
                <c:pt idx="5">
                  <c:v>Pont FHB</c:v>
                </c:pt>
              </c:strCache>
            </c:strRef>
          </c:xVal>
          <c:yVal>
            <c:numRef>
              <c:f>Cuivre!$D$2:$D$7</c:f>
              <c:numCache>
                <c:formatCode>General</c:formatCode>
                <c:ptCount val="6"/>
                <c:pt idx="0">
                  <c:v>149</c:v>
                </c:pt>
                <c:pt idx="1">
                  <c:v>149</c:v>
                </c:pt>
                <c:pt idx="2">
                  <c:v>149</c:v>
                </c:pt>
                <c:pt idx="3">
                  <c:v>149</c:v>
                </c:pt>
                <c:pt idx="4">
                  <c:v>149</c:v>
                </c:pt>
                <c:pt idx="5">
                  <c:v>149</c:v>
                </c:pt>
              </c:numCache>
            </c:numRef>
          </c:yVal>
          <c:smooth val="0"/>
          <c:extLst>
            <c:ext xmlns:c16="http://schemas.microsoft.com/office/drawing/2014/chart" uri="{C3380CC4-5D6E-409C-BE32-E72D297353CC}">
              <c16:uniqueId val="{00000002-F2EC-4FA2-9A28-D396ECBE1FB6}"/>
            </c:ext>
          </c:extLst>
        </c:ser>
        <c:dLbls>
          <c:showLegendKey val="0"/>
          <c:showVal val="0"/>
          <c:showCatName val="0"/>
          <c:showSerName val="0"/>
          <c:showPercent val="0"/>
          <c:showBubbleSize val="0"/>
        </c:dLbls>
        <c:axId val="-1787752032"/>
        <c:axId val="-1787747680"/>
      </c:scatterChart>
      <c:valAx>
        <c:axId val="-17877520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sz="1200">
                    <a:latin typeface="Times New Roman" panose="02020603050405020304" pitchFamily="18" charset="0"/>
                    <a:cs typeface="Times New Roman" panose="02020603050405020304" pitchFamily="18" charset="0"/>
                  </a:rPr>
                  <a:t>Echantillons</a:t>
                </a:r>
              </a:p>
            </c:rich>
          </c:tx>
          <c:overlay val="0"/>
          <c:spPr>
            <a:noFill/>
            <a:ln>
              <a:noFill/>
            </a:ln>
            <a:effectLst/>
          </c:sp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47680"/>
        <c:crosses val="autoZero"/>
        <c:crossBetween val="midCat"/>
      </c:valAx>
      <c:valAx>
        <c:axId val="-1787747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sz="1200">
                    <a:latin typeface="Times New Roman" panose="02020603050405020304" pitchFamily="18" charset="0"/>
                    <a:cs typeface="Times New Roman" panose="02020603050405020304" pitchFamily="18" charset="0"/>
                  </a:rPr>
                  <a:t>Concentration en </a:t>
                </a:r>
                <a:r>
                  <a:rPr lang="fr-FR" sz="1200" b="0" i="0" u="none" strike="noStrike" baseline="0">
                    <a:effectLst/>
                    <a:latin typeface="Times New Roman" panose="02020603050405020304" pitchFamily="18" charset="0"/>
                    <a:cs typeface="Times New Roman" panose="02020603050405020304" pitchFamily="18" charset="0"/>
                  </a:rPr>
                  <a:t>(mg/kg) </a:t>
                </a:r>
                <a:endParaRPr lang="fr-CI" sz="12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5203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CI" sz="1200" b="1">
                <a:latin typeface="Times New Roman" panose="02020603050405020304" pitchFamily="18" charset="0"/>
                <a:cs typeface="Times New Roman" panose="02020603050405020304" pitchFamily="18" charset="0"/>
              </a:rPr>
              <a:t>Lead</a:t>
            </a:r>
          </a:p>
        </c:rich>
      </c:tx>
      <c:overlay val="0"/>
      <c:spPr>
        <a:noFill/>
        <a:ln>
          <a:noFill/>
        </a:ln>
        <a:effectLst/>
      </c:spPr>
    </c:title>
    <c:autoTitleDeleted val="0"/>
    <c:plotArea>
      <c:layout/>
      <c:scatterChart>
        <c:scatterStyle val="lineMarker"/>
        <c:varyColors val="0"/>
        <c:ser>
          <c:idx val="0"/>
          <c:order val="0"/>
          <c:tx>
            <c:v>Pb</c:v>
          </c:tx>
          <c:spPr>
            <a:ln w="25400" cap="rnd">
              <a:noFill/>
              <a:round/>
            </a:ln>
            <a:effectLst/>
          </c:spPr>
          <c:marker>
            <c:symbol val="circle"/>
            <c:size val="5"/>
            <c:spPr>
              <a:solidFill>
                <a:schemeClr val="accent1"/>
              </a:solidFill>
              <a:ln w="9525">
                <a:solidFill>
                  <a:schemeClr val="accent1"/>
                </a:solidFill>
              </a:ln>
              <a:effectLst/>
            </c:spPr>
          </c:marker>
          <c:xVal>
            <c:strRef>
              <c:f>Plomb!$A$2:$A$7</c:f>
              <c:strCache>
                <c:ptCount val="6"/>
                <c:pt idx="0">
                  <c:v>bananier</c:v>
                </c:pt>
                <c:pt idx="1">
                  <c:v>Qi5 bis</c:v>
                </c:pt>
                <c:pt idx="2">
                  <c:v>Mouillage</c:v>
                </c:pt>
                <c:pt idx="3">
                  <c:v>Mol port</c:v>
                </c:pt>
                <c:pt idx="4">
                  <c:v>Carena</c:v>
                </c:pt>
                <c:pt idx="5">
                  <c:v>Pont FHB</c:v>
                </c:pt>
              </c:strCache>
            </c:strRef>
          </c:xVal>
          <c:yVal>
            <c:numRef>
              <c:f>Plomb!$B$2:$B$7</c:f>
              <c:numCache>
                <c:formatCode>General</c:formatCode>
                <c:ptCount val="6"/>
                <c:pt idx="0">
                  <c:v>23.979999999999997</c:v>
                </c:pt>
                <c:pt idx="1">
                  <c:v>5.000000000000001E-3</c:v>
                </c:pt>
                <c:pt idx="2">
                  <c:v>5.000000000000001E-3</c:v>
                </c:pt>
                <c:pt idx="3">
                  <c:v>0.19400000000000001</c:v>
                </c:pt>
                <c:pt idx="4">
                  <c:v>9.5</c:v>
                </c:pt>
                <c:pt idx="5">
                  <c:v>5.000000000000001E-3</c:v>
                </c:pt>
              </c:numCache>
            </c:numRef>
          </c:yVal>
          <c:smooth val="0"/>
          <c:extLst>
            <c:ext xmlns:c16="http://schemas.microsoft.com/office/drawing/2014/chart" uri="{C3380CC4-5D6E-409C-BE32-E72D297353CC}">
              <c16:uniqueId val="{00000000-91C2-478F-B96B-A9CDA6E3495A}"/>
            </c:ext>
          </c:extLst>
        </c:ser>
        <c:ser>
          <c:idx val="1"/>
          <c:order val="1"/>
          <c:tx>
            <c:v>Tec</c:v>
          </c:tx>
          <c:spPr>
            <a:ln w="19050" cap="rnd">
              <a:solidFill>
                <a:schemeClr val="tx1"/>
              </a:solidFill>
              <a:prstDash val="sysDash"/>
              <a:round/>
            </a:ln>
            <a:effectLst/>
          </c:spPr>
          <c:marker>
            <c:symbol val="none"/>
          </c:marker>
          <c:xVal>
            <c:strRef>
              <c:f>Plomb!$A$2:$A$7</c:f>
              <c:strCache>
                <c:ptCount val="6"/>
                <c:pt idx="0">
                  <c:v>bananier</c:v>
                </c:pt>
                <c:pt idx="1">
                  <c:v>Qi5 bis</c:v>
                </c:pt>
                <c:pt idx="2">
                  <c:v>Mouillage</c:v>
                </c:pt>
                <c:pt idx="3">
                  <c:v>Mol port</c:v>
                </c:pt>
                <c:pt idx="4">
                  <c:v>Carena</c:v>
                </c:pt>
                <c:pt idx="5">
                  <c:v>Pont FHB</c:v>
                </c:pt>
              </c:strCache>
            </c:strRef>
          </c:xVal>
          <c:yVal>
            <c:numRef>
              <c:f>Plomb!$C$2:$C$7</c:f>
              <c:numCache>
                <c:formatCode>General</c:formatCode>
                <c:ptCount val="6"/>
                <c:pt idx="0">
                  <c:v>36</c:v>
                </c:pt>
                <c:pt idx="1">
                  <c:v>36</c:v>
                </c:pt>
                <c:pt idx="2">
                  <c:v>36</c:v>
                </c:pt>
                <c:pt idx="3">
                  <c:v>36</c:v>
                </c:pt>
                <c:pt idx="4">
                  <c:v>36</c:v>
                </c:pt>
                <c:pt idx="5">
                  <c:v>36</c:v>
                </c:pt>
              </c:numCache>
            </c:numRef>
          </c:yVal>
          <c:smooth val="0"/>
          <c:extLst>
            <c:ext xmlns:c16="http://schemas.microsoft.com/office/drawing/2014/chart" uri="{C3380CC4-5D6E-409C-BE32-E72D297353CC}">
              <c16:uniqueId val="{00000001-91C2-478F-B96B-A9CDA6E3495A}"/>
            </c:ext>
          </c:extLst>
        </c:ser>
        <c:ser>
          <c:idx val="2"/>
          <c:order val="2"/>
          <c:tx>
            <c:v>Pec</c:v>
          </c:tx>
          <c:spPr>
            <a:ln w="19050" cap="rnd">
              <a:solidFill>
                <a:schemeClr val="accent3"/>
              </a:solidFill>
              <a:round/>
            </a:ln>
            <a:effectLst/>
          </c:spPr>
          <c:marker>
            <c:symbol val="none"/>
          </c:marker>
          <c:xVal>
            <c:strRef>
              <c:f>Plomb!$A$2:$A$7</c:f>
              <c:strCache>
                <c:ptCount val="6"/>
                <c:pt idx="0">
                  <c:v>bananier</c:v>
                </c:pt>
                <c:pt idx="1">
                  <c:v>Qi5 bis</c:v>
                </c:pt>
                <c:pt idx="2">
                  <c:v>Mouillage</c:v>
                </c:pt>
                <c:pt idx="3">
                  <c:v>Mol port</c:v>
                </c:pt>
                <c:pt idx="4">
                  <c:v>Carena</c:v>
                </c:pt>
                <c:pt idx="5">
                  <c:v>Pont FHB</c:v>
                </c:pt>
              </c:strCache>
            </c:strRef>
          </c:xVal>
          <c:yVal>
            <c:numRef>
              <c:f>Plomb!$D$2:$D$7</c:f>
              <c:numCache>
                <c:formatCode>General</c:formatCode>
                <c:ptCount val="6"/>
                <c:pt idx="0">
                  <c:v>130</c:v>
                </c:pt>
                <c:pt idx="1">
                  <c:v>130</c:v>
                </c:pt>
                <c:pt idx="2">
                  <c:v>130</c:v>
                </c:pt>
                <c:pt idx="3">
                  <c:v>130</c:v>
                </c:pt>
                <c:pt idx="4">
                  <c:v>130</c:v>
                </c:pt>
                <c:pt idx="5">
                  <c:v>130</c:v>
                </c:pt>
              </c:numCache>
            </c:numRef>
          </c:yVal>
          <c:smooth val="0"/>
          <c:extLst>
            <c:ext xmlns:c16="http://schemas.microsoft.com/office/drawing/2014/chart" uri="{C3380CC4-5D6E-409C-BE32-E72D297353CC}">
              <c16:uniqueId val="{00000002-91C2-478F-B96B-A9CDA6E3495A}"/>
            </c:ext>
          </c:extLst>
        </c:ser>
        <c:dLbls>
          <c:showLegendKey val="0"/>
          <c:showVal val="0"/>
          <c:showCatName val="0"/>
          <c:showSerName val="0"/>
          <c:showPercent val="0"/>
          <c:showBubbleSize val="0"/>
        </c:dLbls>
        <c:axId val="-1787741696"/>
        <c:axId val="-1787738976"/>
      </c:scatterChart>
      <c:valAx>
        <c:axId val="-17877416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sz="1200">
                    <a:latin typeface="Times New Roman" panose="02020603050405020304" pitchFamily="18" charset="0"/>
                    <a:cs typeface="Times New Roman" panose="02020603050405020304" pitchFamily="18" charset="0"/>
                  </a:rPr>
                  <a:t>Echanatillons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38976"/>
        <c:crosses val="autoZero"/>
        <c:crossBetween val="midCat"/>
      </c:valAx>
      <c:valAx>
        <c:axId val="-17877389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sz="1200" b="0" i="0" baseline="0">
                    <a:effectLst/>
                    <a:latin typeface="Times New Roman" panose="02020603050405020304" pitchFamily="18" charset="0"/>
                    <a:cs typeface="Times New Roman" panose="02020603050405020304" pitchFamily="18" charset="0"/>
                  </a:rPr>
                  <a:t>Concentration en </a:t>
                </a:r>
                <a:r>
                  <a:rPr lang="fr-FR" sz="1200" b="0" i="0" baseline="0">
                    <a:effectLst/>
                    <a:latin typeface="Times New Roman" panose="02020603050405020304" pitchFamily="18" charset="0"/>
                    <a:cs typeface="Times New Roman" panose="02020603050405020304" pitchFamily="18" charset="0"/>
                  </a:rPr>
                  <a:t>(mg/kg) </a:t>
                </a:r>
                <a:endParaRPr lang="fr-CI" sz="1200" b="0" i="0" baseline="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4169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CI" sz="1200" b="1">
                <a:solidFill>
                  <a:sysClr val="windowText" lastClr="000000"/>
                </a:solidFill>
                <a:latin typeface="Times New Roman" panose="02020603050405020304" pitchFamily="18" charset="0"/>
                <a:cs typeface="Times New Roman" panose="02020603050405020304" pitchFamily="18" charset="0"/>
              </a:rPr>
              <a:t>Mercury</a:t>
            </a:r>
          </a:p>
        </c:rich>
      </c:tx>
      <c:overlay val="0"/>
      <c:spPr>
        <a:noFill/>
        <a:ln>
          <a:noFill/>
        </a:ln>
        <a:effectLst/>
      </c:spPr>
    </c:title>
    <c:autoTitleDeleted val="0"/>
    <c:plotArea>
      <c:layout>
        <c:manualLayout>
          <c:layoutTarget val="inner"/>
          <c:xMode val="edge"/>
          <c:yMode val="edge"/>
          <c:x val="0.10406908379071357"/>
          <c:y val="0.1738439032557976"/>
          <c:w val="0.75257945521232938"/>
          <c:h val="0.66525381942864081"/>
        </c:manualLayout>
      </c:layout>
      <c:scatterChart>
        <c:scatterStyle val="lineMarker"/>
        <c:varyColors val="0"/>
        <c:ser>
          <c:idx val="0"/>
          <c:order val="0"/>
          <c:tx>
            <c:strRef>
              <c:f>Mercure!$B$1</c:f>
              <c:strCache>
                <c:ptCount val="1"/>
                <c:pt idx="0">
                  <c:v>Hg</c:v>
                </c:pt>
              </c:strCache>
            </c:strRef>
          </c:tx>
          <c:spPr>
            <a:ln w="25400" cap="rnd">
              <a:noFill/>
              <a:round/>
            </a:ln>
            <a:effectLst/>
          </c:spPr>
          <c:marker>
            <c:symbol val="circle"/>
            <c:size val="5"/>
            <c:spPr>
              <a:solidFill>
                <a:schemeClr val="accent1"/>
              </a:solidFill>
              <a:ln w="9525">
                <a:solidFill>
                  <a:schemeClr val="accent1"/>
                </a:solidFill>
              </a:ln>
              <a:effectLst/>
            </c:spPr>
          </c:marker>
          <c:xVal>
            <c:strRef>
              <c:f>Mercure!$A$2:$A$7</c:f>
              <c:strCache>
                <c:ptCount val="6"/>
                <c:pt idx="0">
                  <c:v>bananier</c:v>
                </c:pt>
                <c:pt idx="1">
                  <c:v>Qi5 bis</c:v>
                </c:pt>
                <c:pt idx="2">
                  <c:v>Mouillage</c:v>
                </c:pt>
                <c:pt idx="3">
                  <c:v>Mol port</c:v>
                </c:pt>
                <c:pt idx="4">
                  <c:v>Carena</c:v>
                </c:pt>
                <c:pt idx="5">
                  <c:v>Pont FHB</c:v>
                </c:pt>
              </c:strCache>
            </c:strRef>
          </c:xVal>
          <c:yVal>
            <c:numRef>
              <c:f>Mercure!$B$2:$B$7</c:f>
              <c:numCache>
                <c:formatCode>General</c:formatCode>
                <c:ptCount val="6"/>
                <c:pt idx="0">
                  <c:v>1.0000000000000002E-4</c:v>
                </c:pt>
                <c:pt idx="1">
                  <c:v>1.0000000000000002E-4</c:v>
                </c:pt>
                <c:pt idx="2">
                  <c:v>1.0000000000000002E-4</c:v>
                </c:pt>
                <c:pt idx="3">
                  <c:v>1.0000000000000002E-4</c:v>
                </c:pt>
                <c:pt idx="4">
                  <c:v>1.0000000000000002E-4</c:v>
                </c:pt>
                <c:pt idx="5">
                  <c:v>1.0000000000000002E-4</c:v>
                </c:pt>
              </c:numCache>
            </c:numRef>
          </c:yVal>
          <c:smooth val="0"/>
          <c:extLst>
            <c:ext xmlns:c16="http://schemas.microsoft.com/office/drawing/2014/chart" uri="{C3380CC4-5D6E-409C-BE32-E72D297353CC}">
              <c16:uniqueId val="{00000000-F7C2-4E15-A23A-4BB48A4405A2}"/>
            </c:ext>
          </c:extLst>
        </c:ser>
        <c:ser>
          <c:idx val="1"/>
          <c:order val="1"/>
          <c:tx>
            <c:strRef>
              <c:f>Mercure!$C$1</c:f>
              <c:strCache>
                <c:ptCount val="1"/>
                <c:pt idx="0">
                  <c:v>Tec</c:v>
                </c:pt>
              </c:strCache>
            </c:strRef>
          </c:tx>
          <c:spPr>
            <a:ln w="19050" cap="rnd">
              <a:solidFill>
                <a:schemeClr val="tx1"/>
              </a:solidFill>
              <a:prstDash val="sysDash"/>
              <a:round/>
            </a:ln>
            <a:effectLst/>
          </c:spPr>
          <c:marker>
            <c:symbol val="none"/>
          </c:marker>
          <c:xVal>
            <c:strRef>
              <c:f>Mercure!$A$2:$A$7</c:f>
              <c:strCache>
                <c:ptCount val="6"/>
                <c:pt idx="0">
                  <c:v>bananier</c:v>
                </c:pt>
                <c:pt idx="1">
                  <c:v>Qi5 bis</c:v>
                </c:pt>
                <c:pt idx="2">
                  <c:v>Mouillage</c:v>
                </c:pt>
                <c:pt idx="3">
                  <c:v>Mol port</c:v>
                </c:pt>
                <c:pt idx="4">
                  <c:v>Carena</c:v>
                </c:pt>
                <c:pt idx="5">
                  <c:v>Pont FHB</c:v>
                </c:pt>
              </c:strCache>
            </c:strRef>
          </c:xVal>
          <c:yVal>
            <c:numRef>
              <c:f>Mercure!$C$2:$C$7</c:f>
              <c:numCache>
                <c:formatCode>General</c:formatCode>
                <c:ptCount val="6"/>
                <c:pt idx="0">
                  <c:v>0.18000000000000002</c:v>
                </c:pt>
                <c:pt idx="1">
                  <c:v>0.18000000000000002</c:v>
                </c:pt>
                <c:pt idx="2">
                  <c:v>0.18000000000000002</c:v>
                </c:pt>
                <c:pt idx="3">
                  <c:v>0.18000000000000002</c:v>
                </c:pt>
                <c:pt idx="4">
                  <c:v>0.18000000000000002</c:v>
                </c:pt>
                <c:pt idx="5">
                  <c:v>0.18000000000000002</c:v>
                </c:pt>
              </c:numCache>
            </c:numRef>
          </c:yVal>
          <c:smooth val="0"/>
          <c:extLst>
            <c:ext xmlns:c16="http://schemas.microsoft.com/office/drawing/2014/chart" uri="{C3380CC4-5D6E-409C-BE32-E72D297353CC}">
              <c16:uniqueId val="{00000001-F7C2-4E15-A23A-4BB48A4405A2}"/>
            </c:ext>
          </c:extLst>
        </c:ser>
        <c:ser>
          <c:idx val="2"/>
          <c:order val="2"/>
          <c:tx>
            <c:strRef>
              <c:f>Mercure!$D$1</c:f>
              <c:strCache>
                <c:ptCount val="1"/>
                <c:pt idx="0">
                  <c:v>Pec</c:v>
                </c:pt>
              </c:strCache>
            </c:strRef>
          </c:tx>
          <c:spPr>
            <a:ln w="19050" cap="rnd">
              <a:solidFill>
                <a:schemeClr val="accent3"/>
              </a:solidFill>
              <a:round/>
            </a:ln>
            <a:effectLst/>
          </c:spPr>
          <c:marker>
            <c:symbol val="none"/>
          </c:marker>
          <c:xVal>
            <c:strRef>
              <c:f>Mercure!$A$2:$A$7</c:f>
              <c:strCache>
                <c:ptCount val="6"/>
                <c:pt idx="0">
                  <c:v>bananier</c:v>
                </c:pt>
                <c:pt idx="1">
                  <c:v>Qi5 bis</c:v>
                </c:pt>
                <c:pt idx="2">
                  <c:v>Mouillage</c:v>
                </c:pt>
                <c:pt idx="3">
                  <c:v>Mol port</c:v>
                </c:pt>
                <c:pt idx="4">
                  <c:v>Carena</c:v>
                </c:pt>
                <c:pt idx="5">
                  <c:v>Pont FHB</c:v>
                </c:pt>
              </c:strCache>
            </c:strRef>
          </c:xVal>
          <c:yVal>
            <c:numRef>
              <c:f>Mercure!$D$2:$D$7</c:f>
              <c:numCache>
                <c:formatCode>General</c:formatCode>
                <c:ptCount val="6"/>
                <c:pt idx="0">
                  <c:v>1.06</c:v>
                </c:pt>
                <c:pt idx="1">
                  <c:v>1.06</c:v>
                </c:pt>
                <c:pt idx="2">
                  <c:v>1.06</c:v>
                </c:pt>
                <c:pt idx="3">
                  <c:v>1.06</c:v>
                </c:pt>
                <c:pt idx="4">
                  <c:v>1.06</c:v>
                </c:pt>
                <c:pt idx="5">
                  <c:v>1.06</c:v>
                </c:pt>
              </c:numCache>
            </c:numRef>
          </c:yVal>
          <c:smooth val="0"/>
          <c:extLst>
            <c:ext xmlns:c16="http://schemas.microsoft.com/office/drawing/2014/chart" uri="{C3380CC4-5D6E-409C-BE32-E72D297353CC}">
              <c16:uniqueId val="{00000002-F7C2-4E15-A23A-4BB48A4405A2}"/>
            </c:ext>
          </c:extLst>
        </c:ser>
        <c:dLbls>
          <c:showLegendKey val="0"/>
          <c:showVal val="0"/>
          <c:showCatName val="0"/>
          <c:showSerName val="0"/>
          <c:showPercent val="0"/>
          <c:showBubbleSize val="0"/>
        </c:dLbls>
        <c:axId val="-1787734624"/>
        <c:axId val="-1787756384"/>
      </c:scatterChart>
      <c:valAx>
        <c:axId val="-17877346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sz="1200">
                    <a:latin typeface="Times New Roman" panose="02020603050405020304" pitchFamily="18" charset="0"/>
                    <a:cs typeface="Times New Roman" panose="02020603050405020304" pitchFamily="18" charset="0"/>
                  </a:rPr>
                  <a:t>Echantillon</a:t>
                </a:r>
                <a:r>
                  <a:rPr lang="fr-CI"/>
                  <a:t>s</a:t>
                </a:r>
              </a:p>
            </c:rich>
          </c:tx>
          <c:overlay val="0"/>
          <c:spPr>
            <a:noFill/>
            <a:ln>
              <a:noFill/>
            </a:ln>
            <a:effectLst/>
          </c:sp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56384"/>
        <c:crosses val="autoZero"/>
        <c:crossBetween val="midCat"/>
      </c:valAx>
      <c:valAx>
        <c:axId val="-1787756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a:t>Concentration en (mg/kg)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3462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pPr>
      <a:endParaRPr lang="fr-F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b="1">
                <a:solidFill>
                  <a:sysClr val="windowText" lastClr="000000"/>
                </a:solidFill>
                <a:latin typeface="Times New Roman" panose="02020603050405020304" pitchFamily="18" charset="0"/>
                <a:cs typeface="Times New Roman" panose="02020603050405020304" pitchFamily="18" charset="0"/>
              </a:rPr>
              <a:t>Zinc</a:t>
            </a:r>
          </a:p>
        </c:rich>
      </c:tx>
      <c:overlay val="0"/>
      <c:spPr>
        <a:noFill/>
        <a:ln>
          <a:noFill/>
        </a:ln>
        <a:effectLst/>
      </c:spPr>
    </c:title>
    <c:autoTitleDeleted val="0"/>
    <c:plotArea>
      <c:layout/>
      <c:scatterChart>
        <c:scatterStyle val="lineMarker"/>
        <c:varyColors val="0"/>
        <c:ser>
          <c:idx val="0"/>
          <c:order val="0"/>
          <c:tx>
            <c:strRef>
              <c:f>Zinc!$B$1</c:f>
              <c:strCache>
                <c:ptCount val="1"/>
                <c:pt idx="0">
                  <c:v>Zn</c:v>
                </c:pt>
              </c:strCache>
            </c:strRef>
          </c:tx>
          <c:spPr>
            <a:ln w="19050" cap="rnd">
              <a:noFill/>
              <a:round/>
            </a:ln>
            <a:effectLst/>
          </c:spPr>
          <c:marker>
            <c:symbol val="circle"/>
            <c:size val="5"/>
            <c:spPr>
              <a:solidFill>
                <a:schemeClr val="accent1"/>
              </a:solidFill>
              <a:ln w="9525">
                <a:solidFill>
                  <a:schemeClr val="accent1"/>
                </a:solidFill>
              </a:ln>
              <a:effectLst/>
            </c:spPr>
          </c:marker>
          <c:xVal>
            <c:strRef>
              <c:f>Zinc!$A$2:$A$7</c:f>
              <c:strCache>
                <c:ptCount val="6"/>
                <c:pt idx="0">
                  <c:v>bananier</c:v>
                </c:pt>
                <c:pt idx="1">
                  <c:v>Qi5 bis</c:v>
                </c:pt>
                <c:pt idx="2">
                  <c:v>Mouillage</c:v>
                </c:pt>
                <c:pt idx="3">
                  <c:v>Mol port</c:v>
                </c:pt>
                <c:pt idx="4">
                  <c:v>Carena</c:v>
                </c:pt>
                <c:pt idx="5">
                  <c:v>Pont FHB</c:v>
                </c:pt>
              </c:strCache>
            </c:strRef>
          </c:xVal>
          <c:yVal>
            <c:numRef>
              <c:f>Zinc!$B$2:$B$7</c:f>
              <c:numCache>
                <c:formatCode>General</c:formatCode>
                <c:ptCount val="6"/>
                <c:pt idx="0">
                  <c:v>14.3</c:v>
                </c:pt>
                <c:pt idx="1">
                  <c:v>8.4920000000000027</c:v>
                </c:pt>
                <c:pt idx="2">
                  <c:v>681.5</c:v>
                </c:pt>
                <c:pt idx="3">
                  <c:v>29.36</c:v>
                </c:pt>
                <c:pt idx="4">
                  <c:v>2.637</c:v>
                </c:pt>
                <c:pt idx="5">
                  <c:v>1.373</c:v>
                </c:pt>
              </c:numCache>
            </c:numRef>
          </c:yVal>
          <c:smooth val="0"/>
          <c:extLst>
            <c:ext xmlns:c16="http://schemas.microsoft.com/office/drawing/2014/chart" uri="{C3380CC4-5D6E-409C-BE32-E72D297353CC}">
              <c16:uniqueId val="{00000000-81F7-4C91-91D5-E2AB8C61C7C4}"/>
            </c:ext>
          </c:extLst>
        </c:ser>
        <c:ser>
          <c:idx val="1"/>
          <c:order val="1"/>
          <c:tx>
            <c:strRef>
              <c:f>Zinc!$C$1</c:f>
              <c:strCache>
                <c:ptCount val="1"/>
                <c:pt idx="0">
                  <c:v>Tec</c:v>
                </c:pt>
              </c:strCache>
            </c:strRef>
          </c:tx>
          <c:spPr>
            <a:ln w="19050" cap="rnd">
              <a:solidFill>
                <a:schemeClr val="tx1"/>
              </a:solidFill>
              <a:prstDash val="sysDash"/>
              <a:round/>
            </a:ln>
            <a:effectLst/>
          </c:spPr>
          <c:marker>
            <c:symbol val="none"/>
          </c:marker>
          <c:xVal>
            <c:strRef>
              <c:f>Zinc!$A$2:$A$7</c:f>
              <c:strCache>
                <c:ptCount val="6"/>
                <c:pt idx="0">
                  <c:v>bananier</c:v>
                </c:pt>
                <c:pt idx="1">
                  <c:v>Qi5 bis</c:v>
                </c:pt>
                <c:pt idx="2">
                  <c:v>Mouillage</c:v>
                </c:pt>
                <c:pt idx="3">
                  <c:v>Mol port</c:v>
                </c:pt>
                <c:pt idx="4">
                  <c:v>Carena</c:v>
                </c:pt>
                <c:pt idx="5">
                  <c:v>Pont FHB</c:v>
                </c:pt>
              </c:strCache>
            </c:strRef>
          </c:xVal>
          <c:yVal>
            <c:numRef>
              <c:f>Zinc!$C$2:$C$7</c:f>
              <c:numCache>
                <c:formatCode>General</c:formatCode>
                <c:ptCount val="6"/>
                <c:pt idx="0">
                  <c:v>121</c:v>
                </c:pt>
                <c:pt idx="1">
                  <c:v>121</c:v>
                </c:pt>
                <c:pt idx="2">
                  <c:v>121</c:v>
                </c:pt>
                <c:pt idx="3">
                  <c:v>121</c:v>
                </c:pt>
                <c:pt idx="4">
                  <c:v>121</c:v>
                </c:pt>
                <c:pt idx="5">
                  <c:v>121</c:v>
                </c:pt>
              </c:numCache>
            </c:numRef>
          </c:yVal>
          <c:smooth val="0"/>
          <c:extLst>
            <c:ext xmlns:c16="http://schemas.microsoft.com/office/drawing/2014/chart" uri="{C3380CC4-5D6E-409C-BE32-E72D297353CC}">
              <c16:uniqueId val="{00000001-81F7-4C91-91D5-E2AB8C61C7C4}"/>
            </c:ext>
          </c:extLst>
        </c:ser>
        <c:ser>
          <c:idx val="2"/>
          <c:order val="2"/>
          <c:tx>
            <c:strRef>
              <c:f>Zinc!$D$1</c:f>
              <c:strCache>
                <c:ptCount val="1"/>
                <c:pt idx="0">
                  <c:v>Pec</c:v>
                </c:pt>
              </c:strCache>
            </c:strRef>
          </c:tx>
          <c:spPr>
            <a:ln w="19050" cap="rnd">
              <a:solidFill>
                <a:schemeClr val="accent3"/>
              </a:solidFill>
              <a:round/>
            </a:ln>
            <a:effectLst/>
          </c:spPr>
          <c:marker>
            <c:symbol val="none"/>
          </c:marker>
          <c:xVal>
            <c:strRef>
              <c:f>Zinc!$A$2:$A$7</c:f>
              <c:strCache>
                <c:ptCount val="6"/>
                <c:pt idx="0">
                  <c:v>bananier</c:v>
                </c:pt>
                <c:pt idx="1">
                  <c:v>Qi5 bis</c:v>
                </c:pt>
                <c:pt idx="2">
                  <c:v>Mouillage</c:v>
                </c:pt>
                <c:pt idx="3">
                  <c:v>Mol port</c:v>
                </c:pt>
                <c:pt idx="4">
                  <c:v>Carena</c:v>
                </c:pt>
                <c:pt idx="5">
                  <c:v>Pont FHB</c:v>
                </c:pt>
              </c:strCache>
            </c:strRef>
          </c:xVal>
          <c:yVal>
            <c:numRef>
              <c:f>Zinc!$D$2:$D$7</c:f>
              <c:numCache>
                <c:formatCode>General</c:formatCode>
                <c:ptCount val="6"/>
                <c:pt idx="0">
                  <c:v>459</c:v>
                </c:pt>
                <c:pt idx="1">
                  <c:v>459</c:v>
                </c:pt>
                <c:pt idx="2">
                  <c:v>459</c:v>
                </c:pt>
                <c:pt idx="3">
                  <c:v>459</c:v>
                </c:pt>
                <c:pt idx="4">
                  <c:v>459</c:v>
                </c:pt>
                <c:pt idx="5">
                  <c:v>459</c:v>
                </c:pt>
              </c:numCache>
            </c:numRef>
          </c:yVal>
          <c:smooth val="0"/>
          <c:extLst>
            <c:ext xmlns:c16="http://schemas.microsoft.com/office/drawing/2014/chart" uri="{C3380CC4-5D6E-409C-BE32-E72D297353CC}">
              <c16:uniqueId val="{00000002-81F7-4C91-91D5-E2AB8C61C7C4}"/>
            </c:ext>
          </c:extLst>
        </c:ser>
        <c:dLbls>
          <c:showLegendKey val="0"/>
          <c:showVal val="0"/>
          <c:showCatName val="0"/>
          <c:showSerName val="0"/>
          <c:showPercent val="0"/>
          <c:showBubbleSize val="0"/>
        </c:dLbls>
        <c:axId val="-1787754208"/>
        <c:axId val="-1787742240"/>
      </c:scatterChart>
      <c:valAx>
        <c:axId val="-17877542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sz="1200">
                    <a:latin typeface="Times New Roman" panose="02020603050405020304" pitchFamily="18" charset="0"/>
                    <a:cs typeface="Times New Roman" panose="02020603050405020304" pitchFamily="18" charset="0"/>
                  </a:rPr>
                  <a:t>Echantillon</a:t>
                </a:r>
                <a:r>
                  <a:rPr lang="fr-CI"/>
                  <a:t>s</a:t>
                </a:r>
              </a:p>
            </c:rich>
          </c:tx>
          <c:overlay val="0"/>
          <c:spPr>
            <a:noFill/>
            <a:ln>
              <a:noFill/>
            </a:ln>
            <a:effectLst/>
          </c:sp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42240"/>
        <c:crosses val="autoZero"/>
        <c:crossBetween val="midCat"/>
      </c:valAx>
      <c:valAx>
        <c:axId val="-1787742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sz="1200">
                    <a:latin typeface="Times New Roman" panose="02020603050405020304" pitchFamily="18" charset="0"/>
                    <a:cs typeface="Times New Roman" panose="02020603050405020304" pitchFamily="18" charset="0"/>
                  </a:rPr>
                  <a:t>Concentration en (mg/kg)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5420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fr-F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sz="1200" b="1">
                <a:solidFill>
                  <a:sysClr val="windowText" lastClr="000000"/>
                </a:solidFill>
                <a:latin typeface="Times New Roman" panose="02020603050405020304" pitchFamily="18" charset="0"/>
                <a:cs typeface="Times New Roman" panose="02020603050405020304" pitchFamily="18" charset="0"/>
              </a:rPr>
              <a:t>Arsenic</a:t>
            </a:r>
          </a:p>
        </c:rich>
      </c:tx>
      <c:layout>
        <c:manualLayout>
          <c:xMode val="edge"/>
          <c:yMode val="edge"/>
          <c:x val="0.42254402226984938"/>
          <c:y val="3.6307053941908717E-2"/>
        </c:manualLayout>
      </c:layout>
      <c:overlay val="0"/>
      <c:spPr>
        <a:noFill/>
        <a:ln>
          <a:noFill/>
        </a:ln>
        <a:effectLst/>
      </c:spPr>
    </c:title>
    <c:autoTitleDeleted val="0"/>
    <c:plotArea>
      <c:layout/>
      <c:scatterChart>
        <c:scatterStyle val="lineMarker"/>
        <c:varyColors val="0"/>
        <c:ser>
          <c:idx val="0"/>
          <c:order val="0"/>
          <c:tx>
            <c:strRef>
              <c:f>Arsenic!$B$1</c:f>
              <c:strCache>
                <c:ptCount val="1"/>
                <c:pt idx="0">
                  <c:v>As</c:v>
                </c:pt>
              </c:strCache>
            </c:strRef>
          </c:tx>
          <c:spPr>
            <a:ln w="25400" cap="rnd">
              <a:noFill/>
              <a:round/>
            </a:ln>
            <a:effectLst/>
          </c:spPr>
          <c:marker>
            <c:symbol val="circle"/>
            <c:size val="5"/>
            <c:spPr>
              <a:solidFill>
                <a:schemeClr val="accent1"/>
              </a:solidFill>
              <a:ln w="9525">
                <a:solidFill>
                  <a:schemeClr val="accent1"/>
                </a:solidFill>
              </a:ln>
              <a:effectLst/>
            </c:spPr>
          </c:marker>
          <c:xVal>
            <c:strRef>
              <c:f>Arsenic!$A$2:$A$7</c:f>
              <c:strCache>
                <c:ptCount val="6"/>
                <c:pt idx="0">
                  <c:v>bananier</c:v>
                </c:pt>
                <c:pt idx="1">
                  <c:v>Qi5 bis</c:v>
                </c:pt>
                <c:pt idx="2">
                  <c:v>Mouillage</c:v>
                </c:pt>
                <c:pt idx="3">
                  <c:v>Mol port</c:v>
                </c:pt>
                <c:pt idx="4">
                  <c:v>Carena</c:v>
                </c:pt>
                <c:pt idx="5">
                  <c:v>Pont FHB</c:v>
                </c:pt>
              </c:strCache>
            </c:strRef>
          </c:xVal>
          <c:yVal>
            <c:numRef>
              <c:f>Arsenic!$B$2:$B$7</c:f>
              <c:numCache>
                <c:formatCode>General</c:formatCode>
                <c:ptCount val="6"/>
                <c:pt idx="0">
                  <c:v>5.0000000000000012E-4</c:v>
                </c:pt>
                <c:pt idx="1">
                  <c:v>5.0000000000000012E-4</c:v>
                </c:pt>
                <c:pt idx="2">
                  <c:v>5.0000000000000012E-4</c:v>
                </c:pt>
                <c:pt idx="3">
                  <c:v>5.0000000000000012E-4</c:v>
                </c:pt>
                <c:pt idx="4">
                  <c:v>5.0000000000000012E-4</c:v>
                </c:pt>
                <c:pt idx="5">
                  <c:v>5.0000000000000012E-4</c:v>
                </c:pt>
              </c:numCache>
            </c:numRef>
          </c:yVal>
          <c:smooth val="0"/>
          <c:extLst>
            <c:ext xmlns:c16="http://schemas.microsoft.com/office/drawing/2014/chart" uri="{C3380CC4-5D6E-409C-BE32-E72D297353CC}">
              <c16:uniqueId val="{00000000-C4BF-46D0-BB11-A7F1CF5EECBF}"/>
            </c:ext>
          </c:extLst>
        </c:ser>
        <c:ser>
          <c:idx val="1"/>
          <c:order val="1"/>
          <c:tx>
            <c:strRef>
              <c:f>Arsenic!$C$1</c:f>
              <c:strCache>
                <c:ptCount val="1"/>
                <c:pt idx="0">
                  <c:v>Tec</c:v>
                </c:pt>
              </c:strCache>
            </c:strRef>
          </c:tx>
          <c:spPr>
            <a:ln w="19050" cap="rnd">
              <a:solidFill>
                <a:schemeClr val="tx1"/>
              </a:solidFill>
              <a:prstDash val="sysDash"/>
              <a:round/>
            </a:ln>
            <a:effectLst/>
          </c:spPr>
          <c:marker>
            <c:symbol val="none"/>
          </c:marker>
          <c:xVal>
            <c:strRef>
              <c:f>Arsenic!$A$2:$A$7</c:f>
              <c:strCache>
                <c:ptCount val="6"/>
                <c:pt idx="0">
                  <c:v>bananier</c:v>
                </c:pt>
                <c:pt idx="1">
                  <c:v>Qi5 bis</c:v>
                </c:pt>
                <c:pt idx="2">
                  <c:v>Mouillage</c:v>
                </c:pt>
                <c:pt idx="3">
                  <c:v>Mol port</c:v>
                </c:pt>
                <c:pt idx="4">
                  <c:v>Carena</c:v>
                </c:pt>
                <c:pt idx="5">
                  <c:v>Pont FHB</c:v>
                </c:pt>
              </c:strCache>
            </c:strRef>
          </c:xVal>
          <c:yVal>
            <c:numRef>
              <c:f>Arsenic!$C$2:$C$7</c:f>
              <c:numCache>
                <c:formatCode>General</c:formatCode>
                <c:ptCount val="6"/>
                <c:pt idx="0">
                  <c:v>9.7900000000000009</c:v>
                </c:pt>
                <c:pt idx="1">
                  <c:v>9.7900000000000009</c:v>
                </c:pt>
                <c:pt idx="2">
                  <c:v>9.7900000000000009</c:v>
                </c:pt>
                <c:pt idx="3">
                  <c:v>9.7900000000000009</c:v>
                </c:pt>
                <c:pt idx="4">
                  <c:v>9.7900000000000009</c:v>
                </c:pt>
                <c:pt idx="5">
                  <c:v>9.7900000000000009</c:v>
                </c:pt>
              </c:numCache>
            </c:numRef>
          </c:yVal>
          <c:smooth val="0"/>
          <c:extLst>
            <c:ext xmlns:c16="http://schemas.microsoft.com/office/drawing/2014/chart" uri="{C3380CC4-5D6E-409C-BE32-E72D297353CC}">
              <c16:uniqueId val="{00000001-C4BF-46D0-BB11-A7F1CF5EECBF}"/>
            </c:ext>
          </c:extLst>
        </c:ser>
        <c:ser>
          <c:idx val="2"/>
          <c:order val="2"/>
          <c:tx>
            <c:strRef>
              <c:f>Arsenic!$D$1</c:f>
              <c:strCache>
                <c:ptCount val="1"/>
                <c:pt idx="0">
                  <c:v>Pec</c:v>
                </c:pt>
              </c:strCache>
            </c:strRef>
          </c:tx>
          <c:spPr>
            <a:ln w="19050" cap="rnd">
              <a:solidFill>
                <a:schemeClr val="accent3"/>
              </a:solidFill>
              <a:round/>
            </a:ln>
            <a:effectLst/>
          </c:spPr>
          <c:marker>
            <c:symbol val="none"/>
          </c:marker>
          <c:xVal>
            <c:strRef>
              <c:f>Arsenic!$A$2:$A$7</c:f>
              <c:strCache>
                <c:ptCount val="6"/>
                <c:pt idx="0">
                  <c:v>bananier</c:v>
                </c:pt>
                <c:pt idx="1">
                  <c:v>Qi5 bis</c:v>
                </c:pt>
                <c:pt idx="2">
                  <c:v>Mouillage</c:v>
                </c:pt>
                <c:pt idx="3">
                  <c:v>Mol port</c:v>
                </c:pt>
                <c:pt idx="4">
                  <c:v>Carena</c:v>
                </c:pt>
                <c:pt idx="5">
                  <c:v>Pont FHB</c:v>
                </c:pt>
              </c:strCache>
            </c:strRef>
          </c:xVal>
          <c:yVal>
            <c:numRef>
              <c:f>Arsenic!$D$2:$D$7</c:f>
              <c:numCache>
                <c:formatCode>General</c:formatCode>
                <c:ptCount val="6"/>
                <c:pt idx="0">
                  <c:v>33</c:v>
                </c:pt>
                <c:pt idx="1">
                  <c:v>33</c:v>
                </c:pt>
                <c:pt idx="2">
                  <c:v>33</c:v>
                </c:pt>
                <c:pt idx="3">
                  <c:v>33</c:v>
                </c:pt>
                <c:pt idx="4">
                  <c:v>33</c:v>
                </c:pt>
                <c:pt idx="5">
                  <c:v>33</c:v>
                </c:pt>
              </c:numCache>
            </c:numRef>
          </c:yVal>
          <c:smooth val="0"/>
          <c:extLst>
            <c:ext xmlns:c16="http://schemas.microsoft.com/office/drawing/2014/chart" uri="{C3380CC4-5D6E-409C-BE32-E72D297353CC}">
              <c16:uniqueId val="{00000002-C4BF-46D0-BB11-A7F1CF5EECBF}"/>
            </c:ext>
          </c:extLst>
        </c:ser>
        <c:dLbls>
          <c:showLegendKey val="0"/>
          <c:showVal val="0"/>
          <c:showCatName val="0"/>
          <c:showSerName val="0"/>
          <c:showPercent val="0"/>
          <c:showBubbleSize val="0"/>
        </c:dLbls>
        <c:axId val="-1787732448"/>
        <c:axId val="-1787758016"/>
      </c:scatterChart>
      <c:valAx>
        <c:axId val="-17877324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sz="1200">
                    <a:latin typeface="Times New Roman" panose="02020603050405020304" pitchFamily="18" charset="0"/>
                    <a:cs typeface="Times New Roman" panose="02020603050405020304" pitchFamily="18" charset="0"/>
                  </a:rPr>
                  <a:t>Echantillons</a:t>
                </a:r>
              </a:p>
            </c:rich>
          </c:tx>
          <c:overlay val="0"/>
          <c:spPr>
            <a:noFill/>
            <a:ln>
              <a:noFill/>
            </a:ln>
            <a:effectLst/>
          </c:spPr>
        </c:title>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58016"/>
        <c:crosses val="autoZero"/>
        <c:crossBetween val="midCat"/>
      </c:valAx>
      <c:valAx>
        <c:axId val="-1787758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CI" sz="1200">
                    <a:latin typeface="Times New Roman" panose="02020603050405020304" pitchFamily="18" charset="0"/>
                    <a:cs typeface="Times New Roman" panose="02020603050405020304" pitchFamily="18" charset="0"/>
                  </a:rPr>
                  <a:t>Concentration en (mg/kg)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78773244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2700" cap="flat" cmpd="sng" algn="ctr">
      <a:solidFill>
        <a:schemeClr val="tx1"/>
      </a:solidFill>
      <a:round/>
    </a:ln>
    <a:effectLst/>
  </c:spPr>
  <c:txPr>
    <a:bodyPr/>
    <a:lstStyle/>
    <a:p>
      <a:pPr>
        <a:defRPr/>
      </a:pPr>
      <a:endParaRPr lang="fr-FR"/>
    </a:p>
  </c:tx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886</TotalTime>
  <Pages>17</Pages>
  <Words>5705</Words>
  <Characters>32521</Characters>
  <Application>Microsoft Office Word</Application>
  <DocSecurity>0</DocSecurity>
  <Lines>271</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 mireille AMANI</dc:creator>
  <cp:keywords/>
  <dc:description/>
  <cp:lastModifiedBy>SDI 1020</cp:lastModifiedBy>
  <cp:revision>102</cp:revision>
  <dcterms:created xsi:type="dcterms:W3CDTF">2026-03-18T09:34:00Z</dcterms:created>
  <dcterms:modified xsi:type="dcterms:W3CDTF">2026-06-20T12:14:00Z</dcterms:modified>
</cp:coreProperties>
</file>