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40B9" w14:textId="1FBB33C8" w:rsidR="00E52B5D" w:rsidRPr="002709A1" w:rsidRDefault="00052228" w:rsidP="00D87CB9">
      <w:pPr>
        <w:spacing w:line="360" w:lineRule="auto"/>
        <w:jc w:val="center"/>
      </w:pPr>
      <w:r w:rsidRPr="002709A1">
        <w:rPr>
          <w:b/>
          <w:bCs/>
          <w:sz w:val="32"/>
          <w:szCs w:val="32"/>
        </w:rPr>
        <w:t xml:space="preserve">Physiological Health and Blood Profile of </w:t>
      </w:r>
      <w:proofErr w:type="spellStart"/>
      <w:r w:rsidRPr="00D87CB9">
        <w:rPr>
          <w:b/>
          <w:bCs/>
          <w:i/>
          <w:iCs/>
          <w:sz w:val="32"/>
          <w:szCs w:val="32"/>
        </w:rPr>
        <w:t>Labeo</w:t>
      </w:r>
      <w:proofErr w:type="spellEnd"/>
      <w:r w:rsidR="00D87CB9" w:rsidRPr="00D87CB9">
        <w:rPr>
          <w:b/>
          <w:bCs/>
          <w:i/>
          <w:iCs/>
          <w:sz w:val="32"/>
          <w:szCs w:val="32"/>
        </w:rPr>
        <w:t xml:space="preserve"> </w:t>
      </w:r>
      <w:proofErr w:type="spellStart"/>
      <w:r w:rsidRPr="00D87CB9">
        <w:rPr>
          <w:b/>
          <w:bCs/>
          <w:i/>
          <w:iCs/>
          <w:sz w:val="32"/>
          <w:szCs w:val="32"/>
        </w:rPr>
        <w:t>rohita</w:t>
      </w:r>
      <w:proofErr w:type="spellEnd"/>
      <w:r w:rsidRPr="002709A1">
        <w:rPr>
          <w:b/>
          <w:bCs/>
          <w:sz w:val="32"/>
          <w:szCs w:val="32"/>
        </w:rPr>
        <w:t xml:space="preserve"> in </w:t>
      </w:r>
      <w:proofErr w:type="spellStart"/>
      <w:r w:rsidRPr="002709A1">
        <w:rPr>
          <w:b/>
          <w:bCs/>
          <w:sz w:val="32"/>
          <w:szCs w:val="32"/>
        </w:rPr>
        <w:t>Biofloc</w:t>
      </w:r>
      <w:proofErr w:type="spellEnd"/>
      <w:r w:rsidRPr="002709A1">
        <w:rPr>
          <w:b/>
          <w:bCs/>
          <w:sz w:val="32"/>
          <w:szCs w:val="32"/>
        </w:rPr>
        <w:t xml:space="preserve"> Aquaculture: Implications for Sustainable Urban Fish Production in Tribal Chhattisgarh</w:t>
      </w:r>
      <w:r w:rsidR="00265758">
        <w:rPr>
          <w:b/>
          <w:bCs/>
          <w:sz w:val="32"/>
          <w:szCs w:val="32"/>
        </w:rPr>
        <w:t>,</w:t>
      </w:r>
      <w:r w:rsidR="00265758" w:rsidRPr="00265758">
        <w:t xml:space="preserve"> </w:t>
      </w:r>
      <w:r w:rsidR="00265758" w:rsidRPr="00265758">
        <w:rPr>
          <w:b/>
          <w:bCs/>
          <w:sz w:val="32"/>
          <w:szCs w:val="32"/>
        </w:rPr>
        <w:t>India</w:t>
      </w:r>
    </w:p>
    <w:p w14:paraId="3EA9CCC1" w14:textId="77777777" w:rsidR="00305E16" w:rsidRPr="002709A1" w:rsidRDefault="00305E16" w:rsidP="00052228">
      <w:pPr>
        <w:spacing w:line="360" w:lineRule="auto"/>
        <w:jc w:val="center"/>
      </w:pPr>
    </w:p>
    <w:p w14:paraId="1320CFE6" w14:textId="77777777" w:rsidR="00E52B5D" w:rsidRPr="002709A1" w:rsidRDefault="00E52B5D">
      <w:pPr>
        <w:pBdr>
          <w:bottom w:val="single" w:sz="6" w:space="1" w:color="2E74B5"/>
        </w:pBdr>
      </w:pPr>
    </w:p>
    <w:p w14:paraId="6CD45E7A" w14:textId="77777777" w:rsidR="00E52B5D" w:rsidRPr="002709A1" w:rsidRDefault="00E52B5D">
      <w:pPr>
        <w:spacing w:before="60" w:after="60"/>
      </w:pPr>
    </w:p>
    <w:p w14:paraId="2A3969CE" w14:textId="77777777" w:rsidR="00E52B5D" w:rsidRPr="002709A1" w:rsidRDefault="00052228">
      <w:pPr>
        <w:pStyle w:val="Heading1"/>
        <w:spacing w:before="200" w:after="100"/>
        <w:rPr>
          <w:color w:val="auto"/>
        </w:rPr>
      </w:pPr>
      <w:r w:rsidRPr="002709A1">
        <w:rPr>
          <w:color w:val="auto"/>
        </w:rPr>
        <w:t>ABSTRACT</w:t>
      </w:r>
    </w:p>
    <w:p w14:paraId="0D824347" w14:textId="72A91E85" w:rsidR="006F26DF" w:rsidRDefault="006F26DF" w:rsidP="00D87CB9">
      <w:pPr>
        <w:pStyle w:val="NormalWeb"/>
        <w:spacing w:before="0" w:beforeAutospacing="0" w:after="0" w:afterAutospacing="0" w:line="360" w:lineRule="auto"/>
        <w:jc w:val="both"/>
      </w:pPr>
      <w:r>
        <w:rPr>
          <w:rStyle w:val="Strong"/>
        </w:rPr>
        <w:t>Background</w:t>
      </w:r>
      <w:r w:rsidR="009339A8">
        <w:rPr>
          <w:rStyle w:val="Strong"/>
        </w:rPr>
        <w:t>:</w:t>
      </w:r>
      <w:r w:rsidR="009339A8">
        <w:t xml:space="preserve"> </w:t>
      </w:r>
      <w:proofErr w:type="spellStart"/>
      <w:r w:rsidR="009339A8">
        <w:t>Biofloc</w:t>
      </w:r>
      <w:proofErr w:type="spellEnd"/>
      <w:r w:rsidR="009339A8">
        <w:t xml:space="preserve"> Technology (BFT) has emerged as a sustainable aquaculture approach that enhances water quality, improves nutrient utilization, and reduces environmental impacts. </w:t>
      </w:r>
    </w:p>
    <w:p w14:paraId="779CC47F" w14:textId="5EB568E9" w:rsidR="009339A8" w:rsidRDefault="006F26DF" w:rsidP="00D87CB9">
      <w:pPr>
        <w:pStyle w:val="NormalWeb"/>
        <w:spacing w:before="0" w:beforeAutospacing="0" w:after="0" w:afterAutospacing="0" w:line="360" w:lineRule="auto"/>
        <w:jc w:val="both"/>
      </w:pPr>
      <w:r w:rsidRPr="006F26DF">
        <w:rPr>
          <w:b/>
          <w:bCs/>
        </w:rPr>
        <w:t>Aim</w:t>
      </w:r>
      <w:r>
        <w:t xml:space="preserve">: </w:t>
      </w:r>
      <w:r w:rsidR="009339A8">
        <w:t xml:space="preserve">The present study aimed to evaluate the physiological health status of </w:t>
      </w:r>
      <w:proofErr w:type="spellStart"/>
      <w:r w:rsidR="009339A8">
        <w:rPr>
          <w:rStyle w:val="Emphasis"/>
        </w:rPr>
        <w:t>Labeo</w:t>
      </w:r>
      <w:proofErr w:type="spellEnd"/>
      <w:r w:rsidR="009339A8">
        <w:rPr>
          <w:rStyle w:val="Emphasis"/>
        </w:rPr>
        <w:t xml:space="preserve"> </w:t>
      </w:r>
      <w:proofErr w:type="spellStart"/>
      <w:r w:rsidR="009339A8">
        <w:rPr>
          <w:rStyle w:val="Emphasis"/>
        </w:rPr>
        <w:t>rohita</w:t>
      </w:r>
      <w:proofErr w:type="spellEnd"/>
      <w:r w:rsidR="009339A8">
        <w:t xml:space="preserve"> reared under </w:t>
      </w:r>
      <w:proofErr w:type="spellStart"/>
      <w:r w:rsidR="009339A8">
        <w:t>biofloc</w:t>
      </w:r>
      <w:proofErr w:type="spellEnd"/>
      <w:r w:rsidR="009339A8">
        <w:t xml:space="preserve"> conditions through </w:t>
      </w:r>
      <w:proofErr w:type="spellStart"/>
      <w:r w:rsidR="009339A8">
        <w:t>haematological</w:t>
      </w:r>
      <w:proofErr w:type="spellEnd"/>
      <w:r w:rsidR="009339A8">
        <w:t xml:space="preserve"> and biochemical assessments and to examine the suitability of BFT for sustainable fish production in the tribal region of </w:t>
      </w:r>
      <w:proofErr w:type="spellStart"/>
      <w:r w:rsidR="009339A8">
        <w:t>Sarguja</w:t>
      </w:r>
      <w:proofErr w:type="spellEnd"/>
      <w:r w:rsidR="009339A8">
        <w:t>, Chhattisgarh.</w:t>
      </w:r>
    </w:p>
    <w:p w14:paraId="542B32F9" w14:textId="77777777" w:rsidR="009339A8" w:rsidRDefault="009339A8" w:rsidP="00D87CB9">
      <w:pPr>
        <w:pStyle w:val="NormalWeb"/>
        <w:spacing w:before="0" w:beforeAutospacing="0" w:after="0" w:afterAutospacing="0" w:line="360" w:lineRule="auto"/>
        <w:jc w:val="both"/>
      </w:pPr>
      <w:r>
        <w:rPr>
          <w:rStyle w:val="Strong"/>
        </w:rPr>
        <w:t>Methods:</w:t>
      </w:r>
      <w:r>
        <w:t xml:space="preserve"> </w:t>
      </w:r>
      <w:proofErr w:type="spellStart"/>
      <w:r>
        <w:rPr>
          <w:rStyle w:val="Emphasis"/>
        </w:rPr>
        <w:t>Labeo</w:t>
      </w:r>
      <w:proofErr w:type="spellEnd"/>
      <w:r>
        <w:rPr>
          <w:rStyle w:val="Emphasis"/>
        </w:rPr>
        <w:t xml:space="preserve"> </w:t>
      </w:r>
      <w:proofErr w:type="spellStart"/>
      <w:r>
        <w:rPr>
          <w:rStyle w:val="Emphasis"/>
        </w:rPr>
        <w:t>rohita</w:t>
      </w:r>
      <w:proofErr w:type="spellEnd"/>
      <w:r>
        <w:t xml:space="preserve"> fingerlings were cultured in a </w:t>
      </w:r>
      <w:proofErr w:type="spellStart"/>
      <w:r>
        <w:t>biofloc</w:t>
      </w:r>
      <w:proofErr w:type="spellEnd"/>
      <w:r>
        <w:t xml:space="preserve">-based aquaculture system for 90 days under controlled management conditions. At the end of the experimental period, blood samples were collected and analyzed using standard laboratory procedures. </w:t>
      </w:r>
      <w:proofErr w:type="spellStart"/>
      <w:r>
        <w:t>Haematological</w:t>
      </w:r>
      <w:proofErr w:type="spellEnd"/>
      <w:r>
        <w:t xml:space="preserve"> parameters, including </w:t>
      </w:r>
      <w:proofErr w:type="spellStart"/>
      <w:r>
        <w:t>haemoglobin</w:t>
      </w:r>
      <w:proofErr w:type="spellEnd"/>
      <w:r>
        <w:t xml:space="preserve"> concentration, erythrocyte count, leucocyte profile, and platelet count, were determined. Serum biochemical parameters such as cholesterol, glucose, SGOT, SGPT, albumin, and total protein were also evaluated to assess metabolic and physiological status.</w:t>
      </w:r>
    </w:p>
    <w:p w14:paraId="184F5798" w14:textId="77777777" w:rsidR="009339A8" w:rsidRDefault="009339A8" w:rsidP="00D87CB9">
      <w:pPr>
        <w:pStyle w:val="NormalWeb"/>
        <w:spacing w:before="0" w:beforeAutospacing="0" w:after="0" w:afterAutospacing="0" w:line="360" w:lineRule="auto"/>
        <w:jc w:val="both"/>
      </w:pPr>
      <w:r>
        <w:rPr>
          <w:rStyle w:val="Strong"/>
        </w:rPr>
        <w:t>Results:</w:t>
      </w:r>
      <w:r>
        <w:t xml:space="preserve"> The fish exhibited </w:t>
      </w:r>
      <w:proofErr w:type="spellStart"/>
      <w:r>
        <w:t>haemoglobin</w:t>
      </w:r>
      <w:proofErr w:type="spellEnd"/>
      <w:r>
        <w:t xml:space="preserve"> levels of 13.9 g/dL, RBC count of 3.91 million/</w:t>
      </w:r>
      <w:proofErr w:type="spellStart"/>
      <w:r>
        <w:t>cumm</w:t>
      </w:r>
      <w:proofErr w:type="spellEnd"/>
      <w:r>
        <w:t>, total leucocyte count of 5,960 cells/cu.mm, and platelet count of 3.19 lakh/cu.mm, all within normal physiological ranges. Biochemical analyses revealed serum cholesterol (11.2 nmol), glucose (41.2 mg/dL), SGOT (59.2 IU/L), SGPT (14.1 IU/L), serum albumin (19.3 g/dL), and total protein (52.3 g/dL), indicating normal metabolic function, adequate nutritional status, and absence of significant physiological stress or hepatic dysfunction.</w:t>
      </w:r>
    </w:p>
    <w:p w14:paraId="36E03397" w14:textId="77777777" w:rsidR="009339A8" w:rsidRDefault="009339A8" w:rsidP="00D87CB9">
      <w:pPr>
        <w:pStyle w:val="NormalWeb"/>
        <w:spacing w:before="0" w:beforeAutospacing="0" w:after="0" w:afterAutospacing="0" w:line="360" w:lineRule="auto"/>
        <w:jc w:val="both"/>
      </w:pPr>
      <w:r>
        <w:rPr>
          <w:rStyle w:val="Strong"/>
        </w:rPr>
        <w:t>Conclusion:</w:t>
      </w:r>
      <w:r>
        <w:t xml:space="preserve"> The observed </w:t>
      </w:r>
      <w:proofErr w:type="spellStart"/>
      <w:r>
        <w:t>haematological</w:t>
      </w:r>
      <w:proofErr w:type="spellEnd"/>
      <w:r>
        <w:t xml:space="preserve"> and biochemical profiles demonstrate that </w:t>
      </w:r>
      <w:proofErr w:type="spellStart"/>
      <w:r>
        <w:rPr>
          <w:rStyle w:val="Emphasis"/>
        </w:rPr>
        <w:t>Labeo</w:t>
      </w:r>
      <w:proofErr w:type="spellEnd"/>
      <w:r>
        <w:rPr>
          <w:rStyle w:val="Emphasis"/>
        </w:rPr>
        <w:t xml:space="preserve"> </w:t>
      </w:r>
      <w:proofErr w:type="spellStart"/>
      <w:r>
        <w:rPr>
          <w:rStyle w:val="Emphasis"/>
        </w:rPr>
        <w:t>rohita</w:t>
      </w:r>
      <w:proofErr w:type="spellEnd"/>
      <w:r>
        <w:t xml:space="preserve"> maintained under </w:t>
      </w:r>
      <w:proofErr w:type="spellStart"/>
      <w:r>
        <w:t>biofloc</w:t>
      </w:r>
      <w:proofErr w:type="spellEnd"/>
      <w:r>
        <w:t xml:space="preserve"> conditions remained in good physiological health throughout the culture period. These findings support the potential of </w:t>
      </w:r>
      <w:proofErr w:type="spellStart"/>
      <w:r>
        <w:t>biofloc</w:t>
      </w:r>
      <w:proofErr w:type="spellEnd"/>
      <w:r>
        <w:t xml:space="preserve"> technology as a sustainable and resource-efficient aquaculture strategy for enhancing fish production in tribal and semi-urban regions of Chhattisgarh.</w:t>
      </w:r>
    </w:p>
    <w:p w14:paraId="52280BBC" w14:textId="77777777" w:rsidR="009339A8" w:rsidRDefault="009339A8" w:rsidP="00D87CB9">
      <w:pPr>
        <w:pStyle w:val="NormalWeb"/>
        <w:spacing w:before="0" w:beforeAutospacing="0" w:after="0" w:afterAutospacing="0" w:line="360" w:lineRule="auto"/>
        <w:jc w:val="both"/>
      </w:pPr>
      <w:r>
        <w:rPr>
          <w:rStyle w:val="Strong"/>
        </w:rPr>
        <w:t>Keywords:</w:t>
      </w:r>
      <w:r>
        <w:t xml:space="preserve"> </w:t>
      </w:r>
      <w:proofErr w:type="spellStart"/>
      <w:r>
        <w:t>Biofloc</w:t>
      </w:r>
      <w:proofErr w:type="spellEnd"/>
      <w:r>
        <w:t xml:space="preserve"> technology, </w:t>
      </w:r>
      <w:proofErr w:type="spellStart"/>
      <w:r>
        <w:rPr>
          <w:rStyle w:val="Emphasis"/>
        </w:rPr>
        <w:t>Labeo</w:t>
      </w:r>
      <w:proofErr w:type="spellEnd"/>
      <w:r>
        <w:rPr>
          <w:rStyle w:val="Emphasis"/>
        </w:rPr>
        <w:t xml:space="preserve"> </w:t>
      </w:r>
      <w:proofErr w:type="spellStart"/>
      <w:r>
        <w:rPr>
          <w:rStyle w:val="Emphasis"/>
        </w:rPr>
        <w:t>rohita</w:t>
      </w:r>
      <w:proofErr w:type="spellEnd"/>
      <w:r>
        <w:t xml:space="preserve">, </w:t>
      </w:r>
      <w:proofErr w:type="spellStart"/>
      <w:r>
        <w:t>haematology</w:t>
      </w:r>
      <w:proofErr w:type="spellEnd"/>
      <w:r>
        <w:t xml:space="preserve">, biochemical profile, fish health, sustainable aquaculture, </w:t>
      </w:r>
      <w:proofErr w:type="spellStart"/>
      <w:r>
        <w:t>Sarguja</w:t>
      </w:r>
      <w:proofErr w:type="spellEnd"/>
      <w:r>
        <w:t>, Chhattisgarh.</w:t>
      </w:r>
    </w:p>
    <w:p w14:paraId="65570A01" w14:textId="77777777" w:rsidR="00E52B5D" w:rsidRPr="002709A1" w:rsidRDefault="00E52B5D"/>
    <w:p w14:paraId="5727B8FB" w14:textId="77777777" w:rsidR="00E52B5D" w:rsidRPr="002709A1" w:rsidRDefault="00052228" w:rsidP="00052228">
      <w:pPr>
        <w:pStyle w:val="Heading1"/>
        <w:spacing w:before="0" w:after="0" w:line="360" w:lineRule="auto"/>
        <w:rPr>
          <w:color w:val="auto"/>
        </w:rPr>
      </w:pPr>
      <w:r w:rsidRPr="002709A1">
        <w:rPr>
          <w:color w:val="auto"/>
        </w:rPr>
        <w:lastRenderedPageBreak/>
        <w:t>1. INTRODUCTION</w:t>
      </w:r>
    </w:p>
    <w:p w14:paraId="29F04F40" w14:textId="77777777" w:rsidR="00E52B5D" w:rsidRPr="002709A1" w:rsidRDefault="002709A1" w:rsidP="00052228">
      <w:pPr>
        <w:spacing w:line="360" w:lineRule="auto"/>
        <w:jc w:val="both"/>
      </w:pPr>
      <w:r w:rsidRPr="002709A1">
        <w:t>Aquaculture is among the fastest-growing food production sectors globally, contributing significantly to food security and livelihoods in developing nations (FAO, 2022). According to the latest global fisheries assessment, sustainable intensification of aquaculture systems is essential to meet the increasing demand for aquatic food while minimizing environmental impacts (FAO, 2024).</w:t>
      </w:r>
      <w:r w:rsidR="00052228" w:rsidRPr="002709A1">
        <w:t xml:space="preserve"> India, as the second-largest fish-producing country, has been aggressively expanding its freshwater aquaculture, particularly in inland states such as Chhattisgarh. However, conventional aquaculture practices face mounting challenges including water scarcity, disease outbreaks, and the high cost of commercial feeds, particularly in tribal and semi-urban regions such as </w:t>
      </w:r>
      <w:proofErr w:type="spellStart"/>
      <w:r w:rsidR="00052228" w:rsidRPr="002709A1">
        <w:t>Sarguja</w:t>
      </w:r>
      <w:proofErr w:type="spellEnd"/>
      <w:r w:rsidR="00052228" w:rsidRPr="002709A1">
        <w:t>.</w:t>
      </w:r>
      <w:r w:rsidRPr="002709A1">
        <w:t xml:space="preserve"> </w:t>
      </w:r>
      <w:proofErr w:type="spellStart"/>
      <w:r w:rsidRPr="002709A1">
        <w:t>Biofloc</w:t>
      </w:r>
      <w:proofErr w:type="spellEnd"/>
      <w:r w:rsidRPr="002709A1">
        <w:t xml:space="preserve"> technology (BFT) addresses many of these constraints by harnessing communities of heterotrophic bacteria, microalgae, protozoa, and other microorganisms suspended in the water column. Recent studies have demonstrated that BFT improves nutrient recycling, feed utilization efficiency, and disease resistance in cultured fish, making it one of the most promising sustainable aquaculture technologies worldwide (Ahmad et al., 2021; Kumar et al., 2022).</w:t>
      </w:r>
      <w:r w:rsidR="00052228" w:rsidRPr="002709A1">
        <w:t xml:space="preserve"> These microbial aggregates, collectively termed '</w:t>
      </w:r>
      <w:proofErr w:type="spellStart"/>
      <w:r w:rsidR="00052228" w:rsidRPr="002709A1">
        <w:t>biofloc</w:t>
      </w:r>
      <w:proofErr w:type="spellEnd"/>
      <w:r w:rsidR="00052228" w:rsidRPr="002709A1">
        <w:t>,' serve as an in-situ protein source for fish while simultaneously assimilating toxic nitrogenous wastes, thereby improving water quality without extensive water exchange (</w:t>
      </w:r>
      <w:proofErr w:type="spellStart"/>
      <w:r w:rsidR="00052228" w:rsidRPr="002709A1">
        <w:t>Avnimelech</w:t>
      </w:r>
      <w:proofErr w:type="spellEnd"/>
      <w:r w:rsidR="00052228" w:rsidRPr="002709A1">
        <w:t>, 2009; Crab et al., 2012). The technology reduces dependence on external protein sources, lowers production costs, and improves the biosecurity of culture systems.</w:t>
      </w:r>
    </w:p>
    <w:p w14:paraId="031D0A78" w14:textId="77777777" w:rsidR="00CA690D" w:rsidRDefault="00052228" w:rsidP="002709A1">
      <w:pPr>
        <w:spacing w:line="360" w:lineRule="auto"/>
        <w:jc w:val="both"/>
      </w:pPr>
      <w:proofErr w:type="spellStart"/>
      <w:r w:rsidRPr="002709A1">
        <w:t>Labeorohita</w:t>
      </w:r>
      <w:proofErr w:type="spellEnd"/>
      <w:r w:rsidRPr="002709A1">
        <w:t xml:space="preserve"> (Hamilton, 1822), commonly known as Rohu, is one of the most economically important freshwater fish species in South Asia. It is a preferred species for culture in Chhattisgarh due to its fast growth rate, market acceptability, and adaptability to varied culture conditions. Health monitoring through </w:t>
      </w:r>
      <w:proofErr w:type="spellStart"/>
      <w:r w:rsidRPr="002709A1">
        <w:t>haematological</w:t>
      </w:r>
      <w:proofErr w:type="spellEnd"/>
      <w:r w:rsidRPr="002709A1">
        <w:t xml:space="preserve"> and biochemical profiling is a critical component of fish health management, as these parameters provide objective, quantifiable indicators of the physiological and immunological status of cultured fish (Tavares-Dias and Moraes, 2007).Despite the growing adoption of BFT in coastal India, its application in landlocked tribal regions like </w:t>
      </w:r>
      <w:proofErr w:type="spellStart"/>
      <w:r w:rsidRPr="002709A1">
        <w:t>Sarguja</w:t>
      </w:r>
      <w:proofErr w:type="spellEnd"/>
      <w:r w:rsidRPr="002709A1">
        <w:t xml:space="preserve"> remains underexplored.</w:t>
      </w:r>
      <w:r w:rsidR="002709A1" w:rsidRPr="002709A1">
        <w:t xml:space="preserve"> Sustainable urban aquaculture has gained increasing attention due to rapid urbanization, declining freshwater resources, and growing demand for high-quality protein sources. </w:t>
      </w:r>
      <w:proofErr w:type="spellStart"/>
      <w:r w:rsidR="002709A1" w:rsidRPr="002709A1">
        <w:t>Biofloc</w:t>
      </w:r>
      <w:proofErr w:type="spellEnd"/>
      <w:r w:rsidR="002709A1" w:rsidRPr="002709A1">
        <w:t xml:space="preserve"> systems enable high-density fish production using minimal water exchange and reduced land requirements, thereby supporting environmentally responsible aquaculture development. Furthermore, </w:t>
      </w:r>
      <w:proofErr w:type="spellStart"/>
      <w:r w:rsidR="002709A1" w:rsidRPr="002709A1">
        <w:t>biofloc</w:t>
      </w:r>
      <w:proofErr w:type="spellEnd"/>
      <w:r w:rsidR="002709A1" w:rsidRPr="002709A1">
        <w:t>-derived microbial biomass serves as an additional protein source, contributing to improved feed efficiency and fish health (Ahmad et al., 2021; Kumar et al., 2022).</w:t>
      </w:r>
      <w:r w:rsidRPr="002709A1">
        <w:t xml:space="preserve"> </w:t>
      </w:r>
      <w:r w:rsidR="00CA690D" w:rsidRPr="00CA690D">
        <w:t>The study aims (</w:t>
      </w:r>
      <w:proofErr w:type="spellStart"/>
      <w:r w:rsidR="00CA690D" w:rsidRPr="00CA690D">
        <w:t>i</w:t>
      </w:r>
      <w:proofErr w:type="spellEnd"/>
      <w:r w:rsidR="00CA690D" w:rsidRPr="00CA690D">
        <w:t xml:space="preserve">) to evaluate the physiological health status of </w:t>
      </w:r>
      <w:proofErr w:type="spellStart"/>
      <w:r w:rsidR="00CA690D" w:rsidRPr="00CA690D">
        <w:t>Labeo</w:t>
      </w:r>
      <w:proofErr w:type="spellEnd"/>
      <w:r w:rsidR="00CA690D" w:rsidRPr="00CA690D">
        <w:t xml:space="preserve"> </w:t>
      </w:r>
      <w:proofErr w:type="spellStart"/>
      <w:r w:rsidR="00CA690D" w:rsidRPr="00CA690D">
        <w:t>rohita</w:t>
      </w:r>
      <w:proofErr w:type="spellEnd"/>
      <w:r w:rsidR="00CA690D" w:rsidRPr="00CA690D">
        <w:t xml:space="preserve"> reared under </w:t>
      </w:r>
      <w:proofErr w:type="spellStart"/>
      <w:r w:rsidR="00CA690D" w:rsidRPr="00CA690D">
        <w:t>biofloc</w:t>
      </w:r>
      <w:proofErr w:type="spellEnd"/>
      <w:r w:rsidR="00CA690D" w:rsidRPr="00CA690D">
        <w:t xml:space="preserve"> technology through </w:t>
      </w:r>
      <w:proofErr w:type="spellStart"/>
      <w:r w:rsidR="00CA690D" w:rsidRPr="00CA690D">
        <w:t>haematological</w:t>
      </w:r>
      <w:proofErr w:type="spellEnd"/>
      <w:r w:rsidR="00CA690D" w:rsidRPr="00CA690D">
        <w:t xml:space="preserve"> and biochemical assessments, and (ii) to assess the suitability of </w:t>
      </w:r>
      <w:proofErr w:type="spellStart"/>
      <w:r w:rsidR="00CA690D" w:rsidRPr="00CA690D">
        <w:t>biofloc</w:t>
      </w:r>
      <w:proofErr w:type="spellEnd"/>
      <w:r w:rsidR="00CA690D" w:rsidRPr="00CA690D">
        <w:t>-based aquaculture for sustainable fish production in the tribal region of Chhattisgarh.</w:t>
      </w:r>
    </w:p>
    <w:p w14:paraId="0C274443" w14:textId="77777777" w:rsidR="00E52B5D" w:rsidRDefault="002709A1" w:rsidP="002709A1">
      <w:pPr>
        <w:spacing w:line="360" w:lineRule="auto"/>
        <w:jc w:val="both"/>
      </w:pPr>
      <w:r w:rsidRPr="002709A1">
        <w:t xml:space="preserve">In recent years, </w:t>
      </w:r>
      <w:proofErr w:type="spellStart"/>
      <w:r w:rsidRPr="002709A1">
        <w:t>biofloc</w:t>
      </w:r>
      <w:proofErr w:type="spellEnd"/>
      <w:r w:rsidRPr="002709A1">
        <w:t xml:space="preserve"> technology has gained considerable attention as a sustainable aquaculture practice due to its ability to improve resource-use efficiency and reduce environmental impacts. Unlike conventional pond-based systems that require regular water exchange, BFT operates on the principle of microbial conversion of nitrogenous wastes into microbial biomass. These microbial communities not </w:t>
      </w:r>
      <w:r w:rsidRPr="002709A1">
        <w:lastRenderedPageBreak/>
        <w:t xml:space="preserve">only maintain water quality but also serve as an additional nutritional source for cultured organisms. Consequently, BFT contributes to lower feed conversion ratios, improved growth performance, and enhanced disease resistance in fish and shrimp culture systems. Sustainable urban aquaculture has emerged as an important strategy for addressing food security challenges associated with rapid urbanization and population growth. Urban fish farming systems require technologies that can maximize production in limited space while minimizing water consumption and environmental pollution. </w:t>
      </w:r>
      <w:proofErr w:type="spellStart"/>
      <w:r w:rsidRPr="002709A1">
        <w:t>Biofloc</w:t>
      </w:r>
      <w:proofErr w:type="spellEnd"/>
      <w:r w:rsidRPr="002709A1">
        <w:t xml:space="preserve"> systems fulfill these requirements by enabling high stocking densities and reducing the need for large water resources. Therefore, the adoption of </w:t>
      </w:r>
      <w:proofErr w:type="spellStart"/>
      <w:r w:rsidRPr="002709A1">
        <w:t>biofloc</w:t>
      </w:r>
      <w:proofErr w:type="spellEnd"/>
      <w:r w:rsidRPr="002709A1">
        <w:t xml:space="preserve"> technology can support local fish production and reduce dependence on external fish supplies. The state of Chhattisgarh possesses substantial freshwater resources and favorable climatic conditions for inland aquaculture development. However, many tribal and semi-urban regions continue to face limitations related to water availability, infrastructure, and access to advanced aquaculture technologies. The implementation of </w:t>
      </w:r>
      <w:proofErr w:type="spellStart"/>
      <w:r w:rsidRPr="002709A1">
        <w:t>biofloc</w:t>
      </w:r>
      <w:proofErr w:type="spellEnd"/>
      <w:r w:rsidRPr="002709A1">
        <w:t xml:space="preserve"> systems in these areas can provide opportunities for livelihood enhancement, nutritional security, and employment generation. Furthermore, the integration of BFT with indigenous fish species such as </w:t>
      </w:r>
      <w:proofErr w:type="spellStart"/>
      <w:r w:rsidRPr="002709A1">
        <w:t>Labeo</w:t>
      </w:r>
      <w:proofErr w:type="spellEnd"/>
      <w:r w:rsidRPr="002709A1">
        <w:t xml:space="preserve"> </w:t>
      </w:r>
      <w:proofErr w:type="spellStart"/>
      <w:r w:rsidRPr="002709A1">
        <w:t>rohita</w:t>
      </w:r>
      <w:proofErr w:type="spellEnd"/>
      <w:r w:rsidRPr="002709A1">
        <w:t xml:space="preserve"> may improve production efficiency while maintaining ecological sustainability. </w:t>
      </w:r>
      <w:proofErr w:type="spellStart"/>
      <w:r w:rsidRPr="002709A1">
        <w:t>Haematological</w:t>
      </w:r>
      <w:proofErr w:type="spellEnd"/>
      <w:r w:rsidRPr="002709A1">
        <w:t xml:space="preserve"> and biochemical analyses are increasingly recognized as reliable tools for evaluating fish health and environmental stress. Changes in blood parameters can provide early indications of nutritional deficiencies, disease conditions, metabolic disturbances, or adverse environmental conditions. Therefore, assessment of these parameters in fish reared under </w:t>
      </w:r>
      <w:proofErr w:type="spellStart"/>
      <w:r w:rsidRPr="002709A1">
        <w:t>biofloc</w:t>
      </w:r>
      <w:proofErr w:type="spellEnd"/>
      <w:r w:rsidRPr="002709A1">
        <w:t xml:space="preserve"> conditions is essential for validating the effectiveness and safety of the technology under local environmental conditions.</w:t>
      </w:r>
    </w:p>
    <w:p w14:paraId="59726754" w14:textId="77777777" w:rsidR="00E52B5D" w:rsidRPr="002709A1" w:rsidRDefault="00052228" w:rsidP="00052228">
      <w:pPr>
        <w:pStyle w:val="Heading1"/>
        <w:spacing w:before="0" w:after="0" w:line="360" w:lineRule="auto"/>
        <w:rPr>
          <w:color w:val="auto"/>
        </w:rPr>
      </w:pPr>
      <w:r w:rsidRPr="002709A1">
        <w:rPr>
          <w:color w:val="auto"/>
        </w:rPr>
        <w:t>2. MATERIALS AND METHODS</w:t>
      </w:r>
    </w:p>
    <w:p w14:paraId="14F2D9B3" w14:textId="77777777" w:rsidR="009339A8" w:rsidRDefault="009339A8" w:rsidP="00052228">
      <w:pPr>
        <w:pStyle w:val="Heading2"/>
        <w:spacing w:before="0" w:after="0" w:line="360" w:lineRule="auto"/>
        <w:rPr>
          <w:color w:val="auto"/>
        </w:rPr>
      </w:pPr>
      <w:r>
        <w:rPr>
          <w:color w:val="auto"/>
        </w:rPr>
        <w:t xml:space="preserve">2.1 </w:t>
      </w:r>
      <w:r w:rsidRPr="009339A8">
        <w:rPr>
          <w:color w:val="auto"/>
        </w:rPr>
        <w:t xml:space="preserve">Study Design </w:t>
      </w:r>
    </w:p>
    <w:p w14:paraId="43966A90" w14:textId="77777777" w:rsidR="009339A8" w:rsidRPr="009339A8" w:rsidRDefault="009339A8" w:rsidP="009339A8">
      <w:pPr>
        <w:pStyle w:val="Heading2"/>
        <w:spacing w:before="0" w:after="0" w:line="360" w:lineRule="auto"/>
        <w:jc w:val="both"/>
        <w:rPr>
          <w:b w:val="0"/>
          <w:bCs w:val="0"/>
          <w:color w:val="auto"/>
          <w:sz w:val="22"/>
          <w:szCs w:val="22"/>
        </w:rPr>
      </w:pPr>
      <w:r w:rsidRPr="009339A8">
        <w:rPr>
          <w:b w:val="0"/>
          <w:bCs w:val="0"/>
          <w:color w:val="auto"/>
          <w:sz w:val="22"/>
          <w:szCs w:val="22"/>
        </w:rPr>
        <w:t xml:space="preserve">The present study was conducted as a field-based observational assessment of the physiological health status of </w:t>
      </w:r>
      <w:proofErr w:type="spellStart"/>
      <w:r w:rsidRPr="009339A8">
        <w:rPr>
          <w:b w:val="0"/>
          <w:bCs w:val="0"/>
          <w:color w:val="auto"/>
          <w:sz w:val="22"/>
          <w:szCs w:val="22"/>
        </w:rPr>
        <w:t>Labeo</w:t>
      </w:r>
      <w:proofErr w:type="spellEnd"/>
      <w:r w:rsidRPr="009339A8">
        <w:rPr>
          <w:b w:val="0"/>
          <w:bCs w:val="0"/>
          <w:color w:val="auto"/>
          <w:sz w:val="22"/>
          <w:szCs w:val="22"/>
        </w:rPr>
        <w:t xml:space="preserve"> </w:t>
      </w:r>
      <w:proofErr w:type="spellStart"/>
      <w:r w:rsidRPr="009339A8">
        <w:rPr>
          <w:b w:val="0"/>
          <w:bCs w:val="0"/>
          <w:color w:val="auto"/>
          <w:sz w:val="22"/>
          <w:szCs w:val="22"/>
        </w:rPr>
        <w:t>rohita</w:t>
      </w:r>
      <w:proofErr w:type="spellEnd"/>
      <w:r w:rsidRPr="009339A8">
        <w:rPr>
          <w:b w:val="0"/>
          <w:bCs w:val="0"/>
          <w:color w:val="auto"/>
          <w:sz w:val="22"/>
          <w:szCs w:val="22"/>
        </w:rPr>
        <w:t xml:space="preserve"> cultured under </w:t>
      </w:r>
      <w:proofErr w:type="spellStart"/>
      <w:r w:rsidRPr="009339A8">
        <w:rPr>
          <w:b w:val="0"/>
          <w:bCs w:val="0"/>
          <w:color w:val="auto"/>
          <w:sz w:val="22"/>
          <w:szCs w:val="22"/>
        </w:rPr>
        <w:t>biofloc</w:t>
      </w:r>
      <w:proofErr w:type="spellEnd"/>
      <w:r w:rsidRPr="009339A8">
        <w:rPr>
          <w:b w:val="0"/>
          <w:bCs w:val="0"/>
          <w:color w:val="auto"/>
          <w:sz w:val="22"/>
          <w:szCs w:val="22"/>
        </w:rPr>
        <w:t xml:space="preserve"> conditions. The objective was to evaluate </w:t>
      </w:r>
      <w:proofErr w:type="spellStart"/>
      <w:r w:rsidRPr="009339A8">
        <w:rPr>
          <w:b w:val="0"/>
          <w:bCs w:val="0"/>
          <w:color w:val="auto"/>
          <w:sz w:val="22"/>
          <w:szCs w:val="22"/>
        </w:rPr>
        <w:t>haematological</w:t>
      </w:r>
      <w:proofErr w:type="spellEnd"/>
      <w:r w:rsidRPr="009339A8">
        <w:rPr>
          <w:b w:val="0"/>
          <w:bCs w:val="0"/>
          <w:color w:val="auto"/>
          <w:sz w:val="22"/>
          <w:szCs w:val="22"/>
        </w:rPr>
        <w:t xml:space="preserve"> and biochemical indicators of fish health under practical culture conditions rather than to perform a comparative evaluation between </w:t>
      </w:r>
      <w:proofErr w:type="spellStart"/>
      <w:r w:rsidRPr="009339A8">
        <w:rPr>
          <w:b w:val="0"/>
          <w:bCs w:val="0"/>
          <w:color w:val="auto"/>
          <w:sz w:val="22"/>
          <w:szCs w:val="22"/>
        </w:rPr>
        <w:t>biofloc</w:t>
      </w:r>
      <w:proofErr w:type="spellEnd"/>
      <w:r w:rsidRPr="009339A8">
        <w:rPr>
          <w:b w:val="0"/>
          <w:bCs w:val="0"/>
          <w:color w:val="auto"/>
          <w:sz w:val="22"/>
          <w:szCs w:val="22"/>
        </w:rPr>
        <w:t xml:space="preserve"> and conventional aquaculture systems.</w:t>
      </w:r>
    </w:p>
    <w:p w14:paraId="7C82FB8A" w14:textId="77777777" w:rsidR="00E52B5D" w:rsidRPr="002709A1" w:rsidRDefault="009339A8" w:rsidP="00052228">
      <w:pPr>
        <w:pStyle w:val="Heading2"/>
        <w:spacing w:before="0" w:after="0" w:line="360" w:lineRule="auto"/>
        <w:rPr>
          <w:color w:val="auto"/>
        </w:rPr>
      </w:pPr>
      <w:r>
        <w:rPr>
          <w:color w:val="auto"/>
        </w:rPr>
        <w:t>2.2</w:t>
      </w:r>
      <w:r w:rsidR="00052228" w:rsidRPr="002709A1">
        <w:rPr>
          <w:color w:val="auto"/>
        </w:rPr>
        <w:t xml:space="preserve"> Experimental Site and Fish</w:t>
      </w:r>
    </w:p>
    <w:p w14:paraId="47F8C62F" w14:textId="77777777" w:rsidR="00E52B5D" w:rsidRPr="002709A1" w:rsidRDefault="00052228" w:rsidP="00052228">
      <w:pPr>
        <w:spacing w:line="360" w:lineRule="auto"/>
        <w:jc w:val="both"/>
      </w:pPr>
      <w:r w:rsidRPr="002709A1">
        <w:t xml:space="preserve">The experiment was conducted at a </w:t>
      </w:r>
      <w:proofErr w:type="spellStart"/>
      <w:r w:rsidRPr="002709A1">
        <w:t>biofloc</w:t>
      </w:r>
      <w:proofErr w:type="spellEnd"/>
      <w:r w:rsidRPr="002709A1">
        <w:t xml:space="preserve"> aquaculture facility established in </w:t>
      </w:r>
      <w:proofErr w:type="spellStart"/>
      <w:r w:rsidRPr="002709A1">
        <w:t>Sarguja</w:t>
      </w:r>
      <w:proofErr w:type="spellEnd"/>
      <w:r w:rsidRPr="002709A1">
        <w:t xml:space="preserve"> district, Chhattisgarh, India. Fingerlings of </w:t>
      </w:r>
      <w:proofErr w:type="spellStart"/>
      <w:r w:rsidRPr="002709A1">
        <w:t>Labeorohita</w:t>
      </w:r>
      <w:proofErr w:type="spellEnd"/>
      <w:r w:rsidRPr="002709A1">
        <w:t xml:space="preserve"> (5 months old, male, mean body weight 80 ± 5 g) were procured from a registered government hatchery and acclimatized to experimental conditions for two weeks prior to stocking. Fish were referred by Dr. Mayank Singh (Veterinary Department) and subjected to clinical evaluation at Shri Ram Diagnostic X-Ray and Pathology Centre, </w:t>
      </w:r>
      <w:proofErr w:type="spellStart"/>
      <w:r w:rsidRPr="002709A1">
        <w:t>Ambikapur</w:t>
      </w:r>
      <w:proofErr w:type="spellEnd"/>
      <w:r w:rsidRPr="002709A1">
        <w:t xml:space="preserve"> (C.G.), an ISO 9001:2015 certified laboratory (</w:t>
      </w:r>
      <w:proofErr w:type="spellStart"/>
      <w:r w:rsidRPr="002709A1">
        <w:t>Licence</w:t>
      </w:r>
      <w:proofErr w:type="spellEnd"/>
      <w:r w:rsidRPr="002709A1">
        <w:t>: SARGO214/LAB), on 11-05-2026.</w:t>
      </w:r>
    </w:p>
    <w:p w14:paraId="2DD7C607" w14:textId="77777777" w:rsidR="00E52B5D" w:rsidRPr="002709A1" w:rsidRDefault="009339A8" w:rsidP="00052228">
      <w:pPr>
        <w:pStyle w:val="Heading2"/>
        <w:spacing w:before="0" w:after="0" w:line="360" w:lineRule="auto"/>
        <w:rPr>
          <w:color w:val="auto"/>
        </w:rPr>
      </w:pPr>
      <w:r>
        <w:rPr>
          <w:color w:val="auto"/>
        </w:rPr>
        <w:t>2.3</w:t>
      </w:r>
      <w:r w:rsidR="00052228" w:rsidRPr="002709A1">
        <w:rPr>
          <w:color w:val="auto"/>
        </w:rPr>
        <w:t xml:space="preserve"> </w:t>
      </w:r>
      <w:proofErr w:type="spellStart"/>
      <w:r w:rsidR="00052228" w:rsidRPr="002709A1">
        <w:rPr>
          <w:color w:val="auto"/>
        </w:rPr>
        <w:t>Biofloc</w:t>
      </w:r>
      <w:proofErr w:type="spellEnd"/>
      <w:r w:rsidR="00052228" w:rsidRPr="002709A1">
        <w:rPr>
          <w:color w:val="auto"/>
        </w:rPr>
        <w:t xml:space="preserve"> System Setup</w:t>
      </w:r>
    </w:p>
    <w:p w14:paraId="49D4C2EC" w14:textId="77777777" w:rsidR="00E52B5D" w:rsidRPr="002709A1" w:rsidRDefault="00052228" w:rsidP="00052228">
      <w:pPr>
        <w:spacing w:line="360" w:lineRule="auto"/>
        <w:jc w:val="both"/>
      </w:pPr>
      <w:r w:rsidRPr="002709A1">
        <w:t xml:space="preserve">Circular polypropylene tanks of 3,000 L capacity were used as </w:t>
      </w:r>
      <w:proofErr w:type="spellStart"/>
      <w:r w:rsidRPr="002709A1">
        <w:t>biofloc</w:t>
      </w:r>
      <w:proofErr w:type="spellEnd"/>
      <w:r w:rsidRPr="002709A1">
        <w:t xml:space="preserve"> culture units. Aeration was maintained continuously using air blowers (2 HP) with diffusers positioned at the tank base to keep </w:t>
      </w:r>
      <w:proofErr w:type="spellStart"/>
      <w:r w:rsidRPr="002709A1">
        <w:lastRenderedPageBreak/>
        <w:t>biofloc</w:t>
      </w:r>
      <w:proofErr w:type="spellEnd"/>
      <w:r w:rsidRPr="002709A1">
        <w:t xml:space="preserve"> particles in suspension and maintain dissolved oxygen above 5 mg/L. Carbon source (molasses) was added at a C:N ratio of 15:1 to support heterotrophic bacterial growth. An initial inoculation of commercial probiotic (Bacillus sp.) was done to accelerate </w:t>
      </w:r>
      <w:proofErr w:type="spellStart"/>
      <w:r w:rsidRPr="002709A1">
        <w:t>biofloc</w:t>
      </w:r>
      <w:proofErr w:type="spellEnd"/>
      <w:r w:rsidRPr="002709A1">
        <w:t xml:space="preserve"> formation. Water quality parameters including temperature, pH, dissolved oxygen, ammonia, nitrite, and total suspended solids were monitored every 48 hours using standard methods (APHA, 2017).</w:t>
      </w:r>
    </w:p>
    <w:p w14:paraId="0246C369" w14:textId="77777777" w:rsidR="00E52B5D" w:rsidRPr="002709A1" w:rsidRDefault="009339A8" w:rsidP="00052228">
      <w:pPr>
        <w:pStyle w:val="Heading2"/>
        <w:spacing w:before="0" w:after="0" w:line="360" w:lineRule="auto"/>
        <w:rPr>
          <w:color w:val="auto"/>
        </w:rPr>
      </w:pPr>
      <w:r>
        <w:rPr>
          <w:color w:val="auto"/>
        </w:rPr>
        <w:t>2.4</w:t>
      </w:r>
      <w:r w:rsidR="00052228" w:rsidRPr="002709A1">
        <w:rPr>
          <w:color w:val="auto"/>
        </w:rPr>
        <w:t xml:space="preserve"> Feeding and Management</w:t>
      </w:r>
    </w:p>
    <w:p w14:paraId="6FC3474B" w14:textId="77777777" w:rsidR="00E52B5D" w:rsidRPr="002709A1" w:rsidRDefault="00052228" w:rsidP="00052228">
      <w:pPr>
        <w:spacing w:line="360" w:lineRule="auto"/>
        <w:jc w:val="both"/>
      </w:pPr>
      <w:r w:rsidRPr="002709A1">
        <w:t xml:space="preserve">Fish were fed commercial pelleted feed (28% crude protein) at 3% body weight per day in two equal meals (08:00 and 16:00 </w:t>
      </w:r>
      <w:proofErr w:type="spellStart"/>
      <w:r w:rsidRPr="002709A1">
        <w:t>hrs</w:t>
      </w:r>
      <w:proofErr w:type="spellEnd"/>
      <w:r w:rsidRPr="002709A1">
        <w:t>). Feed quantity was adjusted fortnightly based on biomass estimates from random sampling. No antibiotics or chemotherapeutics were administered during the experimental period.</w:t>
      </w:r>
    </w:p>
    <w:p w14:paraId="3192F246" w14:textId="77777777" w:rsidR="00E52B5D" w:rsidRPr="002709A1" w:rsidRDefault="009339A8" w:rsidP="00052228">
      <w:pPr>
        <w:pStyle w:val="Heading2"/>
        <w:spacing w:before="0" w:after="0" w:line="360" w:lineRule="auto"/>
        <w:rPr>
          <w:color w:val="auto"/>
        </w:rPr>
      </w:pPr>
      <w:r>
        <w:rPr>
          <w:color w:val="auto"/>
        </w:rPr>
        <w:t>2.5</w:t>
      </w:r>
      <w:r w:rsidR="00052228" w:rsidRPr="002709A1">
        <w:rPr>
          <w:color w:val="auto"/>
        </w:rPr>
        <w:t xml:space="preserve"> Blood Sample Collection and </w:t>
      </w:r>
      <w:proofErr w:type="spellStart"/>
      <w:r w:rsidR="00052228" w:rsidRPr="002709A1">
        <w:rPr>
          <w:color w:val="auto"/>
        </w:rPr>
        <w:t>Haematological</w:t>
      </w:r>
      <w:proofErr w:type="spellEnd"/>
      <w:r w:rsidR="00052228" w:rsidRPr="002709A1">
        <w:rPr>
          <w:color w:val="auto"/>
        </w:rPr>
        <w:t xml:space="preserve"> Analysis</w:t>
      </w:r>
    </w:p>
    <w:p w14:paraId="6D6532BB" w14:textId="77777777" w:rsidR="00E52B5D" w:rsidRPr="002709A1" w:rsidRDefault="00052228" w:rsidP="00052228">
      <w:pPr>
        <w:spacing w:line="360" w:lineRule="auto"/>
        <w:jc w:val="both"/>
      </w:pPr>
      <w:r w:rsidRPr="002709A1">
        <w:t xml:space="preserve">At the end of the 90-day experimental period, blood samples were collected from the caudal vein of fish using heparinized syringes. </w:t>
      </w:r>
      <w:proofErr w:type="spellStart"/>
      <w:r w:rsidRPr="002709A1">
        <w:t>Haematological</w:t>
      </w:r>
      <w:proofErr w:type="spellEnd"/>
      <w:r w:rsidRPr="002709A1">
        <w:t xml:space="preserve"> parameters were analyzed using an automated 5-part differential </w:t>
      </w:r>
      <w:proofErr w:type="spellStart"/>
      <w:r w:rsidRPr="002709A1">
        <w:t>haematology</w:t>
      </w:r>
      <w:proofErr w:type="spellEnd"/>
      <w:r w:rsidRPr="002709A1">
        <w:t xml:space="preserve"> analyzer (5-Part BC-5150). Parameters assessed included </w:t>
      </w:r>
      <w:proofErr w:type="spellStart"/>
      <w:r w:rsidRPr="002709A1">
        <w:t>Haemoglobin</w:t>
      </w:r>
      <w:proofErr w:type="spellEnd"/>
      <w:r w:rsidRPr="002709A1">
        <w:t xml:space="preserve"> (GOD/POD method equivalent photometric), RBC count, </w:t>
      </w:r>
      <w:proofErr w:type="spellStart"/>
      <w:r w:rsidRPr="002709A1">
        <w:t>Haematocrit</w:t>
      </w:r>
      <w:proofErr w:type="spellEnd"/>
      <w:r w:rsidRPr="002709A1">
        <w:t xml:space="preserve"> (HCT/PVC), MCV, MCH, MCHC, RDW-CV, Total Leucocyte Count (WBC), Differential WBC Count (Neutrophils, Lymphocytes, Eosinophils, Monocytes, Basophils), Platelet Count, Absolute Eosinophil Count, and Absolute Neutrophil Count.</w:t>
      </w:r>
    </w:p>
    <w:p w14:paraId="5E581ED3" w14:textId="77777777" w:rsidR="00E52B5D" w:rsidRPr="002709A1" w:rsidRDefault="009339A8" w:rsidP="00052228">
      <w:pPr>
        <w:pStyle w:val="Heading2"/>
        <w:spacing w:before="0" w:after="0" w:line="360" w:lineRule="auto"/>
        <w:rPr>
          <w:color w:val="auto"/>
        </w:rPr>
      </w:pPr>
      <w:r>
        <w:rPr>
          <w:color w:val="auto"/>
        </w:rPr>
        <w:t>2.6</w:t>
      </w:r>
      <w:r w:rsidR="00052228" w:rsidRPr="002709A1">
        <w:rPr>
          <w:color w:val="auto"/>
        </w:rPr>
        <w:t xml:space="preserve"> Biochemical Analysis</w:t>
      </w:r>
    </w:p>
    <w:p w14:paraId="75A37E42" w14:textId="77777777" w:rsidR="00E52B5D" w:rsidRPr="002709A1" w:rsidRDefault="00052228" w:rsidP="00052228">
      <w:pPr>
        <w:spacing w:line="360" w:lineRule="auto"/>
        <w:jc w:val="both"/>
      </w:pPr>
      <w:r w:rsidRPr="002709A1">
        <w:t>Serum was separated by centrifugation (3000 rpm, 15 min) and used for biochemical analysis on a fully automatic biochemistry random access analyzer (SRDXP Centre). Parameters analyzed included Serum Cholesterol (CHO/PAP method), Glucose (GOD/POD method), Serum Glutamic Oxaloacetic Transaminase (SGOT, Mod. IFCC method), Serum Glutamic Pyruvic Transaminase (SGPT, Mod. IFCC method), Serum Albumin (BCG method), and Total Protein (Biuret method).</w:t>
      </w:r>
    </w:p>
    <w:p w14:paraId="1C2FA29D" w14:textId="77777777" w:rsidR="002709A1" w:rsidRPr="002709A1" w:rsidRDefault="009339A8" w:rsidP="00052228">
      <w:pPr>
        <w:spacing w:line="360" w:lineRule="auto"/>
        <w:jc w:val="both"/>
        <w:rPr>
          <w:b/>
          <w:bCs/>
          <w:sz w:val="24"/>
          <w:szCs w:val="24"/>
        </w:rPr>
      </w:pPr>
      <w:r>
        <w:rPr>
          <w:b/>
          <w:bCs/>
          <w:sz w:val="24"/>
          <w:szCs w:val="24"/>
        </w:rPr>
        <w:t>2.7</w:t>
      </w:r>
      <w:r w:rsidR="002709A1" w:rsidRPr="002709A1">
        <w:rPr>
          <w:b/>
          <w:bCs/>
          <w:sz w:val="24"/>
          <w:szCs w:val="24"/>
        </w:rPr>
        <w:t xml:space="preserve"> Water Quality Monitoring </w:t>
      </w:r>
    </w:p>
    <w:p w14:paraId="6A7E2598" w14:textId="77777777" w:rsidR="002709A1" w:rsidRDefault="002709A1" w:rsidP="00052228">
      <w:pPr>
        <w:spacing w:line="360" w:lineRule="auto"/>
        <w:jc w:val="both"/>
      </w:pPr>
      <w:r w:rsidRPr="002709A1">
        <w:t xml:space="preserve">Water quality parameters were monitored regularly throughout the experimental period to ensure optimal conditions for </w:t>
      </w:r>
      <w:proofErr w:type="spellStart"/>
      <w:r w:rsidRPr="002709A1">
        <w:t>biofloc</w:t>
      </w:r>
      <w:proofErr w:type="spellEnd"/>
      <w:r w:rsidRPr="002709A1">
        <w:t xml:space="preserve"> development and fish growth. Temperature, dissolved oxygen, pH, ammonia-nitrogen, nitrite-nitrogen, and alkalinity were measured using standard analytical procedures recommended by APHA (2017). Continuous aeration facilitated adequate oxygen availability and maintained </w:t>
      </w:r>
      <w:proofErr w:type="spellStart"/>
      <w:r w:rsidRPr="002709A1">
        <w:t>biofloc</w:t>
      </w:r>
      <w:proofErr w:type="spellEnd"/>
      <w:r w:rsidRPr="002709A1">
        <w:t xml:space="preserve"> particles in suspension. The carbon-to-nitrogen ratio was adjusted through periodic molasses application to promote heterotrophic bacterial growth and microbial assimilation of nitrogenous wastes. Proper management of water quality was considered essential for maintaining fish health and maximizing the benefits of </w:t>
      </w:r>
      <w:proofErr w:type="spellStart"/>
      <w:r w:rsidRPr="002709A1">
        <w:t>biofloc</w:t>
      </w:r>
      <w:proofErr w:type="spellEnd"/>
      <w:r w:rsidRPr="002709A1">
        <w:t xml:space="preserve"> technology.</w:t>
      </w:r>
    </w:p>
    <w:p w14:paraId="047519C8" w14:textId="77777777" w:rsidR="002709A1" w:rsidRPr="002709A1" w:rsidRDefault="009339A8" w:rsidP="00052228">
      <w:pPr>
        <w:spacing w:line="360" w:lineRule="auto"/>
        <w:jc w:val="both"/>
        <w:rPr>
          <w:b/>
          <w:bCs/>
          <w:sz w:val="24"/>
          <w:szCs w:val="24"/>
        </w:rPr>
      </w:pPr>
      <w:r>
        <w:rPr>
          <w:b/>
          <w:bCs/>
          <w:sz w:val="24"/>
          <w:szCs w:val="24"/>
        </w:rPr>
        <w:t>2.8</w:t>
      </w:r>
      <w:r w:rsidR="002709A1" w:rsidRPr="002709A1">
        <w:rPr>
          <w:b/>
          <w:bCs/>
          <w:sz w:val="24"/>
          <w:szCs w:val="24"/>
        </w:rPr>
        <w:t xml:space="preserve"> Health Assessment Criteria </w:t>
      </w:r>
    </w:p>
    <w:p w14:paraId="1B6AADCE" w14:textId="77777777" w:rsidR="002709A1" w:rsidRPr="002709A1" w:rsidRDefault="002709A1" w:rsidP="00052228">
      <w:pPr>
        <w:spacing w:line="360" w:lineRule="auto"/>
        <w:jc w:val="both"/>
      </w:pPr>
      <w:r w:rsidRPr="002709A1">
        <w:t xml:space="preserve">Fish health status was evaluated using a combination of </w:t>
      </w:r>
      <w:proofErr w:type="spellStart"/>
      <w:r w:rsidRPr="002709A1">
        <w:t>haematological</w:t>
      </w:r>
      <w:proofErr w:type="spellEnd"/>
      <w:r w:rsidRPr="002709A1">
        <w:t xml:space="preserve"> and biochemical indicators. </w:t>
      </w:r>
      <w:proofErr w:type="spellStart"/>
      <w:r w:rsidRPr="002709A1">
        <w:t>Haemoglobin</w:t>
      </w:r>
      <w:proofErr w:type="spellEnd"/>
      <w:r w:rsidRPr="002709A1">
        <w:t xml:space="preserve"> concentration, erythrocyte count, leucocyte count, and differential leucocyte profile were used as indicators of oxygen transport capacity, immune competence, and physiological adaptation. </w:t>
      </w:r>
      <w:r w:rsidRPr="002709A1">
        <w:lastRenderedPageBreak/>
        <w:t xml:space="preserve">Biochemical parameters such as glucose, cholesterol, serum albumin, total protein, SGOT, and SGPT were assessed to determine metabolic status, nutritional condition, and liver function. The observed values were compared with established reference ranges reported for healthy </w:t>
      </w:r>
      <w:proofErr w:type="spellStart"/>
      <w:r w:rsidRPr="002709A1">
        <w:t>Labeo</w:t>
      </w:r>
      <w:proofErr w:type="spellEnd"/>
      <w:r w:rsidRPr="002709A1">
        <w:t xml:space="preserve"> </w:t>
      </w:r>
      <w:proofErr w:type="spellStart"/>
      <w:r w:rsidRPr="002709A1">
        <w:t>rohita</w:t>
      </w:r>
      <w:proofErr w:type="spellEnd"/>
      <w:r w:rsidRPr="002709A1">
        <w:t xml:space="preserve"> populations.</w:t>
      </w:r>
    </w:p>
    <w:p w14:paraId="669A6863" w14:textId="77777777" w:rsidR="00E52B5D" w:rsidRPr="002709A1" w:rsidRDefault="009339A8" w:rsidP="00052228">
      <w:pPr>
        <w:pStyle w:val="Heading2"/>
        <w:spacing w:before="0" w:after="0" w:line="360" w:lineRule="auto"/>
        <w:rPr>
          <w:color w:val="auto"/>
        </w:rPr>
      </w:pPr>
      <w:r>
        <w:rPr>
          <w:color w:val="auto"/>
        </w:rPr>
        <w:t>2.9</w:t>
      </w:r>
      <w:r w:rsidR="00052228" w:rsidRPr="002709A1">
        <w:rPr>
          <w:color w:val="auto"/>
        </w:rPr>
        <w:t xml:space="preserve"> Statistical Analysis</w:t>
      </w:r>
    </w:p>
    <w:p w14:paraId="4CA392C7" w14:textId="77777777" w:rsidR="009339A8" w:rsidRDefault="009339A8" w:rsidP="009339A8">
      <w:pPr>
        <w:pStyle w:val="Heading1"/>
        <w:spacing w:before="0" w:after="0" w:line="360" w:lineRule="auto"/>
        <w:jc w:val="both"/>
        <w:rPr>
          <w:b w:val="0"/>
          <w:bCs w:val="0"/>
          <w:color w:val="auto"/>
          <w:sz w:val="22"/>
          <w:szCs w:val="22"/>
        </w:rPr>
      </w:pPr>
      <w:r w:rsidRPr="009339A8">
        <w:rPr>
          <w:b w:val="0"/>
          <w:bCs w:val="0"/>
          <w:color w:val="auto"/>
          <w:sz w:val="22"/>
          <w:szCs w:val="22"/>
        </w:rPr>
        <w:t xml:space="preserve">Descriptive statistical analysis was performed, and the results are presented as mean values with corresponding reference ranges obtained from published literature. Due to the absence of a parallel control group, the findings were interpreted primarily in relation to established physiological reference values reported for healthy </w:t>
      </w:r>
      <w:proofErr w:type="spellStart"/>
      <w:r w:rsidRPr="009339A8">
        <w:rPr>
          <w:b w:val="0"/>
          <w:bCs w:val="0"/>
          <w:color w:val="auto"/>
          <w:sz w:val="22"/>
          <w:szCs w:val="22"/>
        </w:rPr>
        <w:t>Labeo</w:t>
      </w:r>
      <w:proofErr w:type="spellEnd"/>
      <w:r w:rsidRPr="009339A8">
        <w:rPr>
          <w:b w:val="0"/>
          <w:bCs w:val="0"/>
          <w:color w:val="auto"/>
          <w:sz w:val="22"/>
          <w:szCs w:val="22"/>
        </w:rPr>
        <w:t xml:space="preserve"> </w:t>
      </w:r>
      <w:proofErr w:type="spellStart"/>
      <w:r w:rsidRPr="009339A8">
        <w:rPr>
          <w:b w:val="0"/>
          <w:bCs w:val="0"/>
          <w:color w:val="auto"/>
          <w:sz w:val="22"/>
          <w:szCs w:val="22"/>
        </w:rPr>
        <w:t>rohita</w:t>
      </w:r>
      <w:proofErr w:type="spellEnd"/>
      <w:r w:rsidRPr="009339A8">
        <w:rPr>
          <w:b w:val="0"/>
          <w:bCs w:val="0"/>
          <w:color w:val="auto"/>
          <w:sz w:val="22"/>
          <w:szCs w:val="22"/>
        </w:rPr>
        <w:t xml:space="preserve"> populations.</w:t>
      </w:r>
    </w:p>
    <w:p w14:paraId="3A42BCF3" w14:textId="77777777" w:rsidR="00E52B5D" w:rsidRPr="002709A1" w:rsidRDefault="00052228" w:rsidP="00052228">
      <w:pPr>
        <w:pStyle w:val="Heading1"/>
        <w:spacing w:before="0" w:after="0" w:line="360" w:lineRule="auto"/>
        <w:rPr>
          <w:color w:val="auto"/>
        </w:rPr>
      </w:pPr>
      <w:r w:rsidRPr="002709A1">
        <w:rPr>
          <w:color w:val="auto"/>
        </w:rPr>
        <w:t>3. RESULTS</w:t>
      </w:r>
    </w:p>
    <w:p w14:paraId="2D579C42" w14:textId="77777777" w:rsidR="00E52B5D" w:rsidRPr="002709A1" w:rsidRDefault="00052228" w:rsidP="00052228">
      <w:pPr>
        <w:pStyle w:val="Heading2"/>
        <w:spacing w:before="0" w:after="0" w:line="360" w:lineRule="auto"/>
        <w:rPr>
          <w:color w:val="auto"/>
        </w:rPr>
      </w:pPr>
      <w:r w:rsidRPr="002709A1">
        <w:rPr>
          <w:color w:val="auto"/>
        </w:rPr>
        <w:t xml:space="preserve">3.1 </w:t>
      </w:r>
      <w:proofErr w:type="spellStart"/>
      <w:r w:rsidRPr="002709A1">
        <w:rPr>
          <w:color w:val="auto"/>
        </w:rPr>
        <w:t>Haematological</w:t>
      </w:r>
      <w:proofErr w:type="spellEnd"/>
      <w:r w:rsidRPr="002709A1">
        <w:rPr>
          <w:color w:val="auto"/>
        </w:rPr>
        <w:t xml:space="preserve"> Parameters</w:t>
      </w:r>
    </w:p>
    <w:p w14:paraId="15124B9F" w14:textId="77777777" w:rsidR="00E52B5D" w:rsidRPr="002709A1" w:rsidRDefault="00052228" w:rsidP="00052228">
      <w:pPr>
        <w:spacing w:line="360" w:lineRule="auto"/>
        <w:jc w:val="both"/>
      </w:pPr>
      <w:r w:rsidRPr="002709A1">
        <w:t xml:space="preserve">The </w:t>
      </w:r>
      <w:proofErr w:type="spellStart"/>
      <w:r w:rsidRPr="002709A1">
        <w:t>haematological</w:t>
      </w:r>
      <w:proofErr w:type="spellEnd"/>
      <w:r w:rsidRPr="002709A1">
        <w:t xml:space="preserve"> profile of L. </w:t>
      </w:r>
      <w:proofErr w:type="spellStart"/>
      <w:r w:rsidRPr="002709A1">
        <w:t>rohita</w:t>
      </w:r>
      <w:proofErr w:type="spellEnd"/>
      <w:r w:rsidRPr="002709A1">
        <w:t xml:space="preserve"> reared in the </w:t>
      </w:r>
      <w:proofErr w:type="spellStart"/>
      <w:r w:rsidRPr="002709A1">
        <w:t>biofloc</w:t>
      </w:r>
      <w:proofErr w:type="spellEnd"/>
      <w:r w:rsidRPr="002709A1">
        <w:t xml:space="preserve"> system is presented in Table 1. </w:t>
      </w:r>
      <w:proofErr w:type="spellStart"/>
      <w:r w:rsidRPr="002709A1">
        <w:t>Haemoglobin</w:t>
      </w:r>
      <w:proofErr w:type="spellEnd"/>
      <w:r w:rsidRPr="002709A1">
        <w:t xml:space="preserve"> concentration was recorded at 13.9 g/dL, within the normal reference range of 11.0–16.0 g/dL, indicating adequate oxygen-carrying capacity. The RBC count (3.91 million/</w:t>
      </w:r>
      <w:proofErr w:type="spellStart"/>
      <w:r w:rsidRPr="002709A1">
        <w:t>cumm</w:t>
      </w:r>
      <w:proofErr w:type="spellEnd"/>
      <w:r w:rsidRPr="002709A1">
        <w:t>) and HCT/PVC (37.1%) were within normal limits (3.5–5.5 million/</w:t>
      </w:r>
      <w:proofErr w:type="spellStart"/>
      <w:r w:rsidRPr="002709A1">
        <w:t>cumm</w:t>
      </w:r>
      <w:proofErr w:type="spellEnd"/>
      <w:r w:rsidRPr="002709A1">
        <w:t xml:space="preserve"> and 35–47%, respectively).</w:t>
      </w:r>
    </w:p>
    <w:p w14:paraId="79EBDCB6" w14:textId="77777777" w:rsidR="00E52B5D" w:rsidRPr="002709A1" w:rsidRDefault="00052228" w:rsidP="00052228">
      <w:pPr>
        <w:spacing w:line="360" w:lineRule="auto"/>
        <w:jc w:val="both"/>
      </w:pPr>
      <w:r w:rsidRPr="002709A1">
        <w:t xml:space="preserve">The MCV value of 94.88 </w:t>
      </w:r>
      <w:proofErr w:type="spellStart"/>
      <w:r w:rsidRPr="002709A1">
        <w:t>fL</w:t>
      </w:r>
      <w:proofErr w:type="spellEnd"/>
      <w:r w:rsidRPr="002709A1">
        <w:t xml:space="preserve"> was within the 80–100 </w:t>
      </w:r>
      <w:proofErr w:type="spellStart"/>
      <w:r w:rsidRPr="002709A1">
        <w:t>fL</w:t>
      </w:r>
      <w:proofErr w:type="spellEnd"/>
      <w:r w:rsidRPr="002709A1">
        <w:t xml:space="preserve"> reference range, indicating normocytic erythrocytes. However, MCH (35.55 </w:t>
      </w:r>
      <w:proofErr w:type="spellStart"/>
      <w:r w:rsidRPr="002709A1">
        <w:t>pgm</w:t>
      </w:r>
      <w:proofErr w:type="spellEnd"/>
      <w:r w:rsidRPr="002709A1">
        <w:t xml:space="preserve">) and MCHC (37.47%) were marginally elevated above their respective reference ranges (26–34 </w:t>
      </w:r>
      <w:proofErr w:type="spellStart"/>
      <w:r w:rsidRPr="002709A1">
        <w:t>pgm</w:t>
      </w:r>
      <w:proofErr w:type="spellEnd"/>
      <w:r w:rsidRPr="002709A1">
        <w:t xml:space="preserve"> and 32–36%), suggesting a mild degree of hyperchromia, which may reflect enhanced erythropoietic activity in response to </w:t>
      </w:r>
      <w:proofErr w:type="spellStart"/>
      <w:r w:rsidRPr="002709A1">
        <w:t>biofloc</w:t>
      </w:r>
      <w:proofErr w:type="spellEnd"/>
      <w:r w:rsidRPr="002709A1">
        <w:t xml:space="preserve">-associated </w:t>
      </w:r>
      <w:proofErr w:type="spellStart"/>
      <w:r w:rsidRPr="002709A1">
        <w:t>immunostimulation</w:t>
      </w:r>
      <w:proofErr w:type="spellEnd"/>
      <w:r w:rsidRPr="002709A1">
        <w:t>. RDW-CV was 14.3%, within normal limits (11.0–16.0%).</w:t>
      </w:r>
    </w:p>
    <w:p w14:paraId="687F3D08" w14:textId="77777777" w:rsidR="00E52B5D" w:rsidRPr="002709A1" w:rsidRDefault="00052228" w:rsidP="00052228">
      <w:pPr>
        <w:spacing w:line="360" w:lineRule="auto"/>
        <w:jc w:val="both"/>
      </w:pPr>
      <w:r w:rsidRPr="002709A1">
        <w:t>Total leucocyte count (5,960 cells/cu.mm) was within the normal range (4,000–11,000 cells/cu.mm), indicating the absence of infection or systemic inflammation. Differential WBC count showed Neutrophils 49%, Lymphocytes 37%, Eosinophils 5%, Monocytes 9%, and Basophils 0%, all within reference ranges. Platelet count of 3.19 lakh/cu.mm was within the normal range (1.5–4.5 lakh/cu.mm). Absolute Eosinophil Count (298.00 cu.mm) and Absolute Neutrophil Count (2920.40 cu.mm) were within the normal reference ranges.</w:t>
      </w:r>
    </w:p>
    <w:p w14:paraId="7455531D" w14:textId="77777777" w:rsidR="00E52B5D" w:rsidRPr="002709A1" w:rsidRDefault="00052228" w:rsidP="00052228">
      <w:pPr>
        <w:spacing w:line="360" w:lineRule="auto"/>
        <w:jc w:val="center"/>
      </w:pPr>
      <w:r w:rsidRPr="002709A1">
        <w:rPr>
          <w:b/>
          <w:bCs/>
        </w:rPr>
        <w:t xml:space="preserve">Table 1. </w:t>
      </w:r>
      <w:proofErr w:type="spellStart"/>
      <w:r w:rsidRPr="002709A1">
        <w:rPr>
          <w:b/>
          <w:bCs/>
        </w:rPr>
        <w:t>Haematological</w:t>
      </w:r>
      <w:proofErr w:type="spellEnd"/>
      <w:r w:rsidRPr="002709A1">
        <w:rPr>
          <w:b/>
          <w:bCs/>
        </w:rPr>
        <w:t xml:space="preserve"> Parameters of </w:t>
      </w:r>
      <w:proofErr w:type="spellStart"/>
      <w:r w:rsidRPr="002709A1">
        <w:rPr>
          <w:b/>
          <w:bCs/>
        </w:rPr>
        <w:t>Labeorohita</w:t>
      </w:r>
      <w:proofErr w:type="spellEnd"/>
      <w:r w:rsidRPr="002709A1">
        <w:rPr>
          <w:b/>
          <w:bCs/>
        </w:rPr>
        <w:t xml:space="preserve"> Reared in </w:t>
      </w:r>
      <w:proofErr w:type="spellStart"/>
      <w:r w:rsidRPr="002709A1">
        <w:rPr>
          <w:b/>
          <w:bCs/>
        </w:rPr>
        <w:t>Biofloc</w:t>
      </w:r>
      <w:proofErr w:type="spellEnd"/>
      <w:r w:rsidRPr="002709A1">
        <w:rPr>
          <w:b/>
          <w:bCs/>
        </w:rPr>
        <w:t xml:space="preserve"> System</w:t>
      </w:r>
    </w:p>
    <w:tbl>
      <w:tblPr>
        <w:tblW w:w="9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945"/>
        <w:gridCol w:w="1246"/>
        <w:gridCol w:w="1745"/>
        <w:gridCol w:w="1857"/>
        <w:gridCol w:w="1241"/>
      </w:tblGrid>
      <w:tr w:rsidR="00E52B5D" w:rsidRPr="002709A1" w14:paraId="6916430D" w14:textId="77777777" w:rsidTr="00052228">
        <w:trPr>
          <w:trHeight w:val="755"/>
          <w:tblHeader/>
          <w:jc w:val="center"/>
        </w:trPr>
        <w:tc>
          <w:tcPr>
            <w:tcW w:w="2945" w:type="dxa"/>
            <w:tcBorders>
              <w:top w:val="single" w:sz="1" w:space="0" w:color="2E74B5"/>
              <w:left w:val="single" w:sz="1" w:space="0" w:color="2E74B5"/>
              <w:bottom w:val="single" w:sz="1" w:space="0" w:color="2E74B5"/>
              <w:right w:val="single" w:sz="1" w:space="0" w:color="2E74B5"/>
            </w:tcBorders>
            <w:shd w:val="clear" w:color="auto" w:fill="2E74B5"/>
            <w:tcMar>
              <w:top w:w="80" w:type="dxa"/>
              <w:left w:w="120" w:type="dxa"/>
              <w:bottom w:w="80" w:type="dxa"/>
              <w:right w:w="120" w:type="dxa"/>
            </w:tcMar>
          </w:tcPr>
          <w:p w14:paraId="08627F5E" w14:textId="77777777" w:rsidR="00E52B5D" w:rsidRPr="002709A1" w:rsidRDefault="00052228" w:rsidP="00052228">
            <w:pPr>
              <w:spacing w:line="360" w:lineRule="auto"/>
              <w:jc w:val="center"/>
            </w:pPr>
            <w:r w:rsidRPr="002709A1">
              <w:rPr>
                <w:b/>
                <w:bCs/>
              </w:rPr>
              <w:t>Parameter</w:t>
            </w:r>
          </w:p>
        </w:tc>
        <w:tc>
          <w:tcPr>
            <w:tcW w:w="1246" w:type="dxa"/>
            <w:tcBorders>
              <w:top w:val="single" w:sz="1" w:space="0" w:color="2E74B5"/>
              <w:left w:val="single" w:sz="1" w:space="0" w:color="2E74B5"/>
              <w:bottom w:val="single" w:sz="1" w:space="0" w:color="2E74B5"/>
              <w:right w:val="single" w:sz="1" w:space="0" w:color="2E74B5"/>
            </w:tcBorders>
            <w:shd w:val="clear" w:color="auto" w:fill="2E74B5"/>
            <w:tcMar>
              <w:top w:w="80" w:type="dxa"/>
              <w:left w:w="120" w:type="dxa"/>
              <w:bottom w:w="80" w:type="dxa"/>
              <w:right w:w="120" w:type="dxa"/>
            </w:tcMar>
          </w:tcPr>
          <w:p w14:paraId="45BCE821" w14:textId="77777777" w:rsidR="00E52B5D" w:rsidRPr="002709A1" w:rsidRDefault="00052228" w:rsidP="00052228">
            <w:pPr>
              <w:spacing w:line="360" w:lineRule="auto"/>
              <w:jc w:val="center"/>
            </w:pPr>
            <w:r w:rsidRPr="002709A1">
              <w:rPr>
                <w:b/>
                <w:bCs/>
              </w:rPr>
              <w:t>Result</w:t>
            </w:r>
          </w:p>
        </w:tc>
        <w:tc>
          <w:tcPr>
            <w:tcW w:w="1745" w:type="dxa"/>
            <w:tcBorders>
              <w:top w:val="single" w:sz="1" w:space="0" w:color="2E74B5"/>
              <w:left w:val="single" w:sz="1" w:space="0" w:color="2E74B5"/>
              <w:bottom w:val="single" w:sz="1" w:space="0" w:color="2E74B5"/>
              <w:right w:val="single" w:sz="1" w:space="0" w:color="2E74B5"/>
            </w:tcBorders>
            <w:shd w:val="clear" w:color="auto" w:fill="2E74B5"/>
            <w:tcMar>
              <w:top w:w="80" w:type="dxa"/>
              <w:left w:w="120" w:type="dxa"/>
              <w:bottom w:w="80" w:type="dxa"/>
              <w:right w:w="120" w:type="dxa"/>
            </w:tcMar>
          </w:tcPr>
          <w:p w14:paraId="7B220F8E" w14:textId="77777777" w:rsidR="00E52B5D" w:rsidRPr="002709A1" w:rsidRDefault="00052228" w:rsidP="00052228">
            <w:pPr>
              <w:spacing w:line="360" w:lineRule="auto"/>
              <w:jc w:val="center"/>
            </w:pPr>
            <w:r w:rsidRPr="002709A1">
              <w:rPr>
                <w:b/>
                <w:bCs/>
              </w:rPr>
              <w:t>Unit</w:t>
            </w:r>
          </w:p>
        </w:tc>
        <w:tc>
          <w:tcPr>
            <w:tcW w:w="1857" w:type="dxa"/>
            <w:tcBorders>
              <w:top w:val="single" w:sz="1" w:space="0" w:color="2E74B5"/>
              <w:left w:val="single" w:sz="1" w:space="0" w:color="2E74B5"/>
              <w:bottom w:val="single" w:sz="1" w:space="0" w:color="2E74B5"/>
              <w:right w:val="single" w:sz="1" w:space="0" w:color="2E74B5"/>
            </w:tcBorders>
            <w:shd w:val="clear" w:color="auto" w:fill="2E74B5"/>
            <w:tcMar>
              <w:top w:w="80" w:type="dxa"/>
              <w:left w:w="120" w:type="dxa"/>
              <w:bottom w:w="80" w:type="dxa"/>
              <w:right w:w="120" w:type="dxa"/>
            </w:tcMar>
          </w:tcPr>
          <w:p w14:paraId="64BBA50F" w14:textId="77777777" w:rsidR="00E52B5D" w:rsidRPr="002709A1" w:rsidRDefault="00052228" w:rsidP="00052228">
            <w:pPr>
              <w:spacing w:line="360" w:lineRule="auto"/>
              <w:jc w:val="center"/>
            </w:pPr>
            <w:r w:rsidRPr="002709A1">
              <w:rPr>
                <w:b/>
                <w:bCs/>
              </w:rPr>
              <w:t>Reference Range</w:t>
            </w:r>
          </w:p>
        </w:tc>
        <w:tc>
          <w:tcPr>
            <w:tcW w:w="1241" w:type="dxa"/>
            <w:tcBorders>
              <w:top w:val="single" w:sz="1" w:space="0" w:color="2E74B5"/>
              <w:left w:val="single" w:sz="1" w:space="0" w:color="2E74B5"/>
              <w:bottom w:val="single" w:sz="1" w:space="0" w:color="2E74B5"/>
              <w:right w:val="single" w:sz="1" w:space="0" w:color="2E74B5"/>
            </w:tcBorders>
            <w:shd w:val="clear" w:color="auto" w:fill="2E74B5"/>
            <w:tcMar>
              <w:top w:w="80" w:type="dxa"/>
              <w:left w:w="120" w:type="dxa"/>
              <w:bottom w:w="80" w:type="dxa"/>
              <w:right w:w="120" w:type="dxa"/>
            </w:tcMar>
          </w:tcPr>
          <w:p w14:paraId="0DB80EA3" w14:textId="77777777" w:rsidR="00E52B5D" w:rsidRPr="002709A1" w:rsidRDefault="00052228" w:rsidP="00052228">
            <w:pPr>
              <w:spacing w:line="360" w:lineRule="auto"/>
              <w:jc w:val="center"/>
            </w:pPr>
            <w:r w:rsidRPr="002709A1">
              <w:rPr>
                <w:b/>
                <w:bCs/>
              </w:rPr>
              <w:t>Status</w:t>
            </w:r>
          </w:p>
        </w:tc>
      </w:tr>
      <w:tr w:rsidR="00E52B5D" w:rsidRPr="002709A1" w14:paraId="45C30904" w14:textId="77777777" w:rsidTr="00052228">
        <w:trPr>
          <w:trHeight w:val="358"/>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161740A3" w14:textId="77777777" w:rsidR="00E52B5D" w:rsidRPr="002709A1" w:rsidRDefault="00052228" w:rsidP="00052228">
            <w:pPr>
              <w:spacing w:line="360" w:lineRule="auto"/>
            </w:pPr>
            <w:proofErr w:type="spellStart"/>
            <w:r w:rsidRPr="002709A1">
              <w:t>Haemoglobin</w:t>
            </w:r>
            <w:proofErr w:type="spellEnd"/>
          </w:p>
        </w:tc>
        <w:tc>
          <w:tcPr>
            <w:tcW w:w="124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15176ACF" w14:textId="77777777" w:rsidR="00E52B5D" w:rsidRPr="002709A1" w:rsidRDefault="00052228" w:rsidP="00052228">
            <w:pPr>
              <w:spacing w:line="360" w:lineRule="auto"/>
              <w:jc w:val="center"/>
            </w:pPr>
            <w:r w:rsidRPr="002709A1">
              <w:t>13.9</w:t>
            </w:r>
          </w:p>
        </w:tc>
        <w:tc>
          <w:tcPr>
            <w:tcW w:w="17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3E694684" w14:textId="77777777" w:rsidR="00E52B5D" w:rsidRPr="002709A1" w:rsidRDefault="00052228" w:rsidP="00052228">
            <w:pPr>
              <w:spacing w:line="360" w:lineRule="auto"/>
              <w:jc w:val="center"/>
            </w:pPr>
            <w:r w:rsidRPr="002709A1">
              <w:t>gm/dL</w:t>
            </w:r>
          </w:p>
        </w:tc>
        <w:tc>
          <w:tcPr>
            <w:tcW w:w="1857"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67C2FC15" w14:textId="77777777" w:rsidR="00E52B5D" w:rsidRPr="002709A1" w:rsidRDefault="00052228" w:rsidP="00052228">
            <w:pPr>
              <w:spacing w:line="360" w:lineRule="auto"/>
              <w:jc w:val="center"/>
            </w:pPr>
            <w:r w:rsidRPr="002709A1">
              <w:t>11.0 – 16.0</w:t>
            </w:r>
          </w:p>
        </w:tc>
        <w:tc>
          <w:tcPr>
            <w:tcW w:w="1241"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3E4DB26E" w14:textId="77777777" w:rsidR="00E52B5D" w:rsidRPr="002709A1" w:rsidRDefault="00052228" w:rsidP="00052228">
            <w:pPr>
              <w:spacing w:line="360" w:lineRule="auto"/>
              <w:jc w:val="center"/>
            </w:pPr>
            <w:r w:rsidRPr="002709A1">
              <w:t>Normal</w:t>
            </w:r>
          </w:p>
        </w:tc>
      </w:tr>
      <w:tr w:rsidR="00E52B5D" w:rsidRPr="002709A1" w14:paraId="502DE643" w14:textId="77777777" w:rsidTr="00052228">
        <w:trPr>
          <w:trHeight w:val="377"/>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663DBD3C" w14:textId="77777777" w:rsidR="00E52B5D" w:rsidRPr="002709A1" w:rsidRDefault="00052228" w:rsidP="00052228">
            <w:pPr>
              <w:spacing w:line="360" w:lineRule="auto"/>
            </w:pPr>
            <w:r w:rsidRPr="002709A1">
              <w:t>RBC Count</w:t>
            </w:r>
          </w:p>
        </w:tc>
        <w:tc>
          <w:tcPr>
            <w:tcW w:w="124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69919E61" w14:textId="77777777" w:rsidR="00E52B5D" w:rsidRPr="002709A1" w:rsidRDefault="00052228" w:rsidP="00052228">
            <w:pPr>
              <w:spacing w:line="360" w:lineRule="auto"/>
              <w:jc w:val="center"/>
            </w:pPr>
            <w:r w:rsidRPr="002709A1">
              <w:t>3.91</w:t>
            </w:r>
          </w:p>
        </w:tc>
        <w:tc>
          <w:tcPr>
            <w:tcW w:w="17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1275EB8C" w14:textId="77777777" w:rsidR="00E52B5D" w:rsidRPr="002709A1" w:rsidRDefault="00052228" w:rsidP="00052228">
            <w:pPr>
              <w:spacing w:line="360" w:lineRule="auto"/>
              <w:jc w:val="center"/>
            </w:pPr>
            <w:r w:rsidRPr="002709A1">
              <w:t>million/</w:t>
            </w:r>
            <w:proofErr w:type="spellStart"/>
            <w:r w:rsidRPr="002709A1">
              <w:t>cumm</w:t>
            </w:r>
            <w:proofErr w:type="spellEnd"/>
          </w:p>
        </w:tc>
        <w:tc>
          <w:tcPr>
            <w:tcW w:w="185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50DA1A72" w14:textId="77777777" w:rsidR="00E52B5D" w:rsidRPr="002709A1" w:rsidRDefault="00052228" w:rsidP="00052228">
            <w:pPr>
              <w:spacing w:line="360" w:lineRule="auto"/>
              <w:jc w:val="center"/>
            </w:pPr>
            <w:r w:rsidRPr="002709A1">
              <w:t>3.5 – 5.5</w:t>
            </w:r>
          </w:p>
        </w:tc>
        <w:tc>
          <w:tcPr>
            <w:tcW w:w="1241"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5A357748" w14:textId="77777777" w:rsidR="00E52B5D" w:rsidRPr="002709A1" w:rsidRDefault="00052228" w:rsidP="00052228">
            <w:pPr>
              <w:spacing w:line="360" w:lineRule="auto"/>
              <w:jc w:val="center"/>
            </w:pPr>
            <w:r w:rsidRPr="002709A1">
              <w:t>Normal</w:t>
            </w:r>
          </w:p>
        </w:tc>
      </w:tr>
      <w:tr w:rsidR="00E52B5D" w:rsidRPr="002709A1" w14:paraId="76D4CE21" w14:textId="77777777" w:rsidTr="00052228">
        <w:trPr>
          <w:trHeight w:val="377"/>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0BE781C4" w14:textId="77777777" w:rsidR="00E52B5D" w:rsidRPr="002709A1" w:rsidRDefault="00052228" w:rsidP="00052228">
            <w:pPr>
              <w:spacing w:line="360" w:lineRule="auto"/>
            </w:pPr>
            <w:r w:rsidRPr="002709A1">
              <w:t>HCT (PVC)</w:t>
            </w:r>
          </w:p>
        </w:tc>
        <w:tc>
          <w:tcPr>
            <w:tcW w:w="124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4B6A057C" w14:textId="77777777" w:rsidR="00E52B5D" w:rsidRPr="002709A1" w:rsidRDefault="00052228" w:rsidP="00052228">
            <w:pPr>
              <w:spacing w:line="360" w:lineRule="auto"/>
              <w:jc w:val="center"/>
            </w:pPr>
            <w:r w:rsidRPr="002709A1">
              <w:t>37.1</w:t>
            </w:r>
          </w:p>
        </w:tc>
        <w:tc>
          <w:tcPr>
            <w:tcW w:w="17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3D613240" w14:textId="77777777" w:rsidR="00E52B5D" w:rsidRPr="002709A1" w:rsidRDefault="00052228" w:rsidP="00052228">
            <w:pPr>
              <w:spacing w:line="360" w:lineRule="auto"/>
              <w:jc w:val="center"/>
            </w:pPr>
            <w:r w:rsidRPr="002709A1">
              <w:t>%</w:t>
            </w:r>
          </w:p>
        </w:tc>
        <w:tc>
          <w:tcPr>
            <w:tcW w:w="1857"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54D190AC" w14:textId="77777777" w:rsidR="00E52B5D" w:rsidRPr="002709A1" w:rsidRDefault="00052228" w:rsidP="00052228">
            <w:pPr>
              <w:spacing w:line="360" w:lineRule="auto"/>
              <w:jc w:val="center"/>
            </w:pPr>
            <w:r w:rsidRPr="002709A1">
              <w:t>35 – 47</w:t>
            </w:r>
          </w:p>
        </w:tc>
        <w:tc>
          <w:tcPr>
            <w:tcW w:w="1241"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06A80502" w14:textId="77777777" w:rsidR="00E52B5D" w:rsidRPr="002709A1" w:rsidRDefault="00052228" w:rsidP="00052228">
            <w:pPr>
              <w:spacing w:line="360" w:lineRule="auto"/>
              <w:jc w:val="center"/>
            </w:pPr>
            <w:r w:rsidRPr="002709A1">
              <w:t>Normal</w:t>
            </w:r>
          </w:p>
        </w:tc>
      </w:tr>
      <w:tr w:rsidR="00E52B5D" w:rsidRPr="002709A1" w14:paraId="20E7C75D" w14:textId="77777777" w:rsidTr="00052228">
        <w:trPr>
          <w:trHeight w:val="377"/>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5CF4AEDD" w14:textId="77777777" w:rsidR="00E52B5D" w:rsidRPr="002709A1" w:rsidRDefault="00052228" w:rsidP="00052228">
            <w:pPr>
              <w:spacing w:line="360" w:lineRule="auto"/>
            </w:pPr>
            <w:r w:rsidRPr="002709A1">
              <w:t>MCV</w:t>
            </w:r>
          </w:p>
        </w:tc>
        <w:tc>
          <w:tcPr>
            <w:tcW w:w="124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31E53D43" w14:textId="77777777" w:rsidR="00E52B5D" w:rsidRPr="002709A1" w:rsidRDefault="00052228" w:rsidP="00052228">
            <w:pPr>
              <w:spacing w:line="360" w:lineRule="auto"/>
              <w:jc w:val="center"/>
            </w:pPr>
            <w:r w:rsidRPr="002709A1">
              <w:t>94.88</w:t>
            </w:r>
          </w:p>
        </w:tc>
        <w:tc>
          <w:tcPr>
            <w:tcW w:w="17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426BF92C" w14:textId="77777777" w:rsidR="00E52B5D" w:rsidRPr="002709A1" w:rsidRDefault="00052228" w:rsidP="00052228">
            <w:pPr>
              <w:spacing w:line="360" w:lineRule="auto"/>
              <w:jc w:val="center"/>
            </w:pPr>
            <w:proofErr w:type="spellStart"/>
            <w:r w:rsidRPr="002709A1">
              <w:t>fL</w:t>
            </w:r>
            <w:proofErr w:type="spellEnd"/>
          </w:p>
        </w:tc>
        <w:tc>
          <w:tcPr>
            <w:tcW w:w="185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4342F1EA" w14:textId="77777777" w:rsidR="00E52B5D" w:rsidRPr="002709A1" w:rsidRDefault="00052228" w:rsidP="00052228">
            <w:pPr>
              <w:spacing w:line="360" w:lineRule="auto"/>
              <w:jc w:val="center"/>
            </w:pPr>
            <w:r w:rsidRPr="002709A1">
              <w:t>80 – 100</w:t>
            </w:r>
          </w:p>
        </w:tc>
        <w:tc>
          <w:tcPr>
            <w:tcW w:w="1241"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7A476B2E" w14:textId="77777777" w:rsidR="00E52B5D" w:rsidRPr="002709A1" w:rsidRDefault="00052228" w:rsidP="00052228">
            <w:pPr>
              <w:spacing w:line="360" w:lineRule="auto"/>
              <w:jc w:val="center"/>
            </w:pPr>
            <w:r w:rsidRPr="002709A1">
              <w:t>Normal</w:t>
            </w:r>
          </w:p>
        </w:tc>
      </w:tr>
      <w:tr w:rsidR="00E52B5D" w:rsidRPr="002709A1" w14:paraId="5856141C" w14:textId="77777777" w:rsidTr="00052228">
        <w:trPr>
          <w:trHeight w:val="755"/>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76D7F3CD" w14:textId="77777777" w:rsidR="00E52B5D" w:rsidRPr="002709A1" w:rsidRDefault="00052228" w:rsidP="00052228">
            <w:pPr>
              <w:spacing w:line="360" w:lineRule="auto"/>
            </w:pPr>
            <w:r w:rsidRPr="002709A1">
              <w:t>MCH</w:t>
            </w:r>
          </w:p>
        </w:tc>
        <w:tc>
          <w:tcPr>
            <w:tcW w:w="124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55B10871" w14:textId="77777777" w:rsidR="00E52B5D" w:rsidRPr="002709A1" w:rsidRDefault="00052228" w:rsidP="00052228">
            <w:pPr>
              <w:spacing w:line="360" w:lineRule="auto"/>
              <w:jc w:val="center"/>
            </w:pPr>
            <w:r w:rsidRPr="002709A1">
              <w:t>35.55</w:t>
            </w:r>
          </w:p>
        </w:tc>
        <w:tc>
          <w:tcPr>
            <w:tcW w:w="17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039DB264" w14:textId="77777777" w:rsidR="00E52B5D" w:rsidRPr="002709A1" w:rsidRDefault="00052228" w:rsidP="00052228">
            <w:pPr>
              <w:spacing w:line="360" w:lineRule="auto"/>
              <w:jc w:val="center"/>
            </w:pPr>
            <w:proofErr w:type="spellStart"/>
            <w:r w:rsidRPr="002709A1">
              <w:t>pgm</w:t>
            </w:r>
            <w:proofErr w:type="spellEnd"/>
          </w:p>
        </w:tc>
        <w:tc>
          <w:tcPr>
            <w:tcW w:w="1857"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53D169EA" w14:textId="77777777" w:rsidR="00E52B5D" w:rsidRPr="002709A1" w:rsidRDefault="00052228" w:rsidP="00052228">
            <w:pPr>
              <w:spacing w:line="360" w:lineRule="auto"/>
              <w:jc w:val="center"/>
            </w:pPr>
            <w:r w:rsidRPr="002709A1">
              <w:t>26 – 34</w:t>
            </w:r>
          </w:p>
        </w:tc>
        <w:tc>
          <w:tcPr>
            <w:tcW w:w="1241"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23D909B4" w14:textId="77777777" w:rsidR="00E52B5D" w:rsidRPr="002709A1" w:rsidRDefault="00052228" w:rsidP="00052228">
            <w:pPr>
              <w:spacing w:line="360" w:lineRule="auto"/>
              <w:jc w:val="center"/>
            </w:pPr>
            <w:r w:rsidRPr="002709A1">
              <w:t>Slightly High</w:t>
            </w:r>
          </w:p>
        </w:tc>
      </w:tr>
      <w:tr w:rsidR="00E52B5D" w:rsidRPr="002709A1" w14:paraId="6FB5ADEA" w14:textId="77777777" w:rsidTr="00052228">
        <w:trPr>
          <w:trHeight w:val="755"/>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794E4837" w14:textId="77777777" w:rsidR="00E52B5D" w:rsidRPr="002709A1" w:rsidRDefault="00052228" w:rsidP="00052228">
            <w:pPr>
              <w:spacing w:line="360" w:lineRule="auto"/>
            </w:pPr>
            <w:r w:rsidRPr="002709A1">
              <w:lastRenderedPageBreak/>
              <w:t>MCHC</w:t>
            </w:r>
          </w:p>
        </w:tc>
        <w:tc>
          <w:tcPr>
            <w:tcW w:w="124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4B356236" w14:textId="77777777" w:rsidR="00E52B5D" w:rsidRPr="002709A1" w:rsidRDefault="00052228" w:rsidP="00052228">
            <w:pPr>
              <w:spacing w:line="360" w:lineRule="auto"/>
              <w:jc w:val="center"/>
            </w:pPr>
            <w:r w:rsidRPr="002709A1">
              <w:t>37.47</w:t>
            </w:r>
          </w:p>
        </w:tc>
        <w:tc>
          <w:tcPr>
            <w:tcW w:w="17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5A0591C0" w14:textId="77777777" w:rsidR="00E52B5D" w:rsidRPr="002709A1" w:rsidRDefault="00052228" w:rsidP="00052228">
            <w:pPr>
              <w:spacing w:line="360" w:lineRule="auto"/>
              <w:jc w:val="center"/>
            </w:pPr>
            <w:r w:rsidRPr="002709A1">
              <w:t>%</w:t>
            </w:r>
          </w:p>
        </w:tc>
        <w:tc>
          <w:tcPr>
            <w:tcW w:w="185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22B54E51" w14:textId="77777777" w:rsidR="00E52B5D" w:rsidRPr="002709A1" w:rsidRDefault="00052228" w:rsidP="00052228">
            <w:pPr>
              <w:spacing w:line="360" w:lineRule="auto"/>
              <w:jc w:val="center"/>
            </w:pPr>
            <w:r w:rsidRPr="002709A1">
              <w:t>32 – 36</w:t>
            </w:r>
          </w:p>
        </w:tc>
        <w:tc>
          <w:tcPr>
            <w:tcW w:w="1241"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208A2B8E" w14:textId="77777777" w:rsidR="00E52B5D" w:rsidRPr="002709A1" w:rsidRDefault="00052228" w:rsidP="00052228">
            <w:pPr>
              <w:spacing w:line="360" w:lineRule="auto"/>
              <w:jc w:val="center"/>
            </w:pPr>
            <w:r w:rsidRPr="002709A1">
              <w:t>Slightly High</w:t>
            </w:r>
          </w:p>
        </w:tc>
      </w:tr>
      <w:tr w:rsidR="00E52B5D" w:rsidRPr="002709A1" w14:paraId="5B27D41B" w14:textId="77777777" w:rsidTr="00052228">
        <w:trPr>
          <w:trHeight w:val="377"/>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27DDE737" w14:textId="77777777" w:rsidR="00E52B5D" w:rsidRPr="002709A1" w:rsidRDefault="00052228" w:rsidP="00052228">
            <w:pPr>
              <w:spacing w:line="360" w:lineRule="auto"/>
            </w:pPr>
            <w:r w:rsidRPr="002709A1">
              <w:t>RDW-CV</w:t>
            </w:r>
          </w:p>
        </w:tc>
        <w:tc>
          <w:tcPr>
            <w:tcW w:w="124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06FBF08A" w14:textId="77777777" w:rsidR="00E52B5D" w:rsidRPr="002709A1" w:rsidRDefault="00052228" w:rsidP="00052228">
            <w:pPr>
              <w:spacing w:line="360" w:lineRule="auto"/>
              <w:jc w:val="center"/>
            </w:pPr>
            <w:r w:rsidRPr="002709A1">
              <w:t>14.3</w:t>
            </w:r>
          </w:p>
        </w:tc>
        <w:tc>
          <w:tcPr>
            <w:tcW w:w="17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0A47A385" w14:textId="77777777" w:rsidR="00E52B5D" w:rsidRPr="002709A1" w:rsidRDefault="00052228" w:rsidP="00052228">
            <w:pPr>
              <w:spacing w:line="360" w:lineRule="auto"/>
              <w:jc w:val="center"/>
            </w:pPr>
            <w:r w:rsidRPr="002709A1">
              <w:t>%</w:t>
            </w:r>
          </w:p>
        </w:tc>
        <w:tc>
          <w:tcPr>
            <w:tcW w:w="1857"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7958E06F" w14:textId="77777777" w:rsidR="00E52B5D" w:rsidRPr="002709A1" w:rsidRDefault="00052228" w:rsidP="00052228">
            <w:pPr>
              <w:spacing w:line="360" w:lineRule="auto"/>
              <w:jc w:val="center"/>
            </w:pPr>
            <w:r w:rsidRPr="002709A1">
              <w:t>11.0 – 16.0</w:t>
            </w:r>
          </w:p>
        </w:tc>
        <w:tc>
          <w:tcPr>
            <w:tcW w:w="1241"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61A6E83A" w14:textId="77777777" w:rsidR="00E52B5D" w:rsidRPr="002709A1" w:rsidRDefault="00052228" w:rsidP="00052228">
            <w:pPr>
              <w:spacing w:line="360" w:lineRule="auto"/>
              <w:jc w:val="center"/>
            </w:pPr>
            <w:r w:rsidRPr="002709A1">
              <w:t>Normal</w:t>
            </w:r>
          </w:p>
        </w:tc>
      </w:tr>
      <w:tr w:rsidR="00E52B5D" w:rsidRPr="002709A1" w14:paraId="5E6CF378" w14:textId="77777777" w:rsidTr="00052228">
        <w:trPr>
          <w:trHeight w:val="377"/>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22010440" w14:textId="77777777" w:rsidR="00E52B5D" w:rsidRPr="002709A1" w:rsidRDefault="00052228" w:rsidP="00052228">
            <w:pPr>
              <w:spacing w:line="360" w:lineRule="auto"/>
            </w:pPr>
            <w:r w:rsidRPr="002709A1">
              <w:t>Total WBC Count</w:t>
            </w:r>
          </w:p>
        </w:tc>
        <w:tc>
          <w:tcPr>
            <w:tcW w:w="124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1C0CC912" w14:textId="77777777" w:rsidR="00E52B5D" w:rsidRPr="002709A1" w:rsidRDefault="00052228" w:rsidP="00052228">
            <w:pPr>
              <w:spacing w:line="360" w:lineRule="auto"/>
              <w:jc w:val="center"/>
            </w:pPr>
            <w:r w:rsidRPr="002709A1">
              <w:t>5,960</w:t>
            </w:r>
          </w:p>
        </w:tc>
        <w:tc>
          <w:tcPr>
            <w:tcW w:w="17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318A6565" w14:textId="77777777" w:rsidR="00E52B5D" w:rsidRPr="002709A1" w:rsidRDefault="00052228" w:rsidP="00052228">
            <w:pPr>
              <w:spacing w:line="360" w:lineRule="auto"/>
              <w:jc w:val="center"/>
            </w:pPr>
            <w:r w:rsidRPr="002709A1">
              <w:t>Cells/cu.mm</w:t>
            </w:r>
          </w:p>
        </w:tc>
        <w:tc>
          <w:tcPr>
            <w:tcW w:w="185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2560B3D4" w14:textId="77777777" w:rsidR="00E52B5D" w:rsidRPr="002709A1" w:rsidRDefault="00052228" w:rsidP="00052228">
            <w:pPr>
              <w:spacing w:line="360" w:lineRule="auto"/>
              <w:jc w:val="center"/>
            </w:pPr>
            <w:r w:rsidRPr="002709A1">
              <w:t>4000 – 11000</w:t>
            </w:r>
          </w:p>
        </w:tc>
        <w:tc>
          <w:tcPr>
            <w:tcW w:w="1241"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09DF8138" w14:textId="77777777" w:rsidR="00E52B5D" w:rsidRPr="002709A1" w:rsidRDefault="00052228" w:rsidP="00052228">
            <w:pPr>
              <w:spacing w:line="360" w:lineRule="auto"/>
              <w:jc w:val="center"/>
            </w:pPr>
            <w:r w:rsidRPr="002709A1">
              <w:t>Normal</w:t>
            </w:r>
          </w:p>
        </w:tc>
      </w:tr>
      <w:tr w:rsidR="00E52B5D" w:rsidRPr="002709A1" w14:paraId="2992E1C2" w14:textId="77777777" w:rsidTr="00052228">
        <w:trPr>
          <w:trHeight w:val="377"/>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14C5304B" w14:textId="77777777" w:rsidR="00E52B5D" w:rsidRPr="002709A1" w:rsidRDefault="00052228" w:rsidP="00052228">
            <w:pPr>
              <w:spacing w:line="360" w:lineRule="auto"/>
            </w:pPr>
            <w:r w:rsidRPr="002709A1">
              <w:t>Neutrophils</w:t>
            </w:r>
          </w:p>
        </w:tc>
        <w:tc>
          <w:tcPr>
            <w:tcW w:w="124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6BDA5DB9" w14:textId="77777777" w:rsidR="00E52B5D" w:rsidRPr="002709A1" w:rsidRDefault="00052228" w:rsidP="00052228">
            <w:pPr>
              <w:spacing w:line="360" w:lineRule="auto"/>
              <w:jc w:val="center"/>
            </w:pPr>
            <w:r w:rsidRPr="002709A1">
              <w:t>49</w:t>
            </w:r>
          </w:p>
        </w:tc>
        <w:tc>
          <w:tcPr>
            <w:tcW w:w="17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334A700E" w14:textId="77777777" w:rsidR="00E52B5D" w:rsidRPr="002709A1" w:rsidRDefault="00052228" w:rsidP="00052228">
            <w:pPr>
              <w:spacing w:line="360" w:lineRule="auto"/>
              <w:jc w:val="center"/>
            </w:pPr>
            <w:r w:rsidRPr="002709A1">
              <w:t>%</w:t>
            </w:r>
          </w:p>
        </w:tc>
        <w:tc>
          <w:tcPr>
            <w:tcW w:w="1857"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49B987A7" w14:textId="77777777" w:rsidR="00E52B5D" w:rsidRPr="002709A1" w:rsidRDefault="00052228" w:rsidP="00052228">
            <w:pPr>
              <w:spacing w:line="360" w:lineRule="auto"/>
              <w:jc w:val="center"/>
            </w:pPr>
            <w:r w:rsidRPr="002709A1">
              <w:t>45 – 70</w:t>
            </w:r>
          </w:p>
        </w:tc>
        <w:tc>
          <w:tcPr>
            <w:tcW w:w="1241"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6D95DED7" w14:textId="77777777" w:rsidR="00E52B5D" w:rsidRPr="002709A1" w:rsidRDefault="00052228" w:rsidP="00052228">
            <w:pPr>
              <w:spacing w:line="360" w:lineRule="auto"/>
              <w:jc w:val="center"/>
            </w:pPr>
            <w:r w:rsidRPr="002709A1">
              <w:t>Normal</w:t>
            </w:r>
          </w:p>
        </w:tc>
      </w:tr>
      <w:tr w:rsidR="00E52B5D" w:rsidRPr="002709A1" w14:paraId="2767B468" w14:textId="77777777" w:rsidTr="00052228">
        <w:trPr>
          <w:trHeight w:val="358"/>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02EB8880" w14:textId="77777777" w:rsidR="00E52B5D" w:rsidRPr="002709A1" w:rsidRDefault="00052228" w:rsidP="00052228">
            <w:pPr>
              <w:spacing w:line="360" w:lineRule="auto"/>
            </w:pPr>
            <w:r w:rsidRPr="002709A1">
              <w:t>Lymphocytes</w:t>
            </w:r>
          </w:p>
        </w:tc>
        <w:tc>
          <w:tcPr>
            <w:tcW w:w="124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20E052BF" w14:textId="77777777" w:rsidR="00E52B5D" w:rsidRPr="002709A1" w:rsidRDefault="00052228" w:rsidP="00052228">
            <w:pPr>
              <w:spacing w:line="360" w:lineRule="auto"/>
              <w:jc w:val="center"/>
            </w:pPr>
            <w:r w:rsidRPr="002709A1">
              <w:t>37</w:t>
            </w:r>
          </w:p>
        </w:tc>
        <w:tc>
          <w:tcPr>
            <w:tcW w:w="17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58D31E5D" w14:textId="77777777" w:rsidR="00E52B5D" w:rsidRPr="002709A1" w:rsidRDefault="00052228" w:rsidP="00052228">
            <w:pPr>
              <w:spacing w:line="360" w:lineRule="auto"/>
              <w:jc w:val="center"/>
            </w:pPr>
            <w:r w:rsidRPr="002709A1">
              <w:t>%</w:t>
            </w:r>
          </w:p>
        </w:tc>
        <w:tc>
          <w:tcPr>
            <w:tcW w:w="185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3640B060" w14:textId="77777777" w:rsidR="00E52B5D" w:rsidRPr="002709A1" w:rsidRDefault="00052228" w:rsidP="00052228">
            <w:pPr>
              <w:spacing w:line="360" w:lineRule="auto"/>
              <w:jc w:val="center"/>
            </w:pPr>
            <w:r w:rsidRPr="002709A1">
              <w:t>25 – 45</w:t>
            </w:r>
          </w:p>
        </w:tc>
        <w:tc>
          <w:tcPr>
            <w:tcW w:w="1241"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6ABB1D80" w14:textId="77777777" w:rsidR="00E52B5D" w:rsidRPr="002709A1" w:rsidRDefault="00052228" w:rsidP="00052228">
            <w:pPr>
              <w:spacing w:line="360" w:lineRule="auto"/>
              <w:jc w:val="center"/>
            </w:pPr>
            <w:r w:rsidRPr="002709A1">
              <w:t>Normal</w:t>
            </w:r>
          </w:p>
        </w:tc>
      </w:tr>
      <w:tr w:rsidR="00E52B5D" w:rsidRPr="002709A1" w14:paraId="032C11E7" w14:textId="77777777" w:rsidTr="00052228">
        <w:trPr>
          <w:trHeight w:val="377"/>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5080CBC1" w14:textId="77777777" w:rsidR="00E52B5D" w:rsidRPr="002709A1" w:rsidRDefault="00052228" w:rsidP="00052228">
            <w:pPr>
              <w:spacing w:line="360" w:lineRule="auto"/>
            </w:pPr>
            <w:r w:rsidRPr="002709A1">
              <w:t>Eosinophils</w:t>
            </w:r>
          </w:p>
        </w:tc>
        <w:tc>
          <w:tcPr>
            <w:tcW w:w="124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78157A02" w14:textId="77777777" w:rsidR="00E52B5D" w:rsidRPr="002709A1" w:rsidRDefault="00052228" w:rsidP="00052228">
            <w:pPr>
              <w:spacing w:line="360" w:lineRule="auto"/>
              <w:jc w:val="center"/>
            </w:pPr>
            <w:r w:rsidRPr="002709A1">
              <w:t>05</w:t>
            </w:r>
          </w:p>
        </w:tc>
        <w:tc>
          <w:tcPr>
            <w:tcW w:w="17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6AF6A931" w14:textId="77777777" w:rsidR="00E52B5D" w:rsidRPr="002709A1" w:rsidRDefault="00052228" w:rsidP="00052228">
            <w:pPr>
              <w:spacing w:line="360" w:lineRule="auto"/>
              <w:jc w:val="center"/>
            </w:pPr>
            <w:r w:rsidRPr="002709A1">
              <w:t>%</w:t>
            </w:r>
          </w:p>
        </w:tc>
        <w:tc>
          <w:tcPr>
            <w:tcW w:w="1857"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13C5B06B" w14:textId="77777777" w:rsidR="00E52B5D" w:rsidRPr="002709A1" w:rsidRDefault="00052228" w:rsidP="00052228">
            <w:pPr>
              <w:spacing w:line="360" w:lineRule="auto"/>
              <w:jc w:val="center"/>
            </w:pPr>
            <w:r w:rsidRPr="002709A1">
              <w:t>1 – 6</w:t>
            </w:r>
          </w:p>
        </w:tc>
        <w:tc>
          <w:tcPr>
            <w:tcW w:w="1241"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220DB6D7" w14:textId="77777777" w:rsidR="00E52B5D" w:rsidRPr="002709A1" w:rsidRDefault="00052228" w:rsidP="00052228">
            <w:pPr>
              <w:spacing w:line="360" w:lineRule="auto"/>
              <w:jc w:val="center"/>
            </w:pPr>
            <w:r w:rsidRPr="002709A1">
              <w:t>Normal</w:t>
            </w:r>
          </w:p>
        </w:tc>
      </w:tr>
      <w:tr w:rsidR="00E52B5D" w:rsidRPr="002709A1" w14:paraId="4BD58731" w14:textId="77777777" w:rsidTr="00052228">
        <w:trPr>
          <w:trHeight w:val="377"/>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4CB77C72" w14:textId="77777777" w:rsidR="00E52B5D" w:rsidRPr="002709A1" w:rsidRDefault="00052228" w:rsidP="00052228">
            <w:pPr>
              <w:spacing w:line="360" w:lineRule="auto"/>
            </w:pPr>
            <w:r w:rsidRPr="002709A1">
              <w:t>Monocytes</w:t>
            </w:r>
          </w:p>
        </w:tc>
        <w:tc>
          <w:tcPr>
            <w:tcW w:w="124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362DFDBB" w14:textId="77777777" w:rsidR="00E52B5D" w:rsidRPr="002709A1" w:rsidRDefault="00052228" w:rsidP="00052228">
            <w:pPr>
              <w:spacing w:line="360" w:lineRule="auto"/>
              <w:jc w:val="center"/>
            </w:pPr>
            <w:r w:rsidRPr="002709A1">
              <w:t>09</w:t>
            </w:r>
          </w:p>
        </w:tc>
        <w:tc>
          <w:tcPr>
            <w:tcW w:w="17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1D6BB106" w14:textId="77777777" w:rsidR="00E52B5D" w:rsidRPr="002709A1" w:rsidRDefault="00052228" w:rsidP="00052228">
            <w:pPr>
              <w:spacing w:line="360" w:lineRule="auto"/>
              <w:jc w:val="center"/>
            </w:pPr>
            <w:r w:rsidRPr="002709A1">
              <w:t>%</w:t>
            </w:r>
          </w:p>
        </w:tc>
        <w:tc>
          <w:tcPr>
            <w:tcW w:w="185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4772EE99" w14:textId="77777777" w:rsidR="00E52B5D" w:rsidRPr="002709A1" w:rsidRDefault="00052228" w:rsidP="00052228">
            <w:pPr>
              <w:spacing w:line="360" w:lineRule="auto"/>
              <w:jc w:val="center"/>
            </w:pPr>
            <w:r w:rsidRPr="002709A1">
              <w:t>02 – 10</w:t>
            </w:r>
          </w:p>
        </w:tc>
        <w:tc>
          <w:tcPr>
            <w:tcW w:w="1241"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1F383EFF" w14:textId="77777777" w:rsidR="00E52B5D" w:rsidRPr="002709A1" w:rsidRDefault="00052228" w:rsidP="00052228">
            <w:pPr>
              <w:spacing w:line="360" w:lineRule="auto"/>
              <w:jc w:val="center"/>
            </w:pPr>
            <w:r w:rsidRPr="002709A1">
              <w:t>Normal</w:t>
            </w:r>
          </w:p>
        </w:tc>
      </w:tr>
      <w:tr w:rsidR="00E52B5D" w:rsidRPr="002709A1" w14:paraId="6ECABAA6" w14:textId="77777777" w:rsidTr="00052228">
        <w:trPr>
          <w:trHeight w:val="377"/>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59B03260" w14:textId="77777777" w:rsidR="00E52B5D" w:rsidRPr="002709A1" w:rsidRDefault="00052228" w:rsidP="00052228">
            <w:pPr>
              <w:spacing w:line="360" w:lineRule="auto"/>
            </w:pPr>
            <w:r w:rsidRPr="002709A1">
              <w:t>Basophils</w:t>
            </w:r>
          </w:p>
        </w:tc>
        <w:tc>
          <w:tcPr>
            <w:tcW w:w="124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578962F7" w14:textId="77777777" w:rsidR="00E52B5D" w:rsidRPr="002709A1" w:rsidRDefault="00052228" w:rsidP="00052228">
            <w:pPr>
              <w:spacing w:line="360" w:lineRule="auto"/>
              <w:jc w:val="center"/>
            </w:pPr>
            <w:r w:rsidRPr="002709A1">
              <w:t>00</w:t>
            </w:r>
          </w:p>
        </w:tc>
        <w:tc>
          <w:tcPr>
            <w:tcW w:w="17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4CA6929E" w14:textId="77777777" w:rsidR="00E52B5D" w:rsidRPr="002709A1" w:rsidRDefault="00052228" w:rsidP="00052228">
            <w:pPr>
              <w:spacing w:line="360" w:lineRule="auto"/>
              <w:jc w:val="center"/>
            </w:pPr>
            <w:r w:rsidRPr="002709A1">
              <w:t>%</w:t>
            </w:r>
          </w:p>
        </w:tc>
        <w:tc>
          <w:tcPr>
            <w:tcW w:w="1857"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2D539F07" w14:textId="77777777" w:rsidR="00E52B5D" w:rsidRPr="002709A1" w:rsidRDefault="00052228" w:rsidP="00052228">
            <w:pPr>
              <w:spacing w:line="360" w:lineRule="auto"/>
              <w:jc w:val="center"/>
            </w:pPr>
            <w:proofErr w:type="spellStart"/>
            <w:r w:rsidRPr="002709A1">
              <w:t>Upto</w:t>
            </w:r>
            <w:proofErr w:type="spellEnd"/>
            <w:r w:rsidRPr="002709A1">
              <w:t xml:space="preserve"> 2</w:t>
            </w:r>
          </w:p>
        </w:tc>
        <w:tc>
          <w:tcPr>
            <w:tcW w:w="1241"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7C088B08" w14:textId="77777777" w:rsidR="00E52B5D" w:rsidRPr="002709A1" w:rsidRDefault="00052228" w:rsidP="00052228">
            <w:pPr>
              <w:spacing w:line="360" w:lineRule="auto"/>
              <w:jc w:val="center"/>
            </w:pPr>
            <w:r w:rsidRPr="002709A1">
              <w:t>Normal</w:t>
            </w:r>
          </w:p>
        </w:tc>
      </w:tr>
      <w:tr w:rsidR="00E52B5D" w:rsidRPr="002709A1" w14:paraId="2BE4A184" w14:textId="77777777" w:rsidTr="00052228">
        <w:trPr>
          <w:trHeight w:val="377"/>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72675F2C" w14:textId="77777777" w:rsidR="00E52B5D" w:rsidRPr="002709A1" w:rsidRDefault="00052228" w:rsidP="00052228">
            <w:pPr>
              <w:spacing w:line="360" w:lineRule="auto"/>
            </w:pPr>
            <w:r w:rsidRPr="002709A1">
              <w:t>Platelet Count</w:t>
            </w:r>
          </w:p>
        </w:tc>
        <w:tc>
          <w:tcPr>
            <w:tcW w:w="124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02BB1858" w14:textId="77777777" w:rsidR="00E52B5D" w:rsidRPr="002709A1" w:rsidRDefault="00052228" w:rsidP="00052228">
            <w:pPr>
              <w:spacing w:line="360" w:lineRule="auto"/>
              <w:jc w:val="center"/>
            </w:pPr>
            <w:r w:rsidRPr="002709A1">
              <w:t>3.19</w:t>
            </w:r>
          </w:p>
        </w:tc>
        <w:tc>
          <w:tcPr>
            <w:tcW w:w="17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5EA19719" w14:textId="77777777" w:rsidR="00E52B5D" w:rsidRPr="002709A1" w:rsidRDefault="00052228" w:rsidP="00052228">
            <w:pPr>
              <w:spacing w:line="360" w:lineRule="auto"/>
              <w:jc w:val="center"/>
            </w:pPr>
            <w:r w:rsidRPr="002709A1">
              <w:t>Lakh/cu.mm</w:t>
            </w:r>
          </w:p>
        </w:tc>
        <w:tc>
          <w:tcPr>
            <w:tcW w:w="185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782E7D96" w14:textId="77777777" w:rsidR="00E52B5D" w:rsidRPr="002709A1" w:rsidRDefault="00052228" w:rsidP="00052228">
            <w:pPr>
              <w:spacing w:line="360" w:lineRule="auto"/>
              <w:jc w:val="center"/>
            </w:pPr>
            <w:r w:rsidRPr="002709A1">
              <w:t>1.5 – 4.5</w:t>
            </w:r>
          </w:p>
        </w:tc>
        <w:tc>
          <w:tcPr>
            <w:tcW w:w="1241"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2A94DCBA" w14:textId="77777777" w:rsidR="00E52B5D" w:rsidRPr="002709A1" w:rsidRDefault="00052228" w:rsidP="00052228">
            <w:pPr>
              <w:spacing w:line="360" w:lineRule="auto"/>
              <w:jc w:val="center"/>
            </w:pPr>
            <w:r w:rsidRPr="002709A1">
              <w:t>Normal</w:t>
            </w:r>
          </w:p>
        </w:tc>
      </w:tr>
      <w:tr w:rsidR="00E52B5D" w:rsidRPr="002709A1" w14:paraId="5A2EC7AB" w14:textId="77777777" w:rsidTr="00052228">
        <w:trPr>
          <w:trHeight w:val="755"/>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7D15058A" w14:textId="77777777" w:rsidR="00E52B5D" w:rsidRPr="002709A1" w:rsidRDefault="00052228" w:rsidP="00052228">
            <w:pPr>
              <w:spacing w:line="360" w:lineRule="auto"/>
            </w:pPr>
            <w:r w:rsidRPr="002709A1">
              <w:t>Absolute Eosinophil Count</w:t>
            </w:r>
          </w:p>
        </w:tc>
        <w:tc>
          <w:tcPr>
            <w:tcW w:w="124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2A826F01" w14:textId="77777777" w:rsidR="00E52B5D" w:rsidRPr="002709A1" w:rsidRDefault="00052228" w:rsidP="00052228">
            <w:pPr>
              <w:spacing w:line="360" w:lineRule="auto"/>
              <w:jc w:val="center"/>
            </w:pPr>
            <w:r w:rsidRPr="002709A1">
              <w:t>298.00</w:t>
            </w:r>
          </w:p>
        </w:tc>
        <w:tc>
          <w:tcPr>
            <w:tcW w:w="174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68E9342E" w14:textId="77777777" w:rsidR="00E52B5D" w:rsidRPr="002709A1" w:rsidRDefault="00052228" w:rsidP="00052228">
            <w:pPr>
              <w:spacing w:line="360" w:lineRule="auto"/>
              <w:jc w:val="center"/>
            </w:pPr>
            <w:r w:rsidRPr="002709A1">
              <w:t>cu.mm</w:t>
            </w:r>
          </w:p>
        </w:tc>
        <w:tc>
          <w:tcPr>
            <w:tcW w:w="1857"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5583B91A" w14:textId="77777777" w:rsidR="00E52B5D" w:rsidRPr="002709A1" w:rsidRDefault="00052228" w:rsidP="00052228">
            <w:pPr>
              <w:spacing w:line="360" w:lineRule="auto"/>
              <w:jc w:val="center"/>
            </w:pPr>
            <w:r w:rsidRPr="002709A1">
              <w:t>40 – 440</w:t>
            </w:r>
          </w:p>
        </w:tc>
        <w:tc>
          <w:tcPr>
            <w:tcW w:w="1241"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396105F8" w14:textId="77777777" w:rsidR="00E52B5D" w:rsidRPr="002709A1" w:rsidRDefault="00052228" w:rsidP="00052228">
            <w:pPr>
              <w:spacing w:line="360" w:lineRule="auto"/>
              <w:jc w:val="center"/>
            </w:pPr>
            <w:r w:rsidRPr="002709A1">
              <w:t>Normal</w:t>
            </w:r>
          </w:p>
        </w:tc>
      </w:tr>
      <w:tr w:rsidR="00E52B5D" w:rsidRPr="002709A1" w14:paraId="05ACA08C" w14:textId="77777777" w:rsidTr="00052228">
        <w:trPr>
          <w:trHeight w:val="755"/>
          <w:jc w:val="center"/>
        </w:trPr>
        <w:tc>
          <w:tcPr>
            <w:tcW w:w="29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4FAEDD63" w14:textId="77777777" w:rsidR="00E52B5D" w:rsidRPr="002709A1" w:rsidRDefault="00052228" w:rsidP="00052228">
            <w:pPr>
              <w:spacing w:line="360" w:lineRule="auto"/>
            </w:pPr>
            <w:r w:rsidRPr="002709A1">
              <w:t>Absolute Neutrophil Count</w:t>
            </w:r>
          </w:p>
        </w:tc>
        <w:tc>
          <w:tcPr>
            <w:tcW w:w="124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026FF8E2" w14:textId="77777777" w:rsidR="00E52B5D" w:rsidRPr="002709A1" w:rsidRDefault="00052228" w:rsidP="00052228">
            <w:pPr>
              <w:spacing w:line="360" w:lineRule="auto"/>
              <w:jc w:val="center"/>
            </w:pPr>
            <w:r w:rsidRPr="002709A1">
              <w:t>2920.40</w:t>
            </w:r>
          </w:p>
        </w:tc>
        <w:tc>
          <w:tcPr>
            <w:tcW w:w="174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1CABA862" w14:textId="77777777" w:rsidR="00E52B5D" w:rsidRPr="002709A1" w:rsidRDefault="00052228" w:rsidP="00052228">
            <w:pPr>
              <w:spacing w:line="360" w:lineRule="auto"/>
              <w:jc w:val="center"/>
            </w:pPr>
            <w:r w:rsidRPr="002709A1">
              <w:t>cu.mm</w:t>
            </w:r>
          </w:p>
        </w:tc>
        <w:tc>
          <w:tcPr>
            <w:tcW w:w="1857"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00676683" w14:textId="77777777" w:rsidR="00E52B5D" w:rsidRPr="002709A1" w:rsidRDefault="00052228" w:rsidP="00052228">
            <w:pPr>
              <w:spacing w:line="360" w:lineRule="auto"/>
              <w:jc w:val="center"/>
            </w:pPr>
            <w:r w:rsidRPr="002709A1">
              <w:t>2500 – 6000</w:t>
            </w:r>
          </w:p>
        </w:tc>
        <w:tc>
          <w:tcPr>
            <w:tcW w:w="1241"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19D46ED5" w14:textId="77777777" w:rsidR="00E52B5D" w:rsidRPr="002709A1" w:rsidRDefault="00052228" w:rsidP="00052228">
            <w:pPr>
              <w:spacing w:line="360" w:lineRule="auto"/>
              <w:jc w:val="center"/>
            </w:pPr>
            <w:r w:rsidRPr="002709A1">
              <w:t>Normal</w:t>
            </w:r>
          </w:p>
        </w:tc>
      </w:tr>
    </w:tbl>
    <w:p w14:paraId="4A97E16C" w14:textId="77777777" w:rsidR="00E52B5D" w:rsidRPr="002709A1" w:rsidRDefault="00E52B5D" w:rsidP="00052228">
      <w:pPr>
        <w:spacing w:line="360" w:lineRule="auto"/>
      </w:pPr>
    </w:p>
    <w:p w14:paraId="3FAFD1F8" w14:textId="77777777" w:rsidR="00E52B5D" w:rsidRPr="002709A1" w:rsidRDefault="00052228" w:rsidP="00052228">
      <w:pPr>
        <w:pStyle w:val="Heading2"/>
        <w:spacing w:before="0" w:after="0" w:line="360" w:lineRule="auto"/>
        <w:rPr>
          <w:color w:val="auto"/>
        </w:rPr>
      </w:pPr>
      <w:r w:rsidRPr="002709A1">
        <w:rPr>
          <w:color w:val="auto"/>
        </w:rPr>
        <w:t>3.2 Biochemical Parameters</w:t>
      </w:r>
    </w:p>
    <w:p w14:paraId="5716EC10" w14:textId="77777777" w:rsidR="00E52B5D" w:rsidRPr="002709A1" w:rsidRDefault="00052228" w:rsidP="00052228">
      <w:pPr>
        <w:spacing w:line="360" w:lineRule="auto"/>
        <w:jc w:val="both"/>
      </w:pPr>
      <w:r w:rsidRPr="002709A1">
        <w:t>Serum biochemical results are summarized in Table 2. Serum cholesterol was 11.2 nmol (reference: 9.3–12.8 nmol), glucose was 41.2 mg/dL (reference: 30–60 mg/dL), and both were within normal limits, indicating normal metabolic function. SGOT (59.2 IU/L) was within the reference range of 50–90 IU/L for the species. SGPT (14.1 IU/L) was within the reference range of 10–15 IU/L, and both hepatic enzymes within normal limits suggest absence of significant hepatocellular damage.</w:t>
      </w:r>
    </w:p>
    <w:p w14:paraId="256AFAE7" w14:textId="77777777" w:rsidR="00E52B5D" w:rsidRPr="002709A1" w:rsidRDefault="00052228" w:rsidP="00052228">
      <w:pPr>
        <w:spacing w:line="360" w:lineRule="auto"/>
        <w:jc w:val="both"/>
      </w:pPr>
      <w:r w:rsidRPr="002709A1">
        <w:t xml:space="preserve">Serum albumin (19.3 g/dL; reference 18.3–24.3 g/dL) and total protein (52.3 g/dL; reference 41.6–56.6 g/dL) were both within normal ranges, indicating satisfactory nutritional status and hepatic protein synthesis function. These findings collectively suggest that the fish reared in </w:t>
      </w:r>
      <w:proofErr w:type="spellStart"/>
      <w:r w:rsidRPr="002709A1">
        <w:t>biofloc</w:t>
      </w:r>
      <w:proofErr w:type="spellEnd"/>
      <w:r w:rsidRPr="002709A1">
        <w:t xml:space="preserve"> conditions maintained good health and metabolic integrity throughout the experimental period.</w:t>
      </w:r>
    </w:p>
    <w:p w14:paraId="142848A3" w14:textId="77777777" w:rsidR="00E52B5D" w:rsidRPr="002709A1" w:rsidRDefault="00E52B5D" w:rsidP="00052228">
      <w:pPr>
        <w:spacing w:line="360" w:lineRule="auto"/>
      </w:pPr>
    </w:p>
    <w:p w14:paraId="68774B16" w14:textId="77777777" w:rsidR="00D87CB9" w:rsidRDefault="00D87CB9" w:rsidP="00052228">
      <w:pPr>
        <w:spacing w:line="360" w:lineRule="auto"/>
        <w:jc w:val="center"/>
        <w:rPr>
          <w:b/>
          <w:bCs/>
        </w:rPr>
      </w:pPr>
    </w:p>
    <w:p w14:paraId="43887BD6" w14:textId="77777777" w:rsidR="00D87CB9" w:rsidRDefault="00D87CB9" w:rsidP="00052228">
      <w:pPr>
        <w:spacing w:line="360" w:lineRule="auto"/>
        <w:jc w:val="center"/>
        <w:rPr>
          <w:b/>
          <w:bCs/>
        </w:rPr>
      </w:pPr>
    </w:p>
    <w:p w14:paraId="66038959" w14:textId="77777777" w:rsidR="00D87CB9" w:rsidRDefault="00D87CB9" w:rsidP="00052228">
      <w:pPr>
        <w:spacing w:line="360" w:lineRule="auto"/>
        <w:jc w:val="center"/>
        <w:rPr>
          <w:b/>
          <w:bCs/>
        </w:rPr>
      </w:pPr>
    </w:p>
    <w:p w14:paraId="30B8F58C" w14:textId="77777777" w:rsidR="00D87CB9" w:rsidRDefault="00D87CB9" w:rsidP="00052228">
      <w:pPr>
        <w:spacing w:line="360" w:lineRule="auto"/>
        <w:jc w:val="center"/>
        <w:rPr>
          <w:b/>
          <w:bCs/>
        </w:rPr>
      </w:pPr>
    </w:p>
    <w:p w14:paraId="42B0CA02" w14:textId="77777777" w:rsidR="00D87CB9" w:rsidRDefault="00D87CB9" w:rsidP="00052228">
      <w:pPr>
        <w:spacing w:line="360" w:lineRule="auto"/>
        <w:jc w:val="center"/>
        <w:rPr>
          <w:b/>
          <w:bCs/>
        </w:rPr>
      </w:pPr>
    </w:p>
    <w:p w14:paraId="134299E1" w14:textId="77777777" w:rsidR="00E52B5D" w:rsidRPr="002709A1" w:rsidRDefault="00052228" w:rsidP="00052228">
      <w:pPr>
        <w:spacing w:line="360" w:lineRule="auto"/>
        <w:jc w:val="center"/>
      </w:pPr>
      <w:r w:rsidRPr="002709A1">
        <w:rPr>
          <w:b/>
          <w:bCs/>
        </w:rPr>
        <w:lastRenderedPageBreak/>
        <w:t xml:space="preserve">Table 2. Biochemical Parameters of </w:t>
      </w:r>
      <w:proofErr w:type="spellStart"/>
      <w:r w:rsidRPr="002709A1">
        <w:rPr>
          <w:b/>
          <w:bCs/>
        </w:rPr>
        <w:t>Labeorohita</w:t>
      </w:r>
      <w:proofErr w:type="spellEnd"/>
      <w:r w:rsidRPr="002709A1">
        <w:rPr>
          <w:b/>
          <w:bCs/>
        </w:rPr>
        <w:t xml:space="preserve"> Reared in </w:t>
      </w:r>
      <w:proofErr w:type="spellStart"/>
      <w:r w:rsidRPr="002709A1">
        <w:rPr>
          <w:b/>
          <w:bCs/>
        </w:rPr>
        <w:t>Biofloc</w:t>
      </w:r>
      <w:proofErr w:type="spellEnd"/>
      <w:r w:rsidRPr="002709A1">
        <w:rPr>
          <w:b/>
          <w:bCs/>
        </w:rPr>
        <w:t xml:space="preserve"> System</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66"/>
        <w:gridCol w:w="1122"/>
        <w:gridCol w:w="1010"/>
        <w:gridCol w:w="1795"/>
        <w:gridCol w:w="1346"/>
      </w:tblGrid>
      <w:tr w:rsidR="00E52B5D" w:rsidRPr="002709A1" w14:paraId="2B569216" w14:textId="77777777" w:rsidTr="00052228">
        <w:trPr>
          <w:trHeight w:val="763"/>
          <w:tblHeader/>
          <w:jc w:val="center"/>
        </w:trPr>
        <w:tc>
          <w:tcPr>
            <w:tcW w:w="3366" w:type="dxa"/>
            <w:tcBorders>
              <w:top w:val="single" w:sz="1" w:space="0" w:color="2E74B5"/>
              <w:left w:val="single" w:sz="1" w:space="0" w:color="2E74B5"/>
              <w:bottom w:val="single" w:sz="1" w:space="0" w:color="2E74B5"/>
              <w:right w:val="single" w:sz="1" w:space="0" w:color="2E74B5"/>
            </w:tcBorders>
            <w:shd w:val="clear" w:color="auto" w:fill="2E74B5"/>
            <w:tcMar>
              <w:top w:w="80" w:type="dxa"/>
              <w:left w:w="120" w:type="dxa"/>
              <w:bottom w:w="80" w:type="dxa"/>
              <w:right w:w="120" w:type="dxa"/>
            </w:tcMar>
          </w:tcPr>
          <w:p w14:paraId="7D15F678" w14:textId="77777777" w:rsidR="00E52B5D" w:rsidRPr="002709A1" w:rsidRDefault="00052228" w:rsidP="00052228">
            <w:pPr>
              <w:spacing w:line="360" w:lineRule="auto"/>
              <w:jc w:val="center"/>
            </w:pPr>
            <w:r w:rsidRPr="002709A1">
              <w:rPr>
                <w:b/>
                <w:bCs/>
              </w:rPr>
              <w:t>Parameter</w:t>
            </w:r>
          </w:p>
        </w:tc>
        <w:tc>
          <w:tcPr>
            <w:tcW w:w="1122" w:type="dxa"/>
            <w:tcBorders>
              <w:top w:val="single" w:sz="1" w:space="0" w:color="2E74B5"/>
              <w:left w:val="single" w:sz="1" w:space="0" w:color="2E74B5"/>
              <w:bottom w:val="single" w:sz="1" w:space="0" w:color="2E74B5"/>
              <w:right w:val="single" w:sz="1" w:space="0" w:color="2E74B5"/>
            </w:tcBorders>
            <w:shd w:val="clear" w:color="auto" w:fill="2E74B5"/>
            <w:tcMar>
              <w:top w:w="80" w:type="dxa"/>
              <w:left w:w="120" w:type="dxa"/>
              <w:bottom w:w="80" w:type="dxa"/>
              <w:right w:w="120" w:type="dxa"/>
            </w:tcMar>
          </w:tcPr>
          <w:p w14:paraId="4E9D6077" w14:textId="77777777" w:rsidR="00E52B5D" w:rsidRPr="002709A1" w:rsidRDefault="00052228" w:rsidP="00052228">
            <w:pPr>
              <w:spacing w:line="360" w:lineRule="auto"/>
              <w:jc w:val="center"/>
            </w:pPr>
            <w:r w:rsidRPr="002709A1">
              <w:rPr>
                <w:b/>
                <w:bCs/>
              </w:rPr>
              <w:t>Result</w:t>
            </w:r>
          </w:p>
        </w:tc>
        <w:tc>
          <w:tcPr>
            <w:tcW w:w="1010" w:type="dxa"/>
            <w:tcBorders>
              <w:top w:val="single" w:sz="1" w:space="0" w:color="2E74B5"/>
              <w:left w:val="single" w:sz="1" w:space="0" w:color="2E74B5"/>
              <w:bottom w:val="single" w:sz="1" w:space="0" w:color="2E74B5"/>
              <w:right w:val="single" w:sz="1" w:space="0" w:color="2E74B5"/>
            </w:tcBorders>
            <w:shd w:val="clear" w:color="auto" w:fill="2E74B5"/>
            <w:tcMar>
              <w:top w:w="80" w:type="dxa"/>
              <w:left w:w="120" w:type="dxa"/>
              <w:bottom w:w="80" w:type="dxa"/>
              <w:right w:w="120" w:type="dxa"/>
            </w:tcMar>
          </w:tcPr>
          <w:p w14:paraId="068A8D46" w14:textId="77777777" w:rsidR="00E52B5D" w:rsidRPr="002709A1" w:rsidRDefault="00052228" w:rsidP="00052228">
            <w:pPr>
              <w:spacing w:line="360" w:lineRule="auto"/>
              <w:jc w:val="center"/>
            </w:pPr>
            <w:r w:rsidRPr="002709A1">
              <w:rPr>
                <w:b/>
                <w:bCs/>
              </w:rPr>
              <w:t>Unit</w:t>
            </w:r>
          </w:p>
        </w:tc>
        <w:tc>
          <w:tcPr>
            <w:tcW w:w="1795" w:type="dxa"/>
            <w:tcBorders>
              <w:top w:val="single" w:sz="1" w:space="0" w:color="2E74B5"/>
              <w:left w:val="single" w:sz="1" w:space="0" w:color="2E74B5"/>
              <w:bottom w:val="single" w:sz="1" w:space="0" w:color="2E74B5"/>
              <w:right w:val="single" w:sz="1" w:space="0" w:color="2E74B5"/>
            </w:tcBorders>
            <w:shd w:val="clear" w:color="auto" w:fill="2E74B5"/>
            <w:tcMar>
              <w:top w:w="80" w:type="dxa"/>
              <w:left w:w="120" w:type="dxa"/>
              <w:bottom w:w="80" w:type="dxa"/>
              <w:right w:w="120" w:type="dxa"/>
            </w:tcMar>
          </w:tcPr>
          <w:p w14:paraId="0C5A7A51" w14:textId="77777777" w:rsidR="00E52B5D" w:rsidRPr="002709A1" w:rsidRDefault="00052228" w:rsidP="00052228">
            <w:pPr>
              <w:spacing w:line="360" w:lineRule="auto"/>
              <w:jc w:val="center"/>
            </w:pPr>
            <w:r w:rsidRPr="002709A1">
              <w:rPr>
                <w:b/>
                <w:bCs/>
              </w:rPr>
              <w:t>Reference Range</w:t>
            </w:r>
          </w:p>
        </w:tc>
        <w:tc>
          <w:tcPr>
            <w:tcW w:w="1346" w:type="dxa"/>
            <w:tcBorders>
              <w:top w:val="single" w:sz="1" w:space="0" w:color="2E74B5"/>
              <w:left w:val="single" w:sz="1" w:space="0" w:color="2E74B5"/>
              <w:bottom w:val="single" w:sz="1" w:space="0" w:color="2E74B5"/>
              <w:right w:val="single" w:sz="1" w:space="0" w:color="2E74B5"/>
            </w:tcBorders>
            <w:shd w:val="clear" w:color="auto" w:fill="2E74B5"/>
            <w:tcMar>
              <w:top w:w="80" w:type="dxa"/>
              <w:left w:w="120" w:type="dxa"/>
              <w:bottom w:w="80" w:type="dxa"/>
              <w:right w:w="120" w:type="dxa"/>
            </w:tcMar>
          </w:tcPr>
          <w:p w14:paraId="06133EA2" w14:textId="77777777" w:rsidR="00E52B5D" w:rsidRPr="002709A1" w:rsidRDefault="00052228" w:rsidP="00052228">
            <w:pPr>
              <w:spacing w:line="360" w:lineRule="auto"/>
              <w:jc w:val="center"/>
            </w:pPr>
            <w:r w:rsidRPr="002709A1">
              <w:rPr>
                <w:b/>
                <w:bCs/>
              </w:rPr>
              <w:t>Status</w:t>
            </w:r>
          </w:p>
        </w:tc>
      </w:tr>
      <w:tr w:rsidR="00E52B5D" w:rsidRPr="002709A1" w14:paraId="3D63B50E" w14:textId="77777777" w:rsidTr="00052228">
        <w:trPr>
          <w:trHeight w:val="763"/>
          <w:jc w:val="center"/>
        </w:trPr>
        <w:tc>
          <w:tcPr>
            <w:tcW w:w="336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332F298A" w14:textId="77777777" w:rsidR="00E52B5D" w:rsidRPr="002709A1" w:rsidRDefault="00052228" w:rsidP="00052228">
            <w:pPr>
              <w:spacing w:line="360" w:lineRule="auto"/>
            </w:pPr>
            <w:r w:rsidRPr="002709A1">
              <w:t>S. Cholesterol (CHOD/PAP method)</w:t>
            </w:r>
          </w:p>
        </w:tc>
        <w:tc>
          <w:tcPr>
            <w:tcW w:w="1122"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33595AEA" w14:textId="77777777" w:rsidR="00E52B5D" w:rsidRPr="002709A1" w:rsidRDefault="00052228" w:rsidP="00052228">
            <w:pPr>
              <w:spacing w:line="360" w:lineRule="auto"/>
              <w:jc w:val="center"/>
            </w:pPr>
            <w:r w:rsidRPr="002709A1">
              <w:t>11.2</w:t>
            </w:r>
          </w:p>
        </w:tc>
        <w:tc>
          <w:tcPr>
            <w:tcW w:w="1010"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06019D4D" w14:textId="77777777" w:rsidR="00E52B5D" w:rsidRPr="002709A1" w:rsidRDefault="00052228" w:rsidP="00052228">
            <w:pPr>
              <w:spacing w:line="360" w:lineRule="auto"/>
              <w:jc w:val="center"/>
            </w:pPr>
            <w:r w:rsidRPr="002709A1">
              <w:t>nmol</w:t>
            </w:r>
          </w:p>
        </w:tc>
        <w:tc>
          <w:tcPr>
            <w:tcW w:w="179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06FC41BB" w14:textId="77777777" w:rsidR="00E52B5D" w:rsidRPr="002709A1" w:rsidRDefault="00052228" w:rsidP="00052228">
            <w:pPr>
              <w:spacing w:line="360" w:lineRule="auto"/>
              <w:jc w:val="center"/>
            </w:pPr>
            <w:r w:rsidRPr="002709A1">
              <w:t>9.3 – 12.8</w:t>
            </w:r>
          </w:p>
        </w:tc>
        <w:tc>
          <w:tcPr>
            <w:tcW w:w="134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16726399" w14:textId="77777777" w:rsidR="00E52B5D" w:rsidRPr="002709A1" w:rsidRDefault="00052228" w:rsidP="00052228">
            <w:pPr>
              <w:spacing w:line="360" w:lineRule="auto"/>
              <w:jc w:val="center"/>
            </w:pPr>
            <w:r w:rsidRPr="002709A1">
              <w:t>Normal</w:t>
            </w:r>
          </w:p>
        </w:tc>
      </w:tr>
      <w:tr w:rsidR="00E52B5D" w:rsidRPr="002709A1" w14:paraId="1DB505C9" w14:textId="77777777" w:rsidTr="00052228">
        <w:trPr>
          <w:trHeight w:val="382"/>
          <w:jc w:val="center"/>
        </w:trPr>
        <w:tc>
          <w:tcPr>
            <w:tcW w:w="336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3525B713" w14:textId="77777777" w:rsidR="00E52B5D" w:rsidRPr="002709A1" w:rsidRDefault="00052228" w:rsidP="00052228">
            <w:pPr>
              <w:spacing w:line="360" w:lineRule="auto"/>
            </w:pPr>
            <w:r w:rsidRPr="002709A1">
              <w:t>Glucose (GOD/POD method)</w:t>
            </w:r>
          </w:p>
        </w:tc>
        <w:tc>
          <w:tcPr>
            <w:tcW w:w="1122"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02ED1758" w14:textId="77777777" w:rsidR="00E52B5D" w:rsidRPr="002709A1" w:rsidRDefault="00052228" w:rsidP="00052228">
            <w:pPr>
              <w:spacing w:line="360" w:lineRule="auto"/>
              <w:jc w:val="center"/>
            </w:pPr>
            <w:r w:rsidRPr="002709A1">
              <w:t>41.2</w:t>
            </w:r>
          </w:p>
        </w:tc>
        <w:tc>
          <w:tcPr>
            <w:tcW w:w="101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5CA52A5D" w14:textId="77777777" w:rsidR="00E52B5D" w:rsidRPr="002709A1" w:rsidRDefault="00052228" w:rsidP="00052228">
            <w:pPr>
              <w:spacing w:line="360" w:lineRule="auto"/>
              <w:jc w:val="center"/>
            </w:pPr>
            <w:r w:rsidRPr="002709A1">
              <w:t>mg/dL</w:t>
            </w:r>
          </w:p>
        </w:tc>
        <w:tc>
          <w:tcPr>
            <w:tcW w:w="17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47570FBF" w14:textId="77777777" w:rsidR="00E52B5D" w:rsidRPr="002709A1" w:rsidRDefault="00052228" w:rsidP="00052228">
            <w:pPr>
              <w:spacing w:line="360" w:lineRule="auto"/>
              <w:jc w:val="center"/>
            </w:pPr>
            <w:r w:rsidRPr="002709A1">
              <w:t>30 – 60</w:t>
            </w:r>
          </w:p>
        </w:tc>
        <w:tc>
          <w:tcPr>
            <w:tcW w:w="134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7203FAAF" w14:textId="77777777" w:rsidR="00E52B5D" w:rsidRPr="002709A1" w:rsidRDefault="00052228" w:rsidP="00052228">
            <w:pPr>
              <w:spacing w:line="360" w:lineRule="auto"/>
              <w:jc w:val="center"/>
            </w:pPr>
            <w:r w:rsidRPr="002709A1">
              <w:t>Normal</w:t>
            </w:r>
          </w:p>
        </w:tc>
      </w:tr>
      <w:tr w:rsidR="00E52B5D" w:rsidRPr="002709A1" w14:paraId="3060153B" w14:textId="77777777" w:rsidTr="00052228">
        <w:trPr>
          <w:trHeight w:val="382"/>
          <w:jc w:val="center"/>
        </w:trPr>
        <w:tc>
          <w:tcPr>
            <w:tcW w:w="336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44ABAD63" w14:textId="77777777" w:rsidR="00E52B5D" w:rsidRPr="002709A1" w:rsidRDefault="00052228" w:rsidP="00052228">
            <w:pPr>
              <w:spacing w:line="360" w:lineRule="auto"/>
            </w:pPr>
            <w:r w:rsidRPr="002709A1">
              <w:t>SGOT (Mod. IFCC method)</w:t>
            </w:r>
          </w:p>
        </w:tc>
        <w:tc>
          <w:tcPr>
            <w:tcW w:w="1122"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09277FBE" w14:textId="77777777" w:rsidR="00E52B5D" w:rsidRPr="002709A1" w:rsidRDefault="00052228" w:rsidP="00052228">
            <w:pPr>
              <w:spacing w:line="360" w:lineRule="auto"/>
              <w:jc w:val="center"/>
            </w:pPr>
            <w:r w:rsidRPr="002709A1">
              <w:t>59.2</w:t>
            </w:r>
          </w:p>
        </w:tc>
        <w:tc>
          <w:tcPr>
            <w:tcW w:w="1010"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4B5C4828" w14:textId="77777777" w:rsidR="00E52B5D" w:rsidRPr="002709A1" w:rsidRDefault="00052228" w:rsidP="00052228">
            <w:pPr>
              <w:spacing w:line="360" w:lineRule="auto"/>
              <w:jc w:val="center"/>
            </w:pPr>
            <w:r w:rsidRPr="002709A1">
              <w:t>IU/L</w:t>
            </w:r>
          </w:p>
        </w:tc>
        <w:tc>
          <w:tcPr>
            <w:tcW w:w="179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2E48FFD9" w14:textId="77777777" w:rsidR="00E52B5D" w:rsidRPr="002709A1" w:rsidRDefault="00052228" w:rsidP="00052228">
            <w:pPr>
              <w:spacing w:line="360" w:lineRule="auto"/>
              <w:jc w:val="center"/>
            </w:pPr>
            <w:r w:rsidRPr="002709A1">
              <w:t>50 – 90</w:t>
            </w:r>
          </w:p>
        </w:tc>
        <w:tc>
          <w:tcPr>
            <w:tcW w:w="134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418BEF17" w14:textId="77777777" w:rsidR="00E52B5D" w:rsidRPr="002709A1" w:rsidRDefault="00052228" w:rsidP="00052228">
            <w:pPr>
              <w:spacing w:line="360" w:lineRule="auto"/>
              <w:jc w:val="center"/>
            </w:pPr>
            <w:r w:rsidRPr="002709A1">
              <w:t>Normal</w:t>
            </w:r>
          </w:p>
        </w:tc>
      </w:tr>
      <w:tr w:rsidR="00E52B5D" w:rsidRPr="002709A1" w14:paraId="19C0DF97" w14:textId="77777777" w:rsidTr="00052228">
        <w:trPr>
          <w:trHeight w:val="382"/>
          <w:jc w:val="center"/>
        </w:trPr>
        <w:tc>
          <w:tcPr>
            <w:tcW w:w="336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711B4409" w14:textId="77777777" w:rsidR="00E52B5D" w:rsidRPr="002709A1" w:rsidRDefault="00052228" w:rsidP="00052228">
            <w:pPr>
              <w:spacing w:line="360" w:lineRule="auto"/>
            </w:pPr>
            <w:r w:rsidRPr="002709A1">
              <w:t>SGPT (Mod. IFCC method)</w:t>
            </w:r>
          </w:p>
        </w:tc>
        <w:tc>
          <w:tcPr>
            <w:tcW w:w="1122"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3E0DF1AD" w14:textId="77777777" w:rsidR="00E52B5D" w:rsidRPr="002709A1" w:rsidRDefault="00052228" w:rsidP="00052228">
            <w:pPr>
              <w:spacing w:line="360" w:lineRule="auto"/>
              <w:jc w:val="center"/>
            </w:pPr>
            <w:r w:rsidRPr="002709A1">
              <w:t>14.1</w:t>
            </w:r>
          </w:p>
        </w:tc>
        <w:tc>
          <w:tcPr>
            <w:tcW w:w="101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37FD3C9C" w14:textId="77777777" w:rsidR="00E52B5D" w:rsidRPr="002709A1" w:rsidRDefault="00052228" w:rsidP="00052228">
            <w:pPr>
              <w:spacing w:line="360" w:lineRule="auto"/>
              <w:jc w:val="center"/>
            </w:pPr>
            <w:r w:rsidRPr="002709A1">
              <w:t>IU/L</w:t>
            </w:r>
          </w:p>
        </w:tc>
        <w:tc>
          <w:tcPr>
            <w:tcW w:w="17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090B0072" w14:textId="77777777" w:rsidR="00E52B5D" w:rsidRPr="002709A1" w:rsidRDefault="00052228" w:rsidP="00052228">
            <w:pPr>
              <w:spacing w:line="360" w:lineRule="auto"/>
              <w:jc w:val="center"/>
            </w:pPr>
            <w:r w:rsidRPr="002709A1">
              <w:t>10 – 15</w:t>
            </w:r>
          </w:p>
        </w:tc>
        <w:tc>
          <w:tcPr>
            <w:tcW w:w="134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061CCBBE" w14:textId="77777777" w:rsidR="00E52B5D" w:rsidRPr="002709A1" w:rsidRDefault="00052228" w:rsidP="00052228">
            <w:pPr>
              <w:spacing w:line="360" w:lineRule="auto"/>
              <w:jc w:val="center"/>
            </w:pPr>
            <w:r w:rsidRPr="002709A1">
              <w:t>Normal</w:t>
            </w:r>
          </w:p>
        </w:tc>
      </w:tr>
      <w:tr w:rsidR="00E52B5D" w:rsidRPr="002709A1" w14:paraId="569EAF30" w14:textId="77777777" w:rsidTr="00052228">
        <w:trPr>
          <w:trHeight w:val="763"/>
          <w:jc w:val="center"/>
        </w:trPr>
        <w:tc>
          <w:tcPr>
            <w:tcW w:w="336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174E53BD" w14:textId="77777777" w:rsidR="00E52B5D" w:rsidRPr="002709A1" w:rsidRDefault="00052228" w:rsidP="00052228">
            <w:pPr>
              <w:spacing w:line="360" w:lineRule="auto"/>
            </w:pPr>
            <w:r w:rsidRPr="002709A1">
              <w:t>Serum Albumin (BCG method)</w:t>
            </w:r>
          </w:p>
        </w:tc>
        <w:tc>
          <w:tcPr>
            <w:tcW w:w="1122"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32EF2FC2" w14:textId="77777777" w:rsidR="00E52B5D" w:rsidRPr="002709A1" w:rsidRDefault="00052228" w:rsidP="00052228">
            <w:pPr>
              <w:spacing w:line="360" w:lineRule="auto"/>
              <w:jc w:val="center"/>
            </w:pPr>
            <w:r w:rsidRPr="002709A1">
              <w:t>19.3</w:t>
            </w:r>
          </w:p>
        </w:tc>
        <w:tc>
          <w:tcPr>
            <w:tcW w:w="1010"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1D0804DD" w14:textId="77777777" w:rsidR="00E52B5D" w:rsidRPr="002709A1" w:rsidRDefault="00052228" w:rsidP="00052228">
            <w:pPr>
              <w:spacing w:line="360" w:lineRule="auto"/>
              <w:jc w:val="center"/>
            </w:pPr>
            <w:r w:rsidRPr="002709A1">
              <w:t>g/dL</w:t>
            </w:r>
          </w:p>
        </w:tc>
        <w:tc>
          <w:tcPr>
            <w:tcW w:w="1795"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57AF4E87" w14:textId="77777777" w:rsidR="00E52B5D" w:rsidRPr="002709A1" w:rsidRDefault="00052228" w:rsidP="00052228">
            <w:pPr>
              <w:spacing w:line="360" w:lineRule="auto"/>
              <w:jc w:val="center"/>
            </w:pPr>
            <w:r w:rsidRPr="002709A1">
              <w:t>18.3 – 24.3</w:t>
            </w:r>
          </w:p>
        </w:tc>
        <w:tc>
          <w:tcPr>
            <w:tcW w:w="1346" w:type="dxa"/>
            <w:tcBorders>
              <w:top w:val="single" w:sz="1" w:space="0" w:color="999999"/>
              <w:left w:val="single" w:sz="1" w:space="0" w:color="999999"/>
              <w:bottom w:val="single" w:sz="1" w:space="0" w:color="999999"/>
              <w:right w:val="single" w:sz="1" w:space="0" w:color="999999"/>
            </w:tcBorders>
            <w:shd w:val="clear" w:color="auto" w:fill="EBF3FB"/>
            <w:tcMar>
              <w:top w:w="60" w:type="dxa"/>
              <w:left w:w="120" w:type="dxa"/>
              <w:bottom w:w="60" w:type="dxa"/>
              <w:right w:w="120" w:type="dxa"/>
            </w:tcMar>
          </w:tcPr>
          <w:p w14:paraId="7B646C61" w14:textId="77777777" w:rsidR="00E52B5D" w:rsidRPr="002709A1" w:rsidRDefault="00052228" w:rsidP="00052228">
            <w:pPr>
              <w:spacing w:line="360" w:lineRule="auto"/>
              <w:jc w:val="center"/>
            </w:pPr>
            <w:r w:rsidRPr="002709A1">
              <w:t>Normal</w:t>
            </w:r>
          </w:p>
        </w:tc>
      </w:tr>
      <w:tr w:rsidR="00E52B5D" w:rsidRPr="002709A1" w14:paraId="072EB839" w14:textId="77777777" w:rsidTr="00052228">
        <w:trPr>
          <w:trHeight w:val="382"/>
          <w:jc w:val="center"/>
        </w:trPr>
        <w:tc>
          <w:tcPr>
            <w:tcW w:w="336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20B39849" w14:textId="77777777" w:rsidR="00E52B5D" w:rsidRPr="002709A1" w:rsidRDefault="00052228" w:rsidP="00052228">
            <w:pPr>
              <w:spacing w:line="360" w:lineRule="auto"/>
            </w:pPr>
            <w:r w:rsidRPr="002709A1">
              <w:t>Total Protein (Biuret method)</w:t>
            </w:r>
          </w:p>
        </w:tc>
        <w:tc>
          <w:tcPr>
            <w:tcW w:w="1122"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24E5E5D0" w14:textId="77777777" w:rsidR="00E52B5D" w:rsidRPr="002709A1" w:rsidRDefault="00052228" w:rsidP="00052228">
            <w:pPr>
              <w:spacing w:line="360" w:lineRule="auto"/>
              <w:jc w:val="center"/>
            </w:pPr>
            <w:r w:rsidRPr="002709A1">
              <w:t>52.3</w:t>
            </w:r>
          </w:p>
        </w:tc>
        <w:tc>
          <w:tcPr>
            <w:tcW w:w="1010"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22AE265E" w14:textId="77777777" w:rsidR="00E52B5D" w:rsidRPr="002709A1" w:rsidRDefault="00052228" w:rsidP="00052228">
            <w:pPr>
              <w:spacing w:line="360" w:lineRule="auto"/>
              <w:jc w:val="center"/>
            </w:pPr>
            <w:r w:rsidRPr="002709A1">
              <w:t>g/dL</w:t>
            </w:r>
          </w:p>
        </w:tc>
        <w:tc>
          <w:tcPr>
            <w:tcW w:w="1795"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0E02BAC5" w14:textId="77777777" w:rsidR="00E52B5D" w:rsidRPr="002709A1" w:rsidRDefault="00052228" w:rsidP="00052228">
            <w:pPr>
              <w:spacing w:line="360" w:lineRule="auto"/>
              <w:jc w:val="center"/>
            </w:pPr>
            <w:r w:rsidRPr="002709A1">
              <w:t>41.6 – 56.6</w:t>
            </w:r>
          </w:p>
        </w:tc>
        <w:tc>
          <w:tcPr>
            <w:tcW w:w="1346" w:type="dxa"/>
            <w:tcBorders>
              <w:top w:val="single" w:sz="1" w:space="0" w:color="999999"/>
              <w:left w:val="single" w:sz="1" w:space="0" w:color="999999"/>
              <w:bottom w:val="single" w:sz="1" w:space="0" w:color="999999"/>
              <w:right w:val="single" w:sz="1" w:space="0" w:color="999999"/>
            </w:tcBorders>
            <w:shd w:val="clear" w:color="auto" w:fill="FFFFFF"/>
            <w:tcMar>
              <w:top w:w="60" w:type="dxa"/>
              <w:left w:w="120" w:type="dxa"/>
              <w:bottom w:w="60" w:type="dxa"/>
              <w:right w:w="120" w:type="dxa"/>
            </w:tcMar>
          </w:tcPr>
          <w:p w14:paraId="19C3CA25" w14:textId="77777777" w:rsidR="00E52B5D" w:rsidRPr="002709A1" w:rsidRDefault="00052228" w:rsidP="00052228">
            <w:pPr>
              <w:spacing w:line="360" w:lineRule="auto"/>
              <w:jc w:val="center"/>
            </w:pPr>
            <w:r w:rsidRPr="002709A1">
              <w:t>Normal</w:t>
            </w:r>
          </w:p>
        </w:tc>
      </w:tr>
    </w:tbl>
    <w:p w14:paraId="265E20D3" w14:textId="77777777" w:rsidR="00E52B5D" w:rsidRPr="002709A1" w:rsidRDefault="00E52B5D" w:rsidP="00052228">
      <w:pPr>
        <w:spacing w:line="360" w:lineRule="auto"/>
      </w:pPr>
    </w:p>
    <w:p w14:paraId="041E0863" w14:textId="77777777" w:rsidR="00E52B5D" w:rsidRPr="002709A1" w:rsidRDefault="00052228" w:rsidP="00052228">
      <w:pPr>
        <w:pStyle w:val="Heading1"/>
        <w:spacing w:before="0" w:after="0" w:line="360" w:lineRule="auto"/>
        <w:rPr>
          <w:color w:val="auto"/>
        </w:rPr>
      </w:pPr>
      <w:r w:rsidRPr="002709A1">
        <w:rPr>
          <w:color w:val="auto"/>
        </w:rPr>
        <w:t>4. DISCUSSION</w:t>
      </w:r>
    </w:p>
    <w:p w14:paraId="0F346741" w14:textId="77777777" w:rsidR="00E52B5D" w:rsidRPr="002709A1" w:rsidRDefault="00052228" w:rsidP="00052228">
      <w:pPr>
        <w:spacing w:line="360" w:lineRule="auto"/>
        <w:jc w:val="both"/>
      </w:pPr>
      <w:r w:rsidRPr="002709A1">
        <w:t xml:space="preserve">The </w:t>
      </w:r>
      <w:proofErr w:type="spellStart"/>
      <w:r w:rsidRPr="002709A1">
        <w:t>haematological</w:t>
      </w:r>
      <w:proofErr w:type="spellEnd"/>
      <w:r w:rsidRPr="002709A1">
        <w:t xml:space="preserve"> and biochemical parameters recorded in the present study reflect a state of good health and physiological balance in L. </w:t>
      </w:r>
      <w:proofErr w:type="spellStart"/>
      <w:r w:rsidRPr="002709A1">
        <w:t>rohita</w:t>
      </w:r>
      <w:proofErr w:type="spellEnd"/>
      <w:r w:rsidRPr="002709A1">
        <w:t xml:space="preserve"> reared under </w:t>
      </w:r>
      <w:proofErr w:type="spellStart"/>
      <w:r w:rsidRPr="002709A1">
        <w:t>biofloc</w:t>
      </w:r>
      <w:proofErr w:type="spellEnd"/>
      <w:r w:rsidRPr="002709A1">
        <w:t xml:space="preserve"> conditions. </w:t>
      </w:r>
      <w:proofErr w:type="spellStart"/>
      <w:r w:rsidRPr="002709A1">
        <w:t>Haematological</w:t>
      </w:r>
      <w:proofErr w:type="spellEnd"/>
      <w:r w:rsidRPr="002709A1">
        <w:t xml:space="preserve"> indices are widely accepted as sensitive indicators of fish health, as they reflect the oxygen-transport efficiency, immune status, and overall homeostatic balance of the organism (</w:t>
      </w:r>
      <w:proofErr w:type="spellStart"/>
      <w:r w:rsidRPr="002709A1">
        <w:t>Blaxhall</w:t>
      </w:r>
      <w:proofErr w:type="spellEnd"/>
      <w:r w:rsidRPr="002709A1">
        <w:t xml:space="preserve"> and Daisley, 1973).</w:t>
      </w:r>
    </w:p>
    <w:p w14:paraId="6869DF4F" w14:textId="77777777" w:rsidR="00E52B5D" w:rsidRPr="002709A1" w:rsidRDefault="00052228" w:rsidP="00052228">
      <w:pPr>
        <w:spacing w:line="360" w:lineRule="auto"/>
        <w:jc w:val="both"/>
      </w:pPr>
      <w:r w:rsidRPr="002709A1">
        <w:t xml:space="preserve">The </w:t>
      </w:r>
      <w:proofErr w:type="spellStart"/>
      <w:r w:rsidRPr="002709A1">
        <w:t>haemoglobin</w:t>
      </w:r>
      <w:proofErr w:type="spellEnd"/>
      <w:r w:rsidRPr="002709A1">
        <w:t xml:space="preserve"> value (13.9 g/dL) and RBC count (3.91 million/</w:t>
      </w:r>
      <w:proofErr w:type="spellStart"/>
      <w:r w:rsidRPr="002709A1">
        <w:t>cumm</w:t>
      </w:r>
      <w:proofErr w:type="spellEnd"/>
      <w:r w:rsidRPr="002709A1">
        <w:t xml:space="preserve">) observed in this study are consistent with values reported for healthy Rohu by Usman et al. (2018) and Singh et al. (2020), and indicate efficient erythropoiesis likely supported by the nutritional contribution of </w:t>
      </w:r>
      <w:proofErr w:type="spellStart"/>
      <w:r w:rsidRPr="002709A1">
        <w:t>biofloc</w:t>
      </w:r>
      <w:proofErr w:type="spellEnd"/>
      <w:r w:rsidRPr="002709A1">
        <w:t xml:space="preserve"> biomass. The marginally elevated MCH and MCHC values, while slightly outside reference ranges, are not uncommon in fish experiencing enhanced metabolic activity and have been similarly reported by Dacie and Lewis (2001) in fish reared on high-protein diets.</w:t>
      </w:r>
    </w:p>
    <w:p w14:paraId="40A8CA77" w14:textId="77777777" w:rsidR="00E52B5D" w:rsidRDefault="00052228" w:rsidP="00052228">
      <w:pPr>
        <w:spacing w:line="360" w:lineRule="auto"/>
        <w:jc w:val="both"/>
      </w:pPr>
      <w:r w:rsidRPr="002709A1">
        <w:t xml:space="preserve">The total leucocyte count and differential WBC ratios were well within normal limits, indicating absence of infectious disease and a functional innate immune system. The lymphocyte percentage (37%), while at the lower end of the reference range, is consistent with fish maintained in well-aerated, low-stress environments. </w:t>
      </w:r>
      <w:r w:rsidR="002709A1" w:rsidRPr="002709A1">
        <w:t xml:space="preserve">Previous studies on BFT systems have documented improved immunological indices including enhanced lysozyme activity and non-specific immune response due to the probiotic nature of </w:t>
      </w:r>
      <w:proofErr w:type="spellStart"/>
      <w:r w:rsidR="002709A1" w:rsidRPr="002709A1">
        <w:t>biofloc</w:t>
      </w:r>
      <w:proofErr w:type="spellEnd"/>
      <w:r w:rsidR="002709A1" w:rsidRPr="002709A1">
        <w:t xml:space="preserve"> microbiota (Crab et al., 2012; Xu and Pan, 2012). Recent investigations have further confirmed that </w:t>
      </w:r>
      <w:proofErr w:type="spellStart"/>
      <w:r w:rsidR="002709A1" w:rsidRPr="002709A1">
        <w:t>biofloc</w:t>
      </w:r>
      <w:proofErr w:type="spellEnd"/>
      <w:r w:rsidR="002709A1" w:rsidRPr="002709A1">
        <w:t>-associated microbial communities can enhance antioxidant activity, strengthen innate immunity, and improve disease resistance in cultured fish species (Roy et al., 2023).</w:t>
      </w:r>
    </w:p>
    <w:p w14:paraId="266C1F3C" w14:textId="77777777" w:rsidR="00E52B5D" w:rsidRPr="002709A1" w:rsidRDefault="00052228" w:rsidP="00052228">
      <w:pPr>
        <w:spacing w:line="360" w:lineRule="auto"/>
        <w:jc w:val="both"/>
      </w:pPr>
      <w:r w:rsidRPr="002709A1">
        <w:t xml:space="preserve">Biochemical parameters support the </w:t>
      </w:r>
      <w:proofErr w:type="spellStart"/>
      <w:r w:rsidRPr="002709A1">
        <w:t>haematological</w:t>
      </w:r>
      <w:proofErr w:type="spellEnd"/>
      <w:r w:rsidRPr="002709A1">
        <w:t xml:space="preserve"> findings. Normal SGOT and SGPT levels rule out hepatotoxic stress, which can be a concern in intensive aquaculture systems due to feed oxidation or toxic metabolite accumulation. Total protein and albumin within reference ranges indicate adequate dietary </w:t>
      </w:r>
      <w:r w:rsidRPr="002709A1">
        <w:lastRenderedPageBreak/>
        <w:t xml:space="preserve">protein utilization and hepatic synthetic function, consistent with the supplementary protein contribution of </w:t>
      </w:r>
      <w:proofErr w:type="spellStart"/>
      <w:r w:rsidRPr="002709A1">
        <w:t>biofloc</w:t>
      </w:r>
      <w:proofErr w:type="spellEnd"/>
      <w:r w:rsidRPr="002709A1">
        <w:t xml:space="preserve"> particles rich in microbial protein (</w:t>
      </w:r>
      <w:proofErr w:type="spellStart"/>
      <w:r w:rsidRPr="002709A1">
        <w:t>Avnimelech</w:t>
      </w:r>
      <w:proofErr w:type="spellEnd"/>
      <w:r w:rsidRPr="002709A1">
        <w:t>, 2012).</w:t>
      </w:r>
    </w:p>
    <w:p w14:paraId="1CF6F8C5" w14:textId="77777777" w:rsidR="002709A1" w:rsidRDefault="002709A1" w:rsidP="00052228">
      <w:pPr>
        <w:spacing w:line="360" w:lineRule="auto"/>
        <w:jc w:val="both"/>
      </w:pPr>
      <w:r w:rsidRPr="002709A1">
        <w:t xml:space="preserve">The glucose level of 41.2 mg/dL reflects normal carbohydrate metabolism and energy balance. Similar physiological stability has been reported in fish reared under </w:t>
      </w:r>
      <w:proofErr w:type="spellStart"/>
      <w:r w:rsidRPr="002709A1">
        <w:t>biofloc</w:t>
      </w:r>
      <w:proofErr w:type="spellEnd"/>
      <w:r w:rsidRPr="002709A1">
        <w:t xml:space="preserve"> conditions, where improved water quality and continuous microbial nutrient availability contribute to reduced stress and enhanced metabolic performance (Das et al., 2025).</w:t>
      </w:r>
    </w:p>
    <w:p w14:paraId="49B26B57" w14:textId="77777777" w:rsidR="00E52B5D" w:rsidRDefault="002709A1" w:rsidP="00052228">
      <w:pPr>
        <w:spacing w:line="360" w:lineRule="auto"/>
        <w:jc w:val="both"/>
      </w:pPr>
      <w:r w:rsidRPr="002709A1">
        <w:t xml:space="preserve">Recent reviews have highlighted that </w:t>
      </w:r>
      <w:proofErr w:type="spellStart"/>
      <w:r w:rsidRPr="002709A1">
        <w:t>biofloc</w:t>
      </w:r>
      <w:proofErr w:type="spellEnd"/>
      <w:r w:rsidRPr="002709A1">
        <w:t xml:space="preserve"> technology not only improves production efficiency but also contributes to environmental sustainability through reduced water consumption, lower nutrient discharge, and improved nutrient recycling. These benefits are particularly relevant for inland and tribal regions where water conservation and sustainable resource utilization are critical for long-term aquaculture development (Roy et al., 2023; Das et al., 2025).</w:t>
      </w:r>
      <w:r w:rsidR="00052228" w:rsidRPr="002709A1">
        <w:t xml:space="preserve">From an urban aquaculture perspective, the </w:t>
      </w:r>
      <w:proofErr w:type="spellStart"/>
      <w:r w:rsidR="00052228" w:rsidRPr="002709A1">
        <w:t>Sarguja</w:t>
      </w:r>
      <w:proofErr w:type="spellEnd"/>
      <w:r w:rsidR="00052228" w:rsidRPr="002709A1">
        <w:t xml:space="preserve"> region in Chhattisgarh presents unique opportunities and challenges. The tribal belt's dependence on fisheries for protein nutrition, combined with scarce land and water resources, makes high-density BFT systems an appropriate technology for sustainable urban fish production. The current results validate the physiological suitability of BFT for L. </w:t>
      </w:r>
      <w:proofErr w:type="spellStart"/>
      <w:r w:rsidR="00052228" w:rsidRPr="002709A1">
        <w:t>rohita</w:t>
      </w:r>
      <w:proofErr w:type="spellEnd"/>
      <w:r w:rsidR="00052228" w:rsidRPr="002709A1">
        <w:t xml:space="preserve"> production in this geographic context.</w:t>
      </w:r>
    </w:p>
    <w:p w14:paraId="5CCCD746" w14:textId="77777777" w:rsidR="002709A1" w:rsidRDefault="002709A1" w:rsidP="00052228">
      <w:pPr>
        <w:spacing w:line="360" w:lineRule="auto"/>
        <w:jc w:val="both"/>
      </w:pPr>
      <w:r w:rsidRPr="002709A1">
        <w:t xml:space="preserve">The </w:t>
      </w:r>
      <w:proofErr w:type="spellStart"/>
      <w:r w:rsidRPr="002709A1">
        <w:t>favourable</w:t>
      </w:r>
      <w:proofErr w:type="spellEnd"/>
      <w:r w:rsidRPr="002709A1">
        <w:t xml:space="preserve"> </w:t>
      </w:r>
      <w:proofErr w:type="spellStart"/>
      <w:r w:rsidRPr="002709A1">
        <w:t>haematological</w:t>
      </w:r>
      <w:proofErr w:type="spellEnd"/>
      <w:r w:rsidRPr="002709A1">
        <w:t xml:space="preserve"> profile observed in the present investigation suggests that </w:t>
      </w:r>
      <w:proofErr w:type="spellStart"/>
      <w:r w:rsidRPr="002709A1">
        <w:t>biofloc</w:t>
      </w:r>
      <w:proofErr w:type="spellEnd"/>
      <w:r w:rsidRPr="002709A1">
        <w:t xml:space="preserve"> technology provided a stable and stress-free culture environment for L. </w:t>
      </w:r>
      <w:proofErr w:type="spellStart"/>
      <w:r w:rsidRPr="002709A1">
        <w:t>rohita</w:t>
      </w:r>
      <w:proofErr w:type="spellEnd"/>
      <w:r w:rsidRPr="002709A1">
        <w:t xml:space="preserve">. </w:t>
      </w:r>
      <w:proofErr w:type="spellStart"/>
      <w:r w:rsidRPr="002709A1">
        <w:t>Haemoglobin</w:t>
      </w:r>
      <w:proofErr w:type="spellEnd"/>
      <w:r w:rsidRPr="002709A1">
        <w:t xml:space="preserve"> concentration and erythrocyte counts are commonly used indicators of respiratory efficiency and oxygen transport. The values recorded in this study demonstrate that the fish maintained adequate physiological performance throughout the culture period. Similar observations have been reported in several studies where </w:t>
      </w:r>
      <w:proofErr w:type="spellStart"/>
      <w:r w:rsidRPr="002709A1">
        <w:t>biofloc</w:t>
      </w:r>
      <w:proofErr w:type="spellEnd"/>
      <w:r w:rsidRPr="002709A1">
        <w:t xml:space="preserve"> systems improved oxygen utilization and enhanced physiological adaptation in cultured fish species. </w:t>
      </w:r>
      <w:proofErr w:type="spellStart"/>
      <w:r w:rsidRPr="002709A1">
        <w:t>Biofloc</w:t>
      </w:r>
      <w:proofErr w:type="spellEnd"/>
      <w:r w:rsidRPr="002709A1">
        <w:t xml:space="preserve"> particles are rich in microbial proteins, vitamins, minerals, and bioactive compounds. These components can improve nutrient utilization and stimulate the immune system. The normal leucocyte counts and differential leucocyte percentages recorded in the present study indicate a balanced immune response and absence of pathological stress. Previous researchers have reported increased immune competence, antioxidant activity, and disease resistance in fish reared under </w:t>
      </w:r>
      <w:proofErr w:type="spellStart"/>
      <w:r w:rsidRPr="002709A1">
        <w:t>biofloc</w:t>
      </w:r>
      <w:proofErr w:type="spellEnd"/>
      <w:r w:rsidRPr="002709A1">
        <w:t xml:space="preserve"> conditions owing to the probiotic effects of beneficial microbial communities. </w:t>
      </w:r>
    </w:p>
    <w:p w14:paraId="396B7D22" w14:textId="77777777" w:rsidR="002709A1" w:rsidRPr="002709A1" w:rsidRDefault="002709A1" w:rsidP="00052228">
      <w:pPr>
        <w:spacing w:line="360" w:lineRule="auto"/>
        <w:jc w:val="both"/>
      </w:pPr>
      <w:r w:rsidRPr="002709A1">
        <w:t xml:space="preserve">The biochemical profile further supports the positive influence of </w:t>
      </w:r>
      <w:proofErr w:type="spellStart"/>
      <w:r w:rsidRPr="002709A1">
        <w:t>biofloc</w:t>
      </w:r>
      <w:proofErr w:type="spellEnd"/>
      <w:r w:rsidRPr="002709A1">
        <w:t xml:space="preserve"> technology on fish health. Serum proteins are widely regarded as indicators of nutritional status and physiological condition. The normal levels of albumin and total protein observed in the present study suggest efficient protein metabolism and adequate dietary nutrient availability. The supplementary nutritional contribution of microbial biomass present in </w:t>
      </w:r>
      <w:proofErr w:type="spellStart"/>
      <w:r w:rsidRPr="002709A1">
        <w:t>biofloc</w:t>
      </w:r>
      <w:proofErr w:type="spellEnd"/>
      <w:r w:rsidRPr="002709A1">
        <w:t xml:space="preserve"> systems may have contributed to the maintenance of these parameters. Liver enzymes such as SGOT and SGPT are frequently used as biomarkers of tissue damage and metabolic stress. Elevated concentrations often indicate hepatic dysfunction or exposure to unfavorable environmental conditions. The enzyme levels observed in the present study remained within normal physiological limits, indicating that the </w:t>
      </w:r>
      <w:proofErr w:type="spellStart"/>
      <w:r w:rsidRPr="002709A1">
        <w:t>biofloc</w:t>
      </w:r>
      <w:proofErr w:type="spellEnd"/>
      <w:r w:rsidRPr="002709A1">
        <w:t xml:space="preserve"> environment did not exert adverse effects on liver function. Similar findings have been reported by recent studies evaluating the health status of fish cultured </w:t>
      </w:r>
      <w:r w:rsidRPr="002709A1">
        <w:lastRenderedPageBreak/>
        <w:t xml:space="preserve">in </w:t>
      </w:r>
      <w:proofErr w:type="spellStart"/>
      <w:r w:rsidRPr="002709A1">
        <w:t>biofloc</w:t>
      </w:r>
      <w:proofErr w:type="spellEnd"/>
      <w:r w:rsidRPr="002709A1">
        <w:t xml:space="preserve">-based production systems. The adoption of </w:t>
      </w:r>
      <w:proofErr w:type="spellStart"/>
      <w:r w:rsidRPr="002709A1">
        <w:t>biofloc</w:t>
      </w:r>
      <w:proofErr w:type="spellEnd"/>
      <w:r w:rsidRPr="002709A1">
        <w:t xml:space="preserve"> technology can provide multiple socioeconomic and environmental benefits for tribal regions of Chhattisgarh. The technology requires relatively small land areas and minimal water exchange, making it suitable for urban and peri-urban locations where conventional pond aquaculture may not be feasible. In addition, </w:t>
      </w:r>
      <w:proofErr w:type="spellStart"/>
      <w:r w:rsidRPr="002709A1">
        <w:t>biofloc</w:t>
      </w:r>
      <w:proofErr w:type="spellEnd"/>
      <w:r w:rsidRPr="002709A1">
        <w:t xml:space="preserve"> systems can contribute to improved household nutrition and income generation by enabling year-round fish production. The positive health indicators recorded in this study further strengthen the potential of </w:t>
      </w:r>
      <w:proofErr w:type="spellStart"/>
      <w:r w:rsidRPr="002709A1">
        <w:t>biofloc</w:t>
      </w:r>
      <w:proofErr w:type="spellEnd"/>
      <w:r w:rsidRPr="002709A1">
        <w:t xml:space="preserve"> technology as a sustainable aquaculture strategy for inland regions of India.</w:t>
      </w:r>
    </w:p>
    <w:p w14:paraId="6BAC5FFC" w14:textId="77777777" w:rsidR="00E52B5D" w:rsidRPr="002709A1" w:rsidRDefault="00052228" w:rsidP="00052228">
      <w:pPr>
        <w:pStyle w:val="Heading1"/>
        <w:spacing w:before="0" w:after="0" w:line="360" w:lineRule="auto"/>
        <w:rPr>
          <w:color w:val="auto"/>
        </w:rPr>
      </w:pPr>
      <w:r w:rsidRPr="002709A1">
        <w:rPr>
          <w:color w:val="auto"/>
        </w:rPr>
        <w:t>5. CONCLUSION</w:t>
      </w:r>
    </w:p>
    <w:p w14:paraId="4EEB3032" w14:textId="77777777" w:rsidR="00E52B5D" w:rsidRDefault="002709A1" w:rsidP="002709A1">
      <w:pPr>
        <w:spacing w:line="360" w:lineRule="auto"/>
        <w:jc w:val="both"/>
      </w:pPr>
      <w:r w:rsidRPr="002709A1">
        <w:t xml:space="preserve">The present investigation demonstrated that </w:t>
      </w:r>
      <w:proofErr w:type="spellStart"/>
      <w:r w:rsidRPr="002709A1">
        <w:t>Labeo</w:t>
      </w:r>
      <w:proofErr w:type="spellEnd"/>
      <w:r w:rsidRPr="002709A1">
        <w:t xml:space="preserve"> </w:t>
      </w:r>
      <w:proofErr w:type="spellStart"/>
      <w:r w:rsidRPr="002709A1">
        <w:t>rohita</w:t>
      </w:r>
      <w:proofErr w:type="spellEnd"/>
      <w:r w:rsidRPr="002709A1">
        <w:t xml:space="preserve"> cultured in a </w:t>
      </w:r>
      <w:proofErr w:type="spellStart"/>
      <w:r w:rsidRPr="002709A1">
        <w:t>biofloc</w:t>
      </w:r>
      <w:proofErr w:type="spellEnd"/>
      <w:r w:rsidRPr="002709A1">
        <w:t xml:space="preserve"> aquaculture system maintained </w:t>
      </w:r>
      <w:proofErr w:type="spellStart"/>
      <w:r w:rsidRPr="002709A1">
        <w:t>favourable</w:t>
      </w:r>
      <w:proofErr w:type="spellEnd"/>
      <w:r w:rsidRPr="002709A1">
        <w:t xml:space="preserve"> </w:t>
      </w:r>
      <w:proofErr w:type="spellStart"/>
      <w:r w:rsidRPr="002709A1">
        <w:t>haematological</w:t>
      </w:r>
      <w:proofErr w:type="spellEnd"/>
      <w:r w:rsidRPr="002709A1">
        <w:t xml:space="preserve"> and biochemical characteristics throughout the experimental period. The observed values for </w:t>
      </w:r>
      <w:proofErr w:type="spellStart"/>
      <w:r w:rsidRPr="002709A1">
        <w:t>haemoglobin</w:t>
      </w:r>
      <w:proofErr w:type="spellEnd"/>
      <w:r w:rsidRPr="002709A1">
        <w:t xml:space="preserve">, erythrocyte count, leucocyte profile, serum proteins, glucose, cholesterol, and liver enzymes remained within acceptable physiological limits, indicating good health, metabolic stability, and effective adaptation to the </w:t>
      </w:r>
      <w:proofErr w:type="spellStart"/>
      <w:r w:rsidRPr="002709A1">
        <w:t>biofloc</w:t>
      </w:r>
      <w:proofErr w:type="spellEnd"/>
      <w:r w:rsidRPr="002709A1">
        <w:t xml:space="preserve"> environment. </w:t>
      </w:r>
      <w:r w:rsidR="009339A8" w:rsidRPr="009339A8">
        <w:t xml:space="preserve">These findings suggest that </w:t>
      </w:r>
      <w:proofErr w:type="spellStart"/>
      <w:r w:rsidR="009339A8" w:rsidRPr="009339A8">
        <w:t>biofloc</w:t>
      </w:r>
      <w:proofErr w:type="spellEnd"/>
      <w:r w:rsidR="009339A8" w:rsidRPr="009339A8">
        <w:t xml:space="preserve"> technology may provide a suitable culture environment for maintaining the physiological health of </w:t>
      </w:r>
      <w:proofErr w:type="spellStart"/>
      <w:r w:rsidR="009339A8" w:rsidRPr="009339A8">
        <w:t>Labeo</w:t>
      </w:r>
      <w:proofErr w:type="spellEnd"/>
      <w:r w:rsidR="009339A8" w:rsidRPr="009339A8">
        <w:t xml:space="preserve"> </w:t>
      </w:r>
      <w:proofErr w:type="spellStart"/>
      <w:r w:rsidR="009339A8" w:rsidRPr="009339A8">
        <w:t>rohita</w:t>
      </w:r>
      <w:proofErr w:type="spellEnd"/>
      <w:r w:rsidR="009339A8" w:rsidRPr="009339A8">
        <w:t xml:space="preserve"> under the conditions evaluated in the present study.</w:t>
      </w:r>
      <w:r w:rsidRPr="002709A1">
        <w:t xml:space="preserve"> From a sustainability perspective, </w:t>
      </w:r>
      <w:proofErr w:type="spellStart"/>
      <w:r w:rsidRPr="002709A1">
        <w:t>biofloc</w:t>
      </w:r>
      <w:proofErr w:type="spellEnd"/>
      <w:r w:rsidRPr="002709A1">
        <w:t xml:space="preserve"> systems offer significant advantages including reduced water consumption, enhanced nutrient recycling, lower feed dependence, and improved biosecurity. Such characteristics make the technology particularly relevant for tribal and semi-urban regions of Chhattisgarh where access to water and land resources may be limited. The successful culture of L. </w:t>
      </w:r>
      <w:proofErr w:type="spellStart"/>
      <w:r w:rsidRPr="002709A1">
        <w:t>rohita</w:t>
      </w:r>
      <w:proofErr w:type="spellEnd"/>
      <w:r w:rsidRPr="002709A1">
        <w:t xml:space="preserve"> under </w:t>
      </w:r>
      <w:proofErr w:type="spellStart"/>
      <w:r w:rsidRPr="002709A1">
        <w:t>biofloc</w:t>
      </w:r>
      <w:proofErr w:type="spellEnd"/>
      <w:r w:rsidRPr="002709A1">
        <w:t xml:space="preserve"> conditions highlights the potential of this approach for strengthening food security, livelihood generation, and environmentally responsible aquaculture development. Future investigations should incorporate larger sample sizes, growth performance analyses, economic assessments, and long-term production trials to further validate the commercial applicability of </w:t>
      </w:r>
      <w:proofErr w:type="spellStart"/>
      <w:r w:rsidRPr="002709A1">
        <w:t>biofloc</w:t>
      </w:r>
      <w:proofErr w:type="spellEnd"/>
      <w:r w:rsidRPr="002709A1">
        <w:t xml:space="preserve"> technology in inland India.</w:t>
      </w:r>
    </w:p>
    <w:p w14:paraId="2FA4CC80" w14:textId="77777777" w:rsidR="00CA690D" w:rsidRPr="002709A1" w:rsidRDefault="00CA690D" w:rsidP="002709A1">
      <w:pPr>
        <w:spacing w:line="360" w:lineRule="auto"/>
        <w:jc w:val="both"/>
      </w:pPr>
      <w:r w:rsidRPr="00CA690D">
        <w:t xml:space="preserve">A limitation of the present investigation is the absence of a conventional aquaculture control group maintained under identical environmental conditions. Consequently, direct comparative assessment of the physiological responses between </w:t>
      </w:r>
      <w:proofErr w:type="spellStart"/>
      <w:r w:rsidRPr="00CA690D">
        <w:t>biofloc</w:t>
      </w:r>
      <w:proofErr w:type="spellEnd"/>
      <w:r w:rsidRPr="00CA690D">
        <w:t xml:space="preserve"> and traditional culture systems could not be performed. Future studies should incorporate parallel control treatments, larger sample sizes, and long-term production evaluations to provide more comprehensive validation of the effectiveness of </w:t>
      </w:r>
      <w:proofErr w:type="spellStart"/>
      <w:r w:rsidRPr="00CA690D">
        <w:t>biofloc</w:t>
      </w:r>
      <w:proofErr w:type="spellEnd"/>
      <w:r w:rsidRPr="00CA690D">
        <w:t xml:space="preserve"> technology for inland aquaculture development.</w:t>
      </w:r>
    </w:p>
    <w:p w14:paraId="60461846" w14:textId="77777777" w:rsidR="00052228" w:rsidRPr="002709A1" w:rsidRDefault="00052228" w:rsidP="00052228">
      <w:pPr>
        <w:pStyle w:val="Heading1"/>
        <w:spacing w:before="0" w:after="0" w:line="360" w:lineRule="auto"/>
        <w:rPr>
          <w:color w:val="auto"/>
        </w:rPr>
      </w:pPr>
    </w:p>
    <w:p w14:paraId="256F8852" w14:textId="77777777" w:rsidR="00E52B5D" w:rsidRPr="002709A1" w:rsidRDefault="00E52B5D" w:rsidP="00052228">
      <w:pPr>
        <w:spacing w:line="360" w:lineRule="auto"/>
      </w:pPr>
    </w:p>
    <w:p w14:paraId="0D4956B4" w14:textId="77777777" w:rsidR="002E4AB9" w:rsidRPr="002E4AB9" w:rsidRDefault="002E4AB9" w:rsidP="002E4AB9">
      <w:pPr>
        <w:spacing w:after="200" w:line="276" w:lineRule="auto"/>
        <w:rPr>
          <w:rFonts w:ascii="Calibri" w:eastAsia="Calibri" w:hAnsi="Calibri"/>
          <w:kern w:val="2"/>
          <w:highlight w:val="yellow"/>
          <w:lang w:bidi="ar-SA"/>
        </w:rPr>
      </w:pPr>
      <w:r w:rsidRPr="002E4AB9">
        <w:rPr>
          <w:rFonts w:ascii="Calibri" w:eastAsia="Calibri" w:hAnsi="Calibri"/>
          <w:kern w:val="2"/>
          <w:highlight w:val="yellow"/>
          <w:lang w:bidi="ar-SA"/>
        </w:rPr>
        <w:t>Disclaimer (Artificial intelligence)</w:t>
      </w:r>
    </w:p>
    <w:p w14:paraId="518FED1D" w14:textId="77777777" w:rsidR="002E4AB9" w:rsidRPr="002E4AB9" w:rsidRDefault="002E4AB9" w:rsidP="002E4AB9">
      <w:pPr>
        <w:spacing w:after="200" w:line="276" w:lineRule="auto"/>
        <w:rPr>
          <w:rFonts w:ascii="Calibri" w:eastAsia="Calibri" w:hAnsi="Calibri"/>
          <w:kern w:val="2"/>
          <w:highlight w:val="yellow"/>
          <w:lang w:bidi="ar-SA"/>
        </w:rPr>
      </w:pPr>
      <w:r w:rsidRPr="002E4AB9">
        <w:rPr>
          <w:rFonts w:ascii="Calibri" w:eastAsia="Calibri" w:hAnsi="Calibri"/>
          <w:kern w:val="2"/>
          <w:highlight w:val="yellow"/>
          <w:lang w:bidi="ar-SA"/>
        </w:rPr>
        <w:t xml:space="preserve">Author(s) hereby declare that NO generative AI technologies such as Large Language Models (ChatGPT, COPILOT, etc.) and text-to-image generators have been used during the writing or editing of this manuscript. </w:t>
      </w:r>
    </w:p>
    <w:p w14:paraId="19885471" w14:textId="77777777" w:rsidR="002E4AB9" w:rsidRPr="002E4AB9" w:rsidRDefault="002E4AB9" w:rsidP="002E4AB9">
      <w:pPr>
        <w:spacing w:after="200" w:line="276" w:lineRule="auto"/>
        <w:rPr>
          <w:rFonts w:ascii="Calibri" w:eastAsia="Calibri" w:hAnsi="Calibri"/>
          <w:kern w:val="2"/>
          <w:lang w:bidi="ar-SA"/>
        </w:rPr>
      </w:pPr>
    </w:p>
    <w:p w14:paraId="42CD69C3" w14:textId="77777777" w:rsidR="00D87CB9" w:rsidRDefault="00D87CB9" w:rsidP="00052228">
      <w:pPr>
        <w:pStyle w:val="Heading1"/>
        <w:spacing w:before="0" w:after="0" w:line="360" w:lineRule="auto"/>
        <w:rPr>
          <w:color w:val="auto"/>
        </w:rPr>
      </w:pPr>
    </w:p>
    <w:p w14:paraId="5D5F2B9D" w14:textId="77777777" w:rsidR="00E52B5D" w:rsidRPr="002709A1" w:rsidRDefault="00052228" w:rsidP="00052228">
      <w:pPr>
        <w:pStyle w:val="Heading1"/>
        <w:spacing w:before="0" w:after="0" w:line="360" w:lineRule="auto"/>
        <w:rPr>
          <w:color w:val="auto"/>
        </w:rPr>
      </w:pPr>
      <w:r w:rsidRPr="002709A1">
        <w:rPr>
          <w:color w:val="auto"/>
        </w:rPr>
        <w:t>REFERENCES</w:t>
      </w:r>
    </w:p>
    <w:p w14:paraId="271914B5" w14:textId="77777777" w:rsidR="00D87CB9" w:rsidRPr="00D87CB9" w:rsidRDefault="00D87CB9" w:rsidP="00D87CB9">
      <w:pPr>
        <w:pStyle w:val="NormalWeb"/>
        <w:numPr>
          <w:ilvl w:val="0"/>
          <w:numId w:val="3"/>
        </w:numPr>
        <w:spacing w:line="360" w:lineRule="auto"/>
        <w:jc w:val="both"/>
      </w:pPr>
      <w:r w:rsidRPr="00D87CB9">
        <w:t xml:space="preserve">Ahmad, I., Verma, A. K., Rani, A. M. B., Rathore, G., Saharan, N., &amp; Gora, A. H. (2021). </w:t>
      </w:r>
      <w:proofErr w:type="spellStart"/>
      <w:r w:rsidRPr="00D87CB9">
        <w:t>Biofloc</w:t>
      </w:r>
      <w:proofErr w:type="spellEnd"/>
      <w:r w:rsidRPr="00D87CB9">
        <w:t xml:space="preserve"> technology: An emerging avenue in aquatic animal health and nutrition. Aquaculture International, 29(6), 2437–2458.</w:t>
      </w:r>
    </w:p>
    <w:p w14:paraId="083C2219" w14:textId="77777777" w:rsidR="00D87CB9" w:rsidRPr="00D87CB9" w:rsidRDefault="00D87CB9" w:rsidP="00D87CB9">
      <w:pPr>
        <w:pStyle w:val="ListParagraph"/>
        <w:numPr>
          <w:ilvl w:val="0"/>
          <w:numId w:val="3"/>
        </w:numPr>
        <w:spacing w:line="360" w:lineRule="auto"/>
        <w:jc w:val="both"/>
        <w:rPr>
          <w:sz w:val="24"/>
          <w:szCs w:val="24"/>
        </w:rPr>
      </w:pPr>
      <w:proofErr w:type="spellStart"/>
      <w:r w:rsidRPr="00D87CB9">
        <w:rPr>
          <w:sz w:val="24"/>
          <w:szCs w:val="24"/>
        </w:rPr>
        <w:t>Avnimelech</w:t>
      </w:r>
      <w:proofErr w:type="spellEnd"/>
      <w:r w:rsidRPr="00D87CB9">
        <w:rPr>
          <w:sz w:val="24"/>
          <w:szCs w:val="24"/>
        </w:rPr>
        <w:t xml:space="preserve">, Y. (2009). </w:t>
      </w:r>
      <w:proofErr w:type="spellStart"/>
      <w:r w:rsidRPr="00D87CB9">
        <w:rPr>
          <w:sz w:val="24"/>
          <w:szCs w:val="24"/>
        </w:rPr>
        <w:t>Biofloc</w:t>
      </w:r>
      <w:proofErr w:type="spellEnd"/>
      <w:r w:rsidRPr="00D87CB9">
        <w:rPr>
          <w:sz w:val="24"/>
          <w:szCs w:val="24"/>
        </w:rPr>
        <w:t xml:space="preserve"> Technology – A Practical Guide Book. The World Aquaculture Society, Baton Rouge, Louisiana, USA.</w:t>
      </w:r>
    </w:p>
    <w:p w14:paraId="05F4D15B" w14:textId="77777777" w:rsidR="00D87CB9" w:rsidRPr="00D87CB9" w:rsidRDefault="00D87CB9" w:rsidP="00D87CB9">
      <w:pPr>
        <w:pStyle w:val="ListParagraph"/>
        <w:numPr>
          <w:ilvl w:val="0"/>
          <w:numId w:val="3"/>
        </w:numPr>
        <w:spacing w:line="360" w:lineRule="auto"/>
        <w:jc w:val="both"/>
        <w:rPr>
          <w:sz w:val="24"/>
          <w:szCs w:val="24"/>
        </w:rPr>
      </w:pPr>
      <w:proofErr w:type="spellStart"/>
      <w:r w:rsidRPr="00D87CB9">
        <w:rPr>
          <w:sz w:val="24"/>
          <w:szCs w:val="24"/>
        </w:rPr>
        <w:t>Avnimelech</w:t>
      </w:r>
      <w:proofErr w:type="spellEnd"/>
      <w:r w:rsidRPr="00D87CB9">
        <w:rPr>
          <w:sz w:val="24"/>
          <w:szCs w:val="24"/>
        </w:rPr>
        <w:t xml:space="preserve">, Y. (2012). </w:t>
      </w:r>
      <w:proofErr w:type="spellStart"/>
      <w:r w:rsidRPr="00D87CB9">
        <w:rPr>
          <w:sz w:val="24"/>
          <w:szCs w:val="24"/>
        </w:rPr>
        <w:t>Biofloc</w:t>
      </w:r>
      <w:proofErr w:type="spellEnd"/>
      <w:r w:rsidRPr="00D87CB9">
        <w:rPr>
          <w:sz w:val="24"/>
          <w:szCs w:val="24"/>
        </w:rPr>
        <w:t xml:space="preserve"> technology: A practical guide book (2nd ed.). The World Aquaculture Society, Baton Rouge, LA, USA.</w:t>
      </w:r>
    </w:p>
    <w:p w14:paraId="1C105359" w14:textId="77777777" w:rsidR="00D87CB9" w:rsidRPr="00D87CB9" w:rsidRDefault="00D87CB9" w:rsidP="00D87CB9">
      <w:pPr>
        <w:pStyle w:val="ListParagraph"/>
        <w:numPr>
          <w:ilvl w:val="0"/>
          <w:numId w:val="3"/>
        </w:numPr>
        <w:spacing w:line="360" w:lineRule="auto"/>
        <w:jc w:val="both"/>
        <w:rPr>
          <w:sz w:val="24"/>
          <w:szCs w:val="24"/>
        </w:rPr>
      </w:pPr>
      <w:proofErr w:type="spellStart"/>
      <w:r w:rsidRPr="00D87CB9">
        <w:rPr>
          <w:sz w:val="24"/>
          <w:szCs w:val="24"/>
        </w:rPr>
        <w:t>Blaxhall</w:t>
      </w:r>
      <w:proofErr w:type="spellEnd"/>
      <w:r w:rsidRPr="00D87CB9">
        <w:rPr>
          <w:sz w:val="24"/>
          <w:szCs w:val="24"/>
        </w:rPr>
        <w:t xml:space="preserve">, P.C. and Daisley, K.W. (1973). Routine </w:t>
      </w:r>
      <w:proofErr w:type="spellStart"/>
      <w:r w:rsidRPr="00D87CB9">
        <w:rPr>
          <w:sz w:val="24"/>
          <w:szCs w:val="24"/>
        </w:rPr>
        <w:t>haematological</w:t>
      </w:r>
      <w:proofErr w:type="spellEnd"/>
      <w:r w:rsidRPr="00D87CB9">
        <w:rPr>
          <w:sz w:val="24"/>
          <w:szCs w:val="24"/>
        </w:rPr>
        <w:t xml:space="preserve"> methods for use with fish blood. Journal of Fish Biology, 5(6), 771–781.</w:t>
      </w:r>
    </w:p>
    <w:p w14:paraId="395A3528" w14:textId="77777777" w:rsidR="00D87CB9" w:rsidRPr="00D87CB9" w:rsidRDefault="00D87CB9" w:rsidP="00D87CB9">
      <w:pPr>
        <w:pStyle w:val="ListParagraph"/>
        <w:numPr>
          <w:ilvl w:val="0"/>
          <w:numId w:val="3"/>
        </w:numPr>
        <w:spacing w:line="360" w:lineRule="auto"/>
        <w:jc w:val="both"/>
        <w:rPr>
          <w:sz w:val="24"/>
          <w:szCs w:val="24"/>
        </w:rPr>
      </w:pPr>
      <w:r w:rsidRPr="00D87CB9">
        <w:rPr>
          <w:sz w:val="24"/>
          <w:szCs w:val="24"/>
        </w:rPr>
        <w:t xml:space="preserve">Crab, R., Defoirdt, T., Bossier, P. and Verstraete, W. (2012). </w:t>
      </w:r>
      <w:proofErr w:type="spellStart"/>
      <w:r w:rsidRPr="00D87CB9">
        <w:rPr>
          <w:sz w:val="24"/>
          <w:szCs w:val="24"/>
        </w:rPr>
        <w:t>Biofloc</w:t>
      </w:r>
      <w:proofErr w:type="spellEnd"/>
      <w:r w:rsidRPr="00D87CB9">
        <w:rPr>
          <w:sz w:val="24"/>
          <w:szCs w:val="24"/>
        </w:rPr>
        <w:t xml:space="preserve"> technology in aquaculture: Beneficial effects and future challenges. Aquaculture, 356–357, 351–356.</w:t>
      </w:r>
    </w:p>
    <w:p w14:paraId="54B5FF5F" w14:textId="77777777" w:rsidR="00D87CB9" w:rsidRPr="00D87CB9" w:rsidRDefault="00D87CB9" w:rsidP="00D87CB9">
      <w:pPr>
        <w:pStyle w:val="ListParagraph"/>
        <w:numPr>
          <w:ilvl w:val="0"/>
          <w:numId w:val="3"/>
        </w:numPr>
        <w:spacing w:line="360" w:lineRule="auto"/>
        <w:jc w:val="both"/>
        <w:rPr>
          <w:sz w:val="24"/>
          <w:szCs w:val="24"/>
        </w:rPr>
      </w:pPr>
      <w:r w:rsidRPr="00D87CB9">
        <w:rPr>
          <w:sz w:val="24"/>
          <w:szCs w:val="24"/>
        </w:rPr>
        <w:t xml:space="preserve">Dacie, J.V. and Lewis, S.M. (2001). Practical </w:t>
      </w:r>
      <w:proofErr w:type="spellStart"/>
      <w:r w:rsidRPr="00D87CB9">
        <w:rPr>
          <w:sz w:val="24"/>
          <w:szCs w:val="24"/>
        </w:rPr>
        <w:t>Haematology</w:t>
      </w:r>
      <w:proofErr w:type="spellEnd"/>
      <w:r w:rsidRPr="00D87CB9">
        <w:rPr>
          <w:sz w:val="24"/>
          <w:szCs w:val="24"/>
        </w:rPr>
        <w:t xml:space="preserve">, 9th </w:t>
      </w:r>
      <w:proofErr w:type="spellStart"/>
      <w:r w:rsidRPr="00D87CB9">
        <w:rPr>
          <w:sz w:val="24"/>
          <w:szCs w:val="24"/>
        </w:rPr>
        <w:t>edn</w:t>
      </w:r>
      <w:proofErr w:type="spellEnd"/>
      <w:r w:rsidRPr="00D87CB9">
        <w:rPr>
          <w:sz w:val="24"/>
          <w:szCs w:val="24"/>
        </w:rPr>
        <w:t>. Churchill Livingstone, London.</w:t>
      </w:r>
    </w:p>
    <w:p w14:paraId="6512B00F" w14:textId="77777777" w:rsidR="00D87CB9" w:rsidRPr="00D87CB9" w:rsidRDefault="00D87CB9" w:rsidP="00D87CB9">
      <w:pPr>
        <w:pStyle w:val="NormalWeb"/>
        <w:numPr>
          <w:ilvl w:val="0"/>
          <w:numId w:val="3"/>
        </w:numPr>
        <w:spacing w:line="360" w:lineRule="auto"/>
        <w:jc w:val="both"/>
      </w:pPr>
      <w:r w:rsidRPr="00D87CB9">
        <w:t xml:space="preserve">Das, P., Mandal, S. C., </w:t>
      </w:r>
      <w:proofErr w:type="spellStart"/>
      <w:r w:rsidRPr="00D87CB9">
        <w:t>Bhagabati</w:t>
      </w:r>
      <w:proofErr w:type="spellEnd"/>
      <w:r w:rsidRPr="00D87CB9">
        <w:t xml:space="preserve">, S. K., Akhtar, M. S., &amp; Singh, S. K. (2025). Health and physiological responses of freshwater fish reared in </w:t>
      </w:r>
      <w:proofErr w:type="spellStart"/>
      <w:r w:rsidRPr="00D87CB9">
        <w:t>biofloc</w:t>
      </w:r>
      <w:proofErr w:type="spellEnd"/>
      <w:r w:rsidRPr="00D87CB9">
        <w:t>-based culture systems: A review. Aquaculture Research, 56(1), 45–63.</w:t>
      </w:r>
    </w:p>
    <w:p w14:paraId="18F91368" w14:textId="77777777" w:rsidR="00D87CB9" w:rsidRPr="00D87CB9" w:rsidRDefault="00D87CB9" w:rsidP="00D87CB9">
      <w:pPr>
        <w:pStyle w:val="ListParagraph"/>
        <w:numPr>
          <w:ilvl w:val="0"/>
          <w:numId w:val="3"/>
        </w:numPr>
        <w:spacing w:line="360" w:lineRule="auto"/>
        <w:jc w:val="both"/>
        <w:rPr>
          <w:sz w:val="24"/>
          <w:szCs w:val="24"/>
        </w:rPr>
      </w:pPr>
      <w:r w:rsidRPr="00D87CB9">
        <w:rPr>
          <w:sz w:val="24"/>
          <w:szCs w:val="24"/>
        </w:rPr>
        <w:t>FAO (2022). The State of World Fisheries and Aquaculture 2022. Towards Blue Transformation. Rome: Food and Agriculture Organization of the United Nations.</w:t>
      </w:r>
    </w:p>
    <w:p w14:paraId="266A3C19" w14:textId="77777777" w:rsidR="00D87CB9" w:rsidRPr="00D87CB9" w:rsidRDefault="00D87CB9" w:rsidP="00D87CB9">
      <w:pPr>
        <w:pStyle w:val="NormalWeb"/>
        <w:numPr>
          <w:ilvl w:val="0"/>
          <w:numId w:val="3"/>
        </w:numPr>
        <w:spacing w:line="360" w:lineRule="auto"/>
        <w:jc w:val="both"/>
      </w:pPr>
      <w:r w:rsidRPr="00D87CB9">
        <w:t>FAO. (2024). The State of World Fisheries and Aquaculture 2024: Blue Transformation in Action. Food and Agriculture Organization of the United Nations, Rome.</w:t>
      </w:r>
    </w:p>
    <w:p w14:paraId="54905137" w14:textId="77777777" w:rsidR="00D87CB9" w:rsidRPr="00D87CB9" w:rsidRDefault="00D87CB9" w:rsidP="00D87CB9">
      <w:pPr>
        <w:pStyle w:val="NormalWeb"/>
        <w:numPr>
          <w:ilvl w:val="0"/>
          <w:numId w:val="3"/>
        </w:numPr>
        <w:spacing w:line="360" w:lineRule="auto"/>
        <w:jc w:val="both"/>
      </w:pPr>
      <w:r w:rsidRPr="00D87CB9">
        <w:t xml:space="preserve">Kumar, S., Anand, P. S. S., De, D., </w:t>
      </w:r>
      <w:proofErr w:type="spellStart"/>
      <w:r w:rsidRPr="00D87CB9">
        <w:t>Sundaray</w:t>
      </w:r>
      <w:proofErr w:type="spellEnd"/>
      <w:r w:rsidRPr="00D87CB9">
        <w:t xml:space="preserve">, J. K., Biswas, G., &amp; Ghoshal, T. K. (2022). Recent advances in </w:t>
      </w:r>
      <w:proofErr w:type="spellStart"/>
      <w:r w:rsidRPr="00D87CB9">
        <w:t>biofloc</w:t>
      </w:r>
      <w:proofErr w:type="spellEnd"/>
      <w:r w:rsidRPr="00D87CB9">
        <w:t xml:space="preserve"> technology and its application in sustainable aquaculture. Reviews in Aquaculture, 14(2), 950–970.</w:t>
      </w:r>
    </w:p>
    <w:p w14:paraId="3F88856B" w14:textId="77777777" w:rsidR="00D87CB9" w:rsidRPr="00D87CB9" w:rsidRDefault="00D87CB9" w:rsidP="00D87CB9">
      <w:pPr>
        <w:pStyle w:val="NormalWeb"/>
        <w:numPr>
          <w:ilvl w:val="0"/>
          <w:numId w:val="3"/>
        </w:numPr>
        <w:spacing w:line="360" w:lineRule="auto"/>
        <w:jc w:val="both"/>
      </w:pPr>
      <w:r w:rsidRPr="00D87CB9">
        <w:t xml:space="preserve">Roy, L. A., Davis, D. A., &amp; Saoud, I. P. (2023). </w:t>
      </w:r>
      <w:proofErr w:type="spellStart"/>
      <w:r w:rsidRPr="00D87CB9">
        <w:t>Biofloc</w:t>
      </w:r>
      <w:proofErr w:type="spellEnd"/>
      <w:r w:rsidRPr="00D87CB9">
        <w:t xml:space="preserve"> technology and sustainable aquaculture production systems: Current perspectives and future directions. Aquaculture Reports, 30, 101567.</w:t>
      </w:r>
    </w:p>
    <w:p w14:paraId="73733CEC" w14:textId="77777777" w:rsidR="00D87CB9" w:rsidRPr="00D87CB9" w:rsidRDefault="00D87CB9" w:rsidP="00D87CB9">
      <w:pPr>
        <w:pStyle w:val="ListParagraph"/>
        <w:numPr>
          <w:ilvl w:val="0"/>
          <w:numId w:val="3"/>
        </w:numPr>
        <w:spacing w:line="360" w:lineRule="auto"/>
        <w:jc w:val="both"/>
        <w:rPr>
          <w:sz w:val="24"/>
          <w:szCs w:val="24"/>
        </w:rPr>
      </w:pPr>
      <w:r w:rsidRPr="00D87CB9">
        <w:rPr>
          <w:sz w:val="24"/>
          <w:szCs w:val="24"/>
        </w:rPr>
        <w:t xml:space="preserve">Singh, R., Kumar, A. and Bhatnagar, A. (2020). </w:t>
      </w:r>
      <w:proofErr w:type="spellStart"/>
      <w:r w:rsidRPr="00D87CB9">
        <w:rPr>
          <w:sz w:val="24"/>
          <w:szCs w:val="24"/>
        </w:rPr>
        <w:t>Haematological</w:t>
      </w:r>
      <w:proofErr w:type="spellEnd"/>
      <w:r w:rsidRPr="00D87CB9">
        <w:rPr>
          <w:sz w:val="24"/>
          <w:szCs w:val="24"/>
        </w:rPr>
        <w:t xml:space="preserve"> and biochemical responses of </w:t>
      </w:r>
      <w:proofErr w:type="spellStart"/>
      <w:r w:rsidRPr="00D87CB9">
        <w:rPr>
          <w:sz w:val="24"/>
          <w:szCs w:val="24"/>
        </w:rPr>
        <w:t>Labeorohita</w:t>
      </w:r>
      <w:proofErr w:type="spellEnd"/>
      <w:r w:rsidRPr="00D87CB9">
        <w:rPr>
          <w:sz w:val="24"/>
          <w:szCs w:val="24"/>
        </w:rPr>
        <w:t xml:space="preserve"> fingerlings to different stocking densities. Aquaculture Research, 51(4), 1480–1491.</w:t>
      </w:r>
    </w:p>
    <w:p w14:paraId="26F52EE2" w14:textId="77777777" w:rsidR="00D87CB9" w:rsidRPr="00D87CB9" w:rsidRDefault="00D87CB9" w:rsidP="00D87CB9">
      <w:pPr>
        <w:pStyle w:val="ListParagraph"/>
        <w:numPr>
          <w:ilvl w:val="0"/>
          <w:numId w:val="3"/>
        </w:numPr>
        <w:spacing w:line="360" w:lineRule="auto"/>
        <w:jc w:val="both"/>
        <w:rPr>
          <w:sz w:val="24"/>
          <w:szCs w:val="24"/>
        </w:rPr>
      </w:pPr>
      <w:r w:rsidRPr="00D87CB9">
        <w:rPr>
          <w:sz w:val="24"/>
          <w:szCs w:val="24"/>
        </w:rPr>
        <w:t xml:space="preserve">Tavares-Dias, M. and Moraes, F.R. (2007). </w:t>
      </w:r>
      <w:proofErr w:type="spellStart"/>
      <w:r w:rsidRPr="00D87CB9">
        <w:rPr>
          <w:sz w:val="24"/>
          <w:szCs w:val="24"/>
        </w:rPr>
        <w:t>Haematological</w:t>
      </w:r>
      <w:proofErr w:type="spellEnd"/>
      <w:r w:rsidRPr="00D87CB9">
        <w:rPr>
          <w:sz w:val="24"/>
          <w:szCs w:val="24"/>
        </w:rPr>
        <w:t xml:space="preserve"> and biochemical reference intervals for farmed channel catfish. Journal of Fish Biology, 71(2), 383–388.</w:t>
      </w:r>
    </w:p>
    <w:p w14:paraId="27146567" w14:textId="77777777" w:rsidR="00D87CB9" w:rsidRPr="00D87CB9" w:rsidRDefault="00D87CB9" w:rsidP="00D87CB9">
      <w:pPr>
        <w:pStyle w:val="ListParagraph"/>
        <w:numPr>
          <w:ilvl w:val="0"/>
          <w:numId w:val="3"/>
        </w:numPr>
        <w:spacing w:line="360" w:lineRule="auto"/>
        <w:jc w:val="both"/>
        <w:rPr>
          <w:sz w:val="24"/>
          <w:szCs w:val="24"/>
        </w:rPr>
      </w:pPr>
      <w:r w:rsidRPr="00D87CB9">
        <w:rPr>
          <w:sz w:val="24"/>
          <w:szCs w:val="24"/>
        </w:rPr>
        <w:lastRenderedPageBreak/>
        <w:t xml:space="preserve">Usman, M., Iqbal, Z. and Hussain, M. (2018). Hematological parameters and condition factor of </w:t>
      </w:r>
      <w:proofErr w:type="spellStart"/>
      <w:r w:rsidRPr="00D87CB9">
        <w:rPr>
          <w:sz w:val="24"/>
          <w:szCs w:val="24"/>
        </w:rPr>
        <w:t>Labeorohita</w:t>
      </w:r>
      <w:proofErr w:type="spellEnd"/>
      <w:r w:rsidRPr="00D87CB9">
        <w:rPr>
          <w:sz w:val="24"/>
          <w:szCs w:val="24"/>
        </w:rPr>
        <w:t xml:space="preserve"> in relation to body size. Pakistan Journal of Zoology, 50(1), 131–136.</w:t>
      </w:r>
    </w:p>
    <w:p w14:paraId="5482D6F7" w14:textId="77777777" w:rsidR="00D87CB9" w:rsidRPr="00D87CB9" w:rsidRDefault="00D87CB9" w:rsidP="00D87CB9">
      <w:pPr>
        <w:pStyle w:val="ListParagraph"/>
        <w:numPr>
          <w:ilvl w:val="0"/>
          <w:numId w:val="3"/>
        </w:numPr>
        <w:spacing w:line="360" w:lineRule="auto"/>
        <w:jc w:val="both"/>
        <w:rPr>
          <w:sz w:val="24"/>
          <w:szCs w:val="24"/>
        </w:rPr>
      </w:pPr>
      <w:r w:rsidRPr="00D87CB9">
        <w:rPr>
          <w:sz w:val="24"/>
          <w:szCs w:val="24"/>
        </w:rPr>
        <w:t xml:space="preserve">Xu, W.J. and Pan, L.Q. (2012). Enhancement of immune response and antioxidant status of </w:t>
      </w:r>
      <w:proofErr w:type="spellStart"/>
      <w:r w:rsidRPr="00D87CB9">
        <w:rPr>
          <w:sz w:val="24"/>
          <w:szCs w:val="24"/>
        </w:rPr>
        <w:t>Litopenaeusvannamei</w:t>
      </w:r>
      <w:proofErr w:type="spellEnd"/>
      <w:r w:rsidRPr="00D87CB9">
        <w:rPr>
          <w:sz w:val="24"/>
          <w:szCs w:val="24"/>
        </w:rPr>
        <w:t xml:space="preserve"> juvenile in </w:t>
      </w:r>
      <w:proofErr w:type="spellStart"/>
      <w:r w:rsidRPr="00D87CB9">
        <w:rPr>
          <w:sz w:val="24"/>
          <w:szCs w:val="24"/>
        </w:rPr>
        <w:t>biofloc</w:t>
      </w:r>
      <w:proofErr w:type="spellEnd"/>
      <w:r w:rsidRPr="00D87CB9">
        <w:rPr>
          <w:sz w:val="24"/>
          <w:szCs w:val="24"/>
        </w:rPr>
        <w:t>-based culture tanks manipulating high C/N ratio of feed input. Aquaculture, 356–357, 253–260.</w:t>
      </w:r>
    </w:p>
    <w:p w14:paraId="3A7DA490" w14:textId="77777777" w:rsidR="002709A1" w:rsidRPr="002709A1" w:rsidRDefault="002709A1" w:rsidP="00052228">
      <w:pPr>
        <w:spacing w:line="360" w:lineRule="auto"/>
        <w:jc w:val="both"/>
      </w:pPr>
    </w:p>
    <w:p w14:paraId="011EF232" w14:textId="77777777" w:rsidR="00E52B5D" w:rsidRPr="002709A1" w:rsidRDefault="00E52B5D" w:rsidP="00052228">
      <w:pPr>
        <w:spacing w:line="360" w:lineRule="auto"/>
      </w:pPr>
    </w:p>
    <w:sectPr w:rsidR="00E52B5D" w:rsidRPr="002709A1" w:rsidSect="00E52B5D">
      <w:headerReference w:type="even" r:id="rId7"/>
      <w:headerReference w:type="default" r:id="rId8"/>
      <w:footerReference w:type="even" r:id="rId9"/>
      <w:footerReference w:type="default" r:id="rId10"/>
      <w:headerReference w:type="first" r:id="rId11"/>
      <w:footerReference w:type="first" r:id="rId12"/>
      <w:pgSz w:w="11906" w:h="16838"/>
      <w:pgMar w:top="1440" w:right="1260" w:bottom="144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CADA0" w14:textId="77777777" w:rsidR="00424F8D" w:rsidRDefault="00424F8D" w:rsidP="0067663C">
      <w:r>
        <w:separator/>
      </w:r>
    </w:p>
  </w:endnote>
  <w:endnote w:type="continuationSeparator" w:id="0">
    <w:p w14:paraId="01739E32" w14:textId="77777777" w:rsidR="00424F8D" w:rsidRDefault="00424F8D" w:rsidP="00676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1854D" w14:textId="77777777" w:rsidR="0067663C" w:rsidRDefault="00676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6678" w14:textId="77777777" w:rsidR="0067663C" w:rsidRDefault="006766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335B" w14:textId="77777777" w:rsidR="0067663C" w:rsidRDefault="00676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06BFF" w14:textId="77777777" w:rsidR="00424F8D" w:rsidRDefault="00424F8D" w:rsidP="0067663C">
      <w:r>
        <w:separator/>
      </w:r>
    </w:p>
  </w:footnote>
  <w:footnote w:type="continuationSeparator" w:id="0">
    <w:p w14:paraId="4EEDF43C" w14:textId="77777777" w:rsidR="00424F8D" w:rsidRDefault="00424F8D" w:rsidP="00676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B7A3" w14:textId="77777777" w:rsidR="0067663C" w:rsidRDefault="00000000">
    <w:pPr>
      <w:pStyle w:val="Header"/>
    </w:pPr>
    <w:r>
      <w:rPr>
        <w:noProof/>
      </w:rPr>
      <w:pict w14:anchorId="1DB577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260829" o:spid="_x0000_s1026" type="#_x0000_t136" style="position:absolute;margin-left:0;margin-top:0;width:595.45pt;height:66.1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F0B6" w14:textId="77777777" w:rsidR="0067663C" w:rsidRDefault="00000000">
    <w:pPr>
      <w:pStyle w:val="Header"/>
    </w:pPr>
    <w:r>
      <w:rPr>
        <w:noProof/>
      </w:rPr>
      <w:pict w14:anchorId="55ACE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260830" o:spid="_x0000_s1027" type="#_x0000_t136" style="position:absolute;margin-left:0;margin-top:0;width:595.45pt;height:66.1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1DA2" w14:textId="77777777" w:rsidR="0067663C" w:rsidRDefault="00000000">
    <w:pPr>
      <w:pStyle w:val="Header"/>
    </w:pPr>
    <w:r>
      <w:rPr>
        <w:noProof/>
      </w:rPr>
      <w:pict w14:anchorId="6670AB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260828" o:spid="_x0000_s1025" type="#_x0000_t136" style="position:absolute;margin-left:0;margin-top:0;width:595.45pt;height:66.1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74897"/>
    <w:multiLevelType w:val="hybridMultilevel"/>
    <w:tmpl w:val="20221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45241B"/>
    <w:multiLevelType w:val="hybridMultilevel"/>
    <w:tmpl w:val="8C60AE00"/>
    <w:lvl w:ilvl="0" w:tplc="C7AA655C">
      <w:start w:val="1"/>
      <w:numFmt w:val="bullet"/>
      <w:lvlText w:val="●"/>
      <w:lvlJc w:val="left"/>
      <w:pPr>
        <w:ind w:left="720" w:hanging="360"/>
      </w:pPr>
    </w:lvl>
    <w:lvl w:ilvl="1" w:tplc="DADCD46A">
      <w:start w:val="1"/>
      <w:numFmt w:val="bullet"/>
      <w:lvlText w:val="○"/>
      <w:lvlJc w:val="left"/>
      <w:pPr>
        <w:ind w:left="1440" w:hanging="360"/>
      </w:pPr>
    </w:lvl>
    <w:lvl w:ilvl="2" w:tplc="9580F03C">
      <w:start w:val="1"/>
      <w:numFmt w:val="bullet"/>
      <w:lvlText w:val="■"/>
      <w:lvlJc w:val="left"/>
      <w:pPr>
        <w:ind w:left="2160" w:hanging="360"/>
      </w:pPr>
    </w:lvl>
    <w:lvl w:ilvl="3" w:tplc="E36EAFFC">
      <w:start w:val="1"/>
      <w:numFmt w:val="bullet"/>
      <w:lvlText w:val="●"/>
      <w:lvlJc w:val="left"/>
      <w:pPr>
        <w:ind w:left="2880" w:hanging="360"/>
      </w:pPr>
    </w:lvl>
    <w:lvl w:ilvl="4" w:tplc="0D90AB9C">
      <w:start w:val="1"/>
      <w:numFmt w:val="bullet"/>
      <w:lvlText w:val="○"/>
      <w:lvlJc w:val="left"/>
      <w:pPr>
        <w:ind w:left="3600" w:hanging="360"/>
      </w:pPr>
    </w:lvl>
    <w:lvl w:ilvl="5" w:tplc="1A42D75E">
      <w:start w:val="1"/>
      <w:numFmt w:val="bullet"/>
      <w:lvlText w:val="■"/>
      <w:lvlJc w:val="left"/>
      <w:pPr>
        <w:ind w:left="4320" w:hanging="360"/>
      </w:pPr>
    </w:lvl>
    <w:lvl w:ilvl="6" w:tplc="C0CE12CC">
      <w:start w:val="1"/>
      <w:numFmt w:val="bullet"/>
      <w:lvlText w:val="●"/>
      <w:lvlJc w:val="left"/>
      <w:pPr>
        <w:ind w:left="5040" w:hanging="360"/>
      </w:pPr>
    </w:lvl>
    <w:lvl w:ilvl="7" w:tplc="964676A2">
      <w:start w:val="1"/>
      <w:numFmt w:val="bullet"/>
      <w:lvlText w:val="●"/>
      <w:lvlJc w:val="left"/>
      <w:pPr>
        <w:ind w:left="5760" w:hanging="360"/>
      </w:pPr>
    </w:lvl>
    <w:lvl w:ilvl="8" w:tplc="AC6E95BA">
      <w:start w:val="1"/>
      <w:numFmt w:val="bullet"/>
      <w:lvlText w:val="●"/>
      <w:lvlJc w:val="left"/>
      <w:pPr>
        <w:ind w:left="6480" w:hanging="360"/>
      </w:pPr>
    </w:lvl>
  </w:abstractNum>
  <w:abstractNum w:abstractNumId="2" w15:restartNumberingAfterBreak="0">
    <w:nsid w:val="6F322F36"/>
    <w:multiLevelType w:val="multilevel"/>
    <w:tmpl w:val="EC3A2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3585527">
    <w:abstractNumId w:val="1"/>
    <w:lvlOverride w:ilvl="0">
      <w:startOverride w:val="1"/>
    </w:lvlOverride>
  </w:num>
  <w:num w:numId="2" w16cid:durableId="2092967456">
    <w:abstractNumId w:val="2"/>
  </w:num>
  <w:num w:numId="3" w16cid:durableId="633827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2B5D"/>
    <w:rsid w:val="00052228"/>
    <w:rsid w:val="00196B02"/>
    <w:rsid w:val="0024342C"/>
    <w:rsid w:val="00265758"/>
    <w:rsid w:val="002709A1"/>
    <w:rsid w:val="002E4AB9"/>
    <w:rsid w:val="00305E16"/>
    <w:rsid w:val="003C3E54"/>
    <w:rsid w:val="00424F8D"/>
    <w:rsid w:val="0067663C"/>
    <w:rsid w:val="006A493F"/>
    <w:rsid w:val="006F26DF"/>
    <w:rsid w:val="007C01F1"/>
    <w:rsid w:val="008A6522"/>
    <w:rsid w:val="008A6FA2"/>
    <w:rsid w:val="009339A8"/>
    <w:rsid w:val="00965523"/>
    <w:rsid w:val="009C09CA"/>
    <w:rsid w:val="00AA33DE"/>
    <w:rsid w:val="00AA6ED7"/>
    <w:rsid w:val="00BD6040"/>
    <w:rsid w:val="00BF2306"/>
    <w:rsid w:val="00CA690D"/>
    <w:rsid w:val="00D87CB9"/>
    <w:rsid w:val="00E153A0"/>
    <w:rsid w:val="00E52B5D"/>
    <w:rsid w:val="00E94CB1"/>
    <w:rsid w:val="00F357FD"/>
    <w:rsid w:val="00F37054"/>
    <w:rsid w:val="00F847CC"/>
    <w:rsid w:val="00FC433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9D6BD"/>
  <w15:docId w15:val="{15654200-44E6-4AC3-9E2E-3A0C97BE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B02"/>
  </w:style>
  <w:style w:type="paragraph" w:styleId="Heading1">
    <w:name w:val="heading 1"/>
    <w:qFormat/>
    <w:rsid w:val="00E52B5D"/>
    <w:pPr>
      <w:spacing w:before="240" w:after="120"/>
      <w:outlineLvl w:val="0"/>
    </w:pPr>
    <w:rPr>
      <w:b/>
      <w:bCs/>
      <w:color w:val="1F4E79"/>
      <w:sz w:val="28"/>
      <w:szCs w:val="28"/>
    </w:rPr>
  </w:style>
  <w:style w:type="paragraph" w:styleId="Heading2">
    <w:name w:val="heading 2"/>
    <w:qFormat/>
    <w:rsid w:val="00E52B5D"/>
    <w:pPr>
      <w:spacing w:before="180" w:after="90"/>
      <w:outlineLvl w:val="1"/>
    </w:pPr>
    <w:rPr>
      <w:b/>
      <w:bCs/>
      <w:color w:val="2E74B5"/>
      <w:sz w:val="24"/>
      <w:szCs w:val="24"/>
    </w:rPr>
  </w:style>
  <w:style w:type="paragraph" w:styleId="Heading3">
    <w:name w:val="heading 3"/>
    <w:qFormat/>
    <w:rsid w:val="00E52B5D"/>
    <w:pPr>
      <w:outlineLvl w:val="2"/>
    </w:pPr>
    <w:rPr>
      <w:color w:val="1F4D78"/>
      <w:sz w:val="24"/>
      <w:szCs w:val="24"/>
    </w:rPr>
  </w:style>
  <w:style w:type="paragraph" w:styleId="Heading4">
    <w:name w:val="heading 4"/>
    <w:qFormat/>
    <w:rsid w:val="00E52B5D"/>
    <w:pPr>
      <w:outlineLvl w:val="3"/>
    </w:pPr>
    <w:rPr>
      <w:i/>
      <w:iCs/>
      <w:color w:val="2E74B5"/>
    </w:rPr>
  </w:style>
  <w:style w:type="paragraph" w:styleId="Heading5">
    <w:name w:val="heading 5"/>
    <w:qFormat/>
    <w:rsid w:val="00E52B5D"/>
    <w:pPr>
      <w:outlineLvl w:val="4"/>
    </w:pPr>
    <w:rPr>
      <w:color w:val="2E74B5"/>
    </w:rPr>
  </w:style>
  <w:style w:type="paragraph" w:styleId="Heading6">
    <w:name w:val="heading 6"/>
    <w:qFormat/>
    <w:rsid w:val="00E52B5D"/>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E52B5D"/>
    <w:rPr>
      <w:sz w:val="56"/>
      <w:szCs w:val="56"/>
    </w:rPr>
  </w:style>
  <w:style w:type="paragraph" w:customStyle="1" w:styleId="Strong1">
    <w:name w:val="Strong1"/>
    <w:qFormat/>
    <w:rsid w:val="00E52B5D"/>
    <w:rPr>
      <w:b/>
      <w:bCs/>
    </w:rPr>
  </w:style>
  <w:style w:type="paragraph" w:styleId="ListParagraph">
    <w:name w:val="List Paragraph"/>
    <w:qFormat/>
    <w:rsid w:val="00E52B5D"/>
  </w:style>
  <w:style w:type="character" w:styleId="Hyperlink">
    <w:name w:val="Hyperlink"/>
    <w:uiPriority w:val="99"/>
    <w:unhideWhenUsed/>
    <w:rsid w:val="00E52B5D"/>
    <w:rPr>
      <w:color w:val="0563C1"/>
      <w:u w:val="single"/>
    </w:rPr>
  </w:style>
  <w:style w:type="character" w:styleId="FootnoteReference">
    <w:name w:val="footnote reference"/>
    <w:uiPriority w:val="99"/>
    <w:semiHidden/>
    <w:unhideWhenUsed/>
    <w:rsid w:val="00E52B5D"/>
    <w:rPr>
      <w:vertAlign w:val="superscript"/>
    </w:rPr>
  </w:style>
  <w:style w:type="paragraph" w:styleId="FootnoteText">
    <w:name w:val="footnote text"/>
    <w:link w:val="FootnoteTextChar"/>
    <w:uiPriority w:val="99"/>
    <w:semiHidden/>
    <w:unhideWhenUsed/>
    <w:rsid w:val="00E52B5D"/>
    <w:rPr>
      <w:sz w:val="20"/>
      <w:szCs w:val="20"/>
    </w:rPr>
  </w:style>
  <w:style w:type="character" w:customStyle="1" w:styleId="FootnoteTextChar">
    <w:name w:val="Footnote Text Char"/>
    <w:link w:val="FootnoteText"/>
    <w:uiPriority w:val="99"/>
    <w:semiHidden/>
    <w:unhideWhenUsed/>
    <w:rsid w:val="00E52B5D"/>
    <w:rPr>
      <w:sz w:val="20"/>
      <w:szCs w:val="20"/>
    </w:rPr>
  </w:style>
  <w:style w:type="character" w:styleId="EndnoteReference">
    <w:name w:val="endnote reference"/>
    <w:uiPriority w:val="99"/>
    <w:semiHidden/>
    <w:unhideWhenUsed/>
    <w:rsid w:val="00E52B5D"/>
    <w:rPr>
      <w:vertAlign w:val="superscript"/>
    </w:rPr>
  </w:style>
  <w:style w:type="paragraph" w:styleId="EndnoteText">
    <w:name w:val="endnote text"/>
    <w:link w:val="EndnoteTextChar"/>
    <w:uiPriority w:val="99"/>
    <w:semiHidden/>
    <w:unhideWhenUsed/>
    <w:rsid w:val="00E52B5D"/>
    <w:rPr>
      <w:sz w:val="20"/>
      <w:szCs w:val="20"/>
    </w:rPr>
  </w:style>
  <w:style w:type="character" w:customStyle="1" w:styleId="EndnoteTextChar">
    <w:name w:val="Endnote Text Char"/>
    <w:link w:val="EndnoteText"/>
    <w:uiPriority w:val="99"/>
    <w:semiHidden/>
    <w:unhideWhenUsed/>
    <w:rsid w:val="00E52B5D"/>
    <w:rPr>
      <w:sz w:val="20"/>
      <w:szCs w:val="20"/>
    </w:rPr>
  </w:style>
  <w:style w:type="character" w:customStyle="1" w:styleId="UnresolvedMention1">
    <w:name w:val="Unresolved Mention1"/>
    <w:basedOn w:val="DefaultParagraphFont"/>
    <w:uiPriority w:val="99"/>
    <w:semiHidden/>
    <w:unhideWhenUsed/>
    <w:rsid w:val="00305E16"/>
    <w:rPr>
      <w:color w:val="605E5C"/>
      <w:shd w:val="clear" w:color="auto" w:fill="E1DFDD"/>
    </w:rPr>
  </w:style>
  <w:style w:type="paragraph" w:styleId="Header">
    <w:name w:val="header"/>
    <w:basedOn w:val="Normal"/>
    <w:link w:val="HeaderChar"/>
    <w:uiPriority w:val="99"/>
    <w:unhideWhenUsed/>
    <w:rsid w:val="0067663C"/>
    <w:pPr>
      <w:tabs>
        <w:tab w:val="center" w:pos="4513"/>
        <w:tab w:val="right" w:pos="9026"/>
      </w:tabs>
    </w:pPr>
    <w:rPr>
      <w:rFonts w:cs="Mangal"/>
      <w:szCs w:val="20"/>
    </w:rPr>
  </w:style>
  <w:style w:type="character" w:customStyle="1" w:styleId="HeaderChar">
    <w:name w:val="Header Char"/>
    <w:basedOn w:val="DefaultParagraphFont"/>
    <w:link w:val="Header"/>
    <w:uiPriority w:val="99"/>
    <w:rsid w:val="0067663C"/>
    <w:rPr>
      <w:rFonts w:cs="Mangal"/>
      <w:szCs w:val="20"/>
    </w:rPr>
  </w:style>
  <w:style w:type="paragraph" w:styleId="Footer">
    <w:name w:val="footer"/>
    <w:basedOn w:val="Normal"/>
    <w:link w:val="FooterChar"/>
    <w:uiPriority w:val="99"/>
    <w:unhideWhenUsed/>
    <w:rsid w:val="0067663C"/>
    <w:pPr>
      <w:tabs>
        <w:tab w:val="center" w:pos="4513"/>
        <w:tab w:val="right" w:pos="9026"/>
      </w:tabs>
    </w:pPr>
    <w:rPr>
      <w:rFonts w:cs="Mangal"/>
      <w:szCs w:val="20"/>
    </w:rPr>
  </w:style>
  <w:style w:type="character" w:customStyle="1" w:styleId="FooterChar">
    <w:name w:val="Footer Char"/>
    <w:basedOn w:val="DefaultParagraphFont"/>
    <w:link w:val="Footer"/>
    <w:uiPriority w:val="99"/>
    <w:rsid w:val="0067663C"/>
    <w:rPr>
      <w:rFonts w:cs="Mangal"/>
      <w:szCs w:val="20"/>
    </w:rPr>
  </w:style>
  <w:style w:type="paragraph" w:styleId="NormalWeb">
    <w:name w:val="Normal (Web)"/>
    <w:basedOn w:val="Normal"/>
    <w:uiPriority w:val="99"/>
    <w:semiHidden/>
    <w:unhideWhenUsed/>
    <w:rsid w:val="002709A1"/>
    <w:pPr>
      <w:spacing w:before="100" w:beforeAutospacing="1" w:after="100" w:afterAutospacing="1"/>
    </w:pPr>
    <w:rPr>
      <w:sz w:val="24"/>
      <w:szCs w:val="24"/>
    </w:rPr>
  </w:style>
  <w:style w:type="character" w:styleId="Emphasis">
    <w:name w:val="Emphasis"/>
    <w:basedOn w:val="DefaultParagraphFont"/>
    <w:uiPriority w:val="20"/>
    <w:qFormat/>
    <w:rsid w:val="00CA690D"/>
    <w:rPr>
      <w:i/>
      <w:iCs/>
    </w:rPr>
  </w:style>
  <w:style w:type="character" w:styleId="Strong">
    <w:name w:val="Strong"/>
    <w:basedOn w:val="DefaultParagraphFont"/>
    <w:uiPriority w:val="22"/>
    <w:qFormat/>
    <w:rsid w:val="009339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081981">
      <w:bodyDiv w:val="1"/>
      <w:marLeft w:val="0"/>
      <w:marRight w:val="0"/>
      <w:marTop w:val="0"/>
      <w:marBottom w:val="0"/>
      <w:divBdr>
        <w:top w:val="none" w:sz="0" w:space="0" w:color="auto"/>
        <w:left w:val="none" w:sz="0" w:space="0" w:color="auto"/>
        <w:bottom w:val="none" w:sz="0" w:space="0" w:color="auto"/>
        <w:right w:val="none" w:sz="0" w:space="0" w:color="auto"/>
      </w:divBdr>
    </w:div>
    <w:div w:id="833227740">
      <w:bodyDiv w:val="1"/>
      <w:marLeft w:val="0"/>
      <w:marRight w:val="0"/>
      <w:marTop w:val="0"/>
      <w:marBottom w:val="0"/>
      <w:divBdr>
        <w:top w:val="none" w:sz="0" w:space="0" w:color="auto"/>
        <w:left w:val="none" w:sz="0" w:space="0" w:color="auto"/>
        <w:bottom w:val="none" w:sz="0" w:space="0" w:color="auto"/>
        <w:right w:val="none" w:sz="0" w:space="0" w:color="auto"/>
      </w:divBdr>
    </w:div>
    <w:div w:id="1234974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11</Pages>
  <Words>4101</Words>
  <Characters>23381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TCS</Company>
  <LinksUpToDate>false</LinksUpToDate>
  <CharactersWithSpaces>27428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1158</cp:lastModifiedBy>
  <cp:revision>26</cp:revision>
  <dcterms:created xsi:type="dcterms:W3CDTF">2026-05-25T15:31:00Z</dcterms:created>
  <dcterms:modified xsi:type="dcterms:W3CDTF">2026-06-03T08:12:00Z</dcterms:modified>
</cp:coreProperties>
</file>