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7632C" w14:textId="77777777" w:rsidR="00412DD5" w:rsidRDefault="00A151E6" w:rsidP="00412DD5">
      <w:pPr>
        <w:pStyle w:val="BodyText"/>
        <w:jc w:val="both"/>
        <w:rPr>
          <w:rFonts w:ascii="Times New Roman" w:hAnsi="Times New Roman" w:cs="Times New Roman"/>
        </w:rPr>
      </w:pPr>
      <w:r w:rsidRPr="00A151E6">
        <w:rPr>
          <w:rFonts w:ascii="Times New Roman" w:hAnsi="Times New Roman" w:cs="Times New Roman"/>
          <w:b/>
          <w:bCs/>
          <w:color w:val="000000"/>
          <w:sz w:val="24"/>
          <w:szCs w:val="24"/>
        </w:rPr>
        <w:t>Multi-nutrient assessment using two universal extractants in effluent-amended weathered tropical soils derived from contrasting parent materials</w:t>
      </w:r>
    </w:p>
    <w:p w14:paraId="6AD481D9" w14:textId="77777777" w:rsidR="002F3741" w:rsidRPr="00D718C8" w:rsidRDefault="002F3741" w:rsidP="00412DD5">
      <w:pPr>
        <w:pStyle w:val="BodyText"/>
        <w:jc w:val="both"/>
        <w:rPr>
          <w:rFonts w:ascii="Times New Roman" w:hAnsi="Times New Roman" w:cs="Times New Roman"/>
          <w:i/>
        </w:rPr>
      </w:pPr>
    </w:p>
    <w:p w14:paraId="2C2C4516" w14:textId="77777777" w:rsidR="0017772F" w:rsidRPr="0017772F" w:rsidRDefault="009A3EAF" w:rsidP="0017772F">
      <w:pPr>
        <w:spacing w:after="0" w:line="360" w:lineRule="auto"/>
        <w:rPr>
          <w:rFonts w:ascii="Times New Roman" w:hAnsi="Times New Roman" w:cs="Times New Roman"/>
          <w:b/>
          <w:bCs/>
        </w:rPr>
      </w:pPr>
      <w:r>
        <w:rPr>
          <w:rFonts w:ascii="Times New Roman" w:hAnsi="Times New Roman" w:cs="Times New Roman"/>
          <w:b/>
          <w:bCs/>
        </w:rPr>
        <w:t>ABSTRACT</w:t>
      </w:r>
    </w:p>
    <w:p w14:paraId="39632184" w14:textId="77777777" w:rsidR="00691098" w:rsidRDefault="007E09B0" w:rsidP="009A3EAF">
      <w:pPr>
        <w:spacing w:after="0" w:line="360" w:lineRule="auto"/>
        <w:jc w:val="both"/>
        <w:rPr>
          <w:rFonts w:ascii="Times New Roman" w:hAnsi="Times New Roman" w:cs="Times New Roman"/>
        </w:rPr>
      </w:pPr>
      <w:r w:rsidRPr="007E09B0">
        <w:rPr>
          <w:rFonts w:ascii="Times New Roman" w:hAnsi="Times New Roman" w:cs="Times New Roman"/>
        </w:rPr>
        <w:t xml:space="preserve">The accurate evaluation of available nutrients remains challenging due to problems associated with nutrient fixation, </w:t>
      </w:r>
      <w:r w:rsidRPr="0087045E">
        <w:rPr>
          <w:rFonts w:ascii="Times New Roman" w:hAnsi="Times New Roman" w:cs="Times New Roman"/>
          <w:color w:val="000000"/>
        </w:rPr>
        <w:t>variable parent material</w:t>
      </w:r>
      <w:r w:rsidR="00A824B2" w:rsidRPr="0087045E">
        <w:rPr>
          <w:rFonts w:ascii="Times New Roman" w:hAnsi="Times New Roman" w:cs="Times New Roman"/>
          <w:color w:val="000000"/>
        </w:rPr>
        <w:t>s</w:t>
      </w:r>
      <w:r w:rsidRPr="0087045E">
        <w:rPr>
          <w:rFonts w:ascii="Times New Roman" w:hAnsi="Times New Roman" w:cs="Times New Roman"/>
          <w:color w:val="000000"/>
        </w:rPr>
        <w:t>, and anthropogenic</w:t>
      </w:r>
      <w:r w:rsidRPr="007E09B0">
        <w:rPr>
          <w:rFonts w:ascii="Times New Roman" w:hAnsi="Times New Roman" w:cs="Times New Roman"/>
        </w:rPr>
        <w:t xml:space="preserve"> inputs resulting from agricultural and industrial activities. This work evaluated the effectiveness of two universal extractants</w:t>
      </w:r>
      <w:r w:rsidR="00A824B2">
        <w:rPr>
          <w:rFonts w:ascii="Times New Roman" w:hAnsi="Times New Roman" w:cs="Times New Roman"/>
        </w:rPr>
        <w:t xml:space="preserve">, 0.01 M </w:t>
      </w:r>
      <w:r w:rsidR="00A824B2" w:rsidRPr="00E34D69">
        <w:rPr>
          <w:rFonts w:ascii="Times New Roman" w:hAnsi="Times New Roman" w:cs="Times New Roman"/>
          <w:color w:val="000000" w:themeColor="text1"/>
        </w:rPr>
        <w:t>calcium chloride (CaCl</w:t>
      </w:r>
      <w:r w:rsidR="00A824B2" w:rsidRPr="00E34D69">
        <w:rPr>
          <w:rFonts w:ascii="Times New Roman" w:hAnsi="Times New Roman" w:cs="Times New Roman"/>
          <w:color w:val="000000" w:themeColor="text1"/>
          <w:vertAlign w:val="subscript"/>
        </w:rPr>
        <w:t>2</w:t>
      </w:r>
      <w:r w:rsidRPr="00E34D69">
        <w:rPr>
          <w:rFonts w:ascii="Times New Roman" w:hAnsi="Times New Roman" w:cs="Times New Roman"/>
          <w:color w:val="000000" w:themeColor="text1"/>
        </w:rPr>
        <w:t xml:space="preserve">) and </w:t>
      </w:r>
      <w:proofErr w:type="spellStart"/>
      <w:r w:rsidRPr="00E34D69">
        <w:rPr>
          <w:rFonts w:ascii="Times New Roman" w:hAnsi="Times New Roman" w:cs="Times New Roman"/>
          <w:color w:val="000000" w:themeColor="text1"/>
        </w:rPr>
        <w:t>Agro</w:t>
      </w:r>
      <w:proofErr w:type="spellEnd"/>
      <w:r w:rsidRPr="00E34D69">
        <w:rPr>
          <w:rFonts w:ascii="Times New Roman" w:hAnsi="Times New Roman" w:cs="Times New Roman"/>
          <w:color w:val="000000" w:themeColor="text1"/>
        </w:rPr>
        <w:t>-Services International (ASI)</w:t>
      </w:r>
      <w:r w:rsidR="00E34D69" w:rsidRPr="00E34D69">
        <w:rPr>
          <w:rFonts w:ascii="Times New Roman" w:hAnsi="Times New Roman" w:cs="Times New Roman"/>
          <w:color w:val="000000" w:themeColor="text1"/>
        </w:rPr>
        <w:t xml:space="preserve"> multi-nutrient extracting solution</w:t>
      </w:r>
      <w:r w:rsidRPr="00E34D69">
        <w:rPr>
          <w:rFonts w:ascii="Times New Roman" w:hAnsi="Times New Roman" w:cs="Times New Roman"/>
          <w:color w:val="000000" w:themeColor="text1"/>
        </w:rPr>
        <w:t xml:space="preserve">, employed </w:t>
      </w:r>
      <w:r w:rsidRPr="007E09B0">
        <w:rPr>
          <w:rFonts w:ascii="Times New Roman" w:hAnsi="Times New Roman" w:cs="Times New Roman"/>
        </w:rPr>
        <w:t>for the extraction of available phosphorus, potassium, iron, and manganese within effluent-impacted soils in a highly weathered tropical region. These extractants were employed on soils underlying palm oil mill effluent and cassava mill effluents within coastal plain sands, beach ridge sands, and sandstone-shale parent materials in the study area</w:t>
      </w:r>
      <w:r w:rsidR="003C5CCA">
        <w:rPr>
          <w:rFonts w:ascii="Times New Roman" w:hAnsi="Times New Roman" w:cs="Times New Roman"/>
        </w:rPr>
        <w:t xml:space="preserve"> in Southern Nigeria</w:t>
      </w:r>
      <w:r w:rsidRPr="007E09B0">
        <w:rPr>
          <w:rFonts w:ascii="Times New Roman" w:hAnsi="Times New Roman" w:cs="Times New Roman"/>
        </w:rPr>
        <w:t xml:space="preserve">. Soil samples </w:t>
      </w:r>
      <w:r w:rsidR="007D78EF">
        <w:rPr>
          <w:rFonts w:ascii="Times New Roman" w:hAnsi="Times New Roman" w:cs="Times New Roman"/>
        </w:rPr>
        <w:t>acquired</w:t>
      </w:r>
      <w:r w:rsidRPr="007E09B0">
        <w:rPr>
          <w:rFonts w:ascii="Times New Roman" w:hAnsi="Times New Roman" w:cs="Times New Roman"/>
        </w:rPr>
        <w:t xml:space="preserve"> at </w:t>
      </w:r>
      <w:r w:rsidR="007D78EF">
        <w:rPr>
          <w:rFonts w:ascii="Times New Roman" w:hAnsi="Times New Roman" w:cs="Times New Roman"/>
        </w:rPr>
        <w:t xml:space="preserve">depths of </w:t>
      </w:r>
      <w:r w:rsidRPr="007E09B0">
        <w:rPr>
          <w:rFonts w:ascii="Times New Roman" w:hAnsi="Times New Roman" w:cs="Times New Roman"/>
        </w:rPr>
        <w:t>0-2</w:t>
      </w:r>
      <w:r w:rsidR="007D78EF">
        <w:rPr>
          <w:rFonts w:ascii="Times New Roman" w:hAnsi="Times New Roman" w:cs="Times New Roman"/>
        </w:rPr>
        <w:t>0</w:t>
      </w:r>
      <w:r w:rsidRPr="007E09B0">
        <w:rPr>
          <w:rFonts w:ascii="Times New Roman" w:hAnsi="Times New Roman" w:cs="Times New Roman"/>
        </w:rPr>
        <w:t xml:space="preserve"> and 20-40 </w:t>
      </w:r>
      <w:r w:rsidR="007D78EF">
        <w:rPr>
          <w:rFonts w:ascii="Times New Roman" w:hAnsi="Times New Roman" w:cs="Times New Roman"/>
        </w:rPr>
        <w:t>cm were</w:t>
      </w:r>
      <w:r w:rsidRPr="007E09B0">
        <w:rPr>
          <w:rFonts w:ascii="Times New Roman" w:hAnsi="Times New Roman" w:cs="Times New Roman"/>
        </w:rPr>
        <w:t xml:space="preserve"> analyzed using standard laboratory procedures. Results indicated that ASI</w:t>
      </w:r>
      <w:r w:rsidR="00A151E6">
        <w:rPr>
          <w:rFonts w:ascii="Times New Roman" w:hAnsi="Times New Roman" w:cs="Times New Roman"/>
        </w:rPr>
        <w:t xml:space="preserve"> extractants</w:t>
      </w:r>
      <w:r w:rsidRPr="007E09B0">
        <w:rPr>
          <w:rFonts w:ascii="Times New Roman" w:hAnsi="Times New Roman" w:cs="Times New Roman"/>
        </w:rPr>
        <w:t xml:space="preserve"> consistently extracted higher nutrient concentrations than </w:t>
      </w:r>
      <w:r w:rsidR="00F23760">
        <w:rPr>
          <w:rFonts w:ascii="Times New Roman" w:hAnsi="Times New Roman" w:cs="Times New Roman"/>
        </w:rPr>
        <w:t>CaCl</w:t>
      </w:r>
      <w:r w:rsidR="00F23760" w:rsidRPr="00F23760">
        <w:rPr>
          <w:rFonts w:ascii="Times New Roman" w:hAnsi="Times New Roman" w:cs="Times New Roman"/>
          <w:vertAlign w:val="subscript"/>
        </w:rPr>
        <w:t>2</w:t>
      </w:r>
      <w:r w:rsidRPr="007E09B0">
        <w:rPr>
          <w:rFonts w:ascii="Times New Roman" w:hAnsi="Times New Roman" w:cs="Times New Roman"/>
        </w:rPr>
        <w:t xml:space="preserve"> across all parent materials, treatments, and depths. Phosphorus was the dominant nutrient extracted, followed by manganese, iron, and </w:t>
      </w:r>
      <w:r w:rsidR="007D78EF">
        <w:rPr>
          <w:rFonts w:ascii="Times New Roman" w:hAnsi="Times New Roman" w:cs="Times New Roman"/>
        </w:rPr>
        <w:t xml:space="preserve">then </w:t>
      </w:r>
      <w:r w:rsidRPr="007E09B0">
        <w:rPr>
          <w:rFonts w:ascii="Times New Roman" w:hAnsi="Times New Roman" w:cs="Times New Roman"/>
        </w:rPr>
        <w:t>potassium, with greater nutrient accumulation observed within the 0–20 cm depths. Effluent-impacted soils recorded higher nutrient concentrations in comparison to control soils, indicating nutrient contributions from the palm oil and cassava mill effluents.  Correlation analysis revealed significant relationships between extractable nutrients and soil properties</w:t>
      </w:r>
      <w:r w:rsidR="003C5CCA">
        <w:rPr>
          <w:rFonts w:ascii="Times New Roman" w:hAnsi="Times New Roman" w:cs="Times New Roman"/>
        </w:rPr>
        <w:t xml:space="preserve">, illustrating </w:t>
      </w:r>
      <w:r w:rsidRPr="007E09B0">
        <w:rPr>
          <w:rFonts w:ascii="Times New Roman" w:hAnsi="Times New Roman" w:cs="Times New Roman"/>
        </w:rPr>
        <w:t xml:space="preserve">the strong influence of soil physicochemical characteristics on nutrient dynamics and extractant performance. The study </w:t>
      </w:r>
      <w:r w:rsidR="007D78EF">
        <w:rPr>
          <w:rFonts w:ascii="Times New Roman" w:hAnsi="Times New Roman" w:cs="Times New Roman"/>
        </w:rPr>
        <w:t xml:space="preserve">therefore </w:t>
      </w:r>
      <w:r w:rsidRPr="007E09B0">
        <w:rPr>
          <w:rFonts w:ascii="Times New Roman" w:hAnsi="Times New Roman" w:cs="Times New Roman"/>
        </w:rPr>
        <w:t>demonstrates that extractant choice impacts nutrient evaluation in effluent-amended tropical soils. It also establishes ASI</w:t>
      </w:r>
      <w:r w:rsidR="00A151E6">
        <w:rPr>
          <w:rFonts w:ascii="Times New Roman" w:hAnsi="Times New Roman" w:cs="Times New Roman"/>
        </w:rPr>
        <w:t xml:space="preserve"> extractants</w:t>
      </w:r>
      <w:r w:rsidRPr="007E09B0">
        <w:rPr>
          <w:rFonts w:ascii="Times New Roman" w:hAnsi="Times New Roman" w:cs="Times New Roman"/>
        </w:rPr>
        <w:t xml:space="preserve"> as a more efficient universal extractant for evaluating potentially available nutrient levels in highly weathered acidic soils. </w:t>
      </w:r>
    </w:p>
    <w:p w14:paraId="2B098FD8" w14:textId="77777777" w:rsidR="007E09B0" w:rsidRDefault="007E09B0" w:rsidP="009A3EAF">
      <w:pPr>
        <w:spacing w:after="0" w:line="360" w:lineRule="auto"/>
        <w:jc w:val="both"/>
        <w:rPr>
          <w:rFonts w:ascii="Times New Roman" w:hAnsi="Times New Roman" w:cs="Times New Roman"/>
        </w:rPr>
      </w:pPr>
    </w:p>
    <w:p w14:paraId="28E02D2F" w14:textId="77777777" w:rsidR="00691098" w:rsidRDefault="006649B1" w:rsidP="006649B1">
      <w:pPr>
        <w:spacing w:after="0" w:line="360" w:lineRule="auto"/>
        <w:jc w:val="both"/>
        <w:rPr>
          <w:rFonts w:ascii="Times New Roman" w:hAnsi="Times New Roman" w:cs="Times New Roman"/>
        </w:rPr>
      </w:pPr>
      <w:r>
        <w:rPr>
          <w:rFonts w:ascii="Times New Roman" w:hAnsi="Times New Roman" w:cs="Times New Roman"/>
          <w:b/>
          <w:bCs/>
        </w:rPr>
        <w:t xml:space="preserve">Keywords: </w:t>
      </w:r>
      <w:r w:rsidRPr="006649B1">
        <w:rPr>
          <w:rFonts w:ascii="Times New Roman" w:hAnsi="Times New Roman" w:cs="Times New Roman"/>
        </w:rPr>
        <w:t>Effluent-amended soils; Highly weathered tropical soils; Nutrient availability; Soil physicochemical properties; Universal soil extractants;</w:t>
      </w:r>
    </w:p>
    <w:p w14:paraId="0DA1382C"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INTRODUCTION</w:t>
      </w:r>
    </w:p>
    <w:p w14:paraId="7CF4A135" w14:textId="5C5EA677" w:rsidR="00B429DD" w:rsidRPr="0087045E" w:rsidRDefault="00B429DD" w:rsidP="00B429DD">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An accurate assessment of plant- available nutrients is crucial for sustainable fertility management in tropical regions</w:t>
      </w:r>
      <w:r w:rsidR="00DC6F84" w:rsidRPr="0087045E">
        <w:rPr>
          <w:rFonts w:ascii="Times New Roman" w:hAnsi="Times New Roman" w:cs="Times New Roman"/>
          <w:color w:val="000000"/>
        </w:rPr>
        <w:t xml:space="preserve"> (</w:t>
      </w:r>
      <w:proofErr w:type="spellStart"/>
      <w:r w:rsidR="00DC6F84" w:rsidRPr="0087045E">
        <w:rPr>
          <w:rFonts w:ascii="Times New Roman" w:hAnsi="Times New Roman" w:cs="Times New Roman"/>
          <w:color w:val="000000"/>
        </w:rPr>
        <w:t>Agegnehu</w:t>
      </w:r>
      <w:proofErr w:type="spellEnd"/>
      <w:r w:rsidR="00DC6F84" w:rsidRPr="0087045E">
        <w:rPr>
          <w:rFonts w:ascii="Times New Roman" w:hAnsi="Times New Roman" w:cs="Times New Roman"/>
          <w:color w:val="000000"/>
        </w:rPr>
        <w:t xml:space="preserve"> and Amede</w:t>
      </w:r>
      <w:r w:rsidR="00943B7A">
        <w:rPr>
          <w:rFonts w:ascii="Times New Roman" w:hAnsi="Times New Roman" w:cs="Times New Roman"/>
          <w:color w:val="000000"/>
        </w:rPr>
        <w:t>,</w:t>
      </w:r>
      <w:r w:rsidR="00DC6F84" w:rsidRPr="0087045E">
        <w:rPr>
          <w:rFonts w:ascii="Times New Roman" w:hAnsi="Times New Roman" w:cs="Times New Roman"/>
          <w:color w:val="000000"/>
        </w:rPr>
        <w:t xml:space="preserve"> 2017; Kihara </w:t>
      </w:r>
      <w:r w:rsidR="00DC6F84" w:rsidRPr="0087045E">
        <w:rPr>
          <w:rFonts w:ascii="Times New Roman" w:hAnsi="Times New Roman" w:cs="Times New Roman"/>
          <w:i/>
          <w:color w:val="000000"/>
        </w:rPr>
        <w:t>et al</w:t>
      </w:r>
      <w:r w:rsidR="00DC6F84" w:rsidRPr="0087045E">
        <w:rPr>
          <w:rFonts w:ascii="Times New Roman" w:hAnsi="Times New Roman" w:cs="Times New Roman"/>
          <w:color w:val="000000"/>
        </w:rPr>
        <w:t>.</w:t>
      </w:r>
      <w:r w:rsidR="00F23760" w:rsidRPr="0087045E">
        <w:rPr>
          <w:rFonts w:ascii="Times New Roman" w:hAnsi="Times New Roman" w:cs="Times New Roman"/>
          <w:color w:val="000000"/>
        </w:rPr>
        <w:t>,</w:t>
      </w:r>
      <w:r w:rsidR="00DC6F84" w:rsidRPr="0087045E">
        <w:rPr>
          <w:rFonts w:ascii="Times New Roman" w:hAnsi="Times New Roman" w:cs="Times New Roman"/>
          <w:color w:val="000000"/>
        </w:rPr>
        <w:t xml:space="preserve"> 2017; </w:t>
      </w:r>
      <w:proofErr w:type="spellStart"/>
      <w:r w:rsidR="00DC6F84" w:rsidRPr="0087045E">
        <w:rPr>
          <w:rFonts w:ascii="Times New Roman" w:hAnsi="Times New Roman" w:cs="Times New Roman"/>
          <w:color w:val="000000"/>
        </w:rPr>
        <w:t>Bindraban</w:t>
      </w:r>
      <w:proofErr w:type="spellEnd"/>
      <w:r w:rsidR="00DC6F84" w:rsidRPr="0087045E">
        <w:rPr>
          <w:rFonts w:ascii="Times New Roman" w:hAnsi="Times New Roman" w:cs="Times New Roman"/>
          <w:color w:val="000000"/>
        </w:rPr>
        <w:t xml:space="preserve"> </w:t>
      </w:r>
      <w:r w:rsidR="00DC6F84" w:rsidRPr="0087045E">
        <w:rPr>
          <w:rFonts w:ascii="Times New Roman" w:hAnsi="Times New Roman" w:cs="Times New Roman"/>
          <w:i/>
          <w:color w:val="000000"/>
        </w:rPr>
        <w:t>et al.</w:t>
      </w:r>
      <w:r w:rsidR="00F23760" w:rsidRPr="0087045E">
        <w:rPr>
          <w:rFonts w:ascii="Times New Roman" w:hAnsi="Times New Roman" w:cs="Times New Roman"/>
          <w:color w:val="000000"/>
        </w:rPr>
        <w:t>,</w:t>
      </w:r>
      <w:r w:rsidR="00DC6F84" w:rsidRPr="0087045E">
        <w:rPr>
          <w:rFonts w:ascii="Times New Roman" w:hAnsi="Times New Roman" w:cs="Times New Roman"/>
          <w:color w:val="000000"/>
        </w:rPr>
        <w:t xml:space="preserve"> 2020; da Silva </w:t>
      </w:r>
      <w:r w:rsidR="00DC6F84" w:rsidRPr="0087045E">
        <w:rPr>
          <w:rFonts w:ascii="Times New Roman" w:hAnsi="Times New Roman" w:cs="Times New Roman"/>
          <w:i/>
          <w:iCs/>
          <w:color w:val="000000"/>
        </w:rPr>
        <w:t>et al</w:t>
      </w:r>
      <w:r w:rsidRPr="0087045E">
        <w:rPr>
          <w:rFonts w:ascii="Times New Roman" w:hAnsi="Times New Roman" w:cs="Times New Roman"/>
          <w:i/>
          <w:iCs/>
          <w:color w:val="000000"/>
        </w:rPr>
        <w:t>.</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2024).</w:t>
      </w:r>
      <w:r w:rsidRPr="0087045E">
        <w:rPr>
          <w:rFonts w:ascii="Times New Roman" w:hAnsi="Times New Roman" w:cs="Times New Roman"/>
          <w:color w:val="000000"/>
        </w:rPr>
        <w:t xml:space="preserve"> Phosphorus and potassium are key essential elements required in large quantities for plant growth and metabolic function</w:t>
      </w:r>
      <w:r w:rsidR="00DC6F84" w:rsidRPr="0087045E">
        <w:rPr>
          <w:rFonts w:ascii="Times New Roman" w:hAnsi="Times New Roman" w:cs="Times New Roman"/>
          <w:color w:val="000000"/>
        </w:rPr>
        <w:t xml:space="preserve"> (Hafsi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2014; Hasan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2016; Ragel </w:t>
      </w:r>
      <w:r w:rsidR="00DC6F84" w:rsidRPr="0087045E">
        <w:rPr>
          <w:rFonts w:ascii="Times New Roman" w:hAnsi="Times New Roman" w:cs="Times New Roman"/>
          <w:i/>
          <w:iCs/>
          <w:color w:val="000000"/>
        </w:rPr>
        <w:t>et al</w:t>
      </w:r>
      <w:r w:rsidRPr="0087045E">
        <w:rPr>
          <w:rFonts w:ascii="Times New Roman" w:hAnsi="Times New Roman" w:cs="Times New Roman"/>
          <w:i/>
          <w:iCs/>
          <w:color w:val="000000"/>
        </w:rPr>
        <w:t>.</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2019; </w:t>
      </w:r>
      <w:proofErr w:type="spellStart"/>
      <w:r w:rsidR="00DC6F84" w:rsidRPr="0087045E">
        <w:rPr>
          <w:rFonts w:ascii="Times New Roman" w:hAnsi="Times New Roman" w:cs="Times New Roman"/>
          <w:color w:val="000000"/>
        </w:rPr>
        <w:t>Bechtaoui</w:t>
      </w:r>
      <w:proofErr w:type="spellEnd"/>
      <w:r w:rsidR="008979CA">
        <w:rPr>
          <w:rFonts w:ascii="Times New Roman" w:hAnsi="Times New Roman" w:cs="Times New Roman"/>
          <w:color w:val="000000"/>
        </w:rPr>
        <w:t xml:space="preserve">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8979CA">
        <w:rPr>
          <w:rFonts w:ascii="Times New Roman" w:hAnsi="Times New Roman" w:cs="Times New Roman"/>
          <w:i/>
          <w:iCs/>
          <w:color w:val="000000"/>
        </w:rPr>
        <w:t xml:space="preserve"> </w:t>
      </w:r>
      <w:r w:rsidR="00DC6F84" w:rsidRPr="0087045E">
        <w:rPr>
          <w:rFonts w:ascii="Times New Roman" w:hAnsi="Times New Roman" w:cs="Times New Roman"/>
          <w:color w:val="000000"/>
        </w:rPr>
        <w:t xml:space="preserve">2021). </w:t>
      </w:r>
      <w:r w:rsidRPr="0087045E">
        <w:rPr>
          <w:rFonts w:ascii="Times New Roman" w:hAnsi="Times New Roman" w:cs="Times New Roman"/>
          <w:color w:val="000000"/>
        </w:rPr>
        <w:t xml:space="preserve">Iron and manganese </w:t>
      </w:r>
      <w:r w:rsidR="007D78EF" w:rsidRPr="0087045E">
        <w:rPr>
          <w:rFonts w:ascii="Times New Roman" w:hAnsi="Times New Roman" w:cs="Times New Roman"/>
          <w:color w:val="000000"/>
        </w:rPr>
        <w:t xml:space="preserve">also </w:t>
      </w:r>
      <w:r w:rsidRPr="0087045E">
        <w:rPr>
          <w:rFonts w:ascii="Times New Roman" w:hAnsi="Times New Roman" w:cs="Times New Roman"/>
          <w:color w:val="000000"/>
        </w:rPr>
        <w:t xml:space="preserve">serve as key micronutrients required for the synthesis of photosynthesis and activation of enzymes within </w:t>
      </w:r>
      <w:r w:rsidRPr="0087045E">
        <w:rPr>
          <w:rFonts w:ascii="Times New Roman" w:hAnsi="Times New Roman" w:cs="Times New Roman"/>
          <w:color w:val="000000"/>
        </w:rPr>
        <w:lastRenderedPageBreak/>
        <w:t>plant tissues</w:t>
      </w:r>
      <w:r w:rsidR="003B0B89" w:rsidRPr="0087045E">
        <w:rPr>
          <w:rFonts w:ascii="Times New Roman" w:hAnsi="Times New Roman" w:cs="Times New Roman"/>
          <w:color w:val="000000"/>
        </w:rPr>
        <w:t xml:space="preserve"> (Tripathi </w:t>
      </w:r>
      <w:r w:rsidR="003B0B89" w:rsidRPr="0087045E">
        <w:rPr>
          <w:rFonts w:ascii="Times New Roman" w:hAnsi="Times New Roman" w:cs="Times New Roman"/>
          <w:i/>
          <w:iCs/>
          <w:color w:val="000000"/>
        </w:rPr>
        <w:t>et al.</w:t>
      </w:r>
      <w:r w:rsidR="007D78EF" w:rsidRPr="0087045E">
        <w:rPr>
          <w:rFonts w:ascii="Times New Roman" w:hAnsi="Times New Roman" w:cs="Times New Roman"/>
          <w:color w:val="000000"/>
        </w:rPr>
        <w:t>,</w:t>
      </w:r>
      <w:r w:rsidR="003B0B89" w:rsidRPr="0087045E">
        <w:rPr>
          <w:rFonts w:ascii="Times New Roman" w:hAnsi="Times New Roman" w:cs="Times New Roman"/>
          <w:color w:val="000000"/>
        </w:rPr>
        <w:t xml:space="preserve"> 2015; Schmidt</w:t>
      </w:r>
      <w:r w:rsidR="008979CA">
        <w:rPr>
          <w:rFonts w:ascii="Times New Roman" w:hAnsi="Times New Roman" w:cs="Times New Roman"/>
          <w:color w:val="000000"/>
        </w:rPr>
        <w:t xml:space="preserve">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2019; Alejandro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2020; </w:t>
      </w:r>
      <w:proofErr w:type="spellStart"/>
      <w:r w:rsidR="003B0B89" w:rsidRPr="0087045E">
        <w:rPr>
          <w:rFonts w:ascii="Times New Roman" w:hAnsi="Times New Roman" w:cs="Times New Roman"/>
          <w:color w:val="000000"/>
        </w:rPr>
        <w:t>Therby</w:t>
      </w:r>
      <w:proofErr w:type="spellEnd"/>
      <w:r w:rsidR="003B0B89" w:rsidRPr="0087045E">
        <w:rPr>
          <w:rFonts w:ascii="Times New Roman" w:hAnsi="Times New Roman" w:cs="Times New Roman"/>
          <w:color w:val="000000"/>
        </w:rPr>
        <w:t xml:space="preserve">-Vale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2022). </w:t>
      </w:r>
      <w:r w:rsidRPr="0087045E">
        <w:rPr>
          <w:rFonts w:ascii="Times New Roman" w:hAnsi="Times New Roman" w:cs="Times New Roman"/>
          <w:color w:val="000000"/>
        </w:rPr>
        <w:t xml:space="preserve"> Nutrient availability within tropical soils, however, is not solely influenced by total nutrient concentrations but by intricate interactions involving parent material properties, soil pH, mineralogy, organic matter, and redox reactions</w:t>
      </w:r>
      <w:r w:rsidR="003B0B89" w:rsidRPr="0087045E">
        <w:rPr>
          <w:rFonts w:ascii="Times New Roman" w:hAnsi="Times New Roman" w:cs="Times New Roman"/>
          <w:color w:val="000000"/>
        </w:rPr>
        <w:t xml:space="preserve"> (Husson</w:t>
      </w:r>
      <w:r w:rsidR="00943B7A">
        <w:rPr>
          <w:rFonts w:ascii="Times New Roman" w:hAnsi="Times New Roman" w:cs="Times New Roman"/>
          <w:color w:val="000000"/>
        </w:rPr>
        <w:t>,</w:t>
      </w:r>
      <w:r w:rsidR="003B0B89" w:rsidRPr="0087045E">
        <w:rPr>
          <w:rFonts w:ascii="Times New Roman" w:hAnsi="Times New Roman" w:cs="Times New Roman"/>
          <w:color w:val="000000"/>
        </w:rPr>
        <w:t xml:space="preserve"> 2013; Fujii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2018; Barrow and </w:t>
      </w:r>
      <w:proofErr w:type="spellStart"/>
      <w:r w:rsidR="003B0B89" w:rsidRPr="0087045E">
        <w:rPr>
          <w:rFonts w:ascii="Times New Roman" w:hAnsi="Times New Roman" w:cs="Times New Roman"/>
          <w:color w:val="000000"/>
        </w:rPr>
        <w:t>Hartemink</w:t>
      </w:r>
      <w:proofErr w:type="spellEnd"/>
      <w:r w:rsidR="00943B7A">
        <w:rPr>
          <w:rFonts w:ascii="Times New Roman" w:hAnsi="Times New Roman" w:cs="Times New Roman"/>
          <w:color w:val="000000"/>
        </w:rPr>
        <w:t>,</w:t>
      </w:r>
      <w:r w:rsidR="003B0B89" w:rsidRPr="0087045E">
        <w:rPr>
          <w:rFonts w:ascii="Times New Roman" w:hAnsi="Times New Roman" w:cs="Times New Roman"/>
          <w:color w:val="000000"/>
        </w:rPr>
        <w:t xml:space="preserve"> 2023)</w:t>
      </w:r>
      <w:r w:rsidRPr="0087045E">
        <w:rPr>
          <w:rFonts w:ascii="Times New Roman" w:hAnsi="Times New Roman" w:cs="Times New Roman"/>
          <w:color w:val="000000"/>
        </w:rPr>
        <w:t>. These interactions are of particular importance within the highly weathered soils of southern Nigeria, where intense leaching, low cation exchange capacity, variable charge minerals, and diverse parent material characteristics influence nutrient availability and retention</w:t>
      </w:r>
      <w:r w:rsidR="00B94604" w:rsidRPr="0087045E">
        <w:rPr>
          <w:rFonts w:ascii="Times New Roman" w:hAnsi="Times New Roman" w:cs="Times New Roman"/>
          <w:color w:val="000000"/>
        </w:rPr>
        <w:t xml:space="preserve"> (Igwe and </w:t>
      </w:r>
      <w:proofErr w:type="spellStart"/>
      <w:r w:rsidR="00B94604" w:rsidRPr="0087045E">
        <w:rPr>
          <w:rFonts w:ascii="Times New Roman" w:hAnsi="Times New Roman" w:cs="Times New Roman"/>
          <w:color w:val="000000"/>
        </w:rPr>
        <w:t>Nkemakosi</w:t>
      </w:r>
      <w:proofErr w:type="spellEnd"/>
      <w:r w:rsidR="00943B7A">
        <w:rPr>
          <w:rFonts w:ascii="Times New Roman" w:hAnsi="Times New Roman" w:cs="Times New Roman"/>
          <w:color w:val="000000"/>
        </w:rPr>
        <w:t>,</w:t>
      </w:r>
      <w:r w:rsidR="00B94604" w:rsidRPr="0087045E">
        <w:rPr>
          <w:rFonts w:ascii="Times New Roman" w:hAnsi="Times New Roman" w:cs="Times New Roman"/>
          <w:color w:val="000000"/>
        </w:rPr>
        <w:t xml:space="preserve"> 2007; Afu </w:t>
      </w:r>
      <w:r w:rsidR="00B94604" w:rsidRPr="0087045E">
        <w:rPr>
          <w:rFonts w:ascii="Times New Roman" w:hAnsi="Times New Roman" w:cs="Times New Roman"/>
          <w:i/>
          <w:iCs/>
          <w:color w:val="000000"/>
        </w:rPr>
        <w:t>et al.</w:t>
      </w:r>
      <w:r w:rsidR="007D78EF" w:rsidRPr="0087045E">
        <w:rPr>
          <w:rFonts w:ascii="Times New Roman" w:hAnsi="Times New Roman" w:cs="Times New Roman"/>
          <w:color w:val="000000"/>
        </w:rPr>
        <w:t>,</w:t>
      </w:r>
      <w:r w:rsidR="00B94604" w:rsidRPr="0087045E">
        <w:rPr>
          <w:rFonts w:ascii="Times New Roman" w:hAnsi="Times New Roman" w:cs="Times New Roman"/>
          <w:color w:val="000000"/>
        </w:rPr>
        <w:t xml:space="preserve"> 2024; Oyun </w:t>
      </w:r>
      <w:r w:rsidR="00B9460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B94604" w:rsidRPr="0087045E">
        <w:rPr>
          <w:rFonts w:ascii="Times New Roman" w:hAnsi="Times New Roman" w:cs="Times New Roman"/>
          <w:color w:val="000000"/>
        </w:rPr>
        <w:t xml:space="preserve"> 2025).</w:t>
      </w:r>
    </w:p>
    <w:p w14:paraId="4FD97B6B" w14:textId="44124649" w:rsidR="00B429DD" w:rsidRPr="0087045E" w:rsidRDefault="00B429DD" w:rsidP="00B429DD">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b/>
        <w:t>The availability of phosphorus within tropical acidic soils is typically restricted by fixation reactions involving iron and aluminum oxides, which usually result in the formation of partially soluble complexes that restrict nutrient uptake by plants</w:t>
      </w:r>
      <w:r w:rsidR="00B94604" w:rsidRPr="0087045E">
        <w:rPr>
          <w:rFonts w:ascii="Times New Roman" w:hAnsi="Times New Roman" w:cs="Times New Roman"/>
          <w:color w:val="000000"/>
        </w:rPr>
        <w:t xml:space="preserve"> (</w:t>
      </w:r>
      <w:proofErr w:type="spellStart"/>
      <w:r w:rsidR="00B94604" w:rsidRPr="0087045E">
        <w:rPr>
          <w:rFonts w:ascii="Times New Roman" w:hAnsi="Times New Roman" w:cs="Times New Roman"/>
          <w:color w:val="000000"/>
        </w:rPr>
        <w:t>Hemwall</w:t>
      </w:r>
      <w:proofErr w:type="spellEnd"/>
      <w:r w:rsidR="00943B7A">
        <w:rPr>
          <w:rFonts w:ascii="Times New Roman" w:hAnsi="Times New Roman" w:cs="Times New Roman"/>
          <w:color w:val="000000"/>
        </w:rPr>
        <w:t xml:space="preserve">, </w:t>
      </w:r>
      <w:r w:rsidR="00B94604" w:rsidRPr="0087045E">
        <w:rPr>
          <w:rFonts w:ascii="Times New Roman" w:hAnsi="Times New Roman" w:cs="Times New Roman"/>
          <w:color w:val="000000"/>
        </w:rPr>
        <w:t xml:space="preserve">1957; Magalhaes </w:t>
      </w:r>
      <w:r w:rsidR="00B94604" w:rsidRPr="0087045E">
        <w:rPr>
          <w:rFonts w:ascii="Times New Roman" w:hAnsi="Times New Roman" w:cs="Times New Roman"/>
          <w:i/>
          <w:iCs/>
          <w:color w:val="000000"/>
        </w:rPr>
        <w:t>et al</w:t>
      </w:r>
      <w:r w:rsidR="00B94604" w:rsidRPr="0087045E">
        <w:rPr>
          <w:rFonts w:ascii="Times New Roman" w:hAnsi="Times New Roman" w:cs="Times New Roman"/>
          <w:color w:val="000000"/>
        </w:rPr>
        <w:t>.</w:t>
      </w:r>
      <w:r w:rsidR="007D78EF" w:rsidRPr="0087045E">
        <w:rPr>
          <w:rFonts w:ascii="Times New Roman" w:hAnsi="Times New Roman" w:cs="Times New Roman"/>
          <w:color w:val="000000"/>
        </w:rPr>
        <w:t>,</w:t>
      </w:r>
      <w:r w:rsidR="00B94604" w:rsidRPr="0087045E">
        <w:rPr>
          <w:rFonts w:ascii="Times New Roman" w:hAnsi="Times New Roman" w:cs="Times New Roman"/>
          <w:color w:val="000000"/>
        </w:rPr>
        <w:t xml:space="preserve"> 2018; </w:t>
      </w:r>
      <w:proofErr w:type="spellStart"/>
      <w:r w:rsidR="00B94604" w:rsidRPr="0087045E">
        <w:rPr>
          <w:rFonts w:ascii="Times New Roman" w:hAnsi="Times New Roman" w:cs="Times New Roman"/>
          <w:color w:val="000000"/>
        </w:rPr>
        <w:t>Bindraban</w:t>
      </w:r>
      <w:proofErr w:type="spellEnd"/>
      <w:r w:rsidR="008979CA">
        <w:rPr>
          <w:rFonts w:ascii="Times New Roman" w:hAnsi="Times New Roman" w:cs="Times New Roman"/>
          <w:color w:val="000000"/>
        </w:rPr>
        <w:t xml:space="preserve"> </w:t>
      </w:r>
      <w:r w:rsidR="00B9460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B94604" w:rsidRPr="0087045E">
        <w:rPr>
          <w:rFonts w:ascii="Times New Roman" w:hAnsi="Times New Roman" w:cs="Times New Roman"/>
          <w:color w:val="000000"/>
        </w:rPr>
        <w:t xml:space="preserve"> 2020)</w:t>
      </w:r>
      <w:r w:rsidRPr="0087045E">
        <w:rPr>
          <w:rFonts w:ascii="Times New Roman" w:hAnsi="Times New Roman" w:cs="Times New Roman"/>
          <w:color w:val="000000"/>
        </w:rPr>
        <w:t xml:space="preserve">. Potassium depletion may occur via leaching within the coarse-textured soils with reduced capacities for nutrient retention. The availability of iron and magnesium, on the other hand, is highly dependent on factors </w:t>
      </w:r>
      <w:r w:rsidR="00B24A26">
        <w:rPr>
          <w:rFonts w:ascii="Times New Roman" w:hAnsi="Times New Roman" w:cs="Times New Roman"/>
          <w:color w:val="000000"/>
        </w:rPr>
        <w:t>such as</w:t>
      </w:r>
      <w:r w:rsidRPr="0087045E">
        <w:rPr>
          <w:rFonts w:ascii="Times New Roman" w:hAnsi="Times New Roman" w:cs="Times New Roman"/>
          <w:color w:val="000000"/>
        </w:rPr>
        <w:t xml:space="preserve"> pH levels, the aeration status of the soil profile, and the oxidation-reduction processes taking place within the soil system</w:t>
      </w:r>
      <w:r w:rsidR="008D5607" w:rsidRPr="0087045E">
        <w:rPr>
          <w:rFonts w:ascii="Times New Roman" w:hAnsi="Times New Roman" w:cs="Times New Roman"/>
          <w:color w:val="000000"/>
        </w:rPr>
        <w:t xml:space="preserve"> (Husson</w:t>
      </w:r>
      <w:r w:rsidR="00943B7A">
        <w:rPr>
          <w:rFonts w:ascii="Times New Roman" w:hAnsi="Times New Roman" w:cs="Times New Roman"/>
          <w:color w:val="000000"/>
        </w:rPr>
        <w:t xml:space="preserve">, </w:t>
      </w:r>
      <w:r w:rsidR="008D5607" w:rsidRPr="0087045E">
        <w:rPr>
          <w:rFonts w:ascii="Times New Roman" w:hAnsi="Times New Roman" w:cs="Times New Roman"/>
          <w:color w:val="000000"/>
        </w:rPr>
        <w:t>2013; Gransee and</w:t>
      </w:r>
      <w:r w:rsidR="008979CA">
        <w:rPr>
          <w:rFonts w:ascii="Times New Roman" w:hAnsi="Times New Roman" w:cs="Times New Roman"/>
          <w:color w:val="000000"/>
        </w:rPr>
        <w:t xml:space="preserve"> </w:t>
      </w:r>
      <w:proofErr w:type="spellStart"/>
      <w:r w:rsidR="008D5607" w:rsidRPr="0087045E">
        <w:rPr>
          <w:rFonts w:ascii="Times New Roman" w:hAnsi="Times New Roman" w:cs="Times New Roman"/>
          <w:color w:val="000000"/>
        </w:rPr>
        <w:t>Führs</w:t>
      </w:r>
      <w:proofErr w:type="spellEnd"/>
      <w:r w:rsidR="00943B7A">
        <w:rPr>
          <w:rFonts w:ascii="Times New Roman" w:hAnsi="Times New Roman" w:cs="Times New Roman"/>
          <w:color w:val="000000"/>
        </w:rPr>
        <w:t xml:space="preserve">, </w:t>
      </w:r>
      <w:r w:rsidR="008D5607" w:rsidRPr="0087045E">
        <w:rPr>
          <w:rFonts w:ascii="Times New Roman" w:hAnsi="Times New Roman" w:cs="Times New Roman"/>
          <w:color w:val="000000"/>
        </w:rPr>
        <w:t>2013; Barrow and</w:t>
      </w:r>
      <w:r w:rsidR="00943B7A">
        <w:rPr>
          <w:rFonts w:ascii="Times New Roman" w:hAnsi="Times New Roman" w:cs="Times New Roman"/>
          <w:color w:val="000000"/>
        </w:rPr>
        <w:t xml:space="preserve"> </w:t>
      </w:r>
      <w:proofErr w:type="spellStart"/>
      <w:r w:rsidR="008D5607" w:rsidRPr="0087045E">
        <w:rPr>
          <w:rFonts w:ascii="Times New Roman" w:hAnsi="Times New Roman" w:cs="Times New Roman"/>
          <w:color w:val="000000"/>
        </w:rPr>
        <w:t>Hartemink</w:t>
      </w:r>
      <w:proofErr w:type="spellEnd"/>
      <w:r w:rsidR="00943B7A">
        <w:rPr>
          <w:rFonts w:ascii="Times New Roman" w:hAnsi="Times New Roman" w:cs="Times New Roman"/>
          <w:color w:val="000000"/>
        </w:rPr>
        <w:t xml:space="preserve">, </w:t>
      </w:r>
      <w:r w:rsidR="008D5607" w:rsidRPr="0087045E">
        <w:rPr>
          <w:rFonts w:ascii="Times New Roman" w:hAnsi="Times New Roman" w:cs="Times New Roman"/>
          <w:color w:val="000000"/>
        </w:rPr>
        <w:t xml:space="preserve">2023; Li </w:t>
      </w:r>
      <w:r w:rsidR="008D5607"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8D5607" w:rsidRPr="0087045E">
        <w:rPr>
          <w:rFonts w:ascii="Times New Roman" w:hAnsi="Times New Roman" w:cs="Times New Roman"/>
          <w:color w:val="000000"/>
        </w:rPr>
        <w:t xml:space="preserve"> 2024)</w:t>
      </w:r>
      <w:r w:rsidRPr="0087045E">
        <w:rPr>
          <w:rFonts w:ascii="Times New Roman" w:hAnsi="Times New Roman" w:cs="Times New Roman"/>
          <w:color w:val="000000"/>
        </w:rPr>
        <w:t xml:space="preserve">. Consequently, </w:t>
      </w:r>
      <w:r w:rsidR="00F23760" w:rsidRPr="0087045E">
        <w:rPr>
          <w:rFonts w:ascii="Times New Roman" w:hAnsi="Times New Roman" w:cs="Times New Roman"/>
          <w:color w:val="000000"/>
        </w:rPr>
        <w:t xml:space="preserve">the reliability of evaluation methods </w:t>
      </w:r>
      <w:r w:rsidRPr="0087045E">
        <w:rPr>
          <w:rFonts w:ascii="Times New Roman" w:hAnsi="Times New Roman" w:cs="Times New Roman"/>
          <w:color w:val="000000"/>
        </w:rPr>
        <w:t xml:space="preserve">of nutrients available for plant uptake requires extraction methods that can reflect the chemically labile nutrient pools that contribute to plant nutrition. </w:t>
      </w:r>
    </w:p>
    <w:p w14:paraId="656099CD" w14:textId="1CA28044"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Within many tropical milieus, agro-industrial wastes such as cassava mill effluent (CME) and palm oil mill effluent (POME) are continually being discharged into surrounding lands without </w:t>
      </w:r>
      <w:r w:rsidR="008D5607" w:rsidRPr="00C155B1">
        <w:rPr>
          <w:rFonts w:ascii="Times New Roman" w:hAnsi="Times New Roman" w:cs="Times New Roman"/>
        </w:rPr>
        <w:t>regulatory</w:t>
      </w:r>
      <w:r w:rsidRPr="00C155B1">
        <w:rPr>
          <w:rFonts w:ascii="Times New Roman" w:hAnsi="Times New Roman" w:cs="Times New Roman"/>
        </w:rPr>
        <w:t xml:space="preserve"> oversight</w:t>
      </w:r>
      <w:r w:rsidR="00C155B1" w:rsidRPr="00C155B1">
        <w:rPr>
          <w:rFonts w:ascii="Times New Roman" w:hAnsi="Times New Roman" w:cs="Times New Roman"/>
        </w:rPr>
        <w:t xml:space="preserve"> (Ojo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2021; Ujang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2021; Olaniyan </w:t>
      </w:r>
      <w:r w:rsidR="00C155B1" w:rsidRPr="007D78EF">
        <w:rPr>
          <w:rFonts w:ascii="Times New Roman" w:hAnsi="Times New Roman" w:cs="Times New Roman"/>
          <w:i/>
          <w:iCs/>
        </w:rPr>
        <w:t>et al</w:t>
      </w:r>
      <w:r w:rsidRPr="007D78EF">
        <w:rPr>
          <w:rFonts w:ascii="Times New Roman" w:hAnsi="Times New Roman" w:cs="Times New Roman"/>
          <w:i/>
          <w:iCs/>
        </w:rPr>
        <w:t>.</w:t>
      </w:r>
      <w:r w:rsidR="007D78EF" w:rsidRPr="007D78EF">
        <w:rPr>
          <w:rFonts w:ascii="Times New Roman" w:hAnsi="Times New Roman" w:cs="Times New Roman"/>
          <w:i/>
          <w:iCs/>
        </w:rPr>
        <w:t>,</w:t>
      </w:r>
      <w:r w:rsidR="00C155B1" w:rsidRPr="00C155B1">
        <w:rPr>
          <w:rFonts w:ascii="Times New Roman" w:hAnsi="Times New Roman" w:cs="Times New Roman"/>
        </w:rPr>
        <w:t xml:space="preserve"> 2025; Ajao </w:t>
      </w:r>
      <w:r w:rsidR="00C155B1" w:rsidRPr="007D78EF">
        <w:rPr>
          <w:rFonts w:ascii="Times New Roman" w:hAnsi="Times New Roman" w:cs="Times New Roman"/>
          <w:i/>
          <w:iCs/>
        </w:rPr>
        <w:t>e</w:t>
      </w:r>
      <w:r w:rsidR="007D78EF">
        <w:rPr>
          <w:rFonts w:ascii="Times New Roman" w:hAnsi="Times New Roman" w:cs="Times New Roman"/>
          <w:i/>
          <w:iCs/>
        </w:rPr>
        <w:t>t</w:t>
      </w:r>
      <w:r w:rsidR="00C155B1" w:rsidRPr="007D78EF">
        <w:rPr>
          <w:rFonts w:ascii="Times New Roman" w:hAnsi="Times New Roman" w:cs="Times New Roman"/>
          <w:i/>
          <w:iCs/>
        </w:rPr>
        <w:t xml:space="preserve">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2025).</w:t>
      </w:r>
      <w:r w:rsidRPr="00B429DD">
        <w:rPr>
          <w:rFonts w:ascii="Times New Roman" w:hAnsi="Times New Roman" w:cs="Times New Roman"/>
        </w:rPr>
        <w:t xml:space="preserve"> These effluents, though considered contaminants because of their high biochemical oxygen demand and organic loads, also contain substantial amounts of plant nutrients and organic materials that could improve soil fertility, and by extension, plant yield</w:t>
      </w:r>
      <w:r w:rsidR="00C155B1">
        <w:rPr>
          <w:rFonts w:ascii="Times New Roman" w:hAnsi="Times New Roman" w:cs="Times New Roman"/>
        </w:rPr>
        <w:t xml:space="preserve"> (</w:t>
      </w:r>
      <w:r w:rsidR="00C53EF1">
        <w:rPr>
          <w:rFonts w:ascii="Times New Roman" w:hAnsi="Times New Roman" w:cs="Times New Roman"/>
        </w:rPr>
        <w:t xml:space="preserve">Ubani </w:t>
      </w:r>
      <w:r w:rsidR="00C53EF1" w:rsidRPr="007D78EF">
        <w:rPr>
          <w:rFonts w:ascii="Times New Roman" w:hAnsi="Times New Roman" w:cs="Times New Roman"/>
          <w:i/>
          <w:iCs/>
        </w:rPr>
        <w:t>et al.</w:t>
      </w:r>
      <w:r w:rsidR="007D78EF">
        <w:rPr>
          <w:rFonts w:ascii="Times New Roman" w:hAnsi="Times New Roman" w:cs="Times New Roman"/>
          <w:i/>
          <w:iCs/>
        </w:rPr>
        <w:t>,</w:t>
      </w:r>
      <w:r w:rsidR="00C53EF1">
        <w:rPr>
          <w:rFonts w:ascii="Times New Roman" w:hAnsi="Times New Roman" w:cs="Times New Roman"/>
        </w:rPr>
        <w:t xml:space="preserve"> 2017; </w:t>
      </w:r>
      <w:proofErr w:type="spellStart"/>
      <w:r w:rsidR="00C155B1">
        <w:rPr>
          <w:rFonts w:ascii="Times New Roman" w:hAnsi="Times New Roman" w:cs="Times New Roman"/>
        </w:rPr>
        <w:t>Uroko</w:t>
      </w:r>
      <w:proofErr w:type="spellEnd"/>
      <w:r w:rsidR="00943B7A">
        <w:rPr>
          <w:rFonts w:ascii="Times New Roman" w:hAnsi="Times New Roman" w:cs="Times New Roman"/>
        </w:rPr>
        <w:t xml:space="preserve">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Pr>
          <w:rFonts w:ascii="Times New Roman" w:hAnsi="Times New Roman" w:cs="Times New Roman"/>
        </w:rPr>
        <w:t xml:space="preserve"> 2025)</w:t>
      </w:r>
      <w:r w:rsidRPr="00B429DD">
        <w:rPr>
          <w:rFonts w:ascii="Times New Roman" w:hAnsi="Times New Roman" w:cs="Times New Roman"/>
        </w:rPr>
        <w:t xml:space="preserve">. </w:t>
      </w:r>
      <w:r w:rsidRPr="0087045E">
        <w:rPr>
          <w:rFonts w:ascii="Times New Roman" w:hAnsi="Times New Roman" w:cs="Times New Roman"/>
          <w:color w:val="000000"/>
        </w:rPr>
        <w:t xml:space="preserve">Palm oil </w:t>
      </w:r>
      <w:r w:rsidR="00F23760" w:rsidRPr="0087045E">
        <w:rPr>
          <w:rFonts w:ascii="Times New Roman" w:hAnsi="Times New Roman" w:cs="Times New Roman"/>
          <w:color w:val="000000"/>
        </w:rPr>
        <w:t xml:space="preserve">mill </w:t>
      </w:r>
      <w:r w:rsidRPr="0087045E">
        <w:rPr>
          <w:rFonts w:ascii="Times New Roman" w:hAnsi="Times New Roman" w:cs="Times New Roman"/>
          <w:color w:val="000000"/>
        </w:rPr>
        <w:t>effluents are</w:t>
      </w:r>
      <w:r w:rsidRPr="00B429DD">
        <w:rPr>
          <w:rFonts w:ascii="Times New Roman" w:hAnsi="Times New Roman" w:cs="Times New Roman"/>
        </w:rPr>
        <w:t xml:space="preserve"> enriched with substantial amounts of potassium and other biodegradable organic </w:t>
      </w:r>
      <w:r w:rsidRPr="00CF3E89">
        <w:rPr>
          <w:rFonts w:ascii="Times New Roman" w:hAnsi="Times New Roman" w:cs="Times New Roman"/>
        </w:rPr>
        <w:t>compounds</w:t>
      </w:r>
      <w:r w:rsidR="00CF3E89" w:rsidRPr="00CF3E89">
        <w:rPr>
          <w:rFonts w:ascii="Times New Roman" w:hAnsi="Times New Roman" w:cs="Times New Roman"/>
        </w:rPr>
        <w:t xml:space="preserve"> (Bala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2015; Mohammad </w:t>
      </w:r>
      <w:r w:rsidR="00CF3E89" w:rsidRPr="007D78EF">
        <w:rPr>
          <w:rFonts w:ascii="Times New Roman" w:hAnsi="Times New Roman" w:cs="Times New Roman"/>
          <w:i/>
          <w:iCs/>
        </w:rPr>
        <w:t>et al</w:t>
      </w:r>
      <w:r w:rsidRPr="007D78EF">
        <w:rPr>
          <w:rFonts w:ascii="Times New Roman" w:hAnsi="Times New Roman" w:cs="Times New Roman"/>
          <w:i/>
          <w:iCs/>
        </w:rPr>
        <w:t>.</w:t>
      </w:r>
      <w:r w:rsidR="007D78EF" w:rsidRPr="007D78EF">
        <w:rPr>
          <w:rFonts w:ascii="Times New Roman" w:hAnsi="Times New Roman" w:cs="Times New Roman"/>
          <w:i/>
          <w:iCs/>
        </w:rPr>
        <w:t>,</w:t>
      </w:r>
      <w:r w:rsidR="00CF3E89" w:rsidRPr="00CF3E89">
        <w:rPr>
          <w:rFonts w:ascii="Times New Roman" w:hAnsi="Times New Roman" w:cs="Times New Roman"/>
        </w:rPr>
        <w:t xml:space="preserve"> 2021; Imo</w:t>
      </w:r>
      <w:r w:rsidR="00B24A26">
        <w:rPr>
          <w:rFonts w:ascii="Times New Roman" w:hAnsi="Times New Roman" w:cs="Times New Roman"/>
        </w:rPr>
        <w:t>,</w:t>
      </w:r>
      <w:r w:rsidR="00CF3E89" w:rsidRPr="00CF3E89">
        <w:rPr>
          <w:rFonts w:ascii="Times New Roman" w:hAnsi="Times New Roman" w:cs="Times New Roman"/>
        </w:rPr>
        <w:t xml:space="preserve"> 2021).</w:t>
      </w:r>
      <w:r w:rsidR="00943B7A">
        <w:rPr>
          <w:rFonts w:ascii="Times New Roman" w:hAnsi="Times New Roman" w:cs="Times New Roman"/>
        </w:rPr>
        <w:t xml:space="preserve"> </w:t>
      </w:r>
      <w:r w:rsidRPr="00B429DD">
        <w:rPr>
          <w:rFonts w:ascii="Times New Roman" w:hAnsi="Times New Roman" w:cs="Times New Roman"/>
        </w:rPr>
        <w:t>Cassava effluents also comprise a substantial amount of potassium, phosphorus, and other dissolved organic constituents</w:t>
      </w:r>
      <w:r w:rsidR="00CF3E89">
        <w:rPr>
          <w:rFonts w:ascii="Times New Roman" w:hAnsi="Times New Roman" w:cs="Times New Roman"/>
        </w:rPr>
        <w:t xml:space="preserve"> (</w:t>
      </w:r>
      <w:r w:rsidR="00CF3E89" w:rsidRPr="00CF3E89">
        <w:rPr>
          <w:rFonts w:ascii="Times New Roman" w:hAnsi="Times New Roman" w:cs="Times New Roman"/>
        </w:rPr>
        <w:t xml:space="preserve">Izah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2017; dos Santos Moura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2018; Olaniyan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2025)</w:t>
      </w:r>
      <w:r w:rsidRPr="00B429DD">
        <w:rPr>
          <w:rFonts w:ascii="Times New Roman" w:hAnsi="Times New Roman" w:cs="Times New Roman"/>
        </w:rPr>
        <w:t>. The continuous disposal and accumulation of these effluents on waste disposal sites modif</w:t>
      </w:r>
      <w:r w:rsidR="00B24A26">
        <w:rPr>
          <w:rFonts w:ascii="Times New Roman" w:hAnsi="Times New Roman" w:cs="Times New Roman"/>
        </w:rPr>
        <w:t>y</w:t>
      </w:r>
      <w:r w:rsidRPr="00B429DD">
        <w:rPr>
          <w:rFonts w:ascii="Times New Roman" w:hAnsi="Times New Roman" w:cs="Times New Roman"/>
        </w:rPr>
        <w:t xml:space="preserve"> soil physicochemical properties, nutrient cycling, nutrient mobility, and cation exchange reactions within the soil system</w:t>
      </w:r>
      <w:r w:rsidR="008979CA">
        <w:rPr>
          <w:rFonts w:ascii="Times New Roman" w:hAnsi="Times New Roman" w:cs="Times New Roman"/>
        </w:rPr>
        <w:t xml:space="preserve"> </w:t>
      </w:r>
      <w:r w:rsidR="00014F1D" w:rsidRPr="00014F1D">
        <w:rPr>
          <w:rFonts w:ascii="Times New Roman" w:hAnsi="Times New Roman" w:cs="Times New Roman"/>
        </w:rPr>
        <w:t>(</w:t>
      </w:r>
      <w:proofErr w:type="spellStart"/>
      <w:r w:rsidR="00014F1D" w:rsidRPr="00014F1D">
        <w:rPr>
          <w:rFonts w:ascii="Times New Roman" w:hAnsi="Times New Roman" w:cs="Times New Roman"/>
        </w:rPr>
        <w:t>Hermansah</w:t>
      </w:r>
      <w:proofErr w:type="spellEnd"/>
      <w:r w:rsidR="00943B7A">
        <w:rPr>
          <w:rFonts w:ascii="Times New Roman" w:hAnsi="Times New Roman" w:cs="Times New Roman"/>
        </w:rPr>
        <w:t xml:space="preserve"> </w:t>
      </w:r>
      <w:r w:rsidR="00014F1D" w:rsidRPr="00EC0D2D">
        <w:rPr>
          <w:rFonts w:ascii="Times New Roman" w:hAnsi="Times New Roman" w:cs="Times New Roman"/>
          <w:i/>
          <w:iCs/>
        </w:rPr>
        <w:t>et al.</w:t>
      </w:r>
      <w:r w:rsidR="00EC0D2D">
        <w:rPr>
          <w:rFonts w:ascii="Times New Roman" w:hAnsi="Times New Roman" w:cs="Times New Roman"/>
          <w:i/>
          <w:iCs/>
        </w:rPr>
        <w:t>,</w:t>
      </w:r>
      <w:r w:rsidR="00014F1D" w:rsidRPr="00014F1D">
        <w:rPr>
          <w:rFonts w:ascii="Times New Roman" w:hAnsi="Times New Roman" w:cs="Times New Roman"/>
        </w:rPr>
        <w:t xml:space="preserve"> 2017; </w:t>
      </w:r>
      <w:proofErr w:type="spellStart"/>
      <w:r w:rsidR="00014F1D" w:rsidRPr="00014F1D">
        <w:rPr>
          <w:rFonts w:ascii="Times New Roman" w:hAnsi="Times New Roman" w:cs="Times New Roman"/>
        </w:rPr>
        <w:t>Uroko</w:t>
      </w:r>
      <w:proofErr w:type="spellEnd"/>
      <w:r w:rsidR="008979CA">
        <w:rPr>
          <w:rFonts w:ascii="Times New Roman" w:hAnsi="Times New Roman" w:cs="Times New Roman"/>
        </w:rPr>
        <w:t xml:space="preserve"> </w:t>
      </w:r>
      <w:r w:rsidR="00014F1D" w:rsidRPr="00EC0D2D">
        <w:rPr>
          <w:rFonts w:ascii="Times New Roman" w:hAnsi="Times New Roman" w:cs="Times New Roman"/>
          <w:i/>
          <w:iCs/>
        </w:rPr>
        <w:t>et al.</w:t>
      </w:r>
      <w:r w:rsidR="00EC0D2D">
        <w:rPr>
          <w:rFonts w:ascii="Times New Roman" w:hAnsi="Times New Roman" w:cs="Times New Roman"/>
          <w:i/>
          <w:iCs/>
        </w:rPr>
        <w:t>,</w:t>
      </w:r>
      <w:r w:rsidR="00014F1D" w:rsidRPr="00014F1D">
        <w:rPr>
          <w:rFonts w:ascii="Times New Roman" w:hAnsi="Times New Roman" w:cs="Times New Roman"/>
        </w:rPr>
        <w:t xml:space="preserve"> 2025; Olaniyan </w:t>
      </w:r>
      <w:r w:rsidR="00014F1D" w:rsidRPr="00EC0D2D">
        <w:rPr>
          <w:rFonts w:ascii="Times New Roman" w:hAnsi="Times New Roman" w:cs="Times New Roman"/>
          <w:i/>
          <w:iCs/>
        </w:rPr>
        <w:t>et al</w:t>
      </w:r>
      <w:r w:rsidRPr="00EC0D2D">
        <w:rPr>
          <w:rFonts w:ascii="Times New Roman" w:hAnsi="Times New Roman" w:cs="Times New Roman"/>
          <w:i/>
          <w:iCs/>
        </w:rPr>
        <w:t>.</w:t>
      </w:r>
      <w:r w:rsidR="00EC0D2D">
        <w:rPr>
          <w:rFonts w:ascii="Times New Roman" w:hAnsi="Times New Roman" w:cs="Times New Roman"/>
        </w:rPr>
        <w:t>,</w:t>
      </w:r>
      <w:r w:rsidR="00014F1D" w:rsidRPr="00014F1D">
        <w:rPr>
          <w:rFonts w:ascii="Times New Roman" w:hAnsi="Times New Roman" w:cs="Times New Roman"/>
        </w:rPr>
        <w:t xml:space="preserve"> 2025</w:t>
      </w:r>
      <w:r w:rsidR="00014F1D">
        <w:rPr>
          <w:rFonts w:ascii="Times New Roman" w:hAnsi="Times New Roman" w:cs="Times New Roman"/>
        </w:rPr>
        <w:t xml:space="preserve">). </w:t>
      </w:r>
    </w:p>
    <w:p w14:paraId="45F936D2" w14:textId="1E3CBD7C"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lastRenderedPageBreak/>
        <w:t xml:space="preserve">The reactions of nutrients in effluent-amended soils are highly determined by the chemical nature of the effluent material and the soil </w:t>
      </w:r>
      <w:r w:rsidRPr="00A57646">
        <w:rPr>
          <w:rFonts w:ascii="Times New Roman" w:hAnsi="Times New Roman" w:cs="Times New Roman"/>
        </w:rPr>
        <w:t>system</w:t>
      </w:r>
      <w:r w:rsidR="00A57646" w:rsidRPr="00A57646">
        <w:rPr>
          <w:rFonts w:ascii="Times New Roman" w:hAnsi="Times New Roman" w:cs="Times New Roman"/>
        </w:rPr>
        <w:t xml:space="preserve"> (Haider </w:t>
      </w:r>
      <w:r w:rsidR="00A57646" w:rsidRPr="00EC0D2D">
        <w:rPr>
          <w:rFonts w:ascii="Times New Roman" w:hAnsi="Times New Roman" w:cs="Times New Roman"/>
          <w:i/>
          <w:iCs/>
        </w:rPr>
        <w:t>et al.</w:t>
      </w:r>
      <w:r w:rsidR="00EC0D2D">
        <w:rPr>
          <w:rFonts w:ascii="Times New Roman" w:hAnsi="Times New Roman" w:cs="Times New Roman"/>
          <w:i/>
          <w:iCs/>
        </w:rPr>
        <w:t>,</w:t>
      </w:r>
      <w:r w:rsidR="00A57646" w:rsidRPr="00A57646">
        <w:rPr>
          <w:rFonts w:ascii="Times New Roman" w:hAnsi="Times New Roman" w:cs="Times New Roman"/>
        </w:rPr>
        <w:t xml:space="preserve"> 2023)</w:t>
      </w:r>
      <w:r w:rsidRPr="00A57646">
        <w:rPr>
          <w:rFonts w:ascii="Times New Roman" w:hAnsi="Times New Roman" w:cs="Times New Roman"/>
        </w:rPr>
        <w:t>. Within</w:t>
      </w:r>
      <w:r w:rsidRPr="00B429DD">
        <w:rPr>
          <w:rFonts w:ascii="Times New Roman" w:hAnsi="Times New Roman" w:cs="Times New Roman"/>
        </w:rPr>
        <w:t xml:space="preserve"> highly weathered tropical soils, dissolved organic compounds introduced into the soils via the application of effluent may alter the nutrient adsorption and desorption, complexation processes, and micronutrient </w:t>
      </w:r>
      <w:r w:rsidRPr="00F12739">
        <w:rPr>
          <w:rFonts w:ascii="Times New Roman" w:hAnsi="Times New Roman" w:cs="Times New Roman"/>
        </w:rPr>
        <w:t>stability</w:t>
      </w:r>
      <w:r w:rsidR="00632953" w:rsidRPr="00F12739">
        <w:rPr>
          <w:rFonts w:ascii="Times New Roman" w:hAnsi="Times New Roman" w:cs="Times New Roman"/>
        </w:rPr>
        <w:t xml:space="preserve"> (Gu </w:t>
      </w:r>
      <w:r w:rsidR="00632953" w:rsidRPr="00EC0D2D">
        <w:rPr>
          <w:rFonts w:ascii="Times New Roman" w:hAnsi="Times New Roman" w:cs="Times New Roman"/>
          <w:i/>
          <w:iCs/>
        </w:rPr>
        <w:t>et al</w:t>
      </w:r>
      <w:r w:rsidR="00EC0D2D" w:rsidRPr="00EC0D2D">
        <w:rPr>
          <w:rFonts w:ascii="Times New Roman" w:hAnsi="Times New Roman" w:cs="Times New Roman"/>
          <w:i/>
          <w:iCs/>
        </w:rPr>
        <w:t>.,</w:t>
      </w:r>
      <w:r w:rsidR="00632953" w:rsidRPr="00F12739">
        <w:rPr>
          <w:rFonts w:ascii="Times New Roman" w:hAnsi="Times New Roman" w:cs="Times New Roman"/>
        </w:rPr>
        <w:t xml:space="preserve"> 2022; Haider </w:t>
      </w:r>
      <w:r w:rsidR="00632953" w:rsidRPr="00EC0D2D">
        <w:rPr>
          <w:rFonts w:ascii="Times New Roman" w:hAnsi="Times New Roman" w:cs="Times New Roman"/>
          <w:i/>
          <w:iCs/>
        </w:rPr>
        <w:t>et al.</w:t>
      </w:r>
      <w:r w:rsidR="00EC0D2D">
        <w:rPr>
          <w:rFonts w:ascii="Times New Roman" w:hAnsi="Times New Roman" w:cs="Times New Roman"/>
        </w:rPr>
        <w:t>,</w:t>
      </w:r>
      <w:r w:rsidR="00632953" w:rsidRPr="00F12739">
        <w:rPr>
          <w:rFonts w:ascii="Times New Roman" w:hAnsi="Times New Roman" w:cs="Times New Roman"/>
        </w:rPr>
        <w:t xml:space="preserve"> 2023)</w:t>
      </w:r>
      <w:r w:rsidRPr="00F12739">
        <w:rPr>
          <w:rFonts w:ascii="Times New Roman" w:hAnsi="Times New Roman" w:cs="Times New Roman"/>
        </w:rPr>
        <w:t>.</w:t>
      </w:r>
      <w:r w:rsidRPr="00B429DD">
        <w:rPr>
          <w:rFonts w:ascii="Times New Roman" w:hAnsi="Times New Roman" w:cs="Times New Roman"/>
        </w:rPr>
        <w:t xml:space="preserve"> Parent material characteristics may further impact nutrient extractability processes via variations in clay mineral composition, oxide content, texture, and buffering capacity. Soils obtained from coastal plain sands, beach ridge sands, and sandstone-shale formations in Akwa Ibom State, southern Nigeria, exhibit appreciable variation in their physicochemical characteristics</w:t>
      </w:r>
      <w:r w:rsidR="00943B7A">
        <w:rPr>
          <w:rFonts w:ascii="Times New Roman" w:hAnsi="Times New Roman" w:cs="Times New Roman"/>
        </w:rPr>
        <w:t xml:space="preserve"> </w:t>
      </w:r>
      <w:r w:rsidR="00290F6B" w:rsidRPr="00290F6B">
        <w:rPr>
          <w:rFonts w:ascii="Times New Roman" w:hAnsi="Times New Roman" w:cs="Times New Roman"/>
        </w:rPr>
        <w:t>(</w:t>
      </w:r>
      <w:proofErr w:type="spellStart"/>
      <w:r w:rsidR="00290F6B" w:rsidRPr="00290F6B">
        <w:rPr>
          <w:rFonts w:ascii="Times New Roman" w:hAnsi="Times New Roman" w:cs="Times New Roman"/>
        </w:rPr>
        <w:t>Oguike</w:t>
      </w:r>
      <w:proofErr w:type="spellEnd"/>
      <w:r w:rsidR="00290F6B" w:rsidRPr="00290F6B">
        <w:rPr>
          <w:rFonts w:ascii="Times New Roman" w:hAnsi="Times New Roman" w:cs="Times New Roman"/>
        </w:rPr>
        <w:t xml:space="preserve"> and Utin</w:t>
      </w:r>
      <w:r w:rsidR="00943B7A">
        <w:rPr>
          <w:rFonts w:ascii="Times New Roman" w:hAnsi="Times New Roman" w:cs="Times New Roman"/>
        </w:rPr>
        <w:t xml:space="preserve">, </w:t>
      </w:r>
      <w:r w:rsidR="00290F6B" w:rsidRPr="00290F6B">
        <w:rPr>
          <w:rFonts w:ascii="Times New Roman" w:hAnsi="Times New Roman" w:cs="Times New Roman"/>
        </w:rPr>
        <w:t>2018</w:t>
      </w:r>
      <w:r w:rsidR="00290F6B">
        <w:rPr>
          <w:rFonts w:ascii="Times New Roman" w:hAnsi="Times New Roman" w:cs="Times New Roman"/>
        </w:rPr>
        <w:t xml:space="preserve">; Ita </w:t>
      </w:r>
      <w:r w:rsidR="00290F6B" w:rsidRPr="00EC0D2D">
        <w:rPr>
          <w:rFonts w:ascii="Times New Roman" w:hAnsi="Times New Roman" w:cs="Times New Roman"/>
          <w:i/>
          <w:iCs/>
        </w:rPr>
        <w:t>et al.</w:t>
      </w:r>
      <w:r w:rsidR="00EC0D2D">
        <w:rPr>
          <w:rFonts w:ascii="Times New Roman" w:hAnsi="Times New Roman" w:cs="Times New Roman"/>
          <w:i/>
          <w:iCs/>
        </w:rPr>
        <w:t>,</w:t>
      </w:r>
      <w:r w:rsidR="00290F6B">
        <w:rPr>
          <w:rFonts w:ascii="Times New Roman" w:hAnsi="Times New Roman" w:cs="Times New Roman"/>
        </w:rPr>
        <w:t xml:space="preserve"> 2025</w:t>
      </w:r>
      <w:r w:rsidR="00290F6B" w:rsidRPr="00290F6B">
        <w:rPr>
          <w:rFonts w:ascii="Times New Roman" w:hAnsi="Times New Roman" w:cs="Times New Roman"/>
        </w:rPr>
        <w:t>)</w:t>
      </w:r>
      <w:r w:rsidR="00943B7A">
        <w:rPr>
          <w:rFonts w:ascii="Times New Roman" w:hAnsi="Times New Roman" w:cs="Times New Roman"/>
        </w:rPr>
        <w:t xml:space="preserve"> </w:t>
      </w:r>
      <w:r w:rsidRPr="00B429DD">
        <w:rPr>
          <w:rFonts w:ascii="Times New Roman" w:hAnsi="Times New Roman" w:cs="Times New Roman"/>
        </w:rPr>
        <w:t>and may therefore have diverse responses to nutrient extraction processes</w:t>
      </w:r>
      <w:r w:rsidR="00290F6B">
        <w:rPr>
          <w:rFonts w:ascii="Times New Roman" w:hAnsi="Times New Roman" w:cs="Times New Roman"/>
        </w:rPr>
        <w:t xml:space="preserve">. </w:t>
      </w:r>
      <w:r w:rsidRPr="00290F6B">
        <w:rPr>
          <w:rFonts w:ascii="Times New Roman" w:hAnsi="Times New Roman" w:cs="Times New Roman"/>
        </w:rPr>
        <w:t>An understanding</w:t>
      </w:r>
      <w:r w:rsidRPr="00B429DD">
        <w:rPr>
          <w:rFonts w:ascii="Times New Roman" w:hAnsi="Times New Roman" w:cs="Times New Roman"/>
        </w:rPr>
        <w:t xml:space="preserve"> of how these diverse factors impact the efficiency of nutrient extraction procedures is therefore necessary for the improvement of soil fertility evaluation and sustainable nutrient management in effluent-amended soil systems.  </w:t>
      </w:r>
    </w:p>
    <w:p w14:paraId="04B8FEF8" w14:textId="626593BB"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An assessment of the nutrients available for plant uptake depends mainly on the extraction method employed during soil analysis</w:t>
      </w:r>
      <w:r w:rsidR="009331CA">
        <w:rPr>
          <w:rFonts w:ascii="Times New Roman" w:hAnsi="Times New Roman" w:cs="Times New Roman"/>
        </w:rPr>
        <w:t xml:space="preserve"> (Udo </w:t>
      </w:r>
      <w:r w:rsidR="009331CA" w:rsidRPr="009331CA">
        <w:rPr>
          <w:rFonts w:ascii="Times New Roman" w:hAnsi="Times New Roman" w:cs="Times New Roman"/>
          <w:i/>
          <w:iCs/>
        </w:rPr>
        <w:t>et al.</w:t>
      </w:r>
      <w:r w:rsidR="00943B7A">
        <w:rPr>
          <w:rFonts w:ascii="Times New Roman" w:hAnsi="Times New Roman" w:cs="Times New Roman"/>
          <w:i/>
          <w:iCs/>
        </w:rPr>
        <w:t>,</w:t>
      </w:r>
      <w:r w:rsidR="009331CA">
        <w:rPr>
          <w:rFonts w:ascii="Times New Roman" w:hAnsi="Times New Roman" w:cs="Times New Roman"/>
        </w:rPr>
        <w:t xml:space="preserve"> 2026)</w:t>
      </w:r>
      <w:r w:rsidRPr="00B429DD">
        <w:rPr>
          <w:rFonts w:ascii="Times New Roman" w:hAnsi="Times New Roman" w:cs="Times New Roman"/>
        </w:rPr>
        <w:t>. Conventional methods of extractio</w:t>
      </w:r>
      <w:r w:rsidR="00B24A26">
        <w:rPr>
          <w:rFonts w:ascii="Times New Roman" w:hAnsi="Times New Roman" w:cs="Times New Roman"/>
        </w:rPr>
        <w:t>n</w:t>
      </w:r>
      <w:r w:rsidRPr="00B429DD">
        <w:rPr>
          <w:rFonts w:ascii="Times New Roman" w:hAnsi="Times New Roman" w:cs="Times New Roman"/>
        </w:rPr>
        <w:t xml:space="preserve"> typically employ a separate extractant for the extraction of individual nutrients. For example, the Bray or Olsen solution is typically employed for extracting phosphorus, ammonium is typically employed for extracting potassium, and DTPA-based solutions are typically employed for extracting micronutrients. Although these methods are well-established, they are labor-intensive, time-consuming, and not very suitable for rapid multi-element analysis. Universal extractants have therefore been employed for the simultaneous extraction of multiple elements within a single analytical process. Ideally, such universal extractants should generate a rapid and cost-effective assessment of nutrients available within soils having variable physicochemical characteristics. </w:t>
      </w:r>
    </w:p>
    <w:p w14:paraId="481A1A0E" w14:textId="4D78FF4F" w:rsidR="00B429DD" w:rsidRPr="00B429DD" w:rsidRDefault="00E34D69" w:rsidP="00B429DD">
      <w:pPr>
        <w:spacing w:after="0" w:line="360" w:lineRule="auto"/>
        <w:ind w:firstLine="720"/>
        <w:jc w:val="both"/>
        <w:rPr>
          <w:rFonts w:ascii="Times New Roman" w:hAnsi="Times New Roman" w:cs="Times New Roman"/>
        </w:rPr>
      </w:pPr>
      <w:r w:rsidRPr="00E34D69">
        <w:rPr>
          <w:rFonts w:ascii="Times New Roman" w:hAnsi="Times New Roman" w:cs="Times New Roman"/>
          <w:bCs/>
          <w:color w:val="000000" w:themeColor="text1"/>
        </w:rPr>
        <w:t>Two widely used multi</w:t>
      </w:r>
      <w:r w:rsidR="009331CA">
        <w:rPr>
          <w:rFonts w:ascii="Times New Roman" w:hAnsi="Times New Roman" w:cs="Times New Roman"/>
          <w:bCs/>
          <w:color w:val="000000" w:themeColor="text1"/>
        </w:rPr>
        <w:t>-</w:t>
      </w:r>
      <w:r w:rsidRPr="00E34D69">
        <w:rPr>
          <w:rFonts w:ascii="Times New Roman" w:hAnsi="Times New Roman" w:cs="Times New Roman"/>
          <w:bCs/>
          <w:color w:val="000000" w:themeColor="text1"/>
        </w:rPr>
        <w:t xml:space="preserve">nutrient soil </w:t>
      </w:r>
      <w:r w:rsidR="00B24A26" w:rsidRPr="00E34D69">
        <w:rPr>
          <w:rFonts w:ascii="Times New Roman" w:hAnsi="Times New Roman" w:cs="Times New Roman"/>
          <w:bCs/>
          <w:color w:val="000000" w:themeColor="text1"/>
        </w:rPr>
        <w:t>extractants</w:t>
      </w:r>
      <w:r w:rsidRPr="00E34D69">
        <w:rPr>
          <w:rFonts w:ascii="Times New Roman" w:hAnsi="Times New Roman" w:cs="Times New Roman"/>
          <w:bCs/>
          <w:color w:val="000000" w:themeColor="text1"/>
        </w:rPr>
        <w:t xml:space="preserve"> in assessing nutrients in soils and organic materials are 0.01 M CaCl</w:t>
      </w:r>
      <w:r w:rsidRPr="00E34D69">
        <w:rPr>
          <w:rFonts w:ascii="Times New Roman" w:hAnsi="Times New Roman" w:cs="Times New Roman"/>
          <w:bCs/>
          <w:color w:val="000000" w:themeColor="text1"/>
          <w:vertAlign w:val="subscript"/>
        </w:rPr>
        <w:t xml:space="preserve">2 </w:t>
      </w:r>
      <w:r w:rsidRPr="00E34D69">
        <w:rPr>
          <w:rFonts w:ascii="Times New Roman" w:hAnsi="Times New Roman" w:cs="Times New Roman"/>
          <w:bCs/>
          <w:color w:val="000000" w:themeColor="text1"/>
        </w:rPr>
        <w:t xml:space="preserve">(van Erp </w:t>
      </w:r>
      <w:r w:rsidRPr="00E34D69">
        <w:rPr>
          <w:rFonts w:ascii="Times New Roman" w:hAnsi="Times New Roman" w:cs="Times New Roman"/>
          <w:bCs/>
          <w:i/>
          <w:color w:val="000000" w:themeColor="text1"/>
        </w:rPr>
        <w:t>et al</w:t>
      </w:r>
      <w:r w:rsidRPr="00E34D69">
        <w:rPr>
          <w:rFonts w:ascii="Times New Roman" w:hAnsi="Times New Roman" w:cs="Times New Roman"/>
          <w:bCs/>
          <w:color w:val="000000" w:themeColor="text1"/>
        </w:rPr>
        <w:t xml:space="preserve">., 1998 and </w:t>
      </w:r>
      <w:proofErr w:type="spellStart"/>
      <w:r w:rsidRPr="00E34D69">
        <w:rPr>
          <w:rFonts w:ascii="Times New Roman" w:hAnsi="Times New Roman" w:cs="Times New Roman"/>
          <w:bCs/>
          <w:color w:val="000000" w:themeColor="text1"/>
        </w:rPr>
        <w:t>Houba</w:t>
      </w:r>
      <w:r w:rsidRPr="00E34D69">
        <w:rPr>
          <w:rFonts w:ascii="Times New Roman" w:hAnsi="Times New Roman" w:cs="Times New Roman"/>
          <w:bCs/>
          <w:i/>
          <w:color w:val="000000" w:themeColor="text1"/>
        </w:rPr>
        <w:t>et</w:t>
      </w:r>
      <w:proofErr w:type="spellEnd"/>
      <w:r w:rsidRPr="00E34D69">
        <w:rPr>
          <w:rFonts w:ascii="Times New Roman" w:hAnsi="Times New Roman" w:cs="Times New Roman"/>
          <w:bCs/>
          <w:i/>
          <w:color w:val="000000" w:themeColor="text1"/>
        </w:rPr>
        <w:t xml:space="preserve"> a</w:t>
      </w:r>
      <w:r w:rsidR="00B24A26">
        <w:rPr>
          <w:rFonts w:ascii="Times New Roman" w:hAnsi="Times New Roman" w:cs="Times New Roman"/>
          <w:bCs/>
          <w:i/>
          <w:color w:val="000000" w:themeColor="text1"/>
        </w:rPr>
        <w:t>l</w:t>
      </w:r>
      <w:r w:rsidRPr="00E34D69">
        <w:rPr>
          <w:rFonts w:ascii="Times New Roman" w:hAnsi="Times New Roman" w:cs="Times New Roman"/>
          <w:bCs/>
          <w:color w:val="000000" w:themeColor="text1"/>
        </w:rPr>
        <w:t xml:space="preserve">., 2000) and </w:t>
      </w:r>
      <w:proofErr w:type="spellStart"/>
      <w:r w:rsidRPr="00E34D69">
        <w:rPr>
          <w:rFonts w:ascii="Times New Roman" w:hAnsi="Times New Roman" w:cs="Times New Roman"/>
          <w:bCs/>
          <w:color w:val="000000" w:themeColor="text1"/>
        </w:rPr>
        <w:t>Agro</w:t>
      </w:r>
      <w:proofErr w:type="spellEnd"/>
      <w:r w:rsidRPr="00E34D69">
        <w:rPr>
          <w:rFonts w:ascii="Times New Roman" w:hAnsi="Times New Roman" w:cs="Times New Roman"/>
          <w:bCs/>
          <w:color w:val="000000" w:themeColor="text1"/>
        </w:rPr>
        <w:t xml:space="preserve"> Services International</w:t>
      </w:r>
      <w:r w:rsidR="00943B7A">
        <w:rPr>
          <w:rFonts w:ascii="Times New Roman" w:hAnsi="Times New Roman" w:cs="Times New Roman"/>
          <w:bCs/>
          <w:color w:val="000000" w:themeColor="text1"/>
        </w:rPr>
        <w:t xml:space="preserve"> </w:t>
      </w:r>
      <w:r w:rsidRPr="00E34D69">
        <w:rPr>
          <w:rFonts w:ascii="Times New Roman" w:hAnsi="Times New Roman" w:cs="Times New Roman"/>
          <w:bCs/>
          <w:color w:val="000000" w:themeColor="text1"/>
        </w:rPr>
        <w:t xml:space="preserve">- ASI (He </w:t>
      </w:r>
      <w:r w:rsidRPr="00E34D69">
        <w:rPr>
          <w:rFonts w:ascii="Times New Roman" w:hAnsi="Times New Roman" w:cs="Times New Roman"/>
          <w:bCs/>
          <w:i/>
          <w:color w:val="000000" w:themeColor="text1"/>
        </w:rPr>
        <w:t>et al</w:t>
      </w:r>
      <w:r w:rsidRPr="00E34D69">
        <w:rPr>
          <w:rFonts w:ascii="Times New Roman" w:hAnsi="Times New Roman" w:cs="Times New Roman"/>
          <w:bCs/>
          <w:color w:val="000000" w:themeColor="text1"/>
        </w:rPr>
        <w:t>., 2011). Other c</w:t>
      </w:r>
      <w:r w:rsidR="00B429DD" w:rsidRPr="00E34D69">
        <w:rPr>
          <w:rFonts w:ascii="Times New Roman" w:hAnsi="Times New Roman" w:cs="Times New Roman"/>
          <w:bCs/>
          <w:color w:val="000000" w:themeColor="text1"/>
        </w:rPr>
        <w:t>ommonly</w:t>
      </w:r>
      <w:r w:rsidR="008979CA">
        <w:rPr>
          <w:rFonts w:ascii="Times New Roman" w:hAnsi="Times New Roman" w:cs="Times New Roman"/>
          <w:bCs/>
          <w:color w:val="000000" w:themeColor="text1"/>
        </w:rPr>
        <w:t xml:space="preserve"> </w:t>
      </w:r>
      <w:r w:rsidR="00B429DD" w:rsidRPr="00B429DD">
        <w:rPr>
          <w:rFonts w:ascii="Times New Roman" w:hAnsi="Times New Roman" w:cs="Times New Roman"/>
        </w:rPr>
        <w:t xml:space="preserve">employed universal extractants include Mehlich-1, Mehlich-3, ammonium bicarbonate-diethylene triamine </w:t>
      </w:r>
      <w:proofErr w:type="spellStart"/>
      <w:r w:rsidR="00B429DD" w:rsidRPr="00B429DD">
        <w:rPr>
          <w:rFonts w:ascii="Times New Roman" w:hAnsi="Times New Roman" w:cs="Times New Roman"/>
        </w:rPr>
        <w:t>pentaacetic</w:t>
      </w:r>
      <w:proofErr w:type="spellEnd"/>
      <w:r w:rsidR="00B429DD" w:rsidRPr="00B429DD">
        <w:rPr>
          <w:rFonts w:ascii="Times New Roman" w:hAnsi="Times New Roman" w:cs="Times New Roman"/>
        </w:rPr>
        <w:t xml:space="preserve"> acid (AB-DTPA</w:t>
      </w:r>
      <w:r w:rsidR="00B429DD" w:rsidRPr="0087045E">
        <w:rPr>
          <w:rFonts w:ascii="Times New Roman" w:hAnsi="Times New Roman" w:cs="Times New Roman"/>
          <w:color w:val="000000"/>
        </w:rPr>
        <w:t>), calcium chloride (CaCl</w:t>
      </w:r>
      <w:r w:rsidR="00B429DD" w:rsidRPr="0087045E">
        <w:rPr>
          <w:rFonts w:ascii="Times New Roman" w:hAnsi="Times New Roman" w:cs="Times New Roman"/>
          <w:color w:val="000000"/>
          <w:vertAlign w:val="subscript"/>
        </w:rPr>
        <w:t>2</w:t>
      </w:r>
      <w:r w:rsidR="00B429DD" w:rsidRPr="0087045E">
        <w:rPr>
          <w:rFonts w:ascii="Times New Roman" w:hAnsi="Times New Roman" w:cs="Times New Roman"/>
          <w:color w:val="000000"/>
        </w:rPr>
        <w:t>), barium</w:t>
      </w:r>
      <w:r w:rsidR="00B429DD" w:rsidRPr="00B429DD">
        <w:rPr>
          <w:rFonts w:ascii="Times New Roman" w:hAnsi="Times New Roman" w:cs="Times New Roman"/>
        </w:rPr>
        <w:t xml:space="preserve"> chloride (BaCl</w:t>
      </w:r>
      <w:r w:rsidR="00B429DD" w:rsidRPr="00493242">
        <w:rPr>
          <w:rFonts w:ascii="Times New Roman" w:hAnsi="Times New Roman" w:cs="Times New Roman"/>
          <w:vertAlign w:val="subscript"/>
        </w:rPr>
        <w:t>2</w:t>
      </w:r>
      <w:r w:rsidR="00B429DD" w:rsidRPr="00B429DD">
        <w:rPr>
          <w:rFonts w:ascii="Times New Roman" w:hAnsi="Times New Roman" w:cs="Times New Roman"/>
        </w:rPr>
        <w:t xml:space="preserve">), and strontium chloride </w:t>
      </w:r>
      <w:r w:rsidR="00B429DD" w:rsidRPr="009B0801">
        <w:rPr>
          <w:rFonts w:ascii="Times New Roman" w:hAnsi="Times New Roman" w:cs="Times New Roman"/>
        </w:rPr>
        <w:t>(SrCl</w:t>
      </w:r>
      <w:r w:rsidR="00B429DD" w:rsidRPr="00493242">
        <w:rPr>
          <w:rFonts w:ascii="Times New Roman" w:hAnsi="Times New Roman" w:cs="Times New Roman"/>
          <w:vertAlign w:val="subscript"/>
        </w:rPr>
        <w:t>2</w:t>
      </w:r>
      <w:r w:rsidR="00B429DD" w:rsidRPr="008B4C96">
        <w:rPr>
          <w:rFonts w:ascii="Times New Roman" w:hAnsi="Times New Roman" w:cs="Times New Roman"/>
        </w:rPr>
        <w:t>)</w:t>
      </w:r>
      <w:r w:rsidR="009B0801" w:rsidRPr="008B4C96">
        <w:rPr>
          <w:rFonts w:ascii="Times New Roman" w:hAnsi="Times New Roman" w:cs="Times New Roman"/>
        </w:rPr>
        <w:t xml:space="preserve"> (</w:t>
      </w:r>
      <w:r w:rsidR="008B4C96" w:rsidRPr="008B4C96">
        <w:rPr>
          <w:rFonts w:ascii="Times New Roman" w:hAnsi="Times New Roman" w:cs="Times New Roman"/>
        </w:rPr>
        <w:t>Alva</w:t>
      </w:r>
      <w:r w:rsidR="00943B7A">
        <w:rPr>
          <w:rFonts w:ascii="Times New Roman" w:hAnsi="Times New Roman" w:cs="Times New Roman"/>
        </w:rPr>
        <w:t>,</w:t>
      </w:r>
      <w:r w:rsidR="008B4C96" w:rsidRPr="008B4C96">
        <w:rPr>
          <w:rFonts w:ascii="Times New Roman" w:hAnsi="Times New Roman" w:cs="Times New Roman"/>
        </w:rPr>
        <w:t xml:space="preserve"> 1993; </w:t>
      </w:r>
      <w:r w:rsidR="009B0801" w:rsidRPr="008B4C96">
        <w:rPr>
          <w:rFonts w:ascii="Times New Roman" w:hAnsi="Times New Roman" w:cs="Times New Roman"/>
        </w:rPr>
        <w:t>van Raij</w:t>
      </w:r>
      <w:r w:rsidR="00943B7A">
        <w:rPr>
          <w:rFonts w:ascii="Times New Roman" w:hAnsi="Times New Roman" w:cs="Times New Roman"/>
        </w:rPr>
        <w:t xml:space="preserve">, </w:t>
      </w:r>
      <w:r w:rsidR="009B0801" w:rsidRPr="009B0801">
        <w:rPr>
          <w:rFonts w:ascii="Times New Roman" w:hAnsi="Times New Roman" w:cs="Times New Roman"/>
        </w:rPr>
        <w:t xml:space="preserve">1994; Iatrou </w:t>
      </w:r>
      <w:r w:rsidR="009B0801" w:rsidRPr="00EC0D2D">
        <w:rPr>
          <w:rFonts w:ascii="Times New Roman" w:hAnsi="Times New Roman" w:cs="Times New Roman"/>
          <w:i/>
          <w:iCs/>
        </w:rPr>
        <w:t>et al.</w:t>
      </w:r>
      <w:r w:rsidR="00EC0D2D" w:rsidRPr="00EC0D2D">
        <w:rPr>
          <w:rFonts w:ascii="Times New Roman" w:hAnsi="Times New Roman" w:cs="Times New Roman"/>
          <w:i/>
          <w:iCs/>
        </w:rPr>
        <w:t>,</w:t>
      </w:r>
      <w:r w:rsidR="009B0801" w:rsidRPr="009B0801">
        <w:rPr>
          <w:rFonts w:ascii="Times New Roman" w:hAnsi="Times New Roman" w:cs="Times New Roman"/>
        </w:rPr>
        <w:t xml:space="preserve"> 2015; Ma </w:t>
      </w:r>
      <w:r w:rsidR="009B0801" w:rsidRPr="00EC0D2D">
        <w:rPr>
          <w:rFonts w:ascii="Times New Roman" w:hAnsi="Times New Roman" w:cs="Times New Roman"/>
          <w:i/>
          <w:iCs/>
        </w:rPr>
        <w:t>et al.</w:t>
      </w:r>
      <w:r w:rsidR="00EC0D2D" w:rsidRPr="00EC0D2D">
        <w:rPr>
          <w:rFonts w:ascii="Times New Roman" w:hAnsi="Times New Roman" w:cs="Times New Roman"/>
          <w:i/>
          <w:iCs/>
        </w:rPr>
        <w:t>,</w:t>
      </w:r>
      <w:r w:rsidR="009B0801" w:rsidRPr="009B0801">
        <w:rPr>
          <w:rFonts w:ascii="Times New Roman" w:hAnsi="Times New Roman" w:cs="Times New Roman"/>
        </w:rPr>
        <w:t xml:space="preserve"> 2020;</w:t>
      </w:r>
      <w:r w:rsidR="00943B7A">
        <w:rPr>
          <w:rFonts w:ascii="Times New Roman" w:hAnsi="Times New Roman" w:cs="Times New Roman"/>
        </w:rPr>
        <w:t xml:space="preserve"> </w:t>
      </w:r>
      <w:r w:rsidR="009B0801" w:rsidRPr="009B0801">
        <w:rPr>
          <w:rFonts w:ascii="Times New Roman" w:hAnsi="Times New Roman" w:cs="Times New Roman"/>
        </w:rPr>
        <w:t>Jones</w:t>
      </w:r>
      <w:r w:rsidR="00943B7A">
        <w:rPr>
          <w:rFonts w:ascii="Times New Roman" w:hAnsi="Times New Roman" w:cs="Times New Roman"/>
        </w:rPr>
        <w:t>,</w:t>
      </w:r>
      <w:r w:rsidR="009B0801" w:rsidRPr="009B0801">
        <w:rPr>
          <w:rFonts w:ascii="Times New Roman" w:hAnsi="Times New Roman" w:cs="Times New Roman"/>
        </w:rPr>
        <w:t xml:space="preserve"> 1990). </w:t>
      </w:r>
      <w:r w:rsidR="00B429DD" w:rsidRPr="00B429DD">
        <w:rPr>
          <w:rFonts w:ascii="Times New Roman" w:hAnsi="Times New Roman" w:cs="Times New Roman"/>
        </w:rPr>
        <w:t>Mehlich-3</w:t>
      </w:r>
      <w:r w:rsidR="008B4C96">
        <w:rPr>
          <w:rFonts w:ascii="Times New Roman" w:hAnsi="Times New Roman" w:cs="Times New Roman"/>
        </w:rPr>
        <w:t xml:space="preserve"> (</w:t>
      </w:r>
      <w:r w:rsidR="008B4C96" w:rsidRPr="008B4C96">
        <w:rPr>
          <w:rFonts w:ascii="Times New Roman" w:hAnsi="Times New Roman" w:cs="Times New Roman"/>
        </w:rPr>
        <w:t>Mehlich1984</w:t>
      </w:r>
      <w:r w:rsidR="008B4C96">
        <w:rPr>
          <w:rFonts w:ascii="Times New Roman" w:hAnsi="Times New Roman" w:cs="Times New Roman"/>
        </w:rPr>
        <w:t>)</w:t>
      </w:r>
      <w:r w:rsidR="00B429DD" w:rsidRPr="00B429DD">
        <w:rPr>
          <w:rFonts w:ascii="Times New Roman" w:hAnsi="Times New Roman" w:cs="Times New Roman"/>
        </w:rPr>
        <w:t xml:space="preserve">, in particular, has been of interest to researchers because of its capacity to extract both macro and micronutrients across varying soil </w:t>
      </w:r>
      <w:r w:rsidR="00B429DD" w:rsidRPr="008B4C96">
        <w:rPr>
          <w:rFonts w:ascii="Times New Roman" w:hAnsi="Times New Roman" w:cs="Times New Roman"/>
        </w:rPr>
        <w:t>conditions</w:t>
      </w:r>
      <w:r w:rsidR="00A10BED">
        <w:rPr>
          <w:rFonts w:ascii="Times New Roman" w:hAnsi="Times New Roman" w:cs="Times New Roman"/>
        </w:rPr>
        <w:t xml:space="preserve"> </w:t>
      </w:r>
      <w:r w:rsidR="008B4C96" w:rsidRPr="008B4C96">
        <w:rPr>
          <w:rFonts w:ascii="Times New Roman" w:hAnsi="Times New Roman" w:cs="Times New Roman"/>
        </w:rPr>
        <w:t>(</w:t>
      </w:r>
      <w:r w:rsidR="008B4C96">
        <w:rPr>
          <w:rFonts w:ascii="Times New Roman" w:hAnsi="Times New Roman" w:cs="Times New Roman"/>
        </w:rPr>
        <w:t>Sims</w:t>
      </w:r>
      <w:r w:rsidR="00943B7A">
        <w:rPr>
          <w:rFonts w:ascii="Times New Roman" w:hAnsi="Times New Roman" w:cs="Times New Roman"/>
        </w:rPr>
        <w:t>,</w:t>
      </w:r>
      <w:r w:rsidR="008B4C96">
        <w:rPr>
          <w:rFonts w:ascii="Times New Roman" w:hAnsi="Times New Roman" w:cs="Times New Roman"/>
        </w:rPr>
        <w:t xml:space="preserve"> 1989; </w:t>
      </w:r>
      <w:proofErr w:type="spellStart"/>
      <w:r w:rsidR="008B4C96" w:rsidRPr="008B4C96">
        <w:rPr>
          <w:rFonts w:ascii="Times New Roman" w:hAnsi="Times New Roman" w:cs="Times New Roman"/>
        </w:rPr>
        <w:t>Antonangelo</w:t>
      </w:r>
      <w:proofErr w:type="spellEnd"/>
      <w:r w:rsidR="008979CA">
        <w:rPr>
          <w:rFonts w:ascii="Times New Roman" w:hAnsi="Times New Roman" w:cs="Times New Roman"/>
        </w:rPr>
        <w:t xml:space="preserve"> </w:t>
      </w:r>
      <w:r w:rsidR="008B4C96" w:rsidRPr="00EC0D2D">
        <w:rPr>
          <w:rFonts w:ascii="Times New Roman" w:hAnsi="Times New Roman" w:cs="Times New Roman"/>
          <w:i/>
          <w:iCs/>
        </w:rPr>
        <w:t>et al.</w:t>
      </w:r>
      <w:r w:rsidR="00EC0D2D" w:rsidRPr="00EC0D2D">
        <w:rPr>
          <w:rFonts w:ascii="Times New Roman" w:hAnsi="Times New Roman" w:cs="Times New Roman"/>
          <w:i/>
          <w:iCs/>
        </w:rPr>
        <w:t>,</w:t>
      </w:r>
      <w:r w:rsidR="008B4C96" w:rsidRPr="008B4C96">
        <w:rPr>
          <w:rFonts w:ascii="Times New Roman" w:hAnsi="Times New Roman" w:cs="Times New Roman"/>
        </w:rPr>
        <w:t xml:space="preserve"> 2022; Gürbüz</w:t>
      </w:r>
      <w:r w:rsidR="00943B7A">
        <w:rPr>
          <w:rFonts w:ascii="Times New Roman" w:hAnsi="Times New Roman" w:cs="Times New Roman"/>
        </w:rPr>
        <w:t>,</w:t>
      </w:r>
      <w:r w:rsidR="008B4C96" w:rsidRPr="008B4C96">
        <w:rPr>
          <w:rFonts w:ascii="Times New Roman" w:hAnsi="Times New Roman" w:cs="Times New Roman"/>
        </w:rPr>
        <w:t xml:space="preserve"> 2025; Korzeniowska </w:t>
      </w:r>
      <w:r w:rsidR="008B4C96" w:rsidRPr="00EC0D2D">
        <w:rPr>
          <w:rFonts w:ascii="Times New Roman" w:hAnsi="Times New Roman" w:cs="Times New Roman"/>
          <w:i/>
          <w:iCs/>
        </w:rPr>
        <w:t>et al</w:t>
      </w:r>
      <w:r w:rsidR="00EC0D2D" w:rsidRPr="00EC0D2D">
        <w:rPr>
          <w:rFonts w:ascii="Times New Roman" w:hAnsi="Times New Roman" w:cs="Times New Roman"/>
          <w:i/>
          <w:iCs/>
        </w:rPr>
        <w:t>.,</w:t>
      </w:r>
      <w:r w:rsidR="008B4C96" w:rsidRPr="008B4C96">
        <w:rPr>
          <w:rFonts w:ascii="Times New Roman" w:hAnsi="Times New Roman" w:cs="Times New Roman"/>
        </w:rPr>
        <w:t xml:space="preserve"> 2025). </w:t>
      </w:r>
      <w:r w:rsidR="00B429DD" w:rsidRPr="008B4C96">
        <w:rPr>
          <w:rFonts w:ascii="Times New Roman" w:hAnsi="Times New Roman" w:cs="Times New Roman"/>
        </w:rPr>
        <w:t>This is</w:t>
      </w:r>
      <w:r w:rsidR="00B429DD" w:rsidRPr="00B429DD">
        <w:rPr>
          <w:rFonts w:ascii="Times New Roman" w:hAnsi="Times New Roman" w:cs="Times New Roman"/>
        </w:rPr>
        <w:t xml:space="preserve"> due to the combined action of weak acids, fluoride ions, and chelating agents within </w:t>
      </w:r>
      <w:r w:rsidR="00B429DD" w:rsidRPr="00B429DD">
        <w:rPr>
          <w:rFonts w:ascii="Times New Roman" w:hAnsi="Times New Roman" w:cs="Times New Roman"/>
        </w:rPr>
        <w:lastRenderedPageBreak/>
        <w:t>the Mehlich-3 extract. In a similar form, AB-DTPA</w:t>
      </w:r>
      <w:r w:rsidR="001213BD">
        <w:rPr>
          <w:rFonts w:ascii="Times New Roman" w:hAnsi="Times New Roman" w:cs="Times New Roman"/>
        </w:rPr>
        <w:t xml:space="preserve"> has</w:t>
      </w:r>
      <w:r w:rsidR="00B429DD" w:rsidRPr="00B429DD">
        <w:rPr>
          <w:rFonts w:ascii="Times New Roman" w:hAnsi="Times New Roman" w:cs="Times New Roman"/>
        </w:rPr>
        <w:t xml:space="preserve"> indicated its effectiveness in the extraction of </w:t>
      </w:r>
      <w:r w:rsidR="00B429DD" w:rsidRPr="00CA035A">
        <w:rPr>
          <w:rFonts w:ascii="Times New Roman" w:hAnsi="Times New Roman" w:cs="Times New Roman"/>
        </w:rPr>
        <w:t>micronutrients via chelation and buffered dissolution mechanisms</w:t>
      </w:r>
      <w:r w:rsidR="009E6C1E" w:rsidRPr="00CA035A">
        <w:rPr>
          <w:rFonts w:ascii="Times New Roman" w:hAnsi="Times New Roman" w:cs="Times New Roman"/>
        </w:rPr>
        <w:t xml:space="preserve"> (Zhu and Alva</w:t>
      </w:r>
      <w:r w:rsidR="001213BD">
        <w:rPr>
          <w:rFonts w:ascii="Times New Roman" w:hAnsi="Times New Roman" w:cs="Times New Roman"/>
        </w:rPr>
        <w:t>,</w:t>
      </w:r>
      <w:r w:rsidR="009E6C1E" w:rsidRPr="00CA035A">
        <w:rPr>
          <w:rFonts w:ascii="Times New Roman" w:hAnsi="Times New Roman" w:cs="Times New Roman"/>
        </w:rPr>
        <w:t xml:space="preserve"> 1993</w:t>
      </w:r>
      <w:r w:rsidR="001D5C09" w:rsidRPr="00CA035A">
        <w:rPr>
          <w:rFonts w:ascii="Times New Roman" w:hAnsi="Times New Roman" w:cs="Times New Roman"/>
        </w:rPr>
        <w:t xml:space="preserve">; Or </w:t>
      </w:r>
      <w:r w:rsidR="001D5C09" w:rsidRPr="00EC0D2D">
        <w:rPr>
          <w:rFonts w:ascii="Times New Roman" w:hAnsi="Times New Roman" w:cs="Times New Roman"/>
          <w:i/>
          <w:iCs/>
        </w:rPr>
        <w:t>et al</w:t>
      </w:r>
      <w:r w:rsidR="00EC0D2D" w:rsidRPr="00EC0D2D">
        <w:rPr>
          <w:rFonts w:ascii="Times New Roman" w:hAnsi="Times New Roman" w:cs="Times New Roman"/>
          <w:i/>
          <w:iCs/>
        </w:rPr>
        <w:t>.,</w:t>
      </w:r>
      <w:r w:rsidR="001D5C09" w:rsidRPr="00CA035A">
        <w:rPr>
          <w:rFonts w:ascii="Times New Roman" w:hAnsi="Times New Roman" w:cs="Times New Roman"/>
        </w:rPr>
        <w:t xml:space="preserve"> 2020; Sharma </w:t>
      </w:r>
      <w:r w:rsidR="001D5C09" w:rsidRPr="00EC0D2D">
        <w:rPr>
          <w:rFonts w:ascii="Times New Roman" w:hAnsi="Times New Roman" w:cs="Times New Roman"/>
          <w:i/>
          <w:iCs/>
        </w:rPr>
        <w:t>et al.</w:t>
      </w:r>
      <w:r w:rsidR="00EC0D2D" w:rsidRPr="00EC0D2D">
        <w:rPr>
          <w:rFonts w:ascii="Times New Roman" w:hAnsi="Times New Roman" w:cs="Times New Roman"/>
          <w:i/>
          <w:iCs/>
        </w:rPr>
        <w:t>,</w:t>
      </w:r>
      <w:r w:rsidR="001D5C09" w:rsidRPr="00CA035A">
        <w:rPr>
          <w:rFonts w:ascii="Times New Roman" w:hAnsi="Times New Roman" w:cs="Times New Roman"/>
        </w:rPr>
        <w:t xml:space="preserve"> 2025)</w:t>
      </w:r>
      <w:r w:rsidR="00B429DD" w:rsidRPr="00CA035A">
        <w:rPr>
          <w:rFonts w:ascii="Times New Roman" w:hAnsi="Times New Roman" w:cs="Times New Roman"/>
        </w:rPr>
        <w:t>.</w:t>
      </w:r>
      <w:r w:rsidR="00B429DD" w:rsidRPr="00B429DD">
        <w:rPr>
          <w:rFonts w:ascii="Times New Roman" w:hAnsi="Times New Roman" w:cs="Times New Roman"/>
        </w:rPr>
        <w:t xml:space="preserve"> The efficiency of these extractants, however, is dependent on soil pH, mineral composition, organic matter content, and nutrient forms present within the soil </w:t>
      </w:r>
      <w:r w:rsidR="00B429DD" w:rsidRPr="007F2ED3">
        <w:rPr>
          <w:rFonts w:ascii="Times New Roman" w:hAnsi="Times New Roman" w:cs="Times New Roman"/>
        </w:rPr>
        <w:t>matrix</w:t>
      </w:r>
      <w:r w:rsidR="007F2ED3" w:rsidRPr="007F2ED3">
        <w:rPr>
          <w:rFonts w:ascii="Times New Roman" w:hAnsi="Times New Roman" w:cs="Times New Roman"/>
        </w:rPr>
        <w:t xml:space="preserve"> (</w:t>
      </w:r>
      <w:proofErr w:type="spellStart"/>
      <w:r w:rsidR="007F2ED3" w:rsidRPr="007F2ED3">
        <w:rPr>
          <w:rFonts w:ascii="Times New Roman" w:hAnsi="Times New Roman" w:cs="Times New Roman"/>
        </w:rPr>
        <w:t>Jahiruddin</w:t>
      </w:r>
      <w:proofErr w:type="spellEnd"/>
      <w:r w:rsidR="008979CA">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1992; Jalali</w:t>
      </w:r>
      <w:r w:rsidR="001213BD">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2022; </w:t>
      </w:r>
      <w:proofErr w:type="spellStart"/>
      <w:r w:rsidR="007F2ED3" w:rsidRPr="007F2ED3">
        <w:rPr>
          <w:rFonts w:ascii="Times New Roman" w:hAnsi="Times New Roman" w:cs="Times New Roman"/>
        </w:rPr>
        <w:t>Tziouvalekas</w:t>
      </w:r>
      <w:proofErr w:type="spellEnd"/>
      <w:r w:rsidR="008979CA">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2024).</w:t>
      </w:r>
      <w:r w:rsidR="00B429DD" w:rsidRPr="00B429DD">
        <w:rPr>
          <w:rFonts w:ascii="Times New Roman" w:hAnsi="Times New Roman" w:cs="Times New Roman"/>
        </w:rPr>
        <w:t xml:space="preserve"> The performance of these extractants may therefore differ substantially within acidic tropical soils that are characterized by strong phosphorus fixation and high iron oxide contents.</w:t>
      </w:r>
    </w:p>
    <w:p w14:paraId="2C665A23"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Despite the increasing interest in universal extractants, research on their suitability for assessing concentrations of available potassium, phosphorus, iron, and manganese in effluent-amended tropical soils is limited. Most previous calibration studies using these extractions were conducted under temperate soil conditions, with relatively few studies focusing on the high-weathered soils of the humid tropical zones. In addition, the behavior of nutrients within soils amended with cassava mill and palm oil mill effluent across contrasting parent materials has not been adequately characterized. The interactions between organic constituents in effluent-amended soils and minerals within tropical soils may alter nutrient availability and extraction effectiveness, impacting the reliability of analytical results obtained from universal extractants.</w:t>
      </w:r>
    </w:p>
    <w:p w14:paraId="6D9CBC64" w14:textId="77777777" w:rsidR="00512167"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This </w:t>
      </w:r>
      <w:r w:rsidR="00EC0D2D">
        <w:rPr>
          <w:rFonts w:ascii="Times New Roman" w:hAnsi="Times New Roman" w:cs="Times New Roman"/>
        </w:rPr>
        <w:t>research</w:t>
      </w:r>
      <w:r w:rsidRPr="00B429DD">
        <w:rPr>
          <w:rFonts w:ascii="Times New Roman" w:hAnsi="Times New Roman" w:cs="Times New Roman"/>
        </w:rPr>
        <w:t xml:space="preserve">, therefore, aimed to assess selected universal extractants to determine the concentrations of available potassium, phosphorus, iron, and manganese within soils amended with cassava mill and palm oil mill effluents across the major parent materials in Akwa Ibom State, </w:t>
      </w:r>
      <w:r w:rsidRPr="0087045E">
        <w:rPr>
          <w:rFonts w:ascii="Times New Roman" w:hAnsi="Times New Roman" w:cs="Times New Roman"/>
          <w:color w:val="000000"/>
        </w:rPr>
        <w:t>Nigeria. Th</w:t>
      </w:r>
      <w:r w:rsidR="00EC0D2D" w:rsidRPr="0087045E">
        <w:rPr>
          <w:rFonts w:ascii="Times New Roman" w:hAnsi="Times New Roman" w:cs="Times New Roman"/>
          <w:color w:val="000000"/>
        </w:rPr>
        <w:t>is</w:t>
      </w:r>
      <w:r w:rsidR="00A10BED">
        <w:rPr>
          <w:rFonts w:ascii="Times New Roman" w:hAnsi="Times New Roman" w:cs="Times New Roman"/>
          <w:color w:val="000000"/>
        </w:rPr>
        <w:t xml:space="preserve"> </w:t>
      </w:r>
      <w:r w:rsidR="00EC0D2D" w:rsidRPr="0087045E">
        <w:rPr>
          <w:rFonts w:ascii="Times New Roman" w:hAnsi="Times New Roman" w:cs="Times New Roman"/>
          <w:color w:val="000000"/>
        </w:rPr>
        <w:t>research</w:t>
      </w:r>
      <w:r w:rsidRPr="0087045E">
        <w:rPr>
          <w:rFonts w:ascii="Times New Roman" w:hAnsi="Times New Roman" w:cs="Times New Roman"/>
          <w:color w:val="000000"/>
        </w:rPr>
        <w:t xml:space="preserve"> will also</w:t>
      </w:r>
      <w:r w:rsidRPr="00B429DD">
        <w:rPr>
          <w:rFonts w:ascii="Times New Roman" w:hAnsi="Times New Roman" w:cs="Times New Roman"/>
        </w:rPr>
        <w:t xml:space="preserve"> assess the interrelationship between </w:t>
      </w:r>
      <w:r>
        <w:rPr>
          <w:rFonts w:ascii="Times New Roman" w:hAnsi="Times New Roman" w:cs="Times New Roman"/>
        </w:rPr>
        <w:t>t</w:t>
      </w:r>
      <w:r w:rsidRPr="00B429DD">
        <w:rPr>
          <w:rFonts w:ascii="Times New Roman" w:hAnsi="Times New Roman" w:cs="Times New Roman"/>
        </w:rPr>
        <w:t>he extractable nutrient concentration</w:t>
      </w:r>
      <w:r w:rsidR="00F94544">
        <w:rPr>
          <w:rFonts w:ascii="Times New Roman" w:hAnsi="Times New Roman" w:cs="Times New Roman"/>
        </w:rPr>
        <w:t>s</w:t>
      </w:r>
      <w:r w:rsidRPr="00B429DD">
        <w:rPr>
          <w:rFonts w:ascii="Times New Roman" w:hAnsi="Times New Roman" w:cs="Times New Roman"/>
        </w:rPr>
        <w:t xml:space="preserve"> and soil physicochemical properties, with the overall goal of identifying extractants that are more suitable for use in nutrient assessments within effluent-affected tropical soils. The novelty of th</w:t>
      </w:r>
      <w:r w:rsidR="00EC0D2D">
        <w:rPr>
          <w:rFonts w:ascii="Times New Roman" w:hAnsi="Times New Roman" w:cs="Times New Roman"/>
        </w:rPr>
        <w:t>is research</w:t>
      </w:r>
      <w:r w:rsidRPr="00B429DD">
        <w:rPr>
          <w:rFonts w:ascii="Times New Roman" w:hAnsi="Times New Roman" w:cs="Times New Roman"/>
        </w:rPr>
        <w:t xml:space="preserve"> lies in the integrated </w:t>
      </w:r>
      <w:r w:rsidR="00EC0D2D">
        <w:rPr>
          <w:rFonts w:ascii="Times New Roman" w:hAnsi="Times New Roman" w:cs="Times New Roman"/>
        </w:rPr>
        <w:t>assessment</w:t>
      </w:r>
      <w:r w:rsidRPr="00B429DD">
        <w:rPr>
          <w:rFonts w:ascii="Times New Roman" w:hAnsi="Times New Roman" w:cs="Times New Roman"/>
        </w:rPr>
        <w:t xml:space="preserve"> of universal extractants across contrasting tropical parent materials that are under agro-industrial effluent influence</w:t>
      </w:r>
      <w:r w:rsidR="00EC0D2D">
        <w:rPr>
          <w:rFonts w:ascii="Times New Roman" w:hAnsi="Times New Roman" w:cs="Times New Roman"/>
        </w:rPr>
        <w:t xml:space="preserve">, </w:t>
      </w:r>
      <w:r w:rsidR="00F26C77" w:rsidRPr="00B429DD">
        <w:rPr>
          <w:rFonts w:ascii="Times New Roman" w:hAnsi="Times New Roman" w:cs="Times New Roman"/>
        </w:rPr>
        <w:t>provid</w:t>
      </w:r>
      <w:r w:rsidR="00EC0D2D">
        <w:rPr>
          <w:rFonts w:ascii="Times New Roman" w:hAnsi="Times New Roman" w:cs="Times New Roman"/>
        </w:rPr>
        <w:t>ing</w:t>
      </w:r>
      <w:r w:rsidR="008979CA">
        <w:rPr>
          <w:rFonts w:ascii="Times New Roman" w:hAnsi="Times New Roman" w:cs="Times New Roman"/>
        </w:rPr>
        <w:t xml:space="preserve"> </w:t>
      </w:r>
      <w:r w:rsidR="00F26C77" w:rsidRPr="0087045E">
        <w:rPr>
          <w:rFonts w:ascii="Times New Roman" w:hAnsi="Times New Roman" w:cs="Times New Roman"/>
          <w:color w:val="000000"/>
        </w:rPr>
        <w:t>comparative</w:t>
      </w:r>
      <w:r w:rsidR="008979CA">
        <w:rPr>
          <w:rFonts w:ascii="Times New Roman" w:hAnsi="Times New Roman" w:cs="Times New Roman"/>
          <w:color w:val="000000"/>
        </w:rPr>
        <w:t xml:space="preserve"> </w:t>
      </w:r>
      <w:r w:rsidRPr="0087045E">
        <w:rPr>
          <w:rFonts w:ascii="Times New Roman" w:hAnsi="Times New Roman" w:cs="Times New Roman"/>
          <w:color w:val="000000"/>
        </w:rPr>
        <w:t>assessments of multi-nutrient extractants for macro- and micro</w:t>
      </w:r>
      <w:r w:rsidR="00EC0D2D" w:rsidRPr="0087045E">
        <w:rPr>
          <w:rFonts w:ascii="Times New Roman" w:hAnsi="Times New Roman" w:cs="Times New Roman"/>
          <w:color w:val="000000"/>
        </w:rPr>
        <w:t>-</w:t>
      </w:r>
      <w:r w:rsidRPr="0087045E">
        <w:rPr>
          <w:rFonts w:ascii="Times New Roman" w:hAnsi="Times New Roman" w:cs="Times New Roman"/>
          <w:color w:val="000000"/>
        </w:rPr>
        <w:t>nutrient recovery in southeastern Nigerian soils. The findings of th</w:t>
      </w:r>
      <w:r w:rsidR="00EC0D2D" w:rsidRPr="0087045E">
        <w:rPr>
          <w:rFonts w:ascii="Times New Roman" w:hAnsi="Times New Roman" w:cs="Times New Roman"/>
          <w:color w:val="000000"/>
        </w:rPr>
        <w:t>e</w:t>
      </w:r>
      <w:r w:rsidR="00E317EF" w:rsidRPr="0087045E">
        <w:rPr>
          <w:rFonts w:ascii="Times New Roman" w:hAnsi="Times New Roman" w:cs="Times New Roman"/>
          <w:color w:val="000000"/>
        </w:rPr>
        <w:t xml:space="preserve"> research </w:t>
      </w:r>
      <w:r w:rsidR="00EC0D2D" w:rsidRPr="0087045E">
        <w:rPr>
          <w:rFonts w:ascii="Times New Roman" w:hAnsi="Times New Roman" w:cs="Times New Roman"/>
          <w:color w:val="000000"/>
        </w:rPr>
        <w:t>will</w:t>
      </w:r>
      <w:r w:rsidRPr="0087045E">
        <w:rPr>
          <w:rFonts w:ascii="Times New Roman" w:hAnsi="Times New Roman" w:cs="Times New Roman"/>
          <w:color w:val="000000"/>
        </w:rPr>
        <w:t xml:space="preserve"> contribute to an improved understanding of nutrient extractability and soil fertility evaluation in tropical</w:t>
      </w:r>
      <w:r w:rsidRPr="00B429DD">
        <w:rPr>
          <w:rFonts w:ascii="Times New Roman" w:hAnsi="Times New Roman" w:cs="Times New Roman"/>
        </w:rPr>
        <w:t xml:space="preserve"> agroecosystems impacted by agro-industrial wastes.</w:t>
      </w:r>
    </w:p>
    <w:p w14:paraId="30F433B4" w14:textId="77777777" w:rsidR="00A10BED" w:rsidRPr="009A3EAF" w:rsidRDefault="00A10BED" w:rsidP="00B429DD">
      <w:pPr>
        <w:spacing w:after="0" w:line="360" w:lineRule="auto"/>
        <w:ind w:firstLine="720"/>
        <w:jc w:val="both"/>
        <w:rPr>
          <w:rFonts w:ascii="Times New Roman" w:hAnsi="Times New Roman" w:cs="Times New Roman"/>
        </w:rPr>
      </w:pPr>
    </w:p>
    <w:p w14:paraId="23703F1C"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MATERIALS AND METHODS</w:t>
      </w:r>
    </w:p>
    <w:p w14:paraId="2431C9EC"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Study Area</w:t>
      </w:r>
    </w:p>
    <w:p w14:paraId="251C37C8" w14:textId="77777777" w:rsidR="009F1624" w:rsidRDefault="009F1624" w:rsidP="009F1624">
      <w:pPr>
        <w:spacing w:after="0" w:line="360" w:lineRule="auto"/>
        <w:jc w:val="both"/>
        <w:rPr>
          <w:rFonts w:ascii="Times New Roman" w:hAnsi="Times New Roman" w:cs="Times New Roman"/>
        </w:rPr>
      </w:pPr>
      <w:r w:rsidRPr="009F1624">
        <w:rPr>
          <w:rFonts w:ascii="Times New Roman" w:hAnsi="Times New Roman" w:cs="Times New Roman"/>
        </w:rPr>
        <w:lastRenderedPageBreak/>
        <w:t xml:space="preserve">This research was undertaken in </w:t>
      </w:r>
      <w:proofErr w:type="spellStart"/>
      <w:r w:rsidRPr="009F1624">
        <w:rPr>
          <w:rFonts w:ascii="Times New Roman" w:hAnsi="Times New Roman" w:cs="Times New Roman"/>
        </w:rPr>
        <w:t>Uyo</w:t>
      </w:r>
      <w:proofErr w:type="spellEnd"/>
      <w:r w:rsidRPr="009F1624">
        <w:rPr>
          <w:rFonts w:ascii="Times New Roman" w:hAnsi="Times New Roman" w:cs="Times New Roman"/>
        </w:rPr>
        <w:t>, Ini, and Ikot Abasi Local Government Areas of Akwa Ibom State</w:t>
      </w:r>
      <w:r w:rsidR="005619AB">
        <w:rPr>
          <w:rFonts w:ascii="Times New Roman" w:hAnsi="Times New Roman" w:cs="Times New Roman"/>
        </w:rPr>
        <w:t xml:space="preserve"> (Figure 1)</w:t>
      </w:r>
      <w:r w:rsidRPr="009F1624">
        <w:rPr>
          <w:rFonts w:ascii="Times New Roman" w:hAnsi="Times New Roman" w:cs="Times New Roman"/>
        </w:rPr>
        <w:t>. The State is situated within the humid tropical region of southern Nigeria, lying between latitudes 4°30′ and 5°30′ N and longitudes 7°30′ and 8°20′. It has an area of approximately 8,412 km².</w:t>
      </w:r>
    </w:p>
    <w:p w14:paraId="4694AD5A" w14:textId="77777777" w:rsidR="00DC66F2" w:rsidRDefault="00DC66F2" w:rsidP="009F1624">
      <w:pPr>
        <w:spacing w:after="0" w:line="360" w:lineRule="auto"/>
        <w:jc w:val="both"/>
        <w:rPr>
          <w:rFonts w:ascii="Times New Roman" w:hAnsi="Times New Roman" w:cs="Times New Roman"/>
        </w:rPr>
      </w:pPr>
    </w:p>
    <w:p w14:paraId="50CB2A4A" w14:textId="77777777" w:rsidR="00DC66F2" w:rsidRDefault="00DC66F2" w:rsidP="009F1624">
      <w:pPr>
        <w:spacing w:after="0" w:line="360" w:lineRule="auto"/>
        <w:jc w:val="both"/>
        <w:rPr>
          <w:rFonts w:ascii="Times New Roman" w:hAnsi="Times New Roman" w:cs="Times New Roman"/>
        </w:rPr>
      </w:pPr>
    </w:p>
    <w:p w14:paraId="1D22357F" w14:textId="77777777" w:rsidR="00DC66F2" w:rsidRDefault="00DC66F2" w:rsidP="009F1624">
      <w:pPr>
        <w:spacing w:after="0" w:line="360" w:lineRule="auto"/>
        <w:jc w:val="both"/>
        <w:rPr>
          <w:rFonts w:ascii="Times New Roman" w:hAnsi="Times New Roman" w:cs="Times New Roman"/>
        </w:rPr>
      </w:pPr>
    </w:p>
    <w:p w14:paraId="446B1018" w14:textId="77777777" w:rsidR="00DC66F2" w:rsidRDefault="00DC66F2" w:rsidP="009F1624">
      <w:pPr>
        <w:spacing w:after="0" w:line="360" w:lineRule="auto"/>
        <w:jc w:val="both"/>
        <w:rPr>
          <w:rFonts w:ascii="Times New Roman" w:hAnsi="Times New Roman" w:cs="Times New Roman"/>
        </w:rPr>
      </w:pPr>
    </w:p>
    <w:p w14:paraId="5A554315" w14:textId="77777777" w:rsidR="00DC66F2" w:rsidRDefault="00DC66F2" w:rsidP="009F1624">
      <w:pPr>
        <w:spacing w:after="0" w:line="360" w:lineRule="auto"/>
        <w:jc w:val="both"/>
        <w:rPr>
          <w:rFonts w:ascii="Times New Roman" w:hAnsi="Times New Roman" w:cs="Times New Roman"/>
        </w:rPr>
      </w:pPr>
    </w:p>
    <w:p w14:paraId="13FB58B8" w14:textId="77777777" w:rsidR="005619AB" w:rsidRPr="004435AE" w:rsidRDefault="005619AB" w:rsidP="005619AB">
      <w:pPr>
        <w:pStyle w:val="ListParagraph"/>
        <w:spacing w:after="0" w:line="480" w:lineRule="auto"/>
        <w:ind w:left="360"/>
        <w:jc w:val="both"/>
        <w:rPr>
          <w:rFonts w:ascii="Times New Roman" w:hAnsi="Times New Roman" w:cs="Times New Roman"/>
        </w:rPr>
      </w:pPr>
      <w:r>
        <w:rPr>
          <w:rFonts w:ascii="Times New Roman" w:hAnsi="Times New Roman" w:cs="Times New Roman"/>
          <w:noProof/>
        </w:rPr>
        <w:lastRenderedPageBreak/>
        <w:drawing>
          <wp:inline distT="0" distB="0" distL="0" distR="0" wp14:anchorId="27630811" wp14:editId="1D393990">
            <wp:extent cx="5596890" cy="6858635"/>
            <wp:effectExtent l="0" t="0" r="0" b="0"/>
            <wp:docPr id="14470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6890" cy="6858635"/>
                    </a:xfrm>
                    <a:prstGeom prst="rect">
                      <a:avLst/>
                    </a:prstGeom>
                    <a:noFill/>
                  </pic:spPr>
                </pic:pic>
              </a:graphicData>
            </a:graphic>
          </wp:inline>
        </w:drawing>
      </w:r>
    </w:p>
    <w:p w14:paraId="2C874763" w14:textId="77777777" w:rsidR="005619AB" w:rsidRDefault="005619AB" w:rsidP="005619AB">
      <w:pPr>
        <w:spacing w:after="0" w:line="240" w:lineRule="auto"/>
        <w:jc w:val="both"/>
        <w:rPr>
          <w:rFonts w:ascii="Times New Roman" w:hAnsi="Times New Roman" w:cs="Times New Roman"/>
          <w:lang w:val="en-GB"/>
        </w:rPr>
      </w:pPr>
      <w:r w:rsidRPr="004435AE">
        <w:rPr>
          <w:rFonts w:ascii="Times New Roman" w:hAnsi="Times New Roman" w:cs="Times New Roman"/>
          <w:b/>
          <w:bCs/>
          <w:lang w:val="en-GB"/>
        </w:rPr>
        <w:t>Figure 1.</w:t>
      </w:r>
      <w:r w:rsidRPr="004435AE">
        <w:rPr>
          <w:rFonts w:ascii="Times New Roman" w:hAnsi="Times New Roman" w:cs="Times New Roman"/>
          <w:lang w:val="en-GB"/>
        </w:rPr>
        <w:t xml:space="preserve"> Map of Akwa Ibom showing the different study locations. </w:t>
      </w:r>
    </w:p>
    <w:p w14:paraId="5CCA71D0" w14:textId="77777777" w:rsidR="005619AB" w:rsidRPr="004435AE" w:rsidRDefault="005619AB" w:rsidP="005619AB">
      <w:pPr>
        <w:spacing w:after="0" w:line="240" w:lineRule="auto"/>
        <w:jc w:val="both"/>
        <w:rPr>
          <w:rFonts w:ascii="Times New Roman" w:hAnsi="Times New Roman" w:cs="Times New Roman"/>
          <w:sz w:val="22"/>
          <w:szCs w:val="22"/>
        </w:rPr>
      </w:pPr>
      <w:r w:rsidRPr="00ED2E00">
        <w:rPr>
          <w:rFonts w:ascii="Times New Roman" w:hAnsi="Times New Roman" w:cs="Times New Roman"/>
          <w:sz w:val="22"/>
          <w:szCs w:val="22"/>
          <w:lang w:val="en-GB"/>
        </w:rPr>
        <w:t xml:space="preserve">Key: UYO LGA (1 – </w:t>
      </w:r>
      <w:proofErr w:type="spellStart"/>
      <w:r w:rsidRPr="00ED2E00">
        <w:rPr>
          <w:rFonts w:ascii="Times New Roman" w:hAnsi="Times New Roman" w:cs="Times New Roman"/>
          <w:sz w:val="22"/>
          <w:szCs w:val="22"/>
          <w:lang w:val="en-GB"/>
        </w:rPr>
        <w:t>MbakEtoi</w:t>
      </w:r>
      <w:proofErr w:type="spellEnd"/>
      <w:r w:rsidRPr="00ED2E00">
        <w:rPr>
          <w:rFonts w:ascii="Times New Roman" w:hAnsi="Times New Roman" w:cs="Times New Roman"/>
          <w:sz w:val="22"/>
          <w:szCs w:val="22"/>
          <w:lang w:val="en-GB"/>
        </w:rPr>
        <w:t xml:space="preserve">; 2 – Ifa Ikot </w:t>
      </w:r>
      <w:proofErr w:type="spellStart"/>
      <w:r w:rsidRPr="00ED2E00">
        <w:rPr>
          <w:rFonts w:ascii="Times New Roman" w:hAnsi="Times New Roman" w:cs="Times New Roman"/>
          <w:sz w:val="22"/>
          <w:szCs w:val="22"/>
          <w:lang w:val="en-GB"/>
        </w:rPr>
        <w:t>Okpon</w:t>
      </w:r>
      <w:proofErr w:type="spellEnd"/>
      <w:r w:rsidRPr="00ED2E00">
        <w:rPr>
          <w:rFonts w:ascii="Times New Roman" w:hAnsi="Times New Roman" w:cs="Times New Roman"/>
          <w:sz w:val="22"/>
          <w:szCs w:val="22"/>
          <w:lang w:val="en-GB"/>
        </w:rPr>
        <w:t xml:space="preserve">; 3 – Use </w:t>
      </w:r>
      <w:proofErr w:type="spellStart"/>
      <w:r w:rsidRPr="00ED2E00">
        <w:rPr>
          <w:rFonts w:ascii="Times New Roman" w:hAnsi="Times New Roman" w:cs="Times New Roman"/>
          <w:sz w:val="22"/>
          <w:szCs w:val="22"/>
          <w:lang w:val="en-GB"/>
        </w:rPr>
        <w:t>Offot</w:t>
      </w:r>
      <w:proofErr w:type="spellEnd"/>
      <w:r w:rsidRPr="00ED2E00">
        <w:rPr>
          <w:rFonts w:ascii="Times New Roman" w:hAnsi="Times New Roman" w:cs="Times New Roman"/>
          <w:sz w:val="22"/>
          <w:szCs w:val="22"/>
          <w:lang w:val="en-GB"/>
        </w:rPr>
        <w:t xml:space="preserve">); IKOT ABASI LGA (4 – Ikot </w:t>
      </w:r>
      <w:proofErr w:type="spellStart"/>
      <w:r w:rsidR="0096704B" w:rsidRPr="00ED2E00">
        <w:rPr>
          <w:rFonts w:ascii="Times New Roman" w:hAnsi="Times New Roman" w:cs="Times New Roman"/>
          <w:sz w:val="22"/>
          <w:szCs w:val="22"/>
          <w:lang w:val="en-GB"/>
        </w:rPr>
        <w:t>Etetuk</w:t>
      </w:r>
      <w:proofErr w:type="spellEnd"/>
      <w:r w:rsidR="0096704B" w:rsidRPr="00ED2E00">
        <w:rPr>
          <w:rFonts w:ascii="Times New Roman" w:hAnsi="Times New Roman" w:cs="Times New Roman"/>
          <w:sz w:val="22"/>
          <w:szCs w:val="22"/>
          <w:lang w:val="en-GB"/>
        </w:rPr>
        <w:t>; 5</w:t>
      </w:r>
      <w:r w:rsidRPr="00ED2E00">
        <w:rPr>
          <w:rFonts w:ascii="Times New Roman" w:hAnsi="Times New Roman" w:cs="Times New Roman"/>
          <w:sz w:val="22"/>
          <w:szCs w:val="22"/>
          <w:lang w:val="en-GB"/>
        </w:rPr>
        <w:t xml:space="preserve"> – </w:t>
      </w:r>
      <w:proofErr w:type="spellStart"/>
      <w:r w:rsidRPr="00ED2E00">
        <w:rPr>
          <w:rFonts w:ascii="Times New Roman" w:hAnsi="Times New Roman" w:cs="Times New Roman"/>
          <w:sz w:val="22"/>
          <w:szCs w:val="22"/>
          <w:lang w:val="en-GB"/>
        </w:rPr>
        <w:t>Ikpetim</w:t>
      </w:r>
      <w:proofErr w:type="spellEnd"/>
      <w:r w:rsidRPr="00ED2E00">
        <w:rPr>
          <w:rFonts w:ascii="Times New Roman" w:hAnsi="Times New Roman" w:cs="Times New Roman"/>
          <w:sz w:val="22"/>
          <w:szCs w:val="22"/>
          <w:lang w:val="en-GB"/>
        </w:rPr>
        <w:t>; 6 – Ikot Obong).</w:t>
      </w:r>
      <w:r>
        <w:rPr>
          <w:rFonts w:ascii="Times New Roman" w:hAnsi="Times New Roman" w:cs="Times New Roman"/>
          <w:sz w:val="22"/>
          <w:szCs w:val="22"/>
          <w:lang w:val="en-GB"/>
        </w:rPr>
        <w:t xml:space="preserve"> INI LGA (</w:t>
      </w:r>
      <w:r w:rsidRPr="004435AE">
        <w:rPr>
          <w:rFonts w:ascii="Times New Roman" w:hAnsi="Times New Roman" w:cs="Times New Roman"/>
          <w:sz w:val="22"/>
          <w:szCs w:val="22"/>
          <w:lang w:val="en-GB"/>
        </w:rPr>
        <w:t xml:space="preserve">7 – </w:t>
      </w:r>
      <w:proofErr w:type="spellStart"/>
      <w:r w:rsidRPr="004435AE">
        <w:rPr>
          <w:rFonts w:ascii="Times New Roman" w:hAnsi="Times New Roman" w:cs="Times New Roman"/>
          <w:sz w:val="22"/>
          <w:szCs w:val="22"/>
          <w:lang w:val="en-GB"/>
        </w:rPr>
        <w:t>Mbiabong</w:t>
      </w:r>
      <w:proofErr w:type="spellEnd"/>
      <w:r w:rsidRPr="004435AE">
        <w:rPr>
          <w:rFonts w:ascii="Times New Roman" w:hAnsi="Times New Roman" w:cs="Times New Roman"/>
          <w:sz w:val="22"/>
          <w:szCs w:val="22"/>
          <w:lang w:val="en-GB"/>
        </w:rPr>
        <w:t xml:space="preserve"> Ikot Udo; 8 – </w:t>
      </w:r>
      <w:proofErr w:type="spellStart"/>
      <w:r w:rsidRPr="004435AE">
        <w:rPr>
          <w:rFonts w:ascii="Times New Roman" w:hAnsi="Times New Roman" w:cs="Times New Roman"/>
          <w:sz w:val="22"/>
          <w:szCs w:val="22"/>
          <w:lang w:val="en-GB"/>
        </w:rPr>
        <w:t>Mbiabong</w:t>
      </w:r>
      <w:proofErr w:type="spellEnd"/>
      <w:r w:rsidRPr="004435AE">
        <w:rPr>
          <w:rFonts w:ascii="Times New Roman" w:hAnsi="Times New Roman" w:cs="Times New Roman"/>
          <w:sz w:val="22"/>
          <w:szCs w:val="22"/>
          <w:lang w:val="en-GB"/>
        </w:rPr>
        <w:t xml:space="preserve"> Ikot Etim; 9 – Ikot </w:t>
      </w:r>
      <w:proofErr w:type="spellStart"/>
      <w:r w:rsidRPr="004435AE">
        <w:rPr>
          <w:rFonts w:ascii="Times New Roman" w:hAnsi="Times New Roman" w:cs="Times New Roman"/>
          <w:sz w:val="22"/>
          <w:szCs w:val="22"/>
          <w:lang w:val="en-GB"/>
        </w:rPr>
        <w:t>Emiang</w:t>
      </w:r>
      <w:proofErr w:type="spellEnd"/>
      <w:r>
        <w:rPr>
          <w:rFonts w:ascii="Times New Roman" w:hAnsi="Times New Roman" w:cs="Times New Roman"/>
          <w:sz w:val="22"/>
          <w:szCs w:val="22"/>
          <w:lang w:val="en-GB"/>
        </w:rPr>
        <w:t>)</w:t>
      </w:r>
      <w:r w:rsidRPr="004435AE">
        <w:rPr>
          <w:rFonts w:ascii="Times New Roman" w:hAnsi="Times New Roman" w:cs="Times New Roman"/>
          <w:sz w:val="22"/>
          <w:szCs w:val="22"/>
          <w:lang w:val="en-GB"/>
        </w:rPr>
        <w:t>.</w:t>
      </w:r>
    </w:p>
    <w:p w14:paraId="5D7D1207" w14:textId="77777777" w:rsidR="005619AB" w:rsidRDefault="005619AB" w:rsidP="009F1624">
      <w:pPr>
        <w:spacing w:after="0" w:line="360" w:lineRule="auto"/>
        <w:jc w:val="both"/>
        <w:rPr>
          <w:rFonts w:ascii="Times New Roman" w:hAnsi="Times New Roman" w:cs="Times New Roman"/>
        </w:rPr>
      </w:pPr>
    </w:p>
    <w:p w14:paraId="22296BBD" w14:textId="77777777" w:rsidR="007B4274" w:rsidRDefault="007B4274" w:rsidP="009F1624">
      <w:pPr>
        <w:spacing w:after="0" w:line="360" w:lineRule="auto"/>
        <w:jc w:val="both"/>
        <w:rPr>
          <w:rFonts w:ascii="Times New Roman" w:hAnsi="Times New Roman" w:cs="Times New Roman"/>
        </w:rPr>
      </w:pPr>
    </w:p>
    <w:p w14:paraId="2A16F94B" w14:textId="77777777" w:rsidR="00DC66F2" w:rsidRDefault="00DC66F2" w:rsidP="00837DBC">
      <w:pPr>
        <w:spacing w:after="0" w:line="240" w:lineRule="auto"/>
        <w:jc w:val="both"/>
        <w:rPr>
          <w:rFonts w:ascii="Times New Roman" w:hAnsi="Times New Roman" w:cs="Times New Roman"/>
          <w:b/>
          <w:bCs/>
        </w:rPr>
      </w:pPr>
    </w:p>
    <w:p w14:paraId="4E667E99" w14:textId="77777777" w:rsidR="00DC66F2" w:rsidRDefault="00DC66F2" w:rsidP="00837DBC">
      <w:pPr>
        <w:spacing w:after="0" w:line="240" w:lineRule="auto"/>
        <w:jc w:val="both"/>
        <w:rPr>
          <w:rFonts w:ascii="Times New Roman" w:hAnsi="Times New Roman" w:cs="Times New Roman"/>
          <w:b/>
          <w:bCs/>
        </w:rPr>
      </w:pPr>
    </w:p>
    <w:p w14:paraId="4D1390F1" w14:textId="77777777" w:rsidR="007B4274" w:rsidRDefault="007B4274" w:rsidP="00837DBC">
      <w:pPr>
        <w:spacing w:after="0" w:line="240" w:lineRule="auto"/>
        <w:jc w:val="both"/>
        <w:rPr>
          <w:rFonts w:ascii="Times New Roman" w:hAnsi="Times New Roman" w:cs="Times New Roman"/>
        </w:rPr>
      </w:pPr>
      <w:r w:rsidRPr="007B4274">
        <w:rPr>
          <w:rFonts w:ascii="Times New Roman" w:hAnsi="Times New Roman" w:cs="Times New Roman"/>
          <w:b/>
          <w:bCs/>
        </w:rPr>
        <w:lastRenderedPageBreak/>
        <w:t>Table 1</w:t>
      </w:r>
      <w:r>
        <w:rPr>
          <w:rFonts w:ascii="Times New Roman" w:hAnsi="Times New Roman" w:cs="Times New Roman"/>
          <w:b/>
          <w:bCs/>
        </w:rPr>
        <w:t>:</w:t>
      </w:r>
      <w:r w:rsidRPr="007B4274">
        <w:rPr>
          <w:rFonts w:ascii="Times New Roman" w:hAnsi="Times New Roman" w:cs="Times New Roman"/>
        </w:rPr>
        <w:t xml:space="preserve"> Geo-referenced soil sampling locations showing local government areas and parent material characteristics in Akwa Ibom State, southern Nigeria.</w:t>
      </w:r>
    </w:p>
    <w:p w14:paraId="02AC53D5" w14:textId="77777777" w:rsidR="00837DBC" w:rsidRDefault="00837DBC" w:rsidP="00837DBC">
      <w:pPr>
        <w:spacing w:after="0" w:line="240" w:lineRule="auto"/>
        <w:jc w:val="both"/>
        <w:rPr>
          <w:rFonts w:ascii="Times New Roman" w:hAnsi="Times New Roman" w:cs="Times New Roman"/>
        </w:rPr>
      </w:pPr>
    </w:p>
    <w:tbl>
      <w:tblPr>
        <w:tblStyle w:val="TableGrid"/>
        <w:tblW w:w="9394" w:type="dxa"/>
        <w:tblLook w:val="04A0" w:firstRow="1" w:lastRow="0" w:firstColumn="1" w:lastColumn="0" w:noHBand="0" w:noVBand="1"/>
      </w:tblPr>
      <w:tblGrid>
        <w:gridCol w:w="528"/>
        <w:gridCol w:w="1832"/>
        <w:gridCol w:w="1810"/>
        <w:gridCol w:w="2494"/>
        <w:gridCol w:w="1434"/>
        <w:gridCol w:w="1296"/>
      </w:tblGrid>
      <w:tr w:rsidR="007B4274" w:rsidRPr="007B4274" w14:paraId="72EB30CD" w14:textId="77777777" w:rsidTr="00837DBC">
        <w:trPr>
          <w:trHeight w:val="23"/>
        </w:trPr>
        <w:tc>
          <w:tcPr>
            <w:tcW w:w="0" w:type="auto"/>
            <w:hideMark/>
          </w:tcPr>
          <w:p w14:paraId="2818C389"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S/N</w:t>
            </w:r>
          </w:p>
        </w:tc>
        <w:tc>
          <w:tcPr>
            <w:tcW w:w="0" w:type="auto"/>
            <w:hideMark/>
          </w:tcPr>
          <w:p w14:paraId="5912183E" w14:textId="77777777" w:rsidR="007B4274" w:rsidRPr="007B4274"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Location</w:t>
            </w:r>
          </w:p>
        </w:tc>
        <w:tc>
          <w:tcPr>
            <w:tcW w:w="0" w:type="auto"/>
            <w:hideMark/>
          </w:tcPr>
          <w:p w14:paraId="2638D938" w14:textId="77777777" w:rsidR="007B4274"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Local Government</w:t>
            </w:r>
          </w:p>
          <w:p w14:paraId="6DF1F2E3"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 xml:space="preserve"> Area</w:t>
            </w:r>
          </w:p>
        </w:tc>
        <w:tc>
          <w:tcPr>
            <w:tcW w:w="2494" w:type="dxa"/>
            <w:hideMark/>
          </w:tcPr>
          <w:p w14:paraId="75FFDB7C" w14:textId="77777777" w:rsidR="00837DBC"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 xml:space="preserve">Parent Material </w:t>
            </w:r>
          </w:p>
          <w:p w14:paraId="739408F9"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Type</w:t>
            </w:r>
          </w:p>
        </w:tc>
        <w:tc>
          <w:tcPr>
            <w:tcW w:w="1434" w:type="dxa"/>
            <w:hideMark/>
          </w:tcPr>
          <w:p w14:paraId="11292C13"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Latitude</w:t>
            </w:r>
          </w:p>
        </w:tc>
        <w:tc>
          <w:tcPr>
            <w:tcW w:w="0" w:type="auto"/>
            <w:hideMark/>
          </w:tcPr>
          <w:p w14:paraId="738C92DD"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Longitude</w:t>
            </w:r>
          </w:p>
        </w:tc>
      </w:tr>
      <w:tr w:rsidR="007B4274" w:rsidRPr="007B4274" w14:paraId="6694D056" w14:textId="77777777" w:rsidTr="00837DBC">
        <w:trPr>
          <w:trHeight w:val="23"/>
        </w:trPr>
        <w:tc>
          <w:tcPr>
            <w:tcW w:w="0" w:type="auto"/>
            <w:hideMark/>
          </w:tcPr>
          <w:p w14:paraId="43BC26E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1</w:t>
            </w:r>
          </w:p>
        </w:tc>
        <w:tc>
          <w:tcPr>
            <w:tcW w:w="0" w:type="auto"/>
            <w:hideMark/>
          </w:tcPr>
          <w:p w14:paraId="242C49B3"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MbakEtoi</w:t>
            </w:r>
            <w:proofErr w:type="spellEnd"/>
          </w:p>
        </w:tc>
        <w:tc>
          <w:tcPr>
            <w:tcW w:w="0" w:type="auto"/>
            <w:hideMark/>
          </w:tcPr>
          <w:p w14:paraId="52142833"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Uyo</w:t>
            </w:r>
            <w:proofErr w:type="spellEnd"/>
          </w:p>
        </w:tc>
        <w:tc>
          <w:tcPr>
            <w:tcW w:w="2494" w:type="dxa"/>
            <w:hideMark/>
          </w:tcPr>
          <w:p w14:paraId="6A57140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29A73E4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N5°1′6.13″</w:t>
            </w:r>
          </w:p>
        </w:tc>
        <w:tc>
          <w:tcPr>
            <w:tcW w:w="0" w:type="auto"/>
            <w:hideMark/>
          </w:tcPr>
          <w:p w14:paraId="100D3AC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E7°59′54.44″</w:t>
            </w:r>
          </w:p>
        </w:tc>
      </w:tr>
      <w:tr w:rsidR="007B4274" w:rsidRPr="007B4274" w14:paraId="4A3E3C4A" w14:textId="77777777" w:rsidTr="00837DBC">
        <w:trPr>
          <w:trHeight w:val="23"/>
        </w:trPr>
        <w:tc>
          <w:tcPr>
            <w:tcW w:w="0" w:type="auto"/>
            <w:hideMark/>
          </w:tcPr>
          <w:p w14:paraId="7609709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2</w:t>
            </w:r>
          </w:p>
        </w:tc>
        <w:tc>
          <w:tcPr>
            <w:tcW w:w="0" w:type="auto"/>
            <w:hideMark/>
          </w:tcPr>
          <w:p w14:paraId="6331730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Ifa Ikot </w:t>
            </w:r>
            <w:proofErr w:type="spellStart"/>
            <w:r w:rsidRPr="007B4274">
              <w:rPr>
                <w:rFonts w:ascii="Times New Roman" w:eastAsia="Times New Roman" w:hAnsi="Times New Roman" w:cs="Times New Roman"/>
                <w:sz w:val="20"/>
                <w:szCs w:val="20"/>
              </w:rPr>
              <w:t>Okpon</w:t>
            </w:r>
            <w:proofErr w:type="spellEnd"/>
          </w:p>
        </w:tc>
        <w:tc>
          <w:tcPr>
            <w:tcW w:w="0" w:type="auto"/>
            <w:hideMark/>
          </w:tcPr>
          <w:p w14:paraId="7B15A388"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Uyo</w:t>
            </w:r>
            <w:proofErr w:type="spellEnd"/>
          </w:p>
        </w:tc>
        <w:tc>
          <w:tcPr>
            <w:tcW w:w="2494" w:type="dxa"/>
            <w:hideMark/>
          </w:tcPr>
          <w:p w14:paraId="082FA52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26DE74E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N5°0′14.93″</w:t>
            </w:r>
          </w:p>
        </w:tc>
        <w:tc>
          <w:tcPr>
            <w:tcW w:w="0" w:type="auto"/>
            <w:hideMark/>
          </w:tcPr>
          <w:p w14:paraId="3F375ED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E7°58′42.49″</w:t>
            </w:r>
          </w:p>
        </w:tc>
      </w:tr>
      <w:tr w:rsidR="007B4274" w:rsidRPr="007B4274" w14:paraId="60DB9FCC" w14:textId="77777777" w:rsidTr="00837DBC">
        <w:trPr>
          <w:trHeight w:val="23"/>
        </w:trPr>
        <w:tc>
          <w:tcPr>
            <w:tcW w:w="0" w:type="auto"/>
            <w:hideMark/>
          </w:tcPr>
          <w:p w14:paraId="509BC91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3</w:t>
            </w:r>
          </w:p>
        </w:tc>
        <w:tc>
          <w:tcPr>
            <w:tcW w:w="0" w:type="auto"/>
            <w:hideMark/>
          </w:tcPr>
          <w:p w14:paraId="037E218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Use </w:t>
            </w:r>
            <w:proofErr w:type="spellStart"/>
            <w:r w:rsidRPr="007B4274">
              <w:rPr>
                <w:rFonts w:ascii="Times New Roman" w:eastAsia="Times New Roman" w:hAnsi="Times New Roman" w:cs="Times New Roman"/>
                <w:sz w:val="20"/>
                <w:szCs w:val="20"/>
              </w:rPr>
              <w:t>Offot</w:t>
            </w:r>
            <w:proofErr w:type="spellEnd"/>
          </w:p>
        </w:tc>
        <w:tc>
          <w:tcPr>
            <w:tcW w:w="0" w:type="auto"/>
            <w:hideMark/>
          </w:tcPr>
          <w:p w14:paraId="18D98F17"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Uyo</w:t>
            </w:r>
            <w:proofErr w:type="spellEnd"/>
          </w:p>
        </w:tc>
        <w:tc>
          <w:tcPr>
            <w:tcW w:w="2494" w:type="dxa"/>
            <w:hideMark/>
          </w:tcPr>
          <w:p w14:paraId="6D5324A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29B2A09E"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N5°1′4.75″</w:t>
            </w:r>
          </w:p>
        </w:tc>
        <w:tc>
          <w:tcPr>
            <w:tcW w:w="0" w:type="auto"/>
            <w:hideMark/>
          </w:tcPr>
          <w:p w14:paraId="44C8A7D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E7°59′51.87″</w:t>
            </w:r>
          </w:p>
        </w:tc>
      </w:tr>
      <w:tr w:rsidR="007B4274" w:rsidRPr="007B4274" w14:paraId="24006BF4" w14:textId="77777777" w:rsidTr="00837DBC">
        <w:trPr>
          <w:trHeight w:val="23"/>
        </w:trPr>
        <w:tc>
          <w:tcPr>
            <w:tcW w:w="0" w:type="auto"/>
            <w:hideMark/>
          </w:tcPr>
          <w:p w14:paraId="648E33E4"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4</w:t>
            </w:r>
          </w:p>
        </w:tc>
        <w:tc>
          <w:tcPr>
            <w:tcW w:w="0" w:type="auto"/>
            <w:hideMark/>
          </w:tcPr>
          <w:p w14:paraId="3E69A96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Ikot </w:t>
            </w:r>
            <w:proofErr w:type="spellStart"/>
            <w:r w:rsidRPr="007B4274">
              <w:rPr>
                <w:rFonts w:ascii="Times New Roman" w:eastAsia="Times New Roman" w:hAnsi="Times New Roman" w:cs="Times New Roman"/>
                <w:sz w:val="20"/>
                <w:szCs w:val="20"/>
              </w:rPr>
              <w:t>Etetuk</w:t>
            </w:r>
            <w:proofErr w:type="spellEnd"/>
          </w:p>
        </w:tc>
        <w:tc>
          <w:tcPr>
            <w:tcW w:w="0" w:type="auto"/>
            <w:hideMark/>
          </w:tcPr>
          <w:p w14:paraId="76951D7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5197ABB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42A3EE9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N4°34′56.18″</w:t>
            </w:r>
          </w:p>
        </w:tc>
        <w:tc>
          <w:tcPr>
            <w:tcW w:w="0" w:type="auto"/>
            <w:hideMark/>
          </w:tcPr>
          <w:p w14:paraId="2604DF8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E7°35′12.94″</w:t>
            </w:r>
          </w:p>
        </w:tc>
      </w:tr>
      <w:tr w:rsidR="007B4274" w:rsidRPr="007B4274" w14:paraId="7304C4AA" w14:textId="77777777" w:rsidTr="00837DBC">
        <w:trPr>
          <w:trHeight w:val="23"/>
        </w:trPr>
        <w:tc>
          <w:tcPr>
            <w:tcW w:w="0" w:type="auto"/>
            <w:hideMark/>
          </w:tcPr>
          <w:p w14:paraId="3F3A39A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5</w:t>
            </w:r>
          </w:p>
        </w:tc>
        <w:tc>
          <w:tcPr>
            <w:tcW w:w="0" w:type="auto"/>
            <w:hideMark/>
          </w:tcPr>
          <w:p w14:paraId="37C340A5"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Ikpetim</w:t>
            </w:r>
            <w:proofErr w:type="spellEnd"/>
          </w:p>
        </w:tc>
        <w:tc>
          <w:tcPr>
            <w:tcW w:w="0" w:type="auto"/>
            <w:hideMark/>
          </w:tcPr>
          <w:p w14:paraId="5893C684"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3833A83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30C9464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N4°34′20.22″</w:t>
            </w:r>
          </w:p>
        </w:tc>
        <w:tc>
          <w:tcPr>
            <w:tcW w:w="0" w:type="auto"/>
            <w:hideMark/>
          </w:tcPr>
          <w:p w14:paraId="34992A9E"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E7°33′59.52″</w:t>
            </w:r>
          </w:p>
        </w:tc>
      </w:tr>
      <w:tr w:rsidR="007B4274" w:rsidRPr="007B4274" w14:paraId="0C989103" w14:textId="77777777" w:rsidTr="00837DBC">
        <w:trPr>
          <w:trHeight w:val="23"/>
        </w:trPr>
        <w:tc>
          <w:tcPr>
            <w:tcW w:w="0" w:type="auto"/>
            <w:hideMark/>
          </w:tcPr>
          <w:p w14:paraId="18F9A2B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6</w:t>
            </w:r>
          </w:p>
        </w:tc>
        <w:tc>
          <w:tcPr>
            <w:tcW w:w="0" w:type="auto"/>
            <w:hideMark/>
          </w:tcPr>
          <w:p w14:paraId="3BE45B8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Obong</w:t>
            </w:r>
          </w:p>
        </w:tc>
        <w:tc>
          <w:tcPr>
            <w:tcW w:w="0" w:type="auto"/>
            <w:hideMark/>
          </w:tcPr>
          <w:p w14:paraId="4297954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4C473CE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63F76D6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N4°34′53.60″</w:t>
            </w:r>
          </w:p>
        </w:tc>
        <w:tc>
          <w:tcPr>
            <w:tcW w:w="0" w:type="auto"/>
            <w:hideMark/>
          </w:tcPr>
          <w:p w14:paraId="262C4D2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E7°33′21.80″</w:t>
            </w:r>
          </w:p>
        </w:tc>
      </w:tr>
      <w:tr w:rsidR="007B4274" w:rsidRPr="007B4274" w14:paraId="13FF4E20" w14:textId="77777777" w:rsidTr="00837DBC">
        <w:trPr>
          <w:trHeight w:val="23"/>
        </w:trPr>
        <w:tc>
          <w:tcPr>
            <w:tcW w:w="0" w:type="auto"/>
            <w:hideMark/>
          </w:tcPr>
          <w:p w14:paraId="53FFCA4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7</w:t>
            </w:r>
          </w:p>
        </w:tc>
        <w:tc>
          <w:tcPr>
            <w:tcW w:w="0" w:type="auto"/>
            <w:hideMark/>
          </w:tcPr>
          <w:p w14:paraId="16FFC363"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Mbiabong</w:t>
            </w:r>
            <w:proofErr w:type="spellEnd"/>
            <w:r w:rsidRPr="007B4274">
              <w:rPr>
                <w:rFonts w:ascii="Times New Roman" w:eastAsia="Times New Roman" w:hAnsi="Times New Roman" w:cs="Times New Roman"/>
                <w:sz w:val="20"/>
                <w:szCs w:val="20"/>
              </w:rPr>
              <w:t xml:space="preserve"> Ikot Udo</w:t>
            </w:r>
          </w:p>
        </w:tc>
        <w:tc>
          <w:tcPr>
            <w:tcW w:w="0" w:type="auto"/>
            <w:hideMark/>
          </w:tcPr>
          <w:p w14:paraId="6CF76C4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6B01CC4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3F070D5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N5°21′15.92″</w:t>
            </w:r>
          </w:p>
        </w:tc>
        <w:tc>
          <w:tcPr>
            <w:tcW w:w="0" w:type="auto"/>
            <w:hideMark/>
          </w:tcPr>
          <w:p w14:paraId="0C96E5E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E7°41′58.14″</w:t>
            </w:r>
          </w:p>
        </w:tc>
      </w:tr>
      <w:tr w:rsidR="007B4274" w:rsidRPr="007B4274" w14:paraId="2657FCD0" w14:textId="77777777" w:rsidTr="00837DBC">
        <w:trPr>
          <w:trHeight w:val="23"/>
        </w:trPr>
        <w:tc>
          <w:tcPr>
            <w:tcW w:w="0" w:type="auto"/>
            <w:hideMark/>
          </w:tcPr>
          <w:p w14:paraId="4464EEB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8</w:t>
            </w:r>
          </w:p>
        </w:tc>
        <w:tc>
          <w:tcPr>
            <w:tcW w:w="0" w:type="auto"/>
            <w:hideMark/>
          </w:tcPr>
          <w:p w14:paraId="6F272BE3" w14:textId="77777777" w:rsidR="007B4274" w:rsidRPr="007B4274" w:rsidRDefault="007B4274" w:rsidP="007B4274">
            <w:pPr>
              <w:rPr>
                <w:rFonts w:ascii="Times New Roman" w:eastAsia="Times New Roman" w:hAnsi="Times New Roman" w:cs="Times New Roman"/>
                <w:sz w:val="20"/>
                <w:szCs w:val="20"/>
              </w:rPr>
            </w:pPr>
            <w:proofErr w:type="spellStart"/>
            <w:r w:rsidRPr="007B4274">
              <w:rPr>
                <w:rFonts w:ascii="Times New Roman" w:eastAsia="Times New Roman" w:hAnsi="Times New Roman" w:cs="Times New Roman"/>
                <w:sz w:val="20"/>
                <w:szCs w:val="20"/>
              </w:rPr>
              <w:t>Mbiabong</w:t>
            </w:r>
            <w:proofErr w:type="spellEnd"/>
            <w:r w:rsidRPr="007B4274">
              <w:rPr>
                <w:rFonts w:ascii="Times New Roman" w:eastAsia="Times New Roman" w:hAnsi="Times New Roman" w:cs="Times New Roman"/>
                <w:sz w:val="20"/>
                <w:szCs w:val="20"/>
              </w:rPr>
              <w:t xml:space="preserve"> Ikot Etim</w:t>
            </w:r>
          </w:p>
        </w:tc>
        <w:tc>
          <w:tcPr>
            <w:tcW w:w="0" w:type="auto"/>
            <w:hideMark/>
          </w:tcPr>
          <w:p w14:paraId="4CCB86E5"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3702DA8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038656FF"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N5°20′23.91″</w:t>
            </w:r>
          </w:p>
        </w:tc>
        <w:tc>
          <w:tcPr>
            <w:tcW w:w="0" w:type="auto"/>
            <w:hideMark/>
          </w:tcPr>
          <w:p w14:paraId="53C421F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E7°41′45.67″</w:t>
            </w:r>
          </w:p>
        </w:tc>
      </w:tr>
      <w:tr w:rsidR="007B4274" w:rsidRPr="007B4274" w14:paraId="4593DB3E" w14:textId="77777777" w:rsidTr="00837DBC">
        <w:trPr>
          <w:trHeight w:val="23"/>
        </w:trPr>
        <w:tc>
          <w:tcPr>
            <w:tcW w:w="0" w:type="auto"/>
            <w:hideMark/>
          </w:tcPr>
          <w:p w14:paraId="188A899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9</w:t>
            </w:r>
          </w:p>
        </w:tc>
        <w:tc>
          <w:tcPr>
            <w:tcW w:w="0" w:type="auto"/>
            <w:hideMark/>
          </w:tcPr>
          <w:p w14:paraId="15CDFB8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 xml:space="preserve">Ikot </w:t>
            </w:r>
            <w:proofErr w:type="spellStart"/>
            <w:r w:rsidRPr="007B4274">
              <w:rPr>
                <w:rFonts w:ascii="Times New Roman" w:eastAsia="Times New Roman" w:hAnsi="Times New Roman" w:cs="Times New Roman"/>
                <w:sz w:val="20"/>
                <w:szCs w:val="20"/>
              </w:rPr>
              <w:t>Emiang</w:t>
            </w:r>
            <w:proofErr w:type="spellEnd"/>
          </w:p>
        </w:tc>
        <w:tc>
          <w:tcPr>
            <w:tcW w:w="0" w:type="auto"/>
            <w:hideMark/>
          </w:tcPr>
          <w:p w14:paraId="1A37BD1E"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675EF58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40FDF66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N5°20′49.34″</w:t>
            </w:r>
          </w:p>
        </w:tc>
        <w:tc>
          <w:tcPr>
            <w:tcW w:w="0" w:type="auto"/>
            <w:hideMark/>
          </w:tcPr>
          <w:p w14:paraId="69E3071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E7°41′36.30″</w:t>
            </w:r>
          </w:p>
        </w:tc>
      </w:tr>
    </w:tbl>
    <w:p w14:paraId="544EA3DA" w14:textId="77777777" w:rsidR="007B4274" w:rsidRPr="009F1624" w:rsidRDefault="007B4274" w:rsidP="009F1624">
      <w:pPr>
        <w:spacing w:after="0" w:line="360" w:lineRule="auto"/>
        <w:jc w:val="both"/>
        <w:rPr>
          <w:rFonts w:ascii="Times New Roman" w:hAnsi="Times New Roman" w:cs="Times New Roman"/>
        </w:rPr>
      </w:pPr>
    </w:p>
    <w:p w14:paraId="67F0C33A" w14:textId="0EF28DA4"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Climatic conditions in the region are characterized by two seasons: the rainy season and the dry season. The rainy season commences in March and ends around October</w:t>
      </w:r>
      <w:r w:rsidR="00AD22DE">
        <w:rPr>
          <w:rFonts w:ascii="Times New Roman" w:hAnsi="Times New Roman" w:cs="Times New Roman"/>
        </w:rPr>
        <w:t xml:space="preserve"> (</w:t>
      </w:r>
      <w:r w:rsidRPr="004A2D64">
        <w:rPr>
          <w:rFonts w:ascii="Times New Roman" w:hAnsi="Times New Roman" w:cs="Times New Roman"/>
        </w:rPr>
        <w:t>with peak rainfall in July and September). The dry season, on the other hand, commences in November and ends in February. Mean annual rainfall in the State is about 2000mm in the northern areas</w:t>
      </w:r>
      <w:r w:rsidR="00DC2E7A">
        <w:rPr>
          <w:rFonts w:ascii="Times New Roman" w:hAnsi="Times New Roman" w:cs="Times New Roman"/>
        </w:rPr>
        <w:t xml:space="preserve"> (</w:t>
      </w:r>
      <w:r w:rsidR="00DC2E7A" w:rsidRPr="00DC2E7A">
        <w:rPr>
          <w:rFonts w:ascii="Times New Roman" w:hAnsi="Times New Roman" w:cs="Times New Roman"/>
        </w:rPr>
        <w:t xml:space="preserve">Ekanem and </w:t>
      </w:r>
      <w:proofErr w:type="spellStart"/>
      <w:r w:rsidR="00DC2E7A" w:rsidRPr="00DC2E7A">
        <w:rPr>
          <w:rFonts w:ascii="Times New Roman" w:hAnsi="Times New Roman" w:cs="Times New Roman"/>
        </w:rPr>
        <w:t>Udosen</w:t>
      </w:r>
      <w:proofErr w:type="spellEnd"/>
      <w:r w:rsidR="00DC2E7A" w:rsidRPr="00DC2E7A">
        <w:rPr>
          <w:rFonts w:ascii="Times New Roman" w:hAnsi="Times New Roman" w:cs="Times New Roman"/>
        </w:rPr>
        <w:t>, 2023</w:t>
      </w:r>
      <w:r w:rsidR="00DC2E7A">
        <w:rPr>
          <w:rFonts w:ascii="Times New Roman" w:hAnsi="Times New Roman" w:cs="Times New Roman"/>
        </w:rPr>
        <w:t>)</w:t>
      </w:r>
      <w:r w:rsidRPr="004A2D64">
        <w:rPr>
          <w:rFonts w:ascii="Times New Roman" w:hAnsi="Times New Roman" w:cs="Times New Roman"/>
        </w:rPr>
        <w:t>, and over 4000mm along the coastal regions</w:t>
      </w:r>
      <w:r w:rsidR="00DC66F2">
        <w:rPr>
          <w:rFonts w:ascii="Times New Roman" w:hAnsi="Times New Roman" w:cs="Times New Roman"/>
        </w:rPr>
        <w:t xml:space="preserve"> (</w:t>
      </w:r>
      <w:proofErr w:type="spellStart"/>
      <w:r w:rsidR="00DC66F2">
        <w:rPr>
          <w:rFonts w:ascii="Times New Roman" w:hAnsi="Times New Roman" w:cs="Times New Roman"/>
          <w:color w:val="000000"/>
        </w:rPr>
        <w:t>Nkpoidet</w:t>
      </w:r>
      <w:proofErr w:type="spellEnd"/>
      <w:r w:rsidR="00DC66F2">
        <w:rPr>
          <w:rFonts w:ascii="Times New Roman" w:hAnsi="Times New Roman" w:cs="Times New Roman"/>
          <w:color w:val="000000"/>
        </w:rPr>
        <w:t xml:space="preserve"> </w:t>
      </w:r>
      <w:r w:rsidR="00DC66F2" w:rsidRPr="00FA0C1D">
        <w:rPr>
          <w:rFonts w:ascii="Times New Roman" w:hAnsi="Times New Roman" w:cs="Times New Roman"/>
          <w:i/>
          <w:iCs/>
          <w:color w:val="000000"/>
        </w:rPr>
        <w:t>et al.</w:t>
      </w:r>
      <w:r w:rsidR="00DC66F2">
        <w:rPr>
          <w:rFonts w:ascii="Times New Roman" w:hAnsi="Times New Roman" w:cs="Times New Roman"/>
          <w:i/>
          <w:iCs/>
          <w:color w:val="000000"/>
        </w:rPr>
        <w:t>,</w:t>
      </w:r>
      <w:r w:rsidR="008979CA">
        <w:rPr>
          <w:rFonts w:ascii="Times New Roman" w:hAnsi="Times New Roman" w:cs="Times New Roman"/>
          <w:i/>
          <w:iCs/>
          <w:color w:val="000000"/>
        </w:rPr>
        <w:t xml:space="preserve"> </w:t>
      </w:r>
      <w:r w:rsidR="00DC66F2">
        <w:rPr>
          <w:rFonts w:ascii="Times New Roman" w:hAnsi="Times New Roman" w:cs="Times New Roman"/>
          <w:color w:val="000000"/>
        </w:rPr>
        <w:t>2025a,</w:t>
      </w:r>
      <w:r w:rsidR="008979CA">
        <w:rPr>
          <w:rFonts w:ascii="Times New Roman" w:hAnsi="Times New Roman" w:cs="Times New Roman"/>
          <w:color w:val="000000"/>
        </w:rPr>
        <w:t xml:space="preserve"> </w:t>
      </w:r>
      <w:r w:rsidR="00DC66F2">
        <w:rPr>
          <w:rFonts w:ascii="Times New Roman" w:hAnsi="Times New Roman" w:cs="Times New Roman"/>
          <w:color w:val="000000"/>
        </w:rPr>
        <w:t>b)</w:t>
      </w:r>
      <w:r w:rsidRPr="004A2D64">
        <w:rPr>
          <w:rFonts w:ascii="Times New Roman" w:hAnsi="Times New Roman" w:cs="Times New Roman"/>
        </w:rPr>
        <w:t xml:space="preserve">. Mean annual temperature varies from 28 to 30°C, while relative humidity is approximately 75%. These climatic conditions facilitate intense soil weathering and nutrient leaching. </w:t>
      </w:r>
    </w:p>
    <w:p w14:paraId="1A7E6A87" w14:textId="13971E8B"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The soils within the State are mostly obtained from coastal plain sands, beach ridge sands, sandstone-shale formations, and recent alluvial </w:t>
      </w:r>
      <w:r w:rsidRPr="0087045E">
        <w:rPr>
          <w:rFonts w:ascii="Times New Roman" w:hAnsi="Times New Roman" w:cs="Times New Roman"/>
          <w:color w:val="000000"/>
        </w:rPr>
        <w:t xml:space="preserve">deposits (Obi </w:t>
      </w:r>
      <w:r w:rsidRPr="0087045E">
        <w:rPr>
          <w:rFonts w:ascii="Times New Roman" w:hAnsi="Times New Roman" w:cs="Times New Roman"/>
          <w:i/>
          <w:color w:val="000000"/>
        </w:rPr>
        <w:t xml:space="preserve">et al., </w:t>
      </w:r>
      <w:r w:rsidRPr="0087045E">
        <w:rPr>
          <w:rFonts w:ascii="Times New Roman" w:hAnsi="Times New Roman" w:cs="Times New Roman"/>
          <w:color w:val="000000"/>
        </w:rPr>
        <w:t>2020</w:t>
      </w:r>
      <w:r w:rsidR="00943B7A">
        <w:rPr>
          <w:rFonts w:ascii="Times New Roman" w:hAnsi="Times New Roman" w:cs="Times New Roman"/>
          <w:color w:val="000000"/>
        </w:rPr>
        <w:t xml:space="preserve">; </w:t>
      </w:r>
      <w:proofErr w:type="spellStart"/>
      <w:r w:rsidR="00943B7A">
        <w:rPr>
          <w:rFonts w:ascii="Times New Roman" w:hAnsi="Times New Roman" w:cs="Times New Roman"/>
          <w:color w:val="000000"/>
        </w:rPr>
        <w:t>Udosen</w:t>
      </w:r>
      <w:proofErr w:type="spellEnd"/>
      <w:r w:rsidR="00943B7A">
        <w:rPr>
          <w:rFonts w:ascii="Times New Roman" w:hAnsi="Times New Roman" w:cs="Times New Roman"/>
          <w:color w:val="000000"/>
        </w:rPr>
        <w:t xml:space="preserve"> </w:t>
      </w:r>
      <w:r w:rsidR="00943B7A" w:rsidRPr="00943B7A">
        <w:rPr>
          <w:rFonts w:ascii="Times New Roman" w:hAnsi="Times New Roman" w:cs="Times New Roman"/>
          <w:i/>
          <w:iCs/>
          <w:color w:val="000000"/>
        </w:rPr>
        <w:t>et al.</w:t>
      </w:r>
      <w:r w:rsidR="00943B7A">
        <w:rPr>
          <w:rFonts w:ascii="Times New Roman" w:hAnsi="Times New Roman" w:cs="Times New Roman"/>
          <w:i/>
          <w:iCs/>
          <w:color w:val="000000"/>
        </w:rPr>
        <w:t>,</w:t>
      </w:r>
      <w:r w:rsidR="00943B7A" w:rsidRPr="00943B7A">
        <w:rPr>
          <w:rFonts w:ascii="Times New Roman" w:hAnsi="Times New Roman" w:cs="Times New Roman"/>
          <w:i/>
          <w:iCs/>
          <w:color w:val="000000"/>
        </w:rPr>
        <w:t xml:space="preserve"> </w:t>
      </w:r>
      <w:r w:rsidR="00943B7A">
        <w:rPr>
          <w:rFonts w:ascii="Times New Roman" w:hAnsi="Times New Roman" w:cs="Times New Roman"/>
          <w:color w:val="000000"/>
        </w:rPr>
        <w:t>2024</w:t>
      </w:r>
      <w:r w:rsidRPr="0087045E">
        <w:rPr>
          <w:rFonts w:ascii="Times New Roman" w:hAnsi="Times New Roman" w:cs="Times New Roman"/>
          <w:color w:val="000000"/>
        </w:rPr>
        <w:t>).</w:t>
      </w:r>
      <w:r w:rsidRPr="004A2D64">
        <w:rPr>
          <w:rFonts w:ascii="Times New Roman" w:hAnsi="Times New Roman" w:cs="Times New Roman"/>
        </w:rPr>
        <w:t xml:space="preserve"> These soils are generally acidic and highly weathered with sandy to loamy surface textures</w:t>
      </w:r>
      <w:r w:rsidR="005276CF">
        <w:rPr>
          <w:rFonts w:ascii="Times New Roman" w:hAnsi="Times New Roman" w:cs="Times New Roman"/>
        </w:rPr>
        <w:t xml:space="preserve"> (</w:t>
      </w:r>
      <w:r w:rsidR="006A0FB5" w:rsidRPr="005276CF">
        <w:rPr>
          <w:rFonts w:ascii="Times New Roman" w:hAnsi="Times New Roman" w:cs="Times New Roman"/>
        </w:rPr>
        <w:t>Udoh</w:t>
      </w:r>
      <w:r w:rsidR="006A0FB5">
        <w:rPr>
          <w:rFonts w:ascii="Times New Roman" w:hAnsi="Times New Roman" w:cs="Times New Roman"/>
        </w:rPr>
        <w:t xml:space="preserve"> and</w:t>
      </w:r>
      <w:r w:rsidR="006A0FB5" w:rsidRPr="005276CF">
        <w:rPr>
          <w:rFonts w:ascii="Times New Roman" w:hAnsi="Times New Roman" w:cs="Times New Roman"/>
        </w:rPr>
        <w:t xml:space="preserve"> </w:t>
      </w:r>
      <w:proofErr w:type="spellStart"/>
      <w:r w:rsidR="006A0FB5" w:rsidRPr="005276CF">
        <w:rPr>
          <w:rFonts w:ascii="Times New Roman" w:hAnsi="Times New Roman" w:cs="Times New Roman"/>
        </w:rPr>
        <w:t>Ibia</w:t>
      </w:r>
      <w:proofErr w:type="spellEnd"/>
      <w:r w:rsidR="006A0FB5">
        <w:rPr>
          <w:rFonts w:ascii="Times New Roman" w:hAnsi="Times New Roman" w:cs="Times New Roman"/>
        </w:rPr>
        <w:t xml:space="preserve">, </w:t>
      </w:r>
      <w:r w:rsidR="006A0FB5" w:rsidRPr="005276CF">
        <w:rPr>
          <w:rFonts w:ascii="Times New Roman" w:hAnsi="Times New Roman" w:cs="Times New Roman"/>
        </w:rPr>
        <w:t>2022</w:t>
      </w:r>
      <w:r w:rsidR="009331CA">
        <w:rPr>
          <w:rFonts w:ascii="Times New Roman" w:hAnsi="Times New Roman" w:cs="Times New Roman"/>
        </w:rPr>
        <w:t xml:space="preserve">; Udo </w:t>
      </w:r>
      <w:r w:rsidR="009331CA" w:rsidRPr="00EE69F6">
        <w:rPr>
          <w:rFonts w:ascii="Times New Roman" w:hAnsi="Times New Roman" w:cs="Times New Roman"/>
          <w:i/>
          <w:iCs/>
        </w:rPr>
        <w:t>et al.</w:t>
      </w:r>
      <w:r w:rsidR="00EE69F6">
        <w:rPr>
          <w:rFonts w:ascii="Times New Roman" w:hAnsi="Times New Roman" w:cs="Times New Roman"/>
        </w:rPr>
        <w:t>,</w:t>
      </w:r>
      <w:r w:rsidR="009331CA">
        <w:rPr>
          <w:rFonts w:ascii="Times New Roman" w:hAnsi="Times New Roman" w:cs="Times New Roman"/>
        </w:rPr>
        <w:t xml:space="preserve"> 202</w:t>
      </w:r>
      <w:r w:rsidR="00290CF4">
        <w:rPr>
          <w:rFonts w:ascii="Times New Roman" w:hAnsi="Times New Roman" w:cs="Times New Roman"/>
        </w:rPr>
        <w:t>5</w:t>
      </w:r>
      <w:r w:rsidR="009331CA">
        <w:rPr>
          <w:rFonts w:ascii="Times New Roman" w:hAnsi="Times New Roman" w:cs="Times New Roman"/>
        </w:rPr>
        <w:t>a, b</w:t>
      </w:r>
      <w:r w:rsidR="005276CF">
        <w:rPr>
          <w:rFonts w:ascii="Times New Roman" w:hAnsi="Times New Roman" w:cs="Times New Roman"/>
        </w:rPr>
        <w:t>)</w:t>
      </w:r>
      <w:r w:rsidRPr="004A2D64">
        <w:rPr>
          <w:rFonts w:ascii="Times New Roman" w:hAnsi="Times New Roman" w:cs="Times New Roman"/>
        </w:rPr>
        <w:t>. Their nutrient retention capacity is low.  Furthermore, the dominance of variable charge minerals and iron-aluminum oxides within these soils influences nutrient fixation, adsorption-desorption reactions, and nutrient extractability</w:t>
      </w:r>
      <w:r w:rsidR="006A0FB5">
        <w:rPr>
          <w:rFonts w:ascii="Times New Roman" w:hAnsi="Times New Roman" w:cs="Times New Roman"/>
        </w:rPr>
        <w:t>.</w:t>
      </w:r>
    </w:p>
    <w:p w14:paraId="7EC98A71" w14:textId="77777777" w:rsidR="009F162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Vegetation within the State consists mostly of secondary rainforest vegetation interspersed with oil palm stands, shrubs, and cultivated farmlands</w:t>
      </w:r>
      <w:r w:rsidR="00FA0C1D">
        <w:rPr>
          <w:rFonts w:ascii="Times New Roman" w:hAnsi="Times New Roman" w:cs="Times New Roman"/>
        </w:rPr>
        <w:t xml:space="preserve"> (Ekanem </w:t>
      </w:r>
      <w:r w:rsidR="00FA0C1D" w:rsidRPr="00FA0C1D">
        <w:rPr>
          <w:rFonts w:ascii="Times New Roman" w:hAnsi="Times New Roman" w:cs="Times New Roman"/>
          <w:i/>
          <w:iCs/>
        </w:rPr>
        <w:t>et al.,</w:t>
      </w:r>
      <w:r w:rsidR="00FA0C1D">
        <w:rPr>
          <w:rFonts w:ascii="Times New Roman" w:hAnsi="Times New Roman" w:cs="Times New Roman"/>
        </w:rPr>
        <w:t xml:space="preserve"> 2025)</w:t>
      </w:r>
      <w:r w:rsidRPr="004A2D64">
        <w:rPr>
          <w:rFonts w:ascii="Times New Roman" w:hAnsi="Times New Roman" w:cs="Times New Roman"/>
        </w:rPr>
        <w:t>. The major land use activities in the study are cassava cultivation, oil palm processing, and mixed cropping systems. The study locations were carefully chosen to reflect the major parent materials existing in the State, namely: coastal plain sands, beach ridge sands, and sandstone-shale formations.</w:t>
      </w:r>
    </w:p>
    <w:p w14:paraId="14D1033F" w14:textId="77777777" w:rsidR="004A2D64" w:rsidRPr="009A3EAF" w:rsidRDefault="004A2D64" w:rsidP="004A2D64">
      <w:pPr>
        <w:spacing w:after="0" w:line="360" w:lineRule="auto"/>
        <w:ind w:firstLine="720"/>
        <w:jc w:val="both"/>
        <w:rPr>
          <w:rFonts w:ascii="Times New Roman" w:hAnsi="Times New Roman" w:cs="Times New Roman"/>
        </w:rPr>
      </w:pPr>
    </w:p>
    <w:p w14:paraId="31763478" w14:textId="77777777" w:rsidR="00837DBC" w:rsidRDefault="00837DBC" w:rsidP="009A3EAF">
      <w:pPr>
        <w:spacing w:after="0" w:line="360" w:lineRule="auto"/>
        <w:jc w:val="both"/>
        <w:rPr>
          <w:rFonts w:ascii="Times New Roman" w:hAnsi="Times New Roman" w:cs="Times New Roman"/>
          <w:b/>
          <w:bCs/>
        </w:rPr>
      </w:pPr>
    </w:p>
    <w:p w14:paraId="6F91C3F3"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Experimental Design</w:t>
      </w:r>
    </w:p>
    <w:p w14:paraId="461739C3" w14:textId="77777777" w:rsidR="00512167" w:rsidRDefault="00345661" w:rsidP="009A3EAF">
      <w:pPr>
        <w:spacing w:after="0" w:line="360" w:lineRule="auto"/>
        <w:jc w:val="both"/>
        <w:rPr>
          <w:rFonts w:ascii="Times New Roman" w:hAnsi="Times New Roman" w:cs="Times New Roman"/>
        </w:rPr>
      </w:pPr>
      <w:r w:rsidRPr="00345661">
        <w:rPr>
          <w:rFonts w:ascii="Times New Roman" w:hAnsi="Times New Roman" w:cs="Times New Roman"/>
        </w:rPr>
        <w:t xml:space="preserve">The </w:t>
      </w:r>
      <w:r w:rsidR="00780D78">
        <w:rPr>
          <w:rFonts w:ascii="Times New Roman" w:hAnsi="Times New Roman" w:cs="Times New Roman"/>
        </w:rPr>
        <w:t xml:space="preserve">research </w:t>
      </w:r>
      <w:r w:rsidRPr="00345661">
        <w:rPr>
          <w:rFonts w:ascii="Times New Roman" w:hAnsi="Times New Roman" w:cs="Times New Roman"/>
        </w:rPr>
        <w:t>was arranged as a factorial experiment in a randomized complete block design (RCBD) with three replicates. The treatment factors consisted of two universal extractants, which comprise</w:t>
      </w:r>
      <w:r w:rsidR="00E317EF">
        <w:rPr>
          <w:rFonts w:ascii="Times New Roman" w:hAnsi="Times New Roman" w:cs="Times New Roman"/>
        </w:rPr>
        <w:t xml:space="preserve">d 0.01 M calcium </w:t>
      </w:r>
      <w:r w:rsidR="00E317EF" w:rsidRPr="0087045E">
        <w:rPr>
          <w:rFonts w:ascii="Times New Roman" w:hAnsi="Times New Roman" w:cs="Times New Roman"/>
          <w:color w:val="000000"/>
        </w:rPr>
        <w:t>chloride (CaCl</w:t>
      </w:r>
      <w:r w:rsidR="00E317EF" w:rsidRPr="0087045E">
        <w:rPr>
          <w:rFonts w:ascii="Times New Roman" w:hAnsi="Times New Roman" w:cs="Times New Roman"/>
          <w:color w:val="000000"/>
          <w:vertAlign w:val="subscript"/>
        </w:rPr>
        <w:t>2</w:t>
      </w:r>
      <w:r w:rsidRPr="0087045E">
        <w:rPr>
          <w:rFonts w:ascii="Times New Roman" w:hAnsi="Times New Roman" w:cs="Times New Roman"/>
          <w:color w:val="000000"/>
        </w:rPr>
        <w:t>) and</w:t>
      </w:r>
      <w:r w:rsidRPr="00345661">
        <w:rPr>
          <w:rFonts w:ascii="Times New Roman" w:hAnsi="Times New Roman" w:cs="Times New Roman"/>
        </w:rPr>
        <w:t xml:space="preserve">  </w:t>
      </w:r>
      <w:proofErr w:type="spellStart"/>
      <w:r w:rsidRPr="00345661">
        <w:rPr>
          <w:rFonts w:ascii="Times New Roman" w:hAnsi="Times New Roman" w:cs="Times New Roman"/>
        </w:rPr>
        <w:t>Agro</w:t>
      </w:r>
      <w:proofErr w:type="spellEnd"/>
      <w:r w:rsidRPr="00345661">
        <w:rPr>
          <w:rFonts w:ascii="Times New Roman" w:hAnsi="Times New Roman" w:cs="Times New Roman"/>
        </w:rPr>
        <w:t xml:space="preserve"> Services International (ASI) extractant containing 0.25 mol L⁻¹ </w:t>
      </w:r>
      <w:proofErr w:type="spellStart"/>
      <w:r w:rsidRPr="00345661">
        <w:rPr>
          <w:rFonts w:ascii="Times New Roman" w:hAnsi="Times New Roman" w:cs="Times New Roman"/>
        </w:rPr>
        <w:t>NaHCO</w:t>
      </w:r>
      <w:proofErr w:type="spellEnd"/>
      <w:r w:rsidRPr="00345661">
        <w:rPr>
          <w:rFonts w:ascii="Times New Roman" w:hAnsi="Times New Roman" w:cs="Times New Roman"/>
        </w:rPr>
        <w:t xml:space="preserve">₃ + 0.01 mol L⁻¹ EDTA + 0.01 mol L⁻¹ NH₄F. Treatment factors also comprised two effluent types (palm oil mill effluent and cassava mill effluent) and three parent materials (coastal plain sands, beach ridge sands, and sandstone-shale). Treatment was undertaken at two sampling depths (0–20 cm and 20–40 cm). Control soils without effluent amendment were used for comparison with the effluent-amended soils.  </w:t>
      </w:r>
    </w:p>
    <w:p w14:paraId="040FCAAE" w14:textId="77777777" w:rsidR="00345661" w:rsidRPr="009A3EAF" w:rsidRDefault="00345661" w:rsidP="009A3EAF">
      <w:pPr>
        <w:spacing w:after="0" w:line="360" w:lineRule="auto"/>
        <w:jc w:val="both"/>
        <w:rPr>
          <w:rFonts w:ascii="Times New Roman" w:hAnsi="Times New Roman" w:cs="Times New Roman"/>
        </w:rPr>
      </w:pPr>
    </w:p>
    <w:p w14:paraId="6CDF2AB5"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Soil and Effluent Sampling</w:t>
      </w:r>
    </w:p>
    <w:p w14:paraId="4876561E" w14:textId="77777777" w:rsidR="00512167" w:rsidRDefault="00345661" w:rsidP="009A3EAF">
      <w:pPr>
        <w:spacing w:after="0" w:line="360" w:lineRule="auto"/>
        <w:jc w:val="both"/>
        <w:rPr>
          <w:rFonts w:ascii="Times New Roman" w:hAnsi="Times New Roman" w:cs="Times New Roman"/>
        </w:rPr>
      </w:pPr>
      <w:r w:rsidRPr="00345661">
        <w:rPr>
          <w:rFonts w:ascii="Times New Roman" w:hAnsi="Times New Roman" w:cs="Times New Roman"/>
        </w:rPr>
        <w:t xml:space="preserve">Soil samples were acquired from representative cassava mill and palm oil mill disposal sites within the target parent material zones. Composite soil samples were obtained from five randomly selected points within each sampling location with a stainless-steel soil auger. Effluent samples from cassava and palm oil mills were collected directly from active discharge points and dump pits into pre-cleaned polyethylene bottles.  Soil samples were acquired at depths of 0–20 cm and 20–40 cm. Subsamples acquired within each sampling unit were homogenized to form representative composite samples. Undisturbed soil cores were also </w:t>
      </w:r>
      <w:r w:rsidR="00780D78">
        <w:rPr>
          <w:rFonts w:ascii="Times New Roman" w:hAnsi="Times New Roman" w:cs="Times New Roman"/>
        </w:rPr>
        <w:t>acquired</w:t>
      </w:r>
      <w:r w:rsidRPr="00345661">
        <w:rPr>
          <w:rFonts w:ascii="Times New Roman" w:hAnsi="Times New Roman" w:cs="Times New Roman"/>
        </w:rPr>
        <w:t xml:space="preserve"> for the</w:t>
      </w:r>
      <w:r w:rsidR="00780D78">
        <w:rPr>
          <w:rFonts w:ascii="Times New Roman" w:hAnsi="Times New Roman" w:cs="Times New Roman"/>
        </w:rPr>
        <w:t xml:space="preserve"> evaluation </w:t>
      </w:r>
      <w:r w:rsidRPr="00345661">
        <w:rPr>
          <w:rFonts w:ascii="Times New Roman" w:hAnsi="Times New Roman" w:cs="Times New Roman"/>
        </w:rPr>
        <w:t xml:space="preserve">of bulk density and saturated hydraulic conductivity. All samples were placed in properly labeled polyethylene bags and </w:t>
      </w:r>
      <w:r w:rsidR="00780D78">
        <w:rPr>
          <w:rFonts w:ascii="Times New Roman" w:hAnsi="Times New Roman" w:cs="Times New Roman"/>
        </w:rPr>
        <w:t xml:space="preserve">transported </w:t>
      </w:r>
      <w:r w:rsidRPr="00345661">
        <w:rPr>
          <w:rFonts w:ascii="Times New Roman" w:hAnsi="Times New Roman" w:cs="Times New Roman"/>
        </w:rPr>
        <w:t>to the laboratory for processing and analysis.</w:t>
      </w:r>
    </w:p>
    <w:p w14:paraId="7ED29A2E" w14:textId="77777777" w:rsidR="00345661" w:rsidRPr="00D7634C" w:rsidRDefault="00345661" w:rsidP="009A3EAF">
      <w:pPr>
        <w:spacing w:after="0" w:line="360" w:lineRule="auto"/>
        <w:jc w:val="both"/>
        <w:rPr>
          <w:rFonts w:ascii="Times New Roman" w:hAnsi="Times New Roman" w:cs="Times New Roman"/>
          <w:highlight w:val="yellow"/>
        </w:rPr>
      </w:pPr>
    </w:p>
    <w:p w14:paraId="7071DC61" w14:textId="77777777" w:rsidR="00512167" w:rsidRPr="00355E87" w:rsidRDefault="00512167" w:rsidP="009A3EAF">
      <w:pPr>
        <w:spacing w:after="0" w:line="360" w:lineRule="auto"/>
        <w:jc w:val="both"/>
        <w:rPr>
          <w:rFonts w:ascii="Times New Roman" w:hAnsi="Times New Roman" w:cs="Times New Roman"/>
          <w:b/>
          <w:bCs/>
        </w:rPr>
      </w:pPr>
      <w:r w:rsidRPr="00355E87">
        <w:rPr>
          <w:rFonts w:ascii="Times New Roman" w:hAnsi="Times New Roman" w:cs="Times New Roman"/>
          <w:b/>
          <w:bCs/>
        </w:rPr>
        <w:t>Sample Preparation</w:t>
      </w:r>
    </w:p>
    <w:p w14:paraId="5B20773D" w14:textId="77777777" w:rsidR="00512167" w:rsidRDefault="00355E87" w:rsidP="009A3EAF">
      <w:pPr>
        <w:spacing w:after="0" w:line="360" w:lineRule="auto"/>
        <w:jc w:val="both"/>
        <w:rPr>
          <w:rFonts w:ascii="Times New Roman" w:hAnsi="Times New Roman" w:cs="Times New Roman"/>
        </w:rPr>
      </w:pPr>
      <w:r w:rsidRPr="00355E87">
        <w:rPr>
          <w:rFonts w:ascii="Times New Roman" w:hAnsi="Times New Roman" w:cs="Times New Roman"/>
        </w:rPr>
        <w:t>Stones and debris were removed from the soil samples before preparation. Sample preparation was undertaken via air-drying of soil samples at room temperature for 48 hours. These samples were then crushed</w:t>
      </w:r>
      <w:r w:rsidR="00E47599">
        <w:rPr>
          <w:rFonts w:ascii="Times New Roman" w:hAnsi="Times New Roman" w:cs="Times New Roman"/>
        </w:rPr>
        <w:t xml:space="preserve"> using a</w:t>
      </w:r>
      <w:r w:rsidRPr="00355E87">
        <w:rPr>
          <w:rFonts w:ascii="Times New Roman" w:hAnsi="Times New Roman" w:cs="Times New Roman"/>
        </w:rPr>
        <w:t xml:space="preserve"> wooden rolle</w:t>
      </w:r>
      <w:r w:rsidR="00E47599">
        <w:rPr>
          <w:rFonts w:ascii="Times New Roman" w:hAnsi="Times New Roman" w:cs="Times New Roman"/>
        </w:rPr>
        <w:t>r</w:t>
      </w:r>
      <w:r w:rsidR="00EE69F6">
        <w:rPr>
          <w:rFonts w:ascii="Times New Roman" w:hAnsi="Times New Roman" w:cs="Times New Roman"/>
        </w:rPr>
        <w:t xml:space="preserve"> and </w:t>
      </w:r>
      <w:r w:rsidRPr="00355E87">
        <w:rPr>
          <w:rFonts w:ascii="Times New Roman" w:hAnsi="Times New Roman" w:cs="Times New Roman"/>
        </w:rPr>
        <w:t>sieved through a 2-mm mesh sieve before analysis.   All processed samples were then placed in labeled airtight containers awaiting laboratory analyses.</w:t>
      </w:r>
    </w:p>
    <w:p w14:paraId="078B3EB3" w14:textId="77777777" w:rsidR="00355E87" w:rsidRDefault="00355E87" w:rsidP="009A3EAF">
      <w:pPr>
        <w:spacing w:after="0" w:line="360" w:lineRule="auto"/>
        <w:jc w:val="both"/>
        <w:rPr>
          <w:rFonts w:ascii="Times New Roman" w:hAnsi="Times New Roman" w:cs="Times New Roman"/>
        </w:rPr>
      </w:pPr>
    </w:p>
    <w:p w14:paraId="03F0FCD9" w14:textId="77777777" w:rsidR="0096704B" w:rsidRPr="009A3EAF" w:rsidRDefault="0096704B" w:rsidP="0096704B">
      <w:pPr>
        <w:spacing w:after="0" w:line="360" w:lineRule="auto"/>
        <w:jc w:val="both"/>
        <w:rPr>
          <w:rFonts w:ascii="Times New Roman" w:hAnsi="Times New Roman" w:cs="Times New Roman"/>
          <w:b/>
          <w:bCs/>
        </w:rPr>
      </w:pPr>
      <w:r w:rsidRPr="009A3EAF">
        <w:rPr>
          <w:rFonts w:ascii="Times New Roman" w:hAnsi="Times New Roman" w:cs="Times New Roman"/>
          <w:b/>
          <w:bCs/>
        </w:rPr>
        <w:t>Laboratory Analyses</w:t>
      </w:r>
    </w:p>
    <w:p w14:paraId="4F20BD90"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Physicochemical Properties of Soil and Effluent Samples</w:t>
      </w:r>
    </w:p>
    <w:p w14:paraId="36152803" w14:textId="688C53A0" w:rsidR="00C82D4D" w:rsidRDefault="00473404" w:rsidP="00C82D4D">
      <w:pPr>
        <w:spacing w:after="0" w:line="360" w:lineRule="auto"/>
        <w:jc w:val="both"/>
        <w:rPr>
          <w:rFonts w:ascii="Times New Roman" w:hAnsi="Times New Roman" w:cs="Times New Roman"/>
        </w:rPr>
      </w:pPr>
      <w:r w:rsidRPr="0087045E">
        <w:rPr>
          <w:rFonts w:ascii="Times New Roman" w:hAnsi="Times New Roman" w:cs="Times New Roman"/>
          <w:color w:val="000000"/>
        </w:rPr>
        <w:t xml:space="preserve">The </w:t>
      </w:r>
      <w:r w:rsidR="00661283" w:rsidRPr="0087045E">
        <w:rPr>
          <w:rFonts w:ascii="Times New Roman" w:hAnsi="Times New Roman" w:cs="Times New Roman"/>
          <w:color w:val="000000"/>
        </w:rPr>
        <w:t>s</w:t>
      </w:r>
      <w:r w:rsidR="00512167" w:rsidRPr="0087045E">
        <w:rPr>
          <w:rFonts w:ascii="Times New Roman" w:hAnsi="Times New Roman" w:cs="Times New Roman"/>
          <w:color w:val="000000"/>
        </w:rPr>
        <w:t xml:space="preserve">oil pH was determined </w:t>
      </w:r>
      <w:r w:rsidRPr="0087045E">
        <w:rPr>
          <w:rFonts w:ascii="Times New Roman" w:hAnsi="Times New Roman" w:cs="Times New Roman"/>
          <w:color w:val="000000"/>
        </w:rPr>
        <w:t>with</w:t>
      </w:r>
      <w:r w:rsidR="00512167" w:rsidRPr="0087045E">
        <w:rPr>
          <w:rFonts w:ascii="Times New Roman" w:hAnsi="Times New Roman" w:cs="Times New Roman"/>
          <w:color w:val="000000"/>
        </w:rPr>
        <w:t xml:space="preserve"> a 1:2.5 soil-to-water suspension using a digital glass electrode pH meter after equilibration for 30 min (Udo </w:t>
      </w:r>
      <w:r w:rsidR="00512167" w:rsidRPr="0087045E">
        <w:rPr>
          <w:rFonts w:ascii="Times New Roman" w:hAnsi="Times New Roman" w:cs="Times New Roman"/>
          <w:i/>
          <w:color w:val="000000"/>
        </w:rPr>
        <w:t>et al</w:t>
      </w:r>
      <w:r w:rsidR="00512167" w:rsidRPr="0087045E">
        <w:rPr>
          <w:rFonts w:ascii="Times New Roman" w:hAnsi="Times New Roman" w:cs="Times New Roman"/>
          <w:color w:val="000000"/>
        </w:rPr>
        <w:t xml:space="preserve">., 2009). Electrical conductivity (EC) was </w:t>
      </w:r>
      <w:r w:rsidR="00661283" w:rsidRPr="0087045E">
        <w:rPr>
          <w:rFonts w:ascii="Times New Roman" w:hAnsi="Times New Roman" w:cs="Times New Roman"/>
          <w:color w:val="000000"/>
        </w:rPr>
        <w:t>measured in</w:t>
      </w:r>
      <w:r w:rsidR="004A2D64" w:rsidRPr="0087045E">
        <w:rPr>
          <w:rFonts w:ascii="Times New Roman" w:hAnsi="Times New Roman" w:cs="Times New Roman"/>
          <w:color w:val="000000"/>
        </w:rPr>
        <w:t xml:space="preserve"> a</w:t>
      </w:r>
      <w:r w:rsidR="00661283" w:rsidRPr="0087045E">
        <w:rPr>
          <w:rFonts w:ascii="Times New Roman" w:hAnsi="Times New Roman" w:cs="Times New Roman"/>
          <w:color w:val="000000"/>
        </w:rPr>
        <w:t xml:space="preserve"> similar manner </w:t>
      </w:r>
      <w:r w:rsidR="00512167" w:rsidRPr="0087045E">
        <w:rPr>
          <w:rFonts w:ascii="Times New Roman" w:hAnsi="Times New Roman" w:cs="Times New Roman"/>
          <w:color w:val="000000"/>
        </w:rPr>
        <w:t>using a conductivity meter.</w:t>
      </w:r>
      <w:r w:rsidR="008979CA">
        <w:rPr>
          <w:rFonts w:ascii="Times New Roman" w:hAnsi="Times New Roman" w:cs="Times New Roman"/>
          <w:color w:val="000000"/>
        </w:rPr>
        <w:t xml:space="preserve"> </w:t>
      </w:r>
      <w:r w:rsidR="00512167" w:rsidRPr="0087045E">
        <w:rPr>
          <w:rFonts w:ascii="Times New Roman" w:hAnsi="Times New Roman" w:cs="Times New Roman"/>
          <w:color w:val="000000"/>
        </w:rPr>
        <w:t xml:space="preserve">Organic carbon was </w:t>
      </w:r>
      <w:r w:rsidR="00661283" w:rsidRPr="0087045E">
        <w:rPr>
          <w:rFonts w:ascii="Times New Roman" w:hAnsi="Times New Roman" w:cs="Times New Roman"/>
          <w:color w:val="000000"/>
        </w:rPr>
        <w:lastRenderedPageBreak/>
        <w:t>measured</w:t>
      </w:r>
      <w:r w:rsidR="00512167" w:rsidRPr="0087045E">
        <w:rPr>
          <w:rFonts w:ascii="Times New Roman" w:hAnsi="Times New Roman" w:cs="Times New Roman"/>
          <w:color w:val="000000"/>
        </w:rPr>
        <w:t xml:space="preserve"> using the Walkley and Black wet oxidation method </w:t>
      </w:r>
      <w:r w:rsidR="00661283" w:rsidRPr="0087045E">
        <w:rPr>
          <w:rFonts w:ascii="Times New Roman" w:hAnsi="Times New Roman" w:cs="Times New Roman"/>
          <w:color w:val="000000"/>
        </w:rPr>
        <w:t>(</w:t>
      </w:r>
      <w:r w:rsidR="00512167" w:rsidRPr="0087045E">
        <w:rPr>
          <w:rFonts w:ascii="Times New Roman" w:hAnsi="Times New Roman" w:cs="Times New Roman"/>
          <w:color w:val="000000"/>
        </w:rPr>
        <w:t>Nelson and Sommers 1996). Total nitrogen was determined using the micro-Kjeldahl digestion, distillation</w:t>
      </w:r>
      <w:r w:rsidR="004A2D64" w:rsidRPr="0087045E">
        <w:rPr>
          <w:rFonts w:ascii="Times New Roman" w:hAnsi="Times New Roman" w:cs="Times New Roman"/>
          <w:color w:val="000000"/>
        </w:rPr>
        <w:t>,</w:t>
      </w:r>
      <w:r w:rsidR="00512167" w:rsidRPr="0087045E">
        <w:rPr>
          <w:rFonts w:ascii="Times New Roman" w:hAnsi="Times New Roman" w:cs="Times New Roman"/>
          <w:color w:val="000000"/>
        </w:rPr>
        <w:t xml:space="preserve"> and titration </w:t>
      </w:r>
      <w:r w:rsidR="00661283" w:rsidRPr="0087045E">
        <w:rPr>
          <w:rFonts w:ascii="Times New Roman" w:hAnsi="Times New Roman" w:cs="Times New Roman"/>
          <w:color w:val="000000"/>
        </w:rPr>
        <w:t>technique (</w:t>
      </w:r>
      <w:r w:rsidR="00512167" w:rsidRPr="0087045E">
        <w:rPr>
          <w:rFonts w:ascii="Times New Roman" w:hAnsi="Times New Roman" w:cs="Times New Roman"/>
          <w:color w:val="000000"/>
        </w:rPr>
        <w:t>Bremner</w:t>
      </w:r>
      <w:r w:rsidR="001213BD">
        <w:rPr>
          <w:rFonts w:ascii="Times New Roman" w:hAnsi="Times New Roman" w:cs="Times New Roman"/>
          <w:color w:val="000000"/>
        </w:rPr>
        <w:t>,</w:t>
      </w:r>
      <w:r w:rsidR="00512167" w:rsidRPr="0087045E">
        <w:rPr>
          <w:rFonts w:ascii="Times New Roman" w:hAnsi="Times New Roman" w:cs="Times New Roman"/>
          <w:color w:val="000000"/>
        </w:rPr>
        <w:t xml:space="preserve"> 1996).</w:t>
      </w:r>
      <w:r w:rsidR="001213BD">
        <w:rPr>
          <w:rFonts w:ascii="Times New Roman" w:hAnsi="Times New Roman" w:cs="Times New Roman"/>
          <w:color w:val="000000"/>
        </w:rPr>
        <w:t xml:space="preserve"> </w:t>
      </w:r>
      <w:r w:rsidR="00512167" w:rsidRPr="0087045E">
        <w:rPr>
          <w:rFonts w:ascii="Times New Roman" w:hAnsi="Times New Roman" w:cs="Times New Roman"/>
          <w:color w:val="000000"/>
        </w:rPr>
        <w:t xml:space="preserve">Exchangeable Ca and Mg were extracted </w:t>
      </w:r>
      <w:r w:rsidR="00661283" w:rsidRPr="0087045E">
        <w:rPr>
          <w:rFonts w:ascii="Times New Roman" w:hAnsi="Times New Roman" w:cs="Times New Roman"/>
          <w:color w:val="000000"/>
        </w:rPr>
        <w:t>with</w:t>
      </w:r>
      <w:r w:rsidR="00FF233E" w:rsidRPr="0087045E">
        <w:rPr>
          <w:rFonts w:ascii="Times New Roman" w:hAnsi="Times New Roman" w:cs="Times New Roman"/>
          <w:color w:val="000000"/>
        </w:rPr>
        <w:t xml:space="preserve"> 1 N ammonium acetate (NH</w:t>
      </w:r>
      <w:r w:rsidR="00FF233E" w:rsidRPr="0087045E">
        <w:rPr>
          <w:rFonts w:ascii="Times New Roman" w:hAnsi="Times New Roman" w:cs="Times New Roman"/>
          <w:color w:val="000000"/>
          <w:vertAlign w:val="subscript"/>
        </w:rPr>
        <w:t>4</w:t>
      </w:r>
      <w:r w:rsidR="00512167" w:rsidRPr="0087045E">
        <w:rPr>
          <w:rFonts w:ascii="Times New Roman" w:hAnsi="Times New Roman" w:cs="Times New Roman"/>
          <w:color w:val="000000"/>
        </w:rPr>
        <w:t xml:space="preserve">OAc) at </w:t>
      </w:r>
      <w:r w:rsidR="00661283" w:rsidRPr="0087045E">
        <w:rPr>
          <w:rFonts w:ascii="Times New Roman" w:hAnsi="Times New Roman" w:cs="Times New Roman"/>
          <w:color w:val="000000"/>
        </w:rPr>
        <w:t xml:space="preserve">a </w:t>
      </w:r>
      <w:r w:rsidR="00512167" w:rsidRPr="0087045E">
        <w:rPr>
          <w:rFonts w:ascii="Times New Roman" w:hAnsi="Times New Roman" w:cs="Times New Roman"/>
          <w:color w:val="000000"/>
        </w:rPr>
        <w:t xml:space="preserve">pH </w:t>
      </w:r>
      <w:r w:rsidR="004A2D64" w:rsidRPr="0087045E">
        <w:rPr>
          <w:rFonts w:ascii="Times New Roman" w:hAnsi="Times New Roman" w:cs="Times New Roman"/>
          <w:color w:val="000000"/>
        </w:rPr>
        <w:t xml:space="preserve">of </w:t>
      </w:r>
      <w:r w:rsidR="00512167" w:rsidRPr="0087045E">
        <w:rPr>
          <w:rFonts w:ascii="Times New Roman" w:hAnsi="Times New Roman" w:cs="Times New Roman"/>
          <w:color w:val="000000"/>
        </w:rPr>
        <w:t>7.0</w:t>
      </w:r>
      <w:r w:rsidR="00661283" w:rsidRPr="0087045E">
        <w:rPr>
          <w:rFonts w:ascii="Times New Roman" w:hAnsi="Times New Roman" w:cs="Times New Roman"/>
          <w:color w:val="000000"/>
        </w:rPr>
        <w:t>. Their concentrations were then determined using</w:t>
      </w:r>
      <w:r w:rsidR="00512167" w:rsidRPr="0087045E">
        <w:rPr>
          <w:rFonts w:ascii="Times New Roman" w:hAnsi="Times New Roman" w:cs="Times New Roman"/>
          <w:color w:val="000000"/>
        </w:rPr>
        <w:t xml:space="preserve"> atomic absorption spectrophotometry (AAS)</w:t>
      </w:r>
      <w:r w:rsidR="00661283" w:rsidRPr="0087045E">
        <w:rPr>
          <w:rFonts w:ascii="Times New Roman" w:hAnsi="Times New Roman" w:cs="Times New Roman"/>
          <w:color w:val="000000"/>
        </w:rPr>
        <w:t xml:space="preserve">. Concentrations of </w:t>
      </w:r>
      <w:r w:rsidR="00512167" w:rsidRPr="0087045E">
        <w:rPr>
          <w:rFonts w:ascii="Times New Roman" w:hAnsi="Times New Roman" w:cs="Times New Roman"/>
          <w:color w:val="000000"/>
        </w:rPr>
        <w:t>exchangeable K and Na</w:t>
      </w:r>
      <w:r w:rsidR="00661283" w:rsidRPr="0087045E">
        <w:rPr>
          <w:rFonts w:ascii="Times New Roman" w:hAnsi="Times New Roman" w:cs="Times New Roman"/>
          <w:color w:val="000000"/>
        </w:rPr>
        <w:t xml:space="preserve">, on the other hand, were determined with </w:t>
      </w:r>
      <w:r w:rsidR="00512167" w:rsidRPr="0087045E">
        <w:rPr>
          <w:rFonts w:ascii="Times New Roman" w:hAnsi="Times New Roman" w:cs="Times New Roman"/>
          <w:color w:val="000000"/>
        </w:rPr>
        <w:t xml:space="preserve">a flame photometer (Udo </w:t>
      </w:r>
      <w:r w:rsidR="00512167" w:rsidRPr="0087045E">
        <w:rPr>
          <w:rFonts w:ascii="Times New Roman" w:hAnsi="Times New Roman" w:cs="Times New Roman"/>
          <w:i/>
          <w:color w:val="000000"/>
        </w:rPr>
        <w:t>et al</w:t>
      </w:r>
      <w:r w:rsidR="00512167" w:rsidRPr="0087045E">
        <w:rPr>
          <w:rFonts w:ascii="Times New Roman" w:hAnsi="Times New Roman" w:cs="Times New Roman"/>
          <w:color w:val="000000"/>
        </w:rPr>
        <w:t>., 2009). Exchangeable</w:t>
      </w:r>
      <w:r w:rsidR="00512167" w:rsidRPr="00661283">
        <w:rPr>
          <w:rFonts w:ascii="Times New Roman" w:hAnsi="Times New Roman" w:cs="Times New Roman"/>
        </w:rPr>
        <w:t xml:space="preserve"> acidity was determined </w:t>
      </w:r>
      <w:r w:rsidR="00661283" w:rsidRPr="00661283">
        <w:rPr>
          <w:rFonts w:ascii="Times New Roman" w:hAnsi="Times New Roman" w:cs="Times New Roman"/>
        </w:rPr>
        <w:t xml:space="preserve">via </w:t>
      </w:r>
      <w:r w:rsidR="00512167" w:rsidRPr="00661283">
        <w:rPr>
          <w:rFonts w:ascii="Times New Roman" w:hAnsi="Times New Roman" w:cs="Times New Roman"/>
        </w:rPr>
        <w:t>extraction with 1 N KCl</w:t>
      </w:r>
      <w:r w:rsidR="004A2D64">
        <w:rPr>
          <w:rFonts w:ascii="Times New Roman" w:hAnsi="Times New Roman" w:cs="Times New Roman"/>
        </w:rPr>
        <w:t>,</w:t>
      </w:r>
      <w:r w:rsidR="00661283" w:rsidRPr="00661283">
        <w:rPr>
          <w:rFonts w:ascii="Times New Roman" w:hAnsi="Times New Roman" w:cs="Times New Roman"/>
        </w:rPr>
        <w:t xml:space="preserve"> which was later followed</w:t>
      </w:r>
      <w:r w:rsidR="00512167" w:rsidRPr="00661283">
        <w:rPr>
          <w:rFonts w:ascii="Times New Roman" w:hAnsi="Times New Roman" w:cs="Times New Roman"/>
        </w:rPr>
        <w:t xml:space="preserve"> by titration with 0.1 N NaOH using</w:t>
      </w:r>
      <w:r w:rsidR="00661283" w:rsidRPr="00661283">
        <w:rPr>
          <w:rFonts w:ascii="Times New Roman" w:hAnsi="Times New Roman" w:cs="Times New Roman"/>
        </w:rPr>
        <w:t xml:space="preserve"> a</w:t>
      </w:r>
      <w:r w:rsidR="00512167" w:rsidRPr="00661283">
        <w:rPr>
          <w:rFonts w:ascii="Times New Roman" w:hAnsi="Times New Roman" w:cs="Times New Roman"/>
        </w:rPr>
        <w:t xml:space="preserve"> phenolphthalein indicator. Exchangeable aluminum was determined using sodium fluoride displacement titration.</w:t>
      </w:r>
    </w:p>
    <w:p w14:paraId="64ACC7BD" w14:textId="77777777" w:rsidR="00512167" w:rsidRPr="00661283" w:rsidRDefault="00512167" w:rsidP="00C82D4D">
      <w:pPr>
        <w:spacing w:after="0" w:line="360" w:lineRule="auto"/>
        <w:ind w:firstLine="720"/>
        <w:jc w:val="both"/>
        <w:rPr>
          <w:rFonts w:ascii="Times New Roman" w:hAnsi="Times New Roman" w:cs="Times New Roman"/>
        </w:rPr>
      </w:pPr>
      <w:r w:rsidRPr="00661283">
        <w:rPr>
          <w:rFonts w:ascii="Times New Roman" w:hAnsi="Times New Roman" w:cs="Times New Roman"/>
        </w:rPr>
        <w:t xml:space="preserve">Effective cation exchange capacity (ECEC) </w:t>
      </w:r>
      <w:r w:rsidR="00661283" w:rsidRPr="00661283">
        <w:rPr>
          <w:rFonts w:ascii="Times New Roman" w:hAnsi="Times New Roman" w:cs="Times New Roman"/>
        </w:rPr>
        <w:t xml:space="preserve">measures were obtained via computing the sum </w:t>
      </w:r>
      <w:r w:rsidRPr="00661283">
        <w:rPr>
          <w:rFonts w:ascii="Times New Roman" w:hAnsi="Times New Roman" w:cs="Times New Roman"/>
        </w:rPr>
        <w:t>of total exchangeable bases (TEB) and exchangeable acidity (EA)</w:t>
      </w:r>
      <w:r w:rsidR="00661283" w:rsidRPr="00661283">
        <w:rPr>
          <w:rFonts w:ascii="Times New Roman" w:hAnsi="Times New Roman" w:cs="Times New Roman"/>
        </w:rPr>
        <w:t>, as follows:</w:t>
      </w:r>
    </w:p>
    <w:p w14:paraId="537796E5" w14:textId="77777777" w:rsidR="00512167" w:rsidRPr="00661283" w:rsidRDefault="00512167" w:rsidP="009A3EAF">
      <w:pPr>
        <w:spacing w:after="0" w:line="360" w:lineRule="auto"/>
        <w:jc w:val="both"/>
        <w:rPr>
          <w:rFonts w:ascii="Times New Roman" w:hAnsi="Times New Roman" w:cs="Times New Roman"/>
        </w:rPr>
      </w:pPr>
      <m:oMath>
        <m:r>
          <w:rPr>
            <w:rFonts w:ascii="Cambria Math" w:hAnsi="Cambria Math" w:cs="Times New Roman"/>
          </w:rPr>
          <m:t>ECEC=TEB+EA</m:t>
        </m:r>
      </m:oMath>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t>(1)</w:t>
      </w:r>
      <w:r>
        <w:rPr>
          <w:rFonts w:ascii="Times New Roman" w:hAnsi="Times New Roman" w:cs="Times New Roman"/>
        </w:rPr>
        <w:br/>
      </w:r>
      <w:r w:rsidRPr="00661283">
        <w:rPr>
          <w:rFonts w:ascii="Times New Roman" w:hAnsi="Times New Roman" w:cs="Times New Roman"/>
        </w:rPr>
        <w:t xml:space="preserve">Percent base saturation was calculated using the </w:t>
      </w:r>
      <w:r w:rsidR="00661283" w:rsidRPr="00661283">
        <w:rPr>
          <w:rFonts w:ascii="Times New Roman" w:hAnsi="Times New Roman" w:cs="Times New Roman"/>
        </w:rPr>
        <w:t xml:space="preserve">empirical </w:t>
      </w:r>
      <w:r w:rsidRPr="00661283">
        <w:rPr>
          <w:rFonts w:ascii="Times New Roman" w:hAnsi="Times New Roman" w:cs="Times New Roman"/>
        </w:rPr>
        <w:t>relationship:</w:t>
      </w:r>
    </w:p>
    <w:p w14:paraId="2DE4A4FC" w14:textId="77777777" w:rsidR="00512167" w:rsidRPr="009A3EAF" w:rsidRDefault="00512167" w:rsidP="009A3EAF">
      <w:pPr>
        <w:spacing w:after="0" w:line="360" w:lineRule="auto"/>
        <w:jc w:val="both"/>
        <w:rPr>
          <w:rFonts w:ascii="Times New Roman" w:hAnsi="Times New Roman" w:cs="Times New Roman"/>
        </w:rPr>
      </w:pPr>
      <m:oMath>
        <m:r>
          <w:rPr>
            <w:rFonts w:ascii="Cambria Math" w:hAnsi="Cambria Math" w:cs="Times New Roman"/>
          </w:rPr>
          <m:t>BS(</m:t>
        </m:r>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TEB×100</m:t>
            </m:r>
          </m:num>
          <m:den>
            <m:r>
              <w:rPr>
                <w:rFonts w:ascii="Cambria Math" w:hAnsi="Cambria Math" w:cs="Times New Roman"/>
              </w:rPr>
              <m:t>ECEC</m:t>
            </m:r>
          </m:den>
        </m:f>
      </m:oMath>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t>(2)</w:t>
      </w:r>
      <w:r>
        <w:rPr>
          <w:rFonts w:ascii="Times New Roman" w:hAnsi="Times New Roman" w:cs="Times New Roman"/>
        </w:rPr>
        <w:br/>
      </w:r>
    </w:p>
    <w:p w14:paraId="379A3090"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Preparation of Universal Extractants</w:t>
      </w:r>
    </w:p>
    <w:p w14:paraId="3145D60F" w14:textId="77777777" w:rsidR="00512167" w:rsidRPr="00C82D4D" w:rsidRDefault="00512167" w:rsidP="009A3EAF">
      <w:pPr>
        <w:spacing w:after="0" w:line="360" w:lineRule="auto"/>
        <w:jc w:val="both"/>
        <w:rPr>
          <w:rFonts w:ascii="Times New Roman" w:hAnsi="Times New Roman" w:cs="Times New Roman"/>
          <w:b/>
          <w:bCs/>
          <w:sz w:val="20"/>
          <w:szCs w:val="20"/>
        </w:rPr>
      </w:pPr>
      <w:r w:rsidRPr="00C82D4D">
        <w:rPr>
          <w:rFonts w:ascii="Times New Roman" w:hAnsi="Times New Roman" w:cs="Times New Roman"/>
          <w:b/>
          <w:bCs/>
          <w:sz w:val="20"/>
          <w:szCs w:val="20"/>
        </w:rPr>
        <w:t>Calcium Chloride Extractant</w:t>
      </w:r>
    </w:p>
    <w:p w14:paraId="5F31DDCE" w14:textId="77777777" w:rsidR="00512167" w:rsidRDefault="00FF233E" w:rsidP="009A3EAF">
      <w:pPr>
        <w:spacing w:after="0" w:line="360" w:lineRule="auto"/>
        <w:jc w:val="both"/>
        <w:rPr>
          <w:rFonts w:ascii="Times New Roman" w:hAnsi="Times New Roman" w:cs="Times New Roman"/>
        </w:rPr>
      </w:pPr>
      <w:r>
        <w:rPr>
          <w:rFonts w:ascii="Times New Roman" w:hAnsi="Times New Roman" w:cs="Times New Roman"/>
        </w:rPr>
        <w:t>The 0.01 M CaCl</w:t>
      </w:r>
      <w:r w:rsidRPr="00FF233E">
        <w:rPr>
          <w:rFonts w:ascii="Times New Roman" w:hAnsi="Times New Roman" w:cs="Times New Roman"/>
          <w:vertAlign w:val="subscript"/>
        </w:rPr>
        <w:t>2</w:t>
      </w:r>
      <w:r w:rsidR="00512167" w:rsidRPr="00473404">
        <w:rPr>
          <w:rFonts w:ascii="Times New Roman" w:hAnsi="Times New Roman" w:cs="Times New Roman"/>
        </w:rPr>
        <w:t xml:space="preserve"> extractant was prepared </w:t>
      </w:r>
      <w:r w:rsidR="00EE69F6">
        <w:rPr>
          <w:rFonts w:ascii="Times New Roman" w:hAnsi="Times New Roman" w:cs="Times New Roman"/>
        </w:rPr>
        <w:t>by</w:t>
      </w:r>
      <w:r w:rsidR="00512167" w:rsidRPr="00473404">
        <w:rPr>
          <w:rFonts w:ascii="Times New Roman" w:hAnsi="Times New Roman" w:cs="Times New Roman"/>
        </w:rPr>
        <w:t xml:space="preserve"> dissolving analytical-grade calcium chloride in distilled water and diluting</w:t>
      </w:r>
      <w:r w:rsidR="00473404" w:rsidRPr="00473404">
        <w:rPr>
          <w:rFonts w:ascii="Times New Roman" w:hAnsi="Times New Roman" w:cs="Times New Roman"/>
        </w:rPr>
        <w:t xml:space="preserve"> the suspension</w:t>
      </w:r>
      <w:r w:rsidR="00512167" w:rsidRPr="00473404">
        <w:rPr>
          <w:rFonts w:ascii="Times New Roman" w:hAnsi="Times New Roman" w:cs="Times New Roman"/>
        </w:rPr>
        <w:t xml:space="preserve"> to the required volume.</w:t>
      </w:r>
    </w:p>
    <w:p w14:paraId="1717184E" w14:textId="77777777" w:rsidR="00817E69" w:rsidRPr="009A3EAF" w:rsidRDefault="00817E69" w:rsidP="009A3EAF">
      <w:pPr>
        <w:spacing w:after="0" w:line="360" w:lineRule="auto"/>
        <w:jc w:val="both"/>
        <w:rPr>
          <w:rFonts w:ascii="Times New Roman" w:hAnsi="Times New Roman" w:cs="Times New Roman"/>
        </w:rPr>
      </w:pPr>
    </w:p>
    <w:p w14:paraId="6C0C3476" w14:textId="77777777" w:rsidR="00512167" w:rsidRPr="001213BD" w:rsidRDefault="00512167" w:rsidP="009A3EAF">
      <w:pPr>
        <w:spacing w:after="0" w:line="360" w:lineRule="auto"/>
        <w:jc w:val="both"/>
        <w:rPr>
          <w:rFonts w:ascii="Times New Roman" w:hAnsi="Times New Roman" w:cs="Times New Roman"/>
          <w:b/>
          <w:bCs/>
          <w:sz w:val="20"/>
          <w:szCs w:val="20"/>
        </w:rPr>
      </w:pPr>
      <w:r w:rsidRPr="001213BD">
        <w:rPr>
          <w:rFonts w:ascii="Times New Roman" w:hAnsi="Times New Roman" w:cs="Times New Roman"/>
          <w:b/>
          <w:bCs/>
          <w:sz w:val="20"/>
          <w:szCs w:val="20"/>
        </w:rPr>
        <w:t>ASI Extractant</w:t>
      </w:r>
    </w:p>
    <w:p w14:paraId="2B4581B0" w14:textId="77777777" w:rsidR="00512167" w:rsidRPr="009A3EAF" w:rsidRDefault="00512167" w:rsidP="009A3EAF">
      <w:pPr>
        <w:spacing w:after="0" w:line="360" w:lineRule="auto"/>
        <w:jc w:val="both"/>
        <w:rPr>
          <w:rFonts w:ascii="Times New Roman" w:hAnsi="Times New Roman" w:cs="Times New Roman"/>
        </w:rPr>
      </w:pPr>
      <w:r w:rsidRPr="00473404">
        <w:rPr>
          <w:rFonts w:ascii="Times New Roman" w:hAnsi="Times New Roman" w:cs="Times New Roman"/>
        </w:rPr>
        <w:t>ASI extractant solution was prepared</w:t>
      </w:r>
      <w:r w:rsidR="00473404">
        <w:rPr>
          <w:rFonts w:ascii="Times New Roman" w:hAnsi="Times New Roman" w:cs="Times New Roman"/>
        </w:rPr>
        <w:t xml:space="preserve"> via</w:t>
      </w:r>
      <w:r w:rsidRPr="00473404">
        <w:rPr>
          <w:rFonts w:ascii="Times New Roman" w:hAnsi="Times New Roman" w:cs="Times New Roman"/>
        </w:rPr>
        <w:t xml:space="preserve"> dissolving 0.25 mo</w:t>
      </w:r>
      <w:r w:rsidR="00FF233E">
        <w:rPr>
          <w:rFonts w:ascii="Times New Roman" w:hAnsi="Times New Roman" w:cs="Times New Roman"/>
        </w:rPr>
        <w:t xml:space="preserve">l L⁻¹ </w:t>
      </w:r>
      <w:r w:rsidR="00FF233E" w:rsidRPr="0087045E">
        <w:rPr>
          <w:rFonts w:ascii="Times New Roman" w:hAnsi="Times New Roman" w:cs="Times New Roman"/>
          <w:color w:val="000000"/>
        </w:rPr>
        <w:t>sodium bicarbonate (NaHCO</w:t>
      </w:r>
      <w:r w:rsidR="00FF233E" w:rsidRPr="0087045E">
        <w:rPr>
          <w:rFonts w:ascii="Times New Roman" w:hAnsi="Times New Roman" w:cs="Times New Roman"/>
          <w:color w:val="000000"/>
          <w:vertAlign w:val="subscript"/>
        </w:rPr>
        <w:t>3</w:t>
      </w:r>
      <w:r w:rsidRPr="0087045E">
        <w:rPr>
          <w:rFonts w:ascii="Times New Roman" w:hAnsi="Times New Roman" w:cs="Times New Roman"/>
          <w:color w:val="000000"/>
        </w:rPr>
        <w:t>),</w:t>
      </w:r>
      <w:r w:rsidRPr="00473404">
        <w:rPr>
          <w:rFonts w:ascii="Times New Roman" w:hAnsi="Times New Roman" w:cs="Times New Roman"/>
        </w:rPr>
        <w:t xml:space="preserve"> 0.01 mol L⁻¹ ethylenediaminetetraacetic acid (EDTA)</w:t>
      </w:r>
      <w:r w:rsidR="004A2D64">
        <w:rPr>
          <w:rFonts w:ascii="Times New Roman" w:hAnsi="Times New Roman" w:cs="Times New Roman"/>
        </w:rPr>
        <w:t>,</w:t>
      </w:r>
      <w:r w:rsidRPr="00473404">
        <w:rPr>
          <w:rFonts w:ascii="Times New Roman" w:hAnsi="Times New Roman" w:cs="Times New Roman"/>
        </w:rPr>
        <w:t xml:space="preserve"> and 0.01 mol L⁻¹ ammonium fluoride (NH₄F) in distilled water. The solution was thoroughly mixed and adjusted to </w:t>
      </w:r>
      <w:r w:rsidR="00473404">
        <w:rPr>
          <w:rFonts w:ascii="Times New Roman" w:hAnsi="Times New Roman" w:cs="Times New Roman"/>
        </w:rPr>
        <w:t xml:space="preserve">the </w:t>
      </w:r>
      <w:r w:rsidRPr="00473404">
        <w:rPr>
          <w:rFonts w:ascii="Times New Roman" w:hAnsi="Times New Roman" w:cs="Times New Roman"/>
        </w:rPr>
        <w:t>required pH</w:t>
      </w:r>
      <w:r w:rsidR="00473404">
        <w:rPr>
          <w:rFonts w:ascii="Times New Roman" w:hAnsi="Times New Roman" w:cs="Times New Roman"/>
        </w:rPr>
        <w:t xml:space="preserve"> before use. </w:t>
      </w:r>
    </w:p>
    <w:p w14:paraId="248D094B" w14:textId="77777777" w:rsidR="00512167" w:rsidRDefault="00512167" w:rsidP="009A3EAF">
      <w:pPr>
        <w:spacing w:after="0" w:line="360" w:lineRule="auto"/>
        <w:jc w:val="both"/>
        <w:rPr>
          <w:rFonts w:ascii="Times New Roman" w:hAnsi="Times New Roman" w:cs="Times New Roman"/>
        </w:rPr>
      </w:pPr>
    </w:p>
    <w:p w14:paraId="51AA393E" w14:textId="77777777" w:rsidR="00512167"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 xml:space="preserve"> Nutrient Extraction Procedure</w:t>
      </w:r>
    </w:p>
    <w:p w14:paraId="0A62E5CE" w14:textId="77777777" w:rsidR="00473404" w:rsidRPr="00473404" w:rsidRDefault="00473404" w:rsidP="00C82D4D">
      <w:pPr>
        <w:spacing w:after="0" w:line="360" w:lineRule="auto"/>
        <w:jc w:val="both"/>
        <w:rPr>
          <w:rFonts w:ascii="Times New Roman" w:hAnsi="Times New Roman" w:cs="Times New Roman"/>
        </w:rPr>
      </w:pPr>
      <w:r w:rsidRPr="00473404">
        <w:rPr>
          <w:rFonts w:ascii="Times New Roman" w:hAnsi="Times New Roman" w:cs="Times New Roman"/>
        </w:rPr>
        <w:t xml:space="preserve">Available K, P, Fe, and Mn were </w:t>
      </w:r>
      <w:r w:rsidRPr="0087045E">
        <w:rPr>
          <w:rFonts w:ascii="Times New Roman" w:hAnsi="Times New Roman" w:cs="Times New Roman"/>
          <w:color w:val="000000"/>
        </w:rPr>
        <w:t>extracted using both Ca</w:t>
      </w:r>
      <w:r w:rsidR="00FF233E" w:rsidRPr="0087045E">
        <w:rPr>
          <w:rFonts w:ascii="Times New Roman" w:hAnsi="Times New Roman" w:cs="Times New Roman"/>
          <w:color w:val="000000"/>
        </w:rPr>
        <w:t>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ASI extractants. </w:t>
      </w:r>
      <w:r w:rsidR="004851AA" w:rsidRPr="0087045E">
        <w:rPr>
          <w:rFonts w:ascii="Times New Roman" w:hAnsi="Times New Roman" w:cs="Times New Roman"/>
          <w:color w:val="000000"/>
        </w:rPr>
        <w:t>Ten grams (</w:t>
      </w:r>
      <w:r w:rsidRPr="0087045E">
        <w:rPr>
          <w:rFonts w:ascii="Times New Roman" w:hAnsi="Times New Roman" w:cs="Times New Roman"/>
          <w:color w:val="000000"/>
        </w:rPr>
        <w:t>10g</w:t>
      </w:r>
      <w:r w:rsidR="004851AA" w:rsidRPr="0087045E">
        <w:rPr>
          <w:rFonts w:ascii="Times New Roman" w:hAnsi="Times New Roman" w:cs="Times New Roman"/>
          <w:color w:val="000000"/>
        </w:rPr>
        <w:t>)</w:t>
      </w:r>
      <w:r w:rsidRPr="0087045E">
        <w:rPr>
          <w:rFonts w:ascii="Times New Roman" w:hAnsi="Times New Roman" w:cs="Times New Roman"/>
          <w:color w:val="000000"/>
        </w:rPr>
        <w:t xml:space="preserve"> of air-dried soil were initially weighed into 100 mL extraction bottles</w:t>
      </w:r>
      <w:r w:rsidR="00FA710F" w:rsidRPr="0087045E">
        <w:rPr>
          <w:rFonts w:ascii="Times New Roman" w:hAnsi="Times New Roman" w:cs="Times New Roman"/>
          <w:color w:val="000000"/>
        </w:rPr>
        <w:t xml:space="preserve">. </w:t>
      </w:r>
      <w:r w:rsidRPr="0087045E">
        <w:rPr>
          <w:rFonts w:ascii="Times New Roman" w:hAnsi="Times New Roman" w:cs="Times New Roman"/>
          <w:color w:val="000000"/>
        </w:rPr>
        <w:t xml:space="preserve">50 mL of extracting </w:t>
      </w:r>
      <w:r w:rsidR="00FA710F" w:rsidRPr="0087045E">
        <w:rPr>
          <w:rFonts w:ascii="Times New Roman" w:hAnsi="Times New Roman" w:cs="Times New Roman"/>
          <w:color w:val="000000"/>
        </w:rPr>
        <w:t xml:space="preserve">solution was then added </w:t>
      </w:r>
      <w:r w:rsidRPr="0087045E">
        <w:rPr>
          <w:rFonts w:ascii="Times New Roman" w:hAnsi="Times New Roman" w:cs="Times New Roman"/>
          <w:color w:val="000000"/>
        </w:rPr>
        <w:t>to the extraction bottles to obtain a soil-to-solution ratio of 1:5. The suspensions were then shaken for 30 minutes at room temperature.</w:t>
      </w:r>
      <w:r w:rsidR="008979CA">
        <w:rPr>
          <w:rFonts w:ascii="Times New Roman" w:hAnsi="Times New Roman" w:cs="Times New Roman"/>
          <w:color w:val="000000"/>
        </w:rPr>
        <w:t xml:space="preserve"> </w:t>
      </w:r>
      <w:r w:rsidRPr="0087045E">
        <w:rPr>
          <w:rFonts w:ascii="Times New Roman" w:hAnsi="Times New Roman" w:cs="Times New Roman"/>
          <w:color w:val="000000"/>
        </w:rPr>
        <w:t>After shaking, the</w:t>
      </w:r>
      <w:r w:rsidR="00FA710F" w:rsidRPr="0087045E">
        <w:rPr>
          <w:rFonts w:ascii="Times New Roman" w:hAnsi="Times New Roman" w:cs="Times New Roman"/>
          <w:color w:val="000000"/>
        </w:rPr>
        <w:t>se</w:t>
      </w:r>
      <w:r w:rsidRPr="0087045E">
        <w:rPr>
          <w:rFonts w:ascii="Times New Roman" w:hAnsi="Times New Roman" w:cs="Times New Roman"/>
          <w:color w:val="000000"/>
        </w:rPr>
        <w:t xml:space="preserve"> suspensions were filtered</w:t>
      </w:r>
      <w:r w:rsidR="00FA710F" w:rsidRPr="0087045E">
        <w:rPr>
          <w:rFonts w:ascii="Times New Roman" w:hAnsi="Times New Roman" w:cs="Times New Roman"/>
          <w:color w:val="000000"/>
        </w:rPr>
        <w:t xml:space="preserve"> using</w:t>
      </w:r>
      <w:r w:rsidRPr="0087045E">
        <w:rPr>
          <w:rFonts w:ascii="Times New Roman" w:hAnsi="Times New Roman" w:cs="Times New Roman"/>
          <w:color w:val="000000"/>
        </w:rPr>
        <w:t xml:space="preserve"> Whatman No. 42 filter paper into clean polyethylene containers. The extracts obtained were analyzed immediately to</w:t>
      </w:r>
      <w:r w:rsidRPr="00473404">
        <w:rPr>
          <w:rFonts w:ascii="Times New Roman" w:hAnsi="Times New Roman" w:cs="Times New Roman"/>
        </w:rPr>
        <w:t xml:space="preserve"> determine the nutrient concentrations. To ensure analytical precision, all analyses were undertaken in triplicate. </w:t>
      </w:r>
    </w:p>
    <w:p w14:paraId="76F689BE"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Determination of Extractable Nutrients</w:t>
      </w:r>
    </w:p>
    <w:p w14:paraId="6B0F2413" w14:textId="77777777" w:rsidR="00675F27" w:rsidRDefault="00D7634C" w:rsidP="00D7634C">
      <w:pPr>
        <w:spacing w:after="0" w:line="360" w:lineRule="auto"/>
        <w:jc w:val="both"/>
        <w:rPr>
          <w:rFonts w:ascii="Times New Roman" w:hAnsi="Times New Roman" w:cs="Times New Roman"/>
        </w:rPr>
      </w:pPr>
      <w:r w:rsidRPr="00D7634C">
        <w:rPr>
          <w:rFonts w:ascii="Times New Roman" w:hAnsi="Times New Roman" w:cs="Times New Roman"/>
        </w:rPr>
        <w:t xml:space="preserve">Concentrations of extractable potassium were determined with a flame photometer, while those of extractable iron and manganese were </w:t>
      </w:r>
      <w:r w:rsidR="00FA710F">
        <w:rPr>
          <w:rFonts w:ascii="Times New Roman" w:hAnsi="Times New Roman" w:cs="Times New Roman"/>
        </w:rPr>
        <w:t>determined</w:t>
      </w:r>
      <w:r w:rsidRPr="00D7634C">
        <w:rPr>
          <w:rFonts w:ascii="Times New Roman" w:hAnsi="Times New Roman" w:cs="Times New Roman"/>
        </w:rPr>
        <w:t xml:space="preserve"> using atomic absorption spectrophotometry.</w:t>
      </w:r>
      <w:r w:rsidR="008979CA">
        <w:rPr>
          <w:rFonts w:ascii="Times New Roman" w:hAnsi="Times New Roman" w:cs="Times New Roman"/>
        </w:rPr>
        <w:t xml:space="preserve"> </w:t>
      </w:r>
      <w:r w:rsidRPr="00D7634C">
        <w:rPr>
          <w:rFonts w:ascii="Times New Roman" w:hAnsi="Times New Roman" w:cs="Times New Roman"/>
        </w:rPr>
        <w:t xml:space="preserve">Concentrations of extractable phosphorus were determined </w:t>
      </w:r>
      <w:proofErr w:type="spellStart"/>
      <w:r w:rsidR="00CB5A49" w:rsidRPr="00CB5A49">
        <w:rPr>
          <w:rFonts w:ascii="Times New Roman" w:hAnsi="Times New Roman" w:cs="Times New Roman"/>
        </w:rPr>
        <w:t>colorimetrically</w:t>
      </w:r>
      <w:proofErr w:type="spellEnd"/>
      <w:r w:rsidRPr="00D7634C">
        <w:rPr>
          <w:rFonts w:ascii="Times New Roman" w:hAnsi="Times New Roman" w:cs="Times New Roman"/>
        </w:rPr>
        <w:t xml:space="preserve"> using the molybdenum blue-ascorbic acid method, and absorbance was measured with a UV-visible spectrophotometer using standard analytical procedures. </w:t>
      </w:r>
    </w:p>
    <w:p w14:paraId="3EE7D607" w14:textId="77777777" w:rsidR="00D7634C" w:rsidRPr="009A3EAF" w:rsidRDefault="00D7634C" w:rsidP="00D7634C">
      <w:pPr>
        <w:spacing w:after="0" w:line="360" w:lineRule="auto"/>
        <w:jc w:val="both"/>
        <w:rPr>
          <w:rFonts w:ascii="Times New Roman" w:hAnsi="Times New Roman" w:cs="Times New Roman"/>
        </w:rPr>
      </w:pPr>
    </w:p>
    <w:p w14:paraId="5F0A9E63"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Quality Assurance and Quality Control</w:t>
      </w:r>
    </w:p>
    <w:p w14:paraId="356B1F9F" w14:textId="77777777" w:rsidR="00512167" w:rsidRDefault="00524823" w:rsidP="009A3EAF">
      <w:pPr>
        <w:spacing w:after="0" w:line="360" w:lineRule="auto"/>
        <w:jc w:val="both"/>
        <w:rPr>
          <w:rFonts w:ascii="Times New Roman" w:hAnsi="Times New Roman" w:cs="Times New Roman"/>
        </w:rPr>
      </w:pPr>
      <w:r w:rsidRPr="00524823">
        <w:rPr>
          <w:rFonts w:ascii="Times New Roman" w:hAnsi="Times New Roman" w:cs="Times New Roman"/>
        </w:rPr>
        <w:t>Analytical quality assurance procedures were undertaken during the study to ensure the reliability and reproducibility of the results obtained. All reagents used were of analytical grade. Glassware and sample containers were acid-washed and rinsed with distilled water before use. Blank samples, duplicate analyses, and standard solutions were used during laboratory analyses for quality control purposes. Instruments used were calibrated using certified standard solutions, and analytical measurements were verified using reference standards.</w:t>
      </w:r>
    </w:p>
    <w:p w14:paraId="69A8E090" w14:textId="77777777" w:rsidR="00524823" w:rsidRPr="009A3EAF" w:rsidRDefault="00524823" w:rsidP="009A3EAF">
      <w:pPr>
        <w:spacing w:after="0" w:line="360" w:lineRule="auto"/>
        <w:jc w:val="both"/>
        <w:rPr>
          <w:rFonts w:ascii="Times New Roman" w:hAnsi="Times New Roman" w:cs="Times New Roman"/>
        </w:rPr>
      </w:pPr>
    </w:p>
    <w:p w14:paraId="0EBBF14C"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Statistical Analysis</w:t>
      </w:r>
    </w:p>
    <w:p w14:paraId="5B24A32F" w14:textId="77777777" w:rsidR="009A3EAF" w:rsidRPr="009A3EAF" w:rsidRDefault="00FA710F" w:rsidP="009A3EAF">
      <w:pPr>
        <w:spacing w:after="0" w:line="360" w:lineRule="auto"/>
        <w:jc w:val="both"/>
        <w:rPr>
          <w:rFonts w:ascii="Times New Roman" w:hAnsi="Times New Roman" w:cs="Times New Roman"/>
        </w:rPr>
      </w:pPr>
      <w:r>
        <w:rPr>
          <w:rFonts w:ascii="Times New Roman" w:hAnsi="Times New Roman" w:cs="Times New Roman"/>
        </w:rPr>
        <w:t>D</w:t>
      </w:r>
      <w:r w:rsidR="00817E69" w:rsidRPr="00817E69">
        <w:rPr>
          <w:rFonts w:ascii="Times New Roman" w:hAnsi="Times New Roman" w:cs="Times New Roman"/>
        </w:rPr>
        <w:t>ata generated from laboratory analysis were subjected to descriptive and inferential analysis using IBM SPSS Statistics software. The mean, standard deviation, and coefficient of variation were computed for the measured variables. A factorial analysis of variance (ANOVA) was undertaken to assess the impacts of extractant type, parent material type, effluent treatment, and sampling depth on extractable nutrient concentrations. Whenever significant differences occurred, the treatment means wer</w:t>
      </w:r>
      <w:r w:rsidR="0055634E">
        <w:rPr>
          <w:rFonts w:ascii="Times New Roman" w:hAnsi="Times New Roman" w:cs="Times New Roman"/>
        </w:rPr>
        <w:t>e assessed</w:t>
      </w:r>
      <w:r w:rsidR="00817E69" w:rsidRPr="00817E69">
        <w:rPr>
          <w:rFonts w:ascii="Times New Roman" w:hAnsi="Times New Roman" w:cs="Times New Roman"/>
        </w:rPr>
        <w:t xml:space="preserve"> using the </w:t>
      </w:r>
      <w:r w:rsidR="00CB5A49" w:rsidRPr="00817E69">
        <w:rPr>
          <w:rFonts w:ascii="Times New Roman" w:hAnsi="Times New Roman" w:cs="Times New Roman"/>
        </w:rPr>
        <w:t xml:space="preserve">least significant difference </w:t>
      </w:r>
      <w:r w:rsidR="00817E69" w:rsidRPr="00817E69">
        <w:rPr>
          <w:rFonts w:ascii="Times New Roman" w:hAnsi="Times New Roman" w:cs="Times New Roman"/>
        </w:rPr>
        <w:t xml:space="preserve">(LSD) test at 5% probability level. </w:t>
      </w:r>
      <w:r w:rsidR="0055634E">
        <w:rPr>
          <w:rFonts w:ascii="Times New Roman" w:hAnsi="Times New Roman" w:cs="Times New Roman"/>
        </w:rPr>
        <w:t>T</w:t>
      </w:r>
      <w:r w:rsidR="00817E69" w:rsidRPr="00817E69">
        <w:rPr>
          <w:rFonts w:ascii="Times New Roman" w:hAnsi="Times New Roman" w:cs="Times New Roman"/>
        </w:rPr>
        <w:t>o assess the interrelationships between extractable nutrient concentrations and soil physicochemical characteristics</w:t>
      </w:r>
      <w:r w:rsidR="0055634E">
        <w:rPr>
          <w:rFonts w:ascii="Times New Roman" w:hAnsi="Times New Roman" w:cs="Times New Roman"/>
        </w:rPr>
        <w:t xml:space="preserve">, </w:t>
      </w:r>
      <w:r w:rsidR="0055634E" w:rsidRPr="00817E69">
        <w:rPr>
          <w:rFonts w:ascii="Times New Roman" w:hAnsi="Times New Roman" w:cs="Times New Roman"/>
        </w:rPr>
        <w:t>Pearson correlation analysis was carried out</w:t>
      </w:r>
      <w:r w:rsidR="00CB5A49">
        <w:rPr>
          <w:rFonts w:ascii="Times New Roman" w:hAnsi="Times New Roman" w:cs="Times New Roman"/>
        </w:rPr>
        <w:t xml:space="preserve">. </w:t>
      </w:r>
    </w:p>
    <w:p w14:paraId="27953338" w14:textId="77777777" w:rsidR="009A3EAF" w:rsidRPr="009A3EAF" w:rsidRDefault="009A3EAF" w:rsidP="009A3EAF">
      <w:pPr>
        <w:spacing w:after="0" w:line="360" w:lineRule="auto"/>
        <w:jc w:val="both"/>
        <w:rPr>
          <w:rFonts w:ascii="Times New Roman" w:hAnsi="Times New Roman" w:cs="Times New Roman"/>
        </w:rPr>
      </w:pPr>
    </w:p>
    <w:p w14:paraId="2ED85222" w14:textId="121CC701" w:rsidR="009A3EAF" w:rsidRPr="009A3EAF" w:rsidRDefault="00B87262" w:rsidP="009A3EAF">
      <w:pPr>
        <w:spacing w:after="0" w:line="360" w:lineRule="auto"/>
        <w:jc w:val="both"/>
        <w:rPr>
          <w:rFonts w:ascii="Times New Roman" w:hAnsi="Times New Roman" w:cs="Times New Roman"/>
          <w:b/>
          <w:bCs/>
        </w:rPr>
      </w:pPr>
      <w:r>
        <w:rPr>
          <w:rFonts w:ascii="Times New Roman" w:hAnsi="Times New Roman" w:cs="Times New Roman"/>
          <w:b/>
          <w:bCs/>
        </w:rPr>
        <w:t>R</w:t>
      </w:r>
      <w:r w:rsidR="009A3EAF" w:rsidRPr="009A3EAF">
        <w:rPr>
          <w:rFonts w:ascii="Times New Roman" w:hAnsi="Times New Roman" w:cs="Times New Roman"/>
          <w:b/>
          <w:bCs/>
        </w:rPr>
        <w:t>ESULTS AND DISCUSSION</w:t>
      </w:r>
    </w:p>
    <w:p w14:paraId="3BD3C0B0" w14:textId="77777777" w:rsidR="009A3EAF" w:rsidRDefault="009A3EAF" w:rsidP="009A3EAF">
      <w:pPr>
        <w:spacing w:after="0" w:line="360" w:lineRule="auto"/>
        <w:jc w:val="both"/>
        <w:rPr>
          <w:rFonts w:ascii="Times New Roman" w:hAnsi="Times New Roman" w:cs="Times New Roman"/>
          <w:b/>
          <w:bCs/>
        </w:rPr>
      </w:pPr>
      <w:r w:rsidRPr="006E402E">
        <w:rPr>
          <w:rFonts w:ascii="Times New Roman" w:hAnsi="Times New Roman" w:cs="Times New Roman"/>
          <w:b/>
          <w:bCs/>
        </w:rPr>
        <w:t xml:space="preserve">Universal </w:t>
      </w:r>
      <w:r w:rsidR="006E402E" w:rsidRPr="006E402E">
        <w:rPr>
          <w:rFonts w:ascii="Times New Roman" w:hAnsi="Times New Roman" w:cs="Times New Roman"/>
          <w:b/>
          <w:bCs/>
        </w:rPr>
        <w:t>e</w:t>
      </w:r>
      <w:r w:rsidRPr="006E402E">
        <w:rPr>
          <w:rFonts w:ascii="Times New Roman" w:hAnsi="Times New Roman" w:cs="Times New Roman"/>
          <w:b/>
          <w:bCs/>
        </w:rPr>
        <w:t>xtractants for Coastal Plain Sands (CPS), Beach Ridge Sands (BRS)</w:t>
      </w:r>
      <w:r w:rsidR="00EE69F6">
        <w:rPr>
          <w:rFonts w:ascii="Times New Roman" w:hAnsi="Times New Roman" w:cs="Times New Roman"/>
          <w:b/>
          <w:bCs/>
        </w:rPr>
        <w:t>,</w:t>
      </w:r>
      <w:r w:rsidRPr="006E402E">
        <w:rPr>
          <w:rFonts w:ascii="Times New Roman" w:hAnsi="Times New Roman" w:cs="Times New Roman"/>
          <w:b/>
          <w:bCs/>
        </w:rPr>
        <w:t xml:space="preserve"> and Sandstone-Shale (SSS) </w:t>
      </w:r>
      <w:r w:rsidR="006E402E" w:rsidRPr="006E402E">
        <w:rPr>
          <w:rFonts w:ascii="Times New Roman" w:hAnsi="Times New Roman" w:cs="Times New Roman"/>
          <w:b/>
          <w:bCs/>
        </w:rPr>
        <w:t>s</w:t>
      </w:r>
      <w:r w:rsidRPr="006E402E">
        <w:rPr>
          <w:rFonts w:ascii="Times New Roman" w:hAnsi="Times New Roman" w:cs="Times New Roman"/>
          <w:b/>
          <w:bCs/>
        </w:rPr>
        <w:t>oils</w:t>
      </w:r>
    </w:p>
    <w:p w14:paraId="4593EDB7" w14:textId="77777777" w:rsidR="00C82D4D" w:rsidRPr="006E402E" w:rsidRDefault="00C82D4D" w:rsidP="009A3EAF">
      <w:pPr>
        <w:spacing w:after="0" w:line="360" w:lineRule="auto"/>
        <w:jc w:val="both"/>
        <w:rPr>
          <w:rFonts w:ascii="Times New Roman" w:hAnsi="Times New Roman" w:cs="Times New Roman"/>
          <w:b/>
          <w:bCs/>
        </w:rPr>
      </w:pPr>
    </w:p>
    <w:p w14:paraId="57134DC9" w14:textId="77777777" w:rsidR="005619AB" w:rsidRPr="006E402E" w:rsidRDefault="006E402E" w:rsidP="009A3EAF">
      <w:pPr>
        <w:spacing w:after="0" w:line="360" w:lineRule="auto"/>
        <w:ind w:firstLine="720"/>
        <w:jc w:val="both"/>
        <w:rPr>
          <w:rFonts w:ascii="Times New Roman" w:hAnsi="Times New Roman" w:cs="Times New Roman"/>
        </w:rPr>
      </w:pPr>
      <w:r w:rsidRPr="006E402E">
        <w:rPr>
          <w:rFonts w:ascii="Times New Roman" w:hAnsi="Times New Roman" w:cs="Times New Roman"/>
        </w:rPr>
        <w:t xml:space="preserve">The mean concentrations </w:t>
      </w:r>
      <w:r w:rsidR="009A3EAF" w:rsidRPr="006E402E">
        <w:rPr>
          <w:rFonts w:ascii="Times New Roman" w:hAnsi="Times New Roman" w:cs="Times New Roman"/>
        </w:rPr>
        <w:t>of extractable phosphorus (P), potassium (K), manganese (Mn)</w:t>
      </w:r>
      <w:r w:rsidR="004A2D64">
        <w:rPr>
          <w:rFonts w:ascii="Times New Roman" w:hAnsi="Times New Roman" w:cs="Times New Roman"/>
        </w:rPr>
        <w:t>,</w:t>
      </w:r>
      <w:r w:rsidR="009A3EAF" w:rsidRPr="006E402E">
        <w:rPr>
          <w:rFonts w:ascii="Times New Roman" w:hAnsi="Times New Roman" w:cs="Times New Roman"/>
        </w:rPr>
        <w:t xml:space="preserve"> an</w:t>
      </w:r>
      <w:r w:rsidR="00FF233E">
        <w:rPr>
          <w:rFonts w:ascii="Times New Roman" w:hAnsi="Times New Roman" w:cs="Times New Roman"/>
        </w:rPr>
        <w:t xml:space="preserve">d iron (Fe) </w:t>
      </w:r>
      <w:r w:rsidR="00FF233E" w:rsidRPr="0087045E">
        <w:rPr>
          <w:rFonts w:ascii="Times New Roman" w:hAnsi="Times New Roman" w:cs="Times New Roman"/>
          <w:color w:val="000000"/>
        </w:rPr>
        <w:t>obtained using CaCl</w:t>
      </w:r>
      <w:r w:rsidR="00FF233E" w:rsidRPr="0087045E">
        <w:rPr>
          <w:rFonts w:ascii="Times New Roman" w:hAnsi="Times New Roman" w:cs="Times New Roman"/>
          <w:color w:val="000000"/>
          <w:vertAlign w:val="subscript"/>
        </w:rPr>
        <w:t>2</w:t>
      </w:r>
      <w:r w:rsidR="009A3EAF" w:rsidRPr="0087045E">
        <w:rPr>
          <w:rFonts w:ascii="Times New Roman" w:hAnsi="Times New Roman" w:cs="Times New Roman"/>
          <w:color w:val="000000"/>
        </w:rPr>
        <w:t xml:space="preserve"> and ASI extractants</w:t>
      </w:r>
      <w:r w:rsidR="009A3EAF" w:rsidRPr="006E402E">
        <w:rPr>
          <w:rFonts w:ascii="Times New Roman" w:hAnsi="Times New Roman" w:cs="Times New Roman"/>
        </w:rPr>
        <w:t xml:space="preserve"> in coastal plain sands</w:t>
      </w:r>
      <w:r>
        <w:rPr>
          <w:rFonts w:ascii="Times New Roman" w:hAnsi="Times New Roman" w:cs="Times New Roman"/>
        </w:rPr>
        <w:t xml:space="preserve">, </w:t>
      </w:r>
      <w:r w:rsidRPr="006E402E">
        <w:rPr>
          <w:rFonts w:ascii="Times New Roman" w:hAnsi="Times New Roman" w:cs="Times New Roman"/>
        </w:rPr>
        <w:t>beach ridge sands</w:t>
      </w:r>
      <w:r w:rsidR="004A2D64">
        <w:rPr>
          <w:rFonts w:ascii="Times New Roman" w:hAnsi="Times New Roman" w:cs="Times New Roman"/>
        </w:rPr>
        <w:t xml:space="preserve">, </w:t>
      </w:r>
      <w:r w:rsidRPr="006E402E">
        <w:rPr>
          <w:rFonts w:ascii="Times New Roman" w:hAnsi="Times New Roman" w:cs="Times New Roman"/>
        </w:rPr>
        <w:t xml:space="preserve">and sandstone-shale soils are shown in </w:t>
      </w:r>
      <w:r w:rsidR="009A3EAF" w:rsidRPr="006E402E">
        <w:rPr>
          <w:rFonts w:ascii="Times New Roman" w:hAnsi="Times New Roman" w:cs="Times New Roman"/>
        </w:rPr>
        <w:t>Figure</w:t>
      </w:r>
      <w:r>
        <w:rPr>
          <w:rFonts w:ascii="Times New Roman" w:hAnsi="Times New Roman" w:cs="Times New Roman"/>
        </w:rPr>
        <w:t>s</w:t>
      </w:r>
      <w:r w:rsidRPr="006E402E">
        <w:rPr>
          <w:rFonts w:ascii="Times New Roman" w:hAnsi="Times New Roman" w:cs="Times New Roman"/>
        </w:rPr>
        <w:t xml:space="preserve"> 2</w:t>
      </w:r>
      <w:r>
        <w:rPr>
          <w:rFonts w:ascii="Times New Roman" w:hAnsi="Times New Roman" w:cs="Times New Roman"/>
        </w:rPr>
        <w:t xml:space="preserve"> - 4</w:t>
      </w:r>
      <w:r w:rsidRPr="006E402E">
        <w:rPr>
          <w:rFonts w:ascii="Times New Roman" w:hAnsi="Times New Roman" w:cs="Times New Roman"/>
        </w:rPr>
        <w:t xml:space="preserve">. </w:t>
      </w:r>
    </w:p>
    <w:p w14:paraId="1A9BFCBA" w14:textId="77777777" w:rsidR="00037FD8" w:rsidRDefault="00037FD8" w:rsidP="006E402E">
      <w:pPr>
        <w:spacing w:after="0" w:line="360" w:lineRule="auto"/>
        <w:jc w:val="both"/>
        <w:rPr>
          <w:rFonts w:ascii="Times New Roman" w:hAnsi="Times New Roman" w:cs="Times New Roman"/>
          <w:highlight w:val="yellow"/>
        </w:rPr>
      </w:pPr>
      <w:r w:rsidRPr="00A203EE">
        <w:rPr>
          <w:rFonts w:ascii="Times New Roman" w:hAnsi="Times New Roman" w:cs="Times New Roman"/>
          <w:noProof/>
        </w:rPr>
        <w:lastRenderedPageBreak/>
        <w:drawing>
          <wp:inline distT="0" distB="0" distL="0" distR="0" wp14:anchorId="3762046F" wp14:editId="4650D5DD">
            <wp:extent cx="6543675" cy="4262755"/>
            <wp:effectExtent l="0" t="0" r="9525" b="44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97E765" w14:textId="77777777" w:rsidR="00B87262" w:rsidRDefault="006E402E" w:rsidP="00BD2717">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2</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sidR="00BD2717">
        <w:rPr>
          <w:rFonts w:ascii="Times New Roman" w:hAnsi="Times New Roman" w:cs="Times New Roman"/>
        </w:rPr>
        <w:t>Coastal Plain Sands (</w:t>
      </w:r>
      <w:r w:rsidRPr="006E402E">
        <w:rPr>
          <w:rFonts w:ascii="Times New Roman" w:hAnsi="Times New Roman" w:cs="Times New Roman"/>
        </w:rPr>
        <w:t>CPS</w:t>
      </w:r>
      <w:r w:rsidR="00BD2717">
        <w:rPr>
          <w:rFonts w:ascii="Times New Roman" w:hAnsi="Times New Roman" w:cs="Times New Roman"/>
        </w:rPr>
        <w:t>)</w:t>
      </w:r>
      <w:r w:rsidRPr="006E402E">
        <w:rPr>
          <w:rFonts w:ascii="Times New Roman" w:hAnsi="Times New Roman" w:cs="Times New Roman"/>
        </w:rPr>
        <w:t xml:space="preserve"> under different effluent treatments and soil depths. </w:t>
      </w:r>
    </w:p>
    <w:p w14:paraId="6D3B23D7" w14:textId="37BC971B" w:rsidR="005619AB" w:rsidRPr="006E402E" w:rsidRDefault="00B87262" w:rsidP="00BD2717">
      <w:pPr>
        <w:spacing w:after="0" w:line="240" w:lineRule="auto"/>
        <w:jc w:val="both"/>
        <w:rPr>
          <w:rFonts w:ascii="Times New Roman" w:hAnsi="Times New Roman" w:cs="Times New Roman"/>
        </w:rPr>
      </w:pPr>
      <w:r>
        <w:rPr>
          <w:rFonts w:ascii="Times New Roman" w:hAnsi="Times New Roman" w:cs="Times New Roman"/>
        </w:rPr>
        <w:t xml:space="preserve">Key: </w:t>
      </w:r>
      <w:r w:rsidR="006E402E" w:rsidRPr="006E402E">
        <w:rPr>
          <w:rFonts w:ascii="Times New Roman" w:hAnsi="Times New Roman" w:cs="Times New Roman"/>
        </w:rPr>
        <w:t>P = phosphorus, K = potassium, Mn =</w:t>
      </w:r>
      <w:r w:rsidR="00FF233E">
        <w:rPr>
          <w:rFonts w:ascii="Times New Roman" w:hAnsi="Times New Roman" w:cs="Times New Roman"/>
        </w:rPr>
        <w:t xml:space="preserve"> manganese, </w:t>
      </w:r>
      <w:r w:rsidR="00FF233E" w:rsidRPr="0087045E">
        <w:rPr>
          <w:rFonts w:ascii="Times New Roman" w:hAnsi="Times New Roman" w:cs="Times New Roman"/>
          <w:color w:val="000000"/>
        </w:rPr>
        <w:t>and Fe = iron. CaCl</w:t>
      </w:r>
      <w:r w:rsidR="00FF233E" w:rsidRPr="0087045E">
        <w:rPr>
          <w:rFonts w:ascii="Times New Roman" w:hAnsi="Times New Roman" w:cs="Times New Roman"/>
          <w:color w:val="000000"/>
          <w:vertAlign w:val="subscript"/>
        </w:rPr>
        <w:t>2</w:t>
      </w:r>
      <w:r w:rsidR="006E402E" w:rsidRPr="0087045E">
        <w:rPr>
          <w:rFonts w:ascii="Times New Roman" w:hAnsi="Times New Roman" w:cs="Times New Roman"/>
          <w:color w:val="000000"/>
        </w:rPr>
        <w:t xml:space="preserve"> = calcium chloride</w:t>
      </w:r>
      <w:r w:rsidR="006E402E" w:rsidRPr="006E402E">
        <w:rPr>
          <w:rFonts w:ascii="Times New Roman" w:hAnsi="Times New Roman" w:cs="Times New Roman"/>
        </w:rPr>
        <w:t xml:space="preserve"> extractant; </w:t>
      </w:r>
      <w:r w:rsidR="00E34D69" w:rsidRPr="00E34D69">
        <w:rPr>
          <w:rFonts w:ascii="Times New Roman" w:hAnsi="Times New Roman" w:cs="Times New Roman"/>
          <w:color w:val="000000" w:themeColor="text1"/>
        </w:rPr>
        <w:t xml:space="preserve">ASI = </w:t>
      </w:r>
      <w:proofErr w:type="spellStart"/>
      <w:r w:rsidR="00E34D69" w:rsidRPr="00E34D69">
        <w:rPr>
          <w:rFonts w:ascii="Times New Roman" w:hAnsi="Times New Roman" w:cs="Times New Roman"/>
          <w:color w:val="000000" w:themeColor="text1"/>
        </w:rPr>
        <w:t>Agro</w:t>
      </w:r>
      <w:proofErr w:type="spellEnd"/>
      <w:r w:rsidR="00E34D69" w:rsidRPr="00E34D69">
        <w:rPr>
          <w:rFonts w:ascii="Times New Roman" w:hAnsi="Times New Roman" w:cs="Times New Roman"/>
          <w:color w:val="000000" w:themeColor="text1"/>
        </w:rPr>
        <w:t>-Services International extractant</w:t>
      </w:r>
      <w:r w:rsidR="006E402E" w:rsidRPr="006E402E">
        <w:rPr>
          <w:rFonts w:ascii="Times New Roman" w:hAnsi="Times New Roman" w:cs="Times New Roman"/>
        </w:rPr>
        <w:t>; POME = palm oil mill effluent; CME = cassava mill effluent.</w:t>
      </w:r>
    </w:p>
    <w:p w14:paraId="10DAD8C2" w14:textId="77777777" w:rsidR="006E402E" w:rsidRDefault="006E402E" w:rsidP="009A3EAF">
      <w:pPr>
        <w:spacing w:after="0" w:line="360" w:lineRule="auto"/>
        <w:ind w:firstLine="720"/>
        <w:jc w:val="both"/>
        <w:rPr>
          <w:rFonts w:ascii="Times New Roman" w:hAnsi="Times New Roman" w:cs="Times New Roman"/>
          <w:highlight w:val="yellow"/>
        </w:rPr>
      </w:pPr>
    </w:p>
    <w:p w14:paraId="36BA4273" w14:textId="77777777" w:rsidR="002B19C8" w:rsidRDefault="002B19C8" w:rsidP="009A3EAF">
      <w:pPr>
        <w:spacing w:after="0" w:line="360" w:lineRule="auto"/>
        <w:ind w:firstLine="720"/>
        <w:jc w:val="both"/>
        <w:rPr>
          <w:rFonts w:ascii="Times New Roman" w:hAnsi="Times New Roman" w:cs="Times New Roman"/>
          <w:highlight w:val="yellow"/>
        </w:rPr>
      </w:pPr>
    </w:p>
    <w:p w14:paraId="2294038E" w14:textId="77777777" w:rsidR="002B19C8" w:rsidRDefault="002B19C8" w:rsidP="002B19C8">
      <w:pPr>
        <w:spacing w:after="0" w:line="360" w:lineRule="auto"/>
        <w:jc w:val="both"/>
        <w:rPr>
          <w:rFonts w:ascii="Times New Roman" w:hAnsi="Times New Roman" w:cs="Times New Roman"/>
          <w:highlight w:val="yellow"/>
        </w:rPr>
      </w:pPr>
      <w:r w:rsidRPr="00A203EE">
        <w:rPr>
          <w:rFonts w:ascii="Times New Roman" w:hAnsi="Times New Roman" w:cs="Times New Roman"/>
          <w:noProof/>
        </w:rPr>
        <w:lastRenderedPageBreak/>
        <w:drawing>
          <wp:inline distT="0" distB="0" distL="0" distR="0" wp14:anchorId="26295A53" wp14:editId="1B7AF03B">
            <wp:extent cx="6667500" cy="395287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6266A1" w14:textId="77777777" w:rsidR="00B87262" w:rsidRDefault="002B19C8" w:rsidP="002B19C8">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3</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Pr>
          <w:rFonts w:ascii="Times New Roman" w:hAnsi="Times New Roman" w:cs="Times New Roman"/>
        </w:rPr>
        <w:t>Beach Ridge Sands (BR</w:t>
      </w:r>
      <w:r w:rsidRPr="006E402E">
        <w:rPr>
          <w:rFonts w:ascii="Times New Roman" w:hAnsi="Times New Roman" w:cs="Times New Roman"/>
        </w:rPr>
        <w:t>S</w:t>
      </w:r>
      <w:r>
        <w:rPr>
          <w:rFonts w:ascii="Times New Roman" w:hAnsi="Times New Roman" w:cs="Times New Roman"/>
        </w:rPr>
        <w:t>)</w:t>
      </w:r>
      <w:r w:rsidRPr="006E402E">
        <w:rPr>
          <w:rFonts w:ascii="Times New Roman" w:hAnsi="Times New Roman" w:cs="Times New Roman"/>
        </w:rPr>
        <w:t xml:space="preserve"> under different effluent treatments and soil depths. </w:t>
      </w:r>
    </w:p>
    <w:p w14:paraId="235926E5" w14:textId="72502E5D" w:rsidR="002B19C8" w:rsidRPr="006E402E" w:rsidRDefault="00B87262" w:rsidP="002B19C8">
      <w:pPr>
        <w:spacing w:after="0" w:line="240" w:lineRule="auto"/>
        <w:jc w:val="both"/>
        <w:rPr>
          <w:rFonts w:ascii="Times New Roman" w:hAnsi="Times New Roman" w:cs="Times New Roman"/>
        </w:rPr>
      </w:pPr>
      <w:r>
        <w:rPr>
          <w:rFonts w:ascii="Times New Roman" w:hAnsi="Times New Roman" w:cs="Times New Roman"/>
        </w:rPr>
        <w:t xml:space="preserve">Key: </w:t>
      </w:r>
      <w:r w:rsidR="002B19C8" w:rsidRPr="006E402E">
        <w:rPr>
          <w:rFonts w:ascii="Times New Roman" w:hAnsi="Times New Roman" w:cs="Times New Roman"/>
        </w:rPr>
        <w:t>P = phosphorus, K = potassium, Mn =</w:t>
      </w:r>
      <w:r w:rsidR="00FF233E">
        <w:rPr>
          <w:rFonts w:ascii="Times New Roman" w:hAnsi="Times New Roman" w:cs="Times New Roman"/>
        </w:rPr>
        <w:t xml:space="preserve"> manganese, and Fe </w:t>
      </w:r>
      <w:r w:rsidR="00FF233E" w:rsidRPr="0087045E">
        <w:rPr>
          <w:rFonts w:ascii="Times New Roman" w:hAnsi="Times New Roman" w:cs="Times New Roman"/>
          <w:color w:val="000000"/>
        </w:rPr>
        <w:t>= iron. CaCl</w:t>
      </w:r>
      <w:r w:rsidR="00FF233E" w:rsidRPr="0087045E">
        <w:rPr>
          <w:rFonts w:ascii="Times New Roman" w:hAnsi="Times New Roman" w:cs="Times New Roman"/>
          <w:color w:val="000000"/>
          <w:vertAlign w:val="subscript"/>
        </w:rPr>
        <w:t>2</w:t>
      </w:r>
      <w:r w:rsidR="002B19C8" w:rsidRPr="0087045E">
        <w:rPr>
          <w:rFonts w:ascii="Times New Roman" w:hAnsi="Times New Roman" w:cs="Times New Roman"/>
          <w:color w:val="000000"/>
        </w:rPr>
        <w:t>= calcium</w:t>
      </w:r>
      <w:r w:rsidR="002B19C8" w:rsidRPr="006E402E">
        <w:rPr>
          <w:rFonts w:ascii="Times New Roman" w:hAnsi="Times New Roman" w:cs="Times New Roman"/>
        </w:rPr>
        <w:t xml:space="preserve"> chloride extractant; </w:t>
      </w:r>
      <w:r w:rsidR="00CB5A49" w:rsidRPr="00E34D69">
        <w:rPr>
          <w:rFonts w:ascii="Times New Roman" w:hAnsi="Times New Roman" w:cs="Times New Roman"/>
          <w:color w:val="000000" w:themeColor="text1"/>
        </w:rPr>
        <w:t xml:space="preserve">ASI = </w:t>
      </w:r>
      <w:proofErr w:type="spellStart"/>
      <w:r w:rsidR="00CB5A49" w:rsidRPr="00E34D69">
        <w:rPr>
          <w:rFonts w:ascii="Times New Roman" w:hAnsi="Times New Roman" w:cs="Times New Roman"/>
          <w:color w:val="000000" w:themeColor="text1"/>
        </w:rPr>
        <w:t>Agro</w:t>
      </w:r>
      <w:proofErr w:type="spellEnd"/>
      <w:r w:rsidR="00CB5A49" w:rsidRPr="00E34D69">
        <w:rPr>
          <w:rFonts w:ascii="Times New Roman" w:hAnsi="Times New Roman" w:cs="Times New Roman"/>
          <w:color w:val="000000" w:themeColor="text1"/>
        </w:rPr>
        <w:t>-Services International extractant</w:t>
      </w:r>
      <w:r w:rsidR="002B19C8" w:rsidRPr="006E402E">
        <w:rPr>
          <w:rFonts w:ascii="Times New Roman" w:hAnsi="Times New Roman" w:cs="Times New Roman"/>
        </w:rPr>
        <w:t>; POME = palm oil mill effluent; CME = cassava mill effluent.</w:t>
      </w:r>
    </w:p>
    <w:p w14:paraId="2E35DD88" w14:textId="77777777" w:rsidR="002B19C8" w:rsidRDefault="002B19C8" w:rsidP="002B19C8">
      <w:pPr>
        <w:spacing w:after="0" w:line="360" w:lineRule="auto"/>
        <w:jc w:val="both"/>
        <w:rPr>
          <w:rFonts w:ascii="Times New Roman" w:hAnsi="Times New Roman" w:cs="Times New Roman"/>
          <w:highlight w:val="yellow"/>
        </w:rPr>
      </w:pPr>
    </w:p>
    <w:p w14:paraId="6380890A" w14:textId="77777777" w:rsidR="002B19C8" w:rsidRDefault="002B19C8" w:rsidP="009A3EAF">
      <w:pPr>
        <w:spacing w:after="0" w:line="360" w:lineRule="auto"/>
        <w:ind w:firstLine="720"/>
        <w:jc w:val="both"/>
        <w:rPr>
          <w:rFonts w:ascii="Times New Roman" w:hAnsi="Times New Roman" w:cs="Times New Roman"/>
          <w:highlight w:val="yellow"/>
        </w:rPr>
      </w:pPr>
    </w:p>
    <w:p w14:paraId="55162E48" w14:textId="77777777" w:rsidR="002B19C8" w:rsidRDefault="002B19C8" w:rsidP="002B19C8">
      <w:pPr>
        <w:spacing w:after="0" w:line="360" w:lineRule="auto"/>
        <w:jc w:val="both"/>
        <w:rPr>
          <w:rFonts w:ascii="Times New Roman" w:hAnsi="Times New Roman" w:cs="Times New Roman"/>
          <w:highlight w:val="yellow"/>
        </w:rPr>
      </w:pPr>
      <w:r w:rsidRPr="00A203EE">
        <w:rPr>
          <w:noProof/>
        </w:rPr>
        <w:lastRenderedPageBreak/>
        <w:drawing>
          <wp:inline distT="0" distB="0" distL="0" distR="0" wp14:anchorId="565EC540" wp14:editId="0CC1FC79">
            <wp:extent cx="6438900" cy="38481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B6A14AF" w14:textId="77777777" w:rsidR="00B87262" w:rsidRDefault="002B19C8" w:rsidP="002B19C8">
      <w:pPr>
        <w:spacing w:after="0" w:line="240" w:lineRule="auto"/>
        <w:jc w:val="both"/>
        <w:rPr>
          <w:rFonts w:ascii="Times New Roman" w:hAnsi="Times New Roman" w:cs="Times New Roman"/>
          <w:color w:val="000000" w:themeColor="text1"/>
        </w:rPr>
      </w:pPr>
      <w:r w:rsidRPr="006E402E">
        <w:rPr>
          <w:rFonts w:ascii="Times New Roman" w:hAnsi="Times New Roman" w:cs="Times New Roman"/>
          <w:b/>
          <w:bCs/>
        </w:rPr>
        <w:t xml:space="preserve">Figure </w:t>
      </w:r>
      <w:r>
        <w:rPr>
          <w:rFonts w:ascii="Times New Roman" w:hAnsi="Times New Roman" w:cs="Times New Roman"/>
          <w:b/>
          <w:bCs/>
        </w:rPr>
        <w:t>4</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Pr>
          <w:rFonts w:ascii="Times New Roman" w:hAnsi="Times New Roman" w:cs="Times New Roman"/>
        </w:rPr>
        <w:t>Sandstone Shale Sands (SS</w:t>
      </w:r>
      <w:r w:rsidRPr="006E402E">
        <w:rPr>
          <w:rFonts w:ascii="Times New Roman" w:hAnsi="Times New Roman" w:cs="Times New Roman"/>
        </w:rPr>
        <w:t>S</w:t>
      </w:r>
      <w:r>
        <w:rPr>
          <w:rFonts w:ascii="Times New Roman" w:hAnsi="Times New Roman" w:cs="Times New Roman"/>
        </w:rPr>
        <w:t>)</w:t>
      </w:r>
      <w:r w:rsidRPr="006E402E">
        <w:rPr>
          <w:rFonts w:ascii="Times New Roman" w:hAnsi="Times New Roman" w:cs="Times New Roman"/>
        </w:rPr>
        <w:t xml:space="preserve"> under different effluent treatments and </w:t>
      </w:r>
      <w:r w:rsidRPr="00FA0C1D">
        <w:rPr>
          <w:rFonts w:ascii="Times New Roman" w:hAnsi="Times New Roman" w:cs="Times New Roman"/>
          <w:color w:val="000000" w:themeColor="text1"/>
        </w:rPr>
        <w:t xml:space="preserve">soil depths. </w:t>
      </w:r>
    </w:p>
    <w:p w14:paraId="4EFA5E57" w14:textId="5EFE91D3" w:rsidR="002B19C8" w:rsidRPr="006E402E" w:rsidRDefault="00B87262" w:rsidP="002B19C8">
      <w:pPr>
        <w:spacing w:after="0" w:line="240" w:lineRule="auto"/>
        <w:jc w:val="both"/>
        <w:rPr>
          <w:rFonts w:ascii="Times New Roman" w:hAnsi="Times New Roman" w:cs="Times New Roman"/>
        </w:rPr>
      </w:pPr>
      <w:r>
        <w:rPr>
          <w:rFonts w:ascii="Times New Roman" w:hAnsi="Times New Roman" w:cs="Times New Roman"/>
          <w:color w:val="000000" w:themeColor="text1"/>
        </w:rPr>
        <w:t xml:space="preserve">Key: </w:t>
      </w:r>
      <w:r w:rsidR="002B19C8" w:rsidRPr="00FA0C1D">
        <w:rPr>
          <w:rFonts w:ascii="Times New Roman" w:hAnsi="Times New Roman" w:cs="Times New Roman"/>
          <w:color w:val="000000" w:themeColor="text1"/>
        </w:rPr>
        <w:t>P = phosphorus, K = potassium, Mn =</w:t>
      </w:r>
      <w:r w:rsidR="00FF233E" w:rsidRPr="00FA0C1D">
        <w:rPr>
          <w:rFonts w:ascii="Times New Roman" w:hAnsi="Times New Roman" w:cs="Times New Roman"/>
          <w:color w:val="000000" w:themeColor="text1"/>
        </w:rPr>
        <w:t xml:space="preserve"> manganese, and Fe = iron. CaCl</w:t>
      </w:r>
      <w:r w:rsidR="00FF233E" w:rsidRPr="00FA0C1D">
        <w:rPr>
          <w:rFonts w:ascii="Times New Roman" w:hAnsi="Times New Roman" w:cs="Times New Roman"/>
          <w:color w:val="000000" w:themeColor="text1"/>
          <w:vertAlign w:val="subscript"/>
        </w:rPr>
        <w:t>2</w:t>
      </w:r>
      <w:r w:rsidR="002B19C8" w:rsidRPr="00FA0C1D">
        <w:rPr>
          <w:rFonts w:ascii="Times New Roman" w:hAnsi="Times New Roman" w:cs="Times New Roman"/>
          <w:color w:val="000000" w:themeColor="text1"/>
        </w:rPr>
        <w:t xml:space="preserve">= calcium chloride extractant; ASI = </w:t>
      </w:r>
      <w:proofErr w:type="spellStart"/>
      <w:r w:rsidR="00CB5A49" w:rsidRPr="00FA0C1D">
        <w:rPr>
          <w:rFonts w:ascii="Times New Roman" w:hAnsi="Times New Roman" w:cs="Times New Roman"/>
          <w:color w:val="000000" w:themeColor="text1"/>
        </w:rPr>
        <w:t>Agro</w:t>
      </w:r>
      <w:proofErr w:type="spellEnd"/>
      <w:r w:rsidR="00CB5A49" w:rsidRPr="00FA0C1D">
        <w:rPr>
          <w:rFonts w:ascii="Times New Roman" w:hAnsi="Times New Roman" w:cs="Times New Roman"/>
          <w:color w:val="000000" w:themeColor="text1"/>
        </w:rPr>
        <w:t>-Services International extractant</w:t>
      </w:r>
      <w:r w:rsidR="002B19C8" w:rsidRPr="00FA0C1D">
        <w:rPr>
          <w:rFonts w:ascii="Times New Roman" w:hAnsi="Times New Roman" w:cs="Times New Roman"/>
          <w:color w:val="000000" w:themeColor="text1"/>
        </w:rPr>
        <w:t xml:space="preserve">; </w:t>
      </w:r>
      <w:r w:rsidR="002B19C8" w:rsidRPr="0087045E">
        <w:rPr>
          <w:rFonts w:ascii="Times New Roman" w:hAnsi="Times New Roman" w:cs="Times New Roman"/>
          <w:color w:val="000000"/>
        </w:rPr>
        <w:t>POME = palm oil mill effluent; CME = cassava mill effluent</w:t>
      </w:r>
      <w:r w:rsidR="002B19C8" w:rsidRPr="006E402E">
        <w:rPr>
          <w:rFonts w:ascii="Times New Roman" w:hAnsi="Times New Roman" w:cs="Times New Roman"/>
        </w:rPr>
        <w:t>.</w:t>
      </w:r>
    </w:p>
    <w:p w14:paraId="760215CE" w14:textId="77777777" w:rsidR="002B19C8" w:rsidRDefault="002B19C8" w:rsidP="009A3EAF">
      <w:pPr>
        <w:spacing w:after="0" w:line="360" w:lineRule="auto"/>
        <w:ind w:firstLine="720"/>
        <w:jc w:val="both"/>
        <w:rPr>
          <w:rFonts w:ascii="Times New Roman" w:hAnsi="Times New Roman" w:cs="Times New Roman"/>
          <w:highlight w:val="yellow"/>
        </w:rPr>
      </w:pPr>
    </w:p>
    <w:p w14:paraId="490B76BF"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t>Figures 2 - 4 illustrated that across all soil samples, ASI extracted higher nutrient conce</w:t>
      </w:r>
      <w:r w:rsidR="00FF233E">
        <w:rPr>
          <w:rFonts w:ascii="Times New Roman" w:hAnsi="Times New Roman" w:cs="Times New Roman"/>
        </w:rPr>
        <w:t xml:space="preserve">ntrations in </w:t>
      </w:r>
      <w:r w:rsidR="00FF233E" w:rsidRPr="0087045E">
        <w:rPr>
          <w:rFonts w:ascii="Times New Roman" w:hAnsi="Times New Roman" w:cs="Times New Roman"/>
          <w:color w:val="000000"/>
        </w:rPr>
        <w:t>comparison to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indicating substantial differences in extraction efficiency between the two extractants. The</w:t>
      </w:r>
      <w:r w:rsidR="0055634E" w:rsidRPr="0087045E">
        <w:rPr>
          <w:rFonts w:ascii="Times New Roman" w:hAnsi="Times New Roman" w:cs="Times New Roman"/>
          <w:color w:val="000000"/>
        </w:rPr>
        <w:t xml:space="preserve"> reduced</w:t>
      </w:r>
      <w:r w:rsidRPr="0087045E">
        <w:rPr>
          <w:rFonts w:ascii="Times New Roman" w:hAnsi="Times New Roman" w:cs="Times New Roman"/>
          <w:color w:val="000000"/>
        </w:rPr>
        <w:t xml:space="preserve"> concentrations extracted by CaCl</w:t>
      </w:r>
      <w:r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indicated that the extractant recovered mainly the readily soluble and exchangeable nutrient fractions. ASI, on the other hand, extracted both soluble and weakly adsorbed nutrients via buffering and chelation mechanisms. </w:t>
      </w:r>
    </w:p>
    <w:p w14:paraId="57D7616A" w14:textId="069162D1" w:rsidR="00E34D69" w:rsidRPr="00E34D69" w:rsidRDefault="00E34D69" w:rsidP="00E34D69">
      <w:pPr>
        <w:spacing w:after="0" w:line="360" w:lineRule="auto"/>
        <w:ind w:firstLine="720"/>
        <w:jc w:val="both"/>
        <w:rPr>
          <w:rFonts w:ascii="Times New Roman" w:hAnsi="Times New Roman" w:cs="Times New Roman"/>
          <w:color w:val="000000"/>
        </w:rPr>
      </w:pPr>
      <w:r w:rsidRPr="00E34D69">
        <w:rPr>
          <w:rFonts w:ascii="Times New Roman" w:hAnsi="Times New Roman" w:cs="Times New Roman"/>
          <w:color w:val="000000"/>
        </w:rPr>
        <w:t>Within the CPS soils (Figure 2), the nutrient concentrations extracted with CaCl</w:t>
      </w:r>
      <w:r w:rsidRPr="00E34D69">
        <w:rPr>
          <w:rFonts w:ascii="Times New Roman" w:hAnsi="Times New Roman" w:cs="Times New Roman"/>
          <w:color w:val="000000"/>
          <w:vertAlign w:val="subscript"/>
        </w:rPr>
        <w:t>2</w:t>
      </w:r>
      <w:r w:rsidRPr="00E34D69">
        <w:rPr>
          <w:rFonts w:ascii="Times New Roman" w:hAnsi="Times New Roman" w:cs="Times New Roman"/>
          <w:color w:val="000000"/>
        </w:rPr>
        <w:t xml:space="preserve"> were low across POME, CME, and control treatments at all depths. However, slightly high concentrations of P (4.17 – 10.32 mg kg</w:t>
      </w:r>
      <w:r w:rsidRPr="00E34D69">
        <w:rPr>
          <w:rFonts w:ascii="Times New Roman" w:hAnsi="Times New Roman" w:cs="Times New Roman"/>
          <w:color w:val="000000"/>
          <w:vertAlign w:val="superscript"/>
        </w:rPr>
        <w:t>-1</w:t>
      </w:r>
      <w:r w:rsidRPr="00E34D69">
        <w:rPr>
          <w:rFonts w:ascii="Times New Roman" w:hAnsi="Times New Roman" w:cs="Times New Roman"/>
          <w:color w:val="000000"/>
        </w:rPr>
        <w:t>)</w:t>
      </w:r>
      <w:r w:rsidR="00B87262">
        <w:rPr>
          <w:rFonts w:ascii="Times New Roman" w:hAnsi="Times New Roman" w:cs="Times New Roman"/>
          <w:color w:val="000000"/>
        </w:rPr>
        <w:t xml:space="preserve"> </w:t>
      </w:r>
      <w:r w:rsidRPr="00E34D69">
        <w:rPr>
          <w:rFonts w:ascii="Times New Roman" w:hAnsi="Times New Roman" w:cs="Times New Roman"/>
          <w:color w:val="000000"/>
        </w:rPr>
        <w:t xml:space="preserve">and Mn (2.16 – 3.82 </w:t>
      </w:r>
      <w:proofErr w:type="spellStart"/>
      <w:r w:rsidRPr="00E34D69">
        <w:rPr>
          <w:rFonts w:ascii="Times New Roman" w:hAnsi="Times New Roman" w:cs="Times New Roman"/>
          <w:color w:val="000000"/>
        </w:rPr>
        <w:t>cmol</w:t>
      </w:r>
      <w:proofErr w:type="spellEnd"/>
      <w:r w:rsidRPr="00E34D69">
        <w:rPr>
          <w:rFonts w:ascii="Times New Roman" w:hAnsi="Times New Roman" w:cs="Times New Roman"/>
          <w:color w:val="000000"/>
        </w:rPr>
        <w:t xml:space="preserve"> kg</w:t>
      </w:r>
      <w:r w:rsidRPr="00E34D69">
        <w:rPr>
          <w:rFonts w:ascii="Times New Roman" w:hAnsi="Times New Roman" w:cs="Times New Roman"/>
          <w:color w:val="000000"/>
          <w:vertAlign w:val="superscript"/>
        </w:rPr>
        <w:t>-1</w:t>
      </w:r>
      <w:r w:rsidRPr="00E34D69">
        <w:rPr>
          <w:rFonts w:ascii="Times New Roman" w:hAnsi="Times New Roman" w:cs="Times New Roman"/>
          <w:color w:val="000000"/>
        </w:rPr>
        <w:t>)</w:t>
      </w:r>
      <w:r w:rsidR="00B87262">
        <w:rPr>
          <w:rFonts w:ascii="Times New Roman" w:hAnsi="Times New Roman" w:cs="Times New Roman"/>
          <w:color w:val="000000"/>
        </w:rPr>
        <w:t xml:space="preserve"> </w:t>
      </w:r>
      <w:r w:rsidRPr="00E34D69">
        <w:rPr>
          <w:rFonts w:ascii="Times New Roman" w:hAnsi="Times New Roman" w:cs="Times New Roman"/>
          <w:color w:val="000000"/>
        </w:rPr>
        <w:t>were observed within effluent-amended soils in comparison to control soils. This was particularly obvious within the 0–20 cm depths. ASI, on the other hand, extracted much higher nutrient concentrations, with the largest values</w:t>
      </w:r>
      <w:r w:rsidR="00B87262">
        <w:rPr>
          <w:rFonts w:ascii="Times New Roman" w:hAnsi="Times New Roman" w:cs="Times New Roman"/>
          <w:color w:val="000000"/>
        </w:rPr>
        <w:t xml:space="preserve"> </w:t>
      </w:r>
      <w:r w:rsidRPr="00E34D69">
        <w:rPr>
          <w:rFonts w:ascii="Times New Roman" w:hAnsi="Times New Roman" w:cs="Times New Roman"/>
          <w:color w:val="000000"/>
        </w:rPr>
        <w:t>(109.44 – 112.81 mg kg</w:t>
      </w:r>
      <w:r w:rsidRPr="00E34D69">
        <w:rPr>
          <w:rFonts w:ascii="Times New Roman" w:hAnsi="Times New Roman" w:cs="Times New Roman"/>
          <w:color w:val="000000"/>
          <w:vertAlign w:val="superscript"/>
        </w:rPr>
        <w:t xml:space="preserve">-1 </w:t>
      </w:r>
      <w:r w:rsidRPr="00E34D69">
        <w:rPr>
          <w:rFonts w:ascii="Times New Roman" w:hAnsi="Times New Roman" w:cs="Times New Roman"/>
          <w:color w:val="000000"/>
        </w:rPr>
        <w:t xml:space="preserve">for P, 0.17 - 1.33 </w:t>
      </w:r>
      <w:proofErr w:type="spellStart"/>
      <w:r w:rsidRPr="00E34D69">
        <w:rPr>
          <w:rFonts w:ascii="Times New Roman" w:hAnsi="Times New Roman" w:cs="Times New Roman"/>
          <w:color w:val="000000"/>
        </w:rPr>
        <w:t>cmol</w:t>
      </w:r>
      <w:proofErr w:type="spellEnd"/>
      <w:r w:rsidRPr="00E34D69">
        <w:rPr>
          <w:rFonts w:ascii="Times New Roman" w:hAnsi="Times New Roman" w:cs="Times New Roman"/>
          <w:color w:val="000000"/>
        </w:rPr>
        <w:t xml:space="preserve"> kg</w:t>
      </w:r>
      <w:r w:rsidRPr="00E34D69">
        <w:rPr>
          <w:rFonts w:ascii="Times New Roman" w:hAnsi="Times New Roman" w:cs="Times New Roman"/>
          <w:color w:val="000000"/>
          <w:vertAlign w:val="superscript"/>
        </w:rPr>
        <w:t>-1</w:t>
      </w:r>
      <w:r w:rsidRPr="00E34D69">
        <w:rPr>
          <w:rFonts w:ascii="Times New Roman" w:hAnsi="Times New Roman" w:cs="Times New Roman"/>
          <w:color w:val="000000"/>
        </w:rPr>
        <w:t xml:space="preserve"> for K, 33.60 – 56.73 </w:t>
      </w:r>
      <w:proofErr w:type="spellStart"/>
      <w:r w:rsidRPr="00E34D69">
        <w:rPr>
          <w:rFonts w:ascii="Times New Roman" w:hAnsi="Times New Roman" w:cs="Times New Roman"/>
          <w:color w:val="000000"/>
        </w:rPr>
        <w:t>cmol</w:t>
      </w:r>
      <w:proofErr w:type="spellEnd"/>
      <w:r w:rsidRPr="00E34D69">
        <w:rPr>
          <w:rFonts w:ascii="Times New Roman" w:hAnsi="Times New Roman" w:cs="Times New Roman"/>
          <w:color w:val="000000"/>
        </w:rPr>
        <w:t xml:space="preserve"> kg</w:t>
      </w:r>
      <w:r w:rsidRPr="00E34D69">
        <w:rPr>
          <w:rFonts w:ascii="Times New Roman" w:hAnsi="Times New Roman" w:cs="Times New Roman"/>
          <w:color w:val="000000"/>
          <w:vertAlign w:val="superscript"/>
        </w:rPr>
        <w:t>-1</w:t>
      </w:r>
      <w:r w:rsidRPr="00E34D69">
        <w:rPr>
          <w:rFonts w:ascii="Times New Roman" w:hAnsi="Times New Roman" w:cs="Times New Roman"/>
          <w:color w:val="000000"/>
        </w:rPr>
        <w:t xml:space="preserve"> for Fe</w:t>
      </w:r>
      <w:r w:rsidR="00EE69F6">
        <w:rPr>
          <w:rFonts w:ascii="Times New Roman" w:hAnsi="Times New Roman" w:cs="Times New Roman"/>
          <w:color w:val="000000"/>
        </w:rPr>
        <w:t>,</w:t>
      </w:r>
      <w:r w:rsidRPr="00E34D69">
        <w:rPr>
          <w:rFonts w:ascii="Times New Roman" w:hAnsi="Times New Roman" w:cs="Times New Roman"/>
          <w:color w:val="000000"/>
        </w:rPr>
        <w:t xml:space="preserve"> and 6.73 – 11.07 </w:t>
      </w:r>
      <w:proofErr w:type="spellStart"/>
      <w:r w:rsidRPr="00E34D69">
        <w:rPr>
          <w:rFonts w:ascii="Times New Roman" w:hAnsi="Times New Roman" w:cs="Times New Roman"/>
          <w:color w:val="000000"/>
        </w:rPr>
        <w:t>cmol</w:t>
      </w:r>
      <w:proofErr w:type="spellEnd"/>
      <w:r w:rsidRPr="00E34D69">
        <w:rPr>
          <w:rFonts w:ascii="Times New Roman" w:hAnsi="Times New Roman" w:cs="Times New Roman"/>
          <w:color w:val="000000"/>
        </w:rPr>
        <w:t xml:space="preserve"> kg</w:t>
      </w:r>
      <w:r w:rsidRPr="00E34D69">
        <w:rPr>
          <w:rFonts w:ascii="Times New Roman" w:hAnsi="Times New Roman" w:cs="Times New Roman"/>
          <w:color w:val="000000"/>
          <w:vertAlign w:val="superscript"/>
        </w:rPr>
        <w:t>-1</w:t>
      </w:r>
      <w:r w:rsidRPr="00E34D69">
        <w:rPr>
          <w:rFonts w:ascii="Times New Roman" w:hAnsi="Times New Roman" w:cs="Times New Roman"/>
          <w:color w:val="000000"/>
        </w:rPr>
        <w:t xml:space="preserve"> for Mn) observed within the 0-20 cm depths. The increased efficiency of ASI compared to CaCl</w:t>
      </w:r>
      <w:r w:rsidRPr="00E34D69">
        <w:rPr>
          <w:rFonts w:ascii="Times New Roman" w:hAnsi="Times New Roman" w:cs="Times New Roman"/>
          <w:color w:val="000000"/>
          <w:vertAlign w:val="subscript"/>
        </w:rPr>
        <w:t>2</w:t>
      </w:r>
      <w:r w:rsidR="00B87262">
        <w:rPr>
          <w:rFonts w:ascii="Times New Roman" w:hAnsi="Times New Roman" w:cs="Times New Roman"/>
          <w:color w:val="000000"/>
          <w:vertAlign w:val="subscript"/>
        </w:rPr>
        <w:t xml:space="preserve"> </w:t>
      </w:r>
      <w:r w:rsidRPr="00E34D69">
        <w:rPr>
          <w:rFonts w:ascii="Times New Roman" w:hAnsi="Times New Roman" w:cs="Times New Roman"/>
          <w:color w:val="000000"/>
        </w:rPr>
        <w:t xml:space="preserve">was attributed to the </w:t>
      </w:r>
      <w:r w:rsidRPr="00E34D69">
        <w:rPr>
          <w:rFonts w:ascii="Times New Roman" w:hAnsi="Times New Roman" w:cs="Times New Roman"/>
          <w:color w:val="000000"/>
        </w:rPr>
        <w:lastRenderedPageBreak/>
        <w:t>combined impacts of EDTA chelation and bicarbonate buffering capacities. Theses mechanism enhanced the dissolution of adsorbed and weakly bound nutrient forms that were not readily extracted by CaCl</w:t>
      </w:r>
      <w:r w:rsidRPr="00E34D69">
        <w:rPr>
          <w:rFonts w:ascii="Times New Roman" w:hAnsi="Times New Roman" w:cs="Times New Roman"/>
          <w:color w:val="000000"/>
          <w:vertAlign w:val="subscript"/>
        </w:rPr>
        <w:t>2</w:t>
      </w:r>
      <w:r w:rsidRPr="00E34D69">
        <w:rPr>
          <w:rFonts w:ascii="Times New Roman" w:hAnsi="Times New Roman" w:cs="Times New Roman"/>
          <w:color w:val="000000"/>
        </w:rPr>
        <w:t xml:space="preserve">. Similar observations were reported by Ma </w:t>
      </w:r>
      <w:r w:rsidRPr="00E34D69">
        <w:rPr>
          <w:rFonts w:ascii="Times New Roman" w:hAnsi="Times New Roman" w:cs="Times New Roman"/>
          <w:i/>
          <w:color w:val="000000"/>
        </w:rPr>
        <w:t>et al.</w:t>
      </w:r>
      <w:r w:rsidRPr="00E34D69">
        <w:rPr>
          <w:rFonts w:ascii="Times New Roman" w:hAnsi="Times New Roman" w:cs="Times New Roman"/>
          <w:color w:val="000000"/>
        </w:rPr>
        <w:t xml:space="preserve"> (2020), who observed improved extraction of macro- and micronutrients with multi-nutrient extractants containing chelating agents and buffered solutions.</w:t>
      </w:r>
    </w:p>
    <w:p w14:paraId="7CC10C27" w14:textId="1C108A89"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Phosphorus was observed to be the most dominant nutrient extracted across the coastal plain </w:t>
      </w:r>
      <w:proofErr w:type="spellStart"/>
      <w:r w:rsidR="002974A1" w:rsidRPr="004A2D64">
        <w:rPr>
          <w:rFonts w:ascii="Times New Roman" w:hAnsi="Times New Roman" w:cs="Times New Roman"/>
        </w:rPr>
        <w:t>sand</w:t>
      </w:r>
      <w:proofErr w:type="spellEnd"/>
      <w:r w:rsidRPr="004A2D64">
        <w:rPr>
          <w:rFonts w:ascii="Times New Roman" w:hAnsi="Times New Roman" w:cs="Times New Roman"/>
        </w:rPr>
        <w:t xml:space="preserve"> soils. This was followed by manganese, iron, and potassium. The higher concentrations of phosphorus observed during use of ASI were attributed to the capacity of the fluoride ions within the extractant to reduce phosphorus sorption by Fe and Al oxides, thereby increasing phosphate release into solution. The higher nutrient concentrations observed within the upper soil layer (0-20 cm) also indicated that the effluent-derived nutrients accumulated mostly within the near-surface where effluent deposition had occurred. Nutrient concentrations decreased with depth, indicating reduced vertical motion resulting from nutrient adsorption and retention within the upper soil horizons. </w:t>
      </w:r>
    </w:p>
    <w:p w14:paraId="14FC1C8C" w14:textId="021FEE2E" w:rsidR="00E34D69" w:rsidRDefault="00E34D69" w:rsidP="00E34D69">
      <w:pPr>
        <w:spacing w:after="0" w:line="360" w:lineRule="auto"/>
        <w:ind w:firstLine="720"/>
        <w:jc w:val="both"/>
        <w:rPr>
          <w:rFonts w:ascii="Times New Roman" w:hAnsi="Times New Roman" w:cs="Times New Roman"/>
          <w:color w:val="000000" w:themeColor="text1"/>
        </w:rPr>
      </w:pPr>
      <w:r w:rsidRPr="00E34D69">
        <w:rPr>
          <w:rFonts w:ascii="Times New Roman" w:hAnsi="Times New Roman" w:cs="Times New Roman"/>
          <w:color w:val="000000" w:themeColor="text1"/>
        </w:rPr>
        <w:t>In beach ridge soils (Figure 3), nutrient concentrations extracted with CaCl</w:t>
      </w:r>
      <w:r w:rsidRPr="00E34D69">
        <w:rPr>
          <w:rFonts w:ascii="Times New Roman" w:hAnsi="Times New Roman" w:cs="Times New Roman"/>
          <w:color w:val="000000" w:themeColor="text1"/>
          <w:vertAlign w:val="subscript"/>
        </w:rPr>
        <w:t>2</w:t>
      </w:r>
      <w:r w:rsidRPr="00E34D69">
        <w:rPr>
          <w:rFonts w:ascii="Times New Roman" w:hAnsi="Times New Roman" w:cs="Times New Roman"/>
          <w:color w:val="000000" w:themeColor="text1"/>
        </w:rPr>
        <w:t xml:space="preserve">were very low (3.65 – 6.05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P, 0.02 -0.08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K, 11.83 – 17.59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Fe and 1.43 – 3.00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Mn)</w:t>
      </w:r>
      <w:r w:rsidR="00B87262">
        <w:rPr>
          <w:rFonts w:ascii="Times New Roman" w:hAnsi="Times New Roman" w:cs="Times New Roman"/>
          <w:color w:val="000000" w:themeColor="text1"/>
        </w:rPr>
        <w:t xml:space="preserve"> </w:t>
      </w:r>
      <w:r w:rsidRPr="00E34D69">
        <w:rPr>
          <w:rFonts w:ascii="Times New Roman" w:hAnsi="Times New Roman" w:cs="Times New Roman"/>
          <w:color w:val="000000" w:themeColor="text1"/>
        </w:rPr>
        <w:t>compared to concentrations extracted using ASI</w:t>
      </w:r>
      <w:r w:rsidR="00B87262">
        <w:rPr>
          <w:rFonts w:ascii="Times New Roman" w:hAnsi="Times New Roman" w:cs="Times New Roman"/>
          <w:color w:val="000000" w:themeColor="text1"/>
        </w:rPr>
        <w:t xml:space="preserve"> </w:t>
      </w:r>
      <w:r w:rsidRPr="00E34D69">
        <w:rPr>
          <w:rFonts w:ascii="Times New Roman" w:hAnsi="Times New Roman" w:cs="Times New Roman"/>
          <w:color w:val="000000" w:themeColor="text1"/>
        </w:rPr>
        <w:t xml:space="preserve">(105.10 – 111.15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P, 0.05 – 0.10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K, 41.0 – 59.53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Fe and 7.89 – 13.00 </w:t>
      </w:r>
      <w:proofErr w:type="spellStart"/>
      <w:r w:rsidRPr="00E34D69">
        <w:rPr>
          <w:rFonts w:ascii="Times New Roman" w:hAnsi="Times New Roman" w:cs="Times New Roman"/>
          <w:color w:val="000000" w:themeColor="text1"/>
        </w:rPr>
        <w:t>cmol</w:t>
      </w:r>
      <w:proofErr w:type="spellEnd"/>
      <w:r w:rsidRPr="00E34D69">
        <w:rPr>
          <w:rFonts w:ascii="Times New Roman" w:hAnsi="Times New Roman" w:cs="Times New Roman"/>
          <w:color w:val="000000" w:themeColor="text1"/>
        </w:rPr>
        <w:t xml:space="preserve"> kg</w:t>
      </w:r>
      <w:r w:rsidRPr="00E34D69">
        <w:rPr>
          <w:rFonts w:ascii="Times New Roman" w:hAnsi="Times New Roman" w:cs="Times New Roman"/>
          <w:color w:val="000000" w:themeColor="text1"/>
          <w:vertAlign w:val="superscript"/>
        </w:rPr>
        <w:t>-1</w:t>
      </w:r>
      <w:r w:rsidRPr="00E34D69">
        <w:rPr>
          <w:rFonts w:ascii="Times New Roman" w:hAnsi="Times New Roman" w:cs="Times New Roman"/>
          <w:color w:val="000000" w:themeColor="text1"/>
        </w:rPr>
        <w:t xml:space="preserve"> for Mn). POME and CME-treated soil had higher concentrations of extractable nutrients in comparison with control soils, particularly for phosphorus and iron during extraction with ASI. The higher nutrient concentration in effluent-amended soils indicated that both palm oil mill and cassava mill effluents contributed a substantial amount of soluble and potentially available nutrients to the soils. POME-amended soils</w:t>
      </w:r>
      <w:r w:rsidR="00B87262">
        <w:rPr>
          <w:rFonts w:ascii="Times New Roman" w:hAnsi="Times New Roman" w:cs="Times New Roman"/>
          <w:color w:val="000000" w:themeColor="text1"/>
        </w:rPr>
        <w:t xml:space="preserve"> </w:t>
      </w:r>
      <w:r w:rsidRPr="00E34D69">
        <w:rPr>
          <w:rFonts w:ascii="Times New Roman" w:hAnsi="Times New Roman" w:cs="Times New Roman"/>
          <w:color w:val="000000" w:themeColor="text1"/>
        </w:rPr>
        <w:t xml:space="preserve">had slightly higher nutrient concentrations in comparison with CME, especially with 0-20cm depth. This indicated the presence of higher measures of nutrients and organic matter within POME soils. </w:t>
      </w:r>
    </w:p>
    <w:p w14:paraId="26DFDB63" w14:textId="77777777"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t>Higher nutrient recovery (105.10 – 111.15 mg kg</w:t>
      </w:r>
      <w:r w:rsidRPr="002C35A3">
        <w:rPr>
          <w:rFonts w:ascii="Times New Roman" w:hAnsi="Times New Roman" w:cs="Times New Roman"/>
          <w:color w:val="000000" w:themeColor="text1"/>
          <w:vertAlign w:val="superscript"/>
        </w:rPr>
        <w:t>-1 </w:t>
      </w:r>
      <w:r w:rsidRPr="002C35A3">
        <w:rPr>
          <w:rFonts w:ascii="Times New Roman" w:hAnsi="Times New Roman" w:cs="Times New Roman"/>
          <w:color w:val="000000" w:themeColor="text1"/>
        </w:rPr>
        <w:t xml:space="preserve">for P, 0.05 – 0.10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xml:space="preserve"> for K, 41 – 59.53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xml:space="preserve"> for Fe, and 7.89 – 13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xml:space="preserve"> for Mn) observed with ASI extractant within BRS soils reflected enhanced extraction capacity of nutrients remaining within the oxide-coated sandy matrices characteristic of beach ridge sands. These soils are coarse-textured and have relatively low cation exchange capacity. Nutrients available in readily exchangeable and weakly adsorbed forms will be susceptible to extraction by buffered chelating solutions. Nutrient concentrations were also observed within the 20–40 cm layer, indicating limited vertical nutrient motion within the soil profile. Overall, nutrient </w:t>
      </w:r>
      <w:r w:rsidRPr="002C35A3">
        <w:rPr>
          <w:rFonts w:ascii="Times New Roman" w:hAnsi="Times New Roman" w:cs="Times New Roman"/>
          <w:color w:val="000000" w:themeColor="text1"/>
        </w:rPr>
        <w:lastRenderedPageBreak/>
        <w:t>concentrations were generally higher within the 0-20 cm depths, indicating the accumulation of most nutrients within the upper soil layers.</w:t>
      </w:r>
    </w:p>
    <w:p w14:paraId="74F0251A" w14:textId="77777777"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t>With sandstone shale soils (Figure 4), CaCl</w:t>
      </w:r>
      <w:r w:rsidRPr="002C35A3">
        <w:rPr>
          <w:rFonts w:ascii="Times New Roman" w:hAnsi="Times New Roman" w:cs="Times New Roman"/>
          <w:color w:val="000000" w:themeColor="text1"/>
          <w:vertAlign w:val="subscript"/>
        </w:rPr>
        <w:t>2</w:t>
      </w:r>
      <w:r w:rsidRPr="002C35A3">
        <w:rPr>
          <w:rFonts w:ascii="Times New Roman" w:hAnsi="Times New Roman" w:cs="Times New Roman"/>
          <w:color w:val="000000" w:themeColor="text1"/>
        </w:rPr>
        <w:t> extraction once again produced low nutrient concentrations (4.38 – 8.23 mg kg</w:t>
      </w:r>
      <w:r w:rsidRPr="002C35A3">
        <w:rPr>
          <w:rFonts w:ascii="Times New Roman" w:hAnsi="Times New Roman" w:cs="Times New Roman"/>
          <w:color w:val="000000" w:themeColor="text1"/>
          <w:vertAlign w:val="superscript"/>
        </w:rPr>
        <w:t>-1 </w:t>
      </w:r>
      <w:r w:rsidRPr="002C35A3">
        <w:rPr>
          <w:rFonts w:ascii="Times New Roman" w:hAnsi="Times New Roman" w:cs="Times New Roman"/>
          <w:color w:val="000000" w:themeColor="text1"/>
        </w:rPr>
        <w:t xml:space="preserve">for P, 0.03 – 0.12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xml:space="preserve"> for K, 4.33 – 11.33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xml:space="preserve"> for Fe and 0.64 – 2.37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for Mn) across all treatments and depths, in comparison with values obtained with ASI. ASI extracted higher concentrations of phosphorus (104.17 – 138.23 mg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xml:space="preserve">) and iron (33.11–71.85 </w:t>
      </w:r>
      <w:proofErr w:type="spellStart"/>
      <w:r w:rsidRPr="002C35A3">
        <w:rPr>
          <w:rFonts w:ascii="Times New Roman" w:hAnsi="Times New Roman" w:cs="Times New Roman"/>
          <w:color w:val="000000" w:themeColor="text1"/>
        </w:rPr>
        <w:t>cmol</w:t>
      </w:r>
      <w:proofErr w:type="spellEnd"/>
      <w:r w:rsidRPr="002C35A3">
        <w:rPr>
          <w:rFonts w:ascii="Times New Roman" w:hAnsi="Times New Roman" w:cs="Times New Roman"/>
          <w:color w:val="000000" w:themeColor="text1"/>
        </w:rPr>
        <w:t xml:space="preserve"> kg</w:t>
      </w:r>
      <w:r w:rsidRPr="002C35A3">
        <w:rPr>
          <w:rFonts w:ascii="Times New Roman" w:hAnsi="Times New Roman" w:cs="Times New Roman"/>
          <w:color w:val="000000" w:themeColor="text1"/>
          <w:vertAlign w:val="superscript"/>
        </w:rPr>
        <w:t>-1</w:t>
      </w:r>
      <w:r w:rsidRPr="002C35A3">
        <w:rPr>
          <w:rFonts w:ascii="Times New Roman" w:hAnsi="Times New Roman" w:cs="Times New Roman"/>
          <w:color w:val="000000" w:themeColor="text1"/>
        </w:rPr>
        <w:t>), particularly within the 0-20 cm depth. The higher nutrient concentrations observed in sandstone/shale soils were related to the differences in parent material composition. Sandstone/shale soils generally have finer textures and greater nutrient retention capacity. They also have greater clay content and oxide-associated adsorption surfaces that can retain nutrients in forms extractable by buffered chelating solutions.</w:t>
      </w:r>
    </w:p>
    <w:p w14:paraId="3BCC42DE" w14:textId="77777777"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t> ASI within SSS soils extracted phosphorus as the most dominant nutrient. Control soils were also observed to record high concentrations of phosphorus at the surface layers in comparison with the effluent-amended soils. This may be due to the inherent retention characteristics associated with SSS soils or variations in nutrient transformation processes within the effluent-amended soils.</w:t>
      </w:r>
    </w:p>
    <w:p w14:paraId="262E1232" w14:textId="77777777"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t xml:space="preserve">At a depth of 20-40 cm, CME-treated soils were observed to have slightly higher nutrient concentrations than POME or control soils, indicating the greater downward motion of nutrients obtained from the cassava-mill effluents. This may be due to higher mobility of dissolved nutrients and organic acids inherent in cassava mill effluents, which may enhance nutrient transport within the SSS soils. Similar trends have been reported by </w:t>
      </w:r>
      <w:proofErr w:type="spellStart"/>
      <w:r w:rsidRPr="002C35A3">
        <w:rPr>
          <w:rFonts w:ascii="Times New Roman" w:hAnsi="Times New Roman" w:cs="Times New Roman"/>
          <w:color w:val="000000" w:themeColor="text1"/>
        </w:rPr>
        <w:t>Idungafa</w:t>
      </w:r>
      <w:proofErr w:type="spellEnd"/>
      <w:r w:rsidRPr="002C35A3">
        <w:rPr>
          <w:rFonts w:ascii="Times New Roman" w:hAnsi="Times New Roman" w:cs="Times New Roman"/>
          <w:color w:val="000000" w:themeColor="text1"/>
        </w:rPr>
        <w:t xml:space="preserve"> (2014), who observed an increase in nutrient movement through the soil profile within effluent-impacted tropical soils. </w:t>
      </w:r>
    </w:p>
    <w:p w14:paraId="507CCFF2" w14:textId="6BE72A41"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t>In Table 2, sand and silt contents showed treatments clustering together statistically. Clay distribution</w:t>
      </w:r>
      <w:r w:rsidR="00B87262">
        <w:rPr>
          <w:rFonts w:ascii="Times New Roman" w:hAnsi="Times New Roman" w:cs="Times New Roman"/>
          <w:color w:val="000000" w:themeColor="text1"/>
        </w:rPr>
        <w:t>,</w:t>
      </w:r>
      <w:r w:rsidRPr="002C35A3">
        <w:rPr>
          <w:rFonts w:ascii="Times New Roman" w:hAnsi="Times New Roman" w:cs="Times New Roman"/>
          <w:color w:val="000000" w:themeColor="text1"/>
        </w:rPr>
        <w:t xml:space="preserve"> on the other </w:t>
      </w:r>
      <w:r w:rsidR="00B87262">
        <w:rPr>
          <w:rFonts w:ascii="Times New Roman" w:hAnsi="Times New Roman" w:cs="Times New Roman"/>
          <w:color w:val="000000" w:themeColor="text1"/>
        </w:rPr>
        <w:t xml:space="preserve">hand, </w:t>
      </w:r>
      <w:r w:rsidRPr="002C35A3">
        <w:rPr>
          <w:rFonts w:ascii="Times New Roman" w:hAnsi="Times New Roman" w:cs="Times New Roman"/>
          <w:color w:val="000000" w:themeColor="text1"/>
        </w:rPr>
        <w:t>showed relatively uniform values across effluents, parent materials, and depths. Hydraulic conductivity had clear stratification. The BRS-Control (0–20 cm) and CPS-CME (0–20 cm) were significantly more conductive, while CPS-CME (20–40 cm) and SSS-CME (deep layers) were the least permeable. This highlights how effluent type and depth strongly influence soil water movement compared to texture variables like clay. Bulk density had clear stratification</w:t>
      </w:r>
      <w:r w:rsidR="00B87262">
        <w:rPr>
          <w:rFonts w:ascii="Times New Roman" w:hAnsi="Times New Roman" w:cs="Times New Roman"/>
          <w:color w:val="000000" w:themeColor="text1"/>
        </w:rPr>
        <w:t xml:space="preserve">: </w:t>
      </w:r>
      <w:r w:rsidRPr="002C35A3">
        <w:rPr>
          <w:rFonts w:ascii="Times New Roman" w:hAnsi="Times New Roman" w:cs="Times New Roman"/>
          <w:color w:val="000000" w:themeColor="text1"/>
        </w:rPr>
        <w:t>BRS-CME soils were significantly denser, while CPS-POME soils (especially at 20–40 cm) were the least dense. This reflect</w:t>
      </w:r>
      <w:r w:rsidR="00B87262">
        <w:rPr>
          <w:rFonts w:ascii="Times New Roman" w:hAnsi="Times New Roman" w:cs="Times New Roman"/>
          <w:color w:val="000000" w:themeColor="text1"/>
        </w:rPr>
        <w:t>ed</w:t>
      </w:r>
      <w:r w:rsidRPr="002C35A3">
        <w:rPr>
          <w:rFonts w:ascii="Times New Roman" w:hAnsi="Times New Roman" w:cs="Times New Roman"/>
          <w:color w:val="000000" w:themeColor="text1"/>
        </w:rPr>
        <w:t xml:space="preserve"> how effluent type and parent material strongly influence</w:t>
      </w:r>
      <w:r w:rsidR="00B87262">
        <w:rPr>
          <w:rFonts w:ascii="Times New Roman" w:hAnsi="Times New Roman" w:cs="Times New Roman"/>
          <w:color w:val="000000" w:themeColor="text1"/>
        </w:rPr>
        <w:t>d</w:t>
      </w:r>
      <w:r w:rsidRPr="002C35A3">
        <w:rPr>
          <w:rFonts w:ascii="Times New Roman" w:hAnsi="Times New Roman" w:cs="Times New Roman"/>
          <w:color w:val="000000" w:themeColor="text1"/>
        </w:rPr>
        <w:t xml:space="preserve"> soil compaction and structure.</w:t>
      </w:r>
    </w:p>
    <w:p w14:paraId="5F425133" w14:textId="22720736"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lastRenderedPageBreak/>
        <w:t>Porosity was highest in CPS-POME at 20–40 cm depth and lowest in BRS-CME soils. This mirrors the inverse relationship with bulk density</w:t>
      </w:r>
      <w:r w:rsidR="00B87262">
        <w:rPr>
          <w:rFonts w:ascii="Times New Roman" w:hAnsi="Times New Roman" w:cs="Times New Roman"/>
          <w:color w:val="000000" w:themeColor="text1"/>
        </w:rPr>
        <w:t>, with</w:t>
      </w:r>
      <w:r w:rsidRPr="002C35A3">
        <w:rPr>
          <w:rFonts w:ascii="Times New Roman" w:hAnsi="Times New Roman" w:cs="Times New Roman"/>
          <w:color w:val="000000" w:themeColor="text1"/>
        </w:rPr>
        <w:t xml:space="preserve"> denser soils (BRS-CME) having lower porosity, while CPS-POME soils </w:t>
      </w:r>
      <w:r w:rsidR="00B87262">
        <w:rPr>
          <w:rFonts w:ascii="Times New Roman" w:hAnsi="Times New Roman" w:cs="Times New Roman"/>
          <w:color w:val="000000" w:themeColor="text1"/>
        </w:rPr>
        <w:t>were</w:t>
      </w:r>
      <w:r w:rsidRPr="002C35A3">
        <w:rPr>
          <w:rFonts w:ascii="Times New Roman" w:hAnsi="Times New Roman" w:cs="Times New Roman"/>
          <w:color w:val="000000" w:themeColor="text1"/>
        </w:rPr>
        <w:t xml:space="preserve"> more open and porous. Moisture content showed the widest spread of all variables. CPS-POME soils (especially at 20–40 cm) retained significantly more water, while BRS-CME soils were extremely dry. This align</w:t>
      </w:r>
      <w:r w:rsidR="00B87262">
        <w:rPr>
          <w:rFonts w:ascii="Times New Roman" w:hAnsi="Times New Roman" w:cs="Times New Roman"/>
          <w:color w:val="000000" w:themeColor="text1"/>
        </w:rPr>
        <w:t>ed</w:t>
      </w:r>
      <w:r w:rsidRPr="002C35A3">
        <w:rPr>
          <w:rFonts w:ascii="Times New Roman" w:hAnsi="Times New Roman" w:cs="Times New Roman"/>
          <w:color w:val="000000" w:themeColor="text1"/>
        </w:rPr>
        <w:t xml:space="preserve"> with porosity and bulk density patterns; porous CPS soils hold more water, while compact BRS-CME soils drain quickly.</w:t>
      </w:r>
    </w:p>
    <w:p w14:paraId="0E320D03" w14:textId="77777777" w:rsidR="002C35A3" w:rsidRPr="002C35A3" w:rsidRDefault="002C35A3" w:rsidP="002C35A3">
      <w:pPr>
        <w:spacing w:after="0" w:line="360" w:lineRule="auto"/>
        <w:ind w:firstLine="720"/>
        <w:jc w:val="both"/>
        <w:rPr>
          <w:rFonts w:ascii="Times New Roman" w:hAnsi="Times New Roman" w:cs="Times New Roman"/>
          <w:color w:val="000000" w:themeColor="text1"/>
        </w:rPr>
      </w:pPr>
      <w:r w:rsidRPr="002C35A3">
        <w:rPr>
          <w:rFonts w:ascii="Times New Roman" w:hAnsi="Times New Roman" w:cs="Times New Roman"/>
          <w:color w:val="000000" w:themeColor="text1"/>
        </w:rPr>
        <w:t> </w:t>
      </w:r>
    </w:p>
    <w:p w14:paraId="3129ECC1" w14:textId="77777777" w:rsidR="002C35A3" w:rsidRDefault="002C35A3" w:rsidP="00E34D69">
      <w:pPr>
        <w:spacing w:after="0" w:line="360" w:lineRule="auto"/>
        <w:ind w:firstLine="720"/>
        <w:jc w:val="both"/>
        <w:rPr>
          <w:rFonts w:ascii="Times New Roman" w:hAnsi="Times New Roman" w:cs="Times New Roman"/>
          <w:color w:val="000000" w:themeColor="text1"/>
        </w:rPr>
      </w:pPr>
    </w:p>
    <w:p w14:paraId="306C7896" w14:textId="77777777" w:rsidR="002C35A3" w:rsidRDefault="002C35A3" w:rsidP="00E34D69">
      <w:pPr>
        <w:spacing w:after="0" w:line="360" w:lineRule="auto"/>
        <w:ind w:firstLine="720"/>
        <w:jc w:val="both"/>
        <w:rPr>
          <w:rFonts w:ascii="Times New Roman" w:hAnsi="Times New Roman" w:cs="Times New Roman"/>
          <w:color w:val="000000" w:themeColor="text1"/>
        </w:rPr>
      </w:pPr>
    </w:p>
    <w:p w14:paraId="4C5AEF7A" w14:textId="77777777" w:rsidR="002C35A3" w:rsidRDefault="002C35A3" w:rsidP="00E34D69">
      <w:pPr>
        <w:spacing w:after="0" w:line="360" w:lineRule="auto"/>
        <w:ind w:firstLine="720"/>
        <w:jc w:val="both"/>
        <w:rPr>
          <w:rFonts w:ascii="Times New Roman" w:hAnsi="Times New Roman" w:cs="Times New Roman"/>
          <w:color w:val="000000" w:themeColor="text1"/>
        </w:rPr>
      </w:pPr>
    </w:p>
    <w:p w14:paraId="57A2051E" w14:textId="77777777" w:rsidR="002C35A3" w:rsidRDefault="002C35A3" w:rsidP="00E34D69">
      <w:pPr>
        <w:spacing w:after="0" w:line="360" w:lineRule="auto"/>
        <w:ind w:firstLine="720"/>
        <w:jc w:val="both"/>
        <w:rPr>
          <w:rFonts w:ascii="Times New Roman" w:hAnsi="Times New Roman" w:cs="Times New Roman"/>
          <w:color w:val="000000" w:themeColor="text1"/>
        </w:rPr>
      </w:pPr>
    </w:p>
    <w:p w14:paraId="7DAB3C04" w14:textId="77777777" w:rsidR="002C35A3" w:rsidRDefault="002C35A3" w:rsidP="00E34D69">
      <w:pPr>
        <w:spacing w:after="0" w:line="360" w:lineRule="auto"/>
        <w:ind w:firstLine="720"/>
        <w:jc w:val="both"/>
        <w:rPr>
          <w:rFonts w:ascii="Times New Roman" w:hAnsi="Times New Roman" w:cs="Times New Roman"/>
          <w:color w:val="000000" w:themeColor="text1"/>
        </w:rPr>
      </w:pPr>
    </w:p>
    <w:p w14:paraId="2D2A69C7" w14:textId="77777777" w:rsidR="00E34D69" w:rsidRDefault="00E34D69" w:rsidP="004A2D64">
      <w:pPr>
        <w:spacing w:after="0" w:line="360" w:lineRule="auto"/>
        <w:ind w:firstLine="720"/>
        <w:jc w:val="both"/>
        <w:rPr>
          <w:rFonts w:ascii="Times New Roman" w:hAnsi="Times New Roman" w:cs="Times New Roman"/>
          <w:color w:val="000000"/>
        </w:rPr>
      </w:pPr>
    </w:p>
    <w:p w14:paraId="4F28C8BD" w14:textId="77777777" w:rsidR="00E34D69" w:rsidRDefault="00E34D69" w:rsidP="004A2D64">
      <w:pPr>
        <w:spacing w:after="0" w:line="360" w:lineRule="auto"/>
        <w:ind w:firstLine="720"/>
        <w:jc w:val="both"/>
        <w:rPr>
          <w:rFonts w:ascii="Times New Roman" w:hAnsi="Times New Roman" w:cs="Times New Roman"/>
          <w:color w:val="000000"/>
        </w:rPr>
      </w:pPr>
    </w:p>
    <w:p w14:paraId="6AA9E581" w14:textId="77777777" w:rsidR="00E34D69" w:rsidRDefault="00E34D69" w:rsidP="004A2D64">
      <w:pPr>
        <w:spacing w:after="0" w:line="360" w:lineRule="auto"/>
        <w:ind w:firstLine="720"/>
        <w:jc w:val="both"/>
        <w:rPr>
          <w:rFonts w:ascii="Times New Roman" w:hAnsi="Times New Roman" w:cs="Times New Roman"/>
          <w:color w:val="000000"/>
        </w:rPr>
      </w:pPr>
    </w:p>
    <w:p w14:paraId="12D686D1" w14:textId="77777777" w:rsidR="00E35B56" w:rsidRPr="001D567F" w:rsidRDefault="00E35B56" w:rsidP="00E35B56">
      <w:pPr>
        <w:spacing w:after="0" w:line="360" w:lineRule="auto"/>
        <w:ind w:firstLine="720"/>
        <w:jc w:val="both"/>
        <w:rPr>
          <w:rFonts w:ascii="Times New Roman" w:hAnsi="Times New Roman" w:cs="Times New Roman"/>
        </w:rPr>
        <w:sectPr w:rsidR="00E35B56" w:rsidRPr="001D567F" w:rsidSect="00DC66F2">
          <w:footerReference w:type="default" r:id="rId11"/>
          <w:pgSz w:w="11906" w:h="16838"/>
          <w:pgMar w:top="1440" w:right="1440" w:bottom="1440" w:left="1440" w:header="709" w:footer="709" w:gutter="0"/>
          <w:lnNumType w:countBy="1" w:restart="continuous"/>
          <w:cols w:space="708"/>
          <w:docGrid w:linePitch="360"/>
        </w:sectPr>
      </w:pPr>
    </w:p>
    <w:p w14:paraId="4AFECA8E" w14:textId="77777777" w:rsidR="00E35B56" w:rsidRPr="001D567F" w:rsidRDefault="00E35B56" w:rsidP="00E35B56">
      <w:pPr>
        <w:spacing w:after="0" w:line="360" w:lineRule="auto"/>
        <w:ind w:firstLine="720"/>
        <w:jc w:val="both"/>
        <w:rPr>
          <w:rFonts w:ascii="Times New Roman" w:hAnsi="Times New Roman" w:cs="Times New Roman"/>
        </w:rPr>
      </w:pPr>
    </w:p>
    <w:p w14:paraId="2BAD8021" w14:textId="77777777" w:rsidR="00E35B56" w:rsidRPr="001D567F" w:rsidRDefault="00E35B56" w:rsidP="00E35B56">
      <w:pPr>
        <w:spacing w:after="0" w:line="360" w:lineRule="auto"/>
        <w:ind w:firstLine="720"/>
        <w:jc w:val="both"/>
        <w:rPr>
          <w:rFonts w:ascii="Times New Roman" w:hAnsi="Times New Roman" w:cs="Times New Roman"/>
        </w:rPr>
      </w:pPr>
    </w:p>
    <w:p w14:paraId="3A1943F6" w14:textId="625540FD" w:rsidR="00E35B56" w:rsidRPr="00C82D4D" w:rsidRDefault="00E35B56" w:rsidP="00E35B56">
      <w:pPr>
        <w:spacing w:after="0" w:line="360" w:lineRule="auto"/>
        <w:ind w:firstLine="720"/>
        <w:jc w:val="both"/>
        <w:rPr>
          <w:rFonts w:ascii="Times New Roman" w:hAnsi="Times New Roman" w:cs="Times New Roman"/>
          <w:b/>
          <w:bCs/>
          <w:color w:val="EE0000"/>
        </w:rPr>
      </w:pPr>
      <w:r w:rsidRPr="00E35B56">
        <w:rPr>
          <w:rFonts w:ascii="Times New Roman" w:hAnsi="Times New Roman" w:cs="Times New Roman"/>
          <w:b/>
          <w:bCs/>
          <w:color w:val="000000" w:themeColor="text1"/>
        </w:rPr>
        <w:t xml:space="preserve">Table 2: </w:t>
      </w:r>
      <w:r w:rsidR="00C82D4D">
        <w:rPr>
          <w:rFonts w:ascii="Times New Roman" w:hAnsi="Times New Roman" w:cs="Times New Roman"/>
          <w:color w:val="000000" w:themeColor="text1"/>
        </w:rPr>
        <w:t>S</w:t>
      </w:r>
      <w:r w:rsidR="00C82D4D" w:rsidRPr="00C82D4D">
        <w:rPr>
          <w:rFonts w:ascii="Times New Roman" w:hAnsi="Times New Roman" w:cs="Times New Roman"/>
          <w:color w:val="000000" w:themeColor="text1"/>
        </w:rPr>
        <w:t>oil physical properties</w:t>
      </w:r>
      <w:r w:rsidR="00C82D4D">
        <w:rPr>
          <w:rFonts w:ascii="Times New Roman" w:hAnsi="Times New Roman" w:cs="Times New Roman"/>
          <w:color w:val="000000" w:themeColor="text1"/>
        </w:rPr>
        <w:t xml:space="preserve">. </w:t>
      </w:r>
    </w:p>
    <w:tbl>
      <w:tblPr>
        <w:tblW w:w="1590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715"/>
        <w:gridCol w:w="714"/>
        <w:gridCol w:w="714"/>
        <w:gridCol w:w="760"/>
        <w:gridCol w:w="714"/>
        <w:gridCol w:w="714"/>
        <w:gridCol w:w="714"/>
        <w:gridCol w:w="714"/>
        <w:gridCol w:w="714"/>
        <w:gridCol w:w="760"/>
        <w:gridCol w:w="714"/>
        <w:gridCol w:w="729"/>
        <w:gridCol w:w="786"/>
        <w:gridCol w:w="785"/>
        <w:gridCol w:w="739"/>
        <w:gridCol w:w="754"/>
        <w:gridCol w:w="739"/>
        <w:gridCol w:w="1056"/>
      </w:tblGrid>
      <w:tr w:rsidR="00E35B56" w:rsidRPr="00E35B56" w14:paraId="669D6718" w14:textId="77777777" w:rsidTr="008979CA">
        <w:trPr>
          <w:trHeight w:val="290"/>
        </w:trPr>
        <w:tc>
          <w:tcPr>
            <w:tcW w:w="0" w:type="auto"/>
            <w:noWrap/>
            <w:vAlign w:val="bottom"/>
            <w:hideMark/>
          </w:tcPr>
          <w:p w14:paraId="76510344"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Parent Materials</w:t>
            </w:r>
          </w:p>
        </w:tc>
        <w:tc>
          <w:tcPr>
            <w:tcW w:w="0" w:type="auto"/>
            <w:gridSpan w:val="6"/>
            <w:noWrap/>
            <w:vAlign w:val="bottom"/>
            <w:hideMark/>
          </w:tcPr>
          <w:p w14:paraId="1CF72BCF" w14:textId="77777777" w:rsidR="00E35B56" w:rsidRPr="00E35B56" w:rsidRDefault="00E35B56" w:rsidP="008979CA">
            <w:pPr>
              <w:spacing w:after="0" w:line="240" w:lineRule="auto"/>
              <w:jc w:val="center"/>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b/>
                <w:bCs/>
                <w:color w:val="000000" w:themeColor="text1"/>
                <w:sz w:val="18"/>
                <w:szCs w:val="18"/>
              </w:rPr>
              <w:t>CPS</w:t>
            </w:r>
          </w:p>
        </w:tc>
        <w:tc>
          <w:tcPr>
            <w:tcW w:w="0" w:type="auto"/>
            <w:gridSpan w:val="6"/>
            <w:noWrap/>
            <w:vAlign w:val="bottom"/>
            <w:hideMark/>
          </w:tcPr>
          <w:p w14:paraId="51587173" w14:textId="77777777" w:rsidR="00E35B56" w:rsidRPr="00E35B56" w:rsidRDefault="00E35B56" w:rsidP="008979CA">
            <w:pPr>
              <w:spacing w:after="0" w:line="240" w:lineRule="auto"/>
              <w:jc w:val="center"/>
              <w:rPr>
                <w:rFonts w:ascii="Times New Roman" w:eastAsia="Times New Roman" w:hAnsi="Times New Roman" w:cs="Times New Roman"/>
                <w:b/>
                <w:color w:val="000000" w:themeColor="text1"/>
                <w:sz w:val="18"/>
                <w:szCs w:val="18"/>
              </w:rPr>
            </w:pPr>
            <w:r w:rsidRPr="00E35B56">
              <w:rPr>
                <w:rFonts w:ascii="Times New Roman" w:eastAsia="Times New Roman" w:hAnsi="Times New Roman" w:cs="Times New Roman"/>
                <w:b/>
                <w:color w:val="000000" w:themeColor="text1"/>
                <w:sz w:val="18"/>
                <w:szCs w:val="18"/>
              </w:rPr>
              <w:t>BRS</w:t>
            </w:r>
          </w:p>
        </w:tc>
        <w:tc>
          <w:tcPr>
            <w:tcW w:w="4839" w:type="dxa"/>
            <w:gridSpan w:val="6"/>
            <w:noWrap/>
            <w:vAlign w:val="bottom"/>
            <w:hideMark/>
          </w:tcPr>
          <w:p w14:paraId="49052D08" w14:textId="77777777" w:rsidR="00E35B56" w:rsidRPr="00E35B56" w:rsidRDefault="00E35B56" w:rsidP="008979CA">
            <w:pPr>
              <w:spacing w:after="0" w:line="240" w:lineRule="auto"/>
              <w:jc w:val="center"/>
              <w:rPr>
                <w:rFonts w:ascii="Times New Roman" w:eastAsia="Times New Roman" w:hAnsi="Times New Roman" w:cs="Times New Roman"/>
                <w:b/>
                <w:color w:val="000000" w:themeColor="text1"/>
                <w:sz w:val="18"/>
                <w:szCs w:val="18"/>
              </w:rPr>
            </w:pPr>
            <w:r w:rsidRPr="00E35B56">
              <w:rPr>
                <w:rFonts w:ascii="Times New Roman" w:eastAsia="Times New Roman" w:hAnsi="Times New Roman" w:cs="Times New Roman"/>
                <w:b/>
                <w:color w:val="000000" w:themeColor="text1"/>
                <w:sz w:val="18"/>
                <w:szCs w:val="18"/>
              </w:rPr>
              <w:t>SSS</w:t>
            </w:r>
          </w:p>
        </w:tc>
      </w:tr>
      <w:tr w:rsidR="00E35B56" w:rsidRPr="00E35B56" w14:paraId="78C48806" w14:textId="77777777" w:rsidTr="008979CA">
        <w:trPr>
          <w:trHeight w:val="307"/>
        </w:trPr>
        <w:tc>
          <w:tcPr>
            <w:tcW w:w="0" w:type="auto"/>
            <w:noWrap/>
            <w:vAlign w:val="bottom"/>
            <w:hideMark/>
          </w:tcPr>
          <w:p w14:paraId="3F88DFBB"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 xml:space="preserve">Effluent </w:t>
            </w:r>
          </w:p>
        </w:tc>
        <w:tc>
          <w:tcPr>
            <w:tcW w:w="0" w:type="auto"/>
            <w:gridSpan w:val="2"/>
            <w:noWrap/>
            <w:vAlign w:val="bottom"/>
            <w:hideMark/>
          </w:tcPr>
          <w:p w14:paraId="00FBE4E0"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POME</w:t>
            </w:r>
          </w:p>
        </w:tc>
        <w:tc>
          <w:tcPr>
            <w:tcW w:w="0" w:type="auto"/>
            <w:gridSpan w:val="2"/>
            <w:noWrap/>
            <w:vAlign w:val="bottom"/>
            <w:hideMark/>
          </w:tcPr>
          <w:p w14:paraId="5A8813FB"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CME</w:t>
            </w:r>
          </w:p>
        </w:tc>
        <w:tc>
          <w:tcPr>
            <w:tcW w:w="0" w:type="auto"/>
            <w:gridSpan w:val="2"/>
            <w:noWrap/>
            <w:vAlign w:val="bottom"/>
            <w:hideMark/>
          </w:tcPr>
          <w:p w14:paraId="31735D47"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Control</w:t>
            </w:r>
          </w:p>
        </w:tc>
        <w:tc>
          <w:tcPr>
            <w:tcW w:w="0" w:type="auto"/>
            <w:gridSpan w:val="2"/>
            <w:noWrap/>
            <w:vAlign w:val="bottom"/>
            <w:hideMark/>
          </w:tcPr>
          <w:p w14:paraId="31CE2A9C"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POME</w:t>
            </w:r>
          </w:p>
        </w:tc>
        <w:tc>
          <w:tcPr>
            <w:tcW w:w="0" w:type="auto"/>
            <w:gridSpan w:val="2"/>
            <w:noWrap/>
            <w:vAlign w:val="bottom"/>
            <w:hideMark/>
          </w:tcPr>
          <w:p w14:paraId="4D4576E4"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CME</w:t>
            </w:r>
          </w:p>
        </w:tc>
        <w:tc>
          <w:tcPr>
            <w:tcW w:w="0" w:type="auto"/>
            <w:gridSpan w:val="2"/>
            <w:noWrap/>
            <w:vAlign w:val="bottom"/>
            <w:hideMark/>
          </w:tcPr>
          <w:p w14:paraId="7CEEE8F5" w14:textId="77777777" w:rsidR="00E35B56" w:rsidRPr="00E35B56" w:rsidRDefault="00E35B56" w:rsidP="008979CA">
            <w:pPr>
              <w:spacing w:after="0" w:line="240" w:lineRule="auto"/>
              <w:jc w:val="center"/>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b/>
                <w:bCs/>
                <w:color w:val="000000" w:themeColor="text1"/>
                <w:sz w:val="18"/>
                <w:szCs w:val="18"/>
              </w:rPr>
              <w:t>Control</w:t>
            </w:r>
          </w:p>
        </w:tc>
        <w:tc>
          <w:tcPr>
            <w:tcW w:w="0" w:type="auto"/>
            <w:noWrap/>
            <w:vAlign w:val="bottom"/>
            <w:hideMark/>
          </w:tcPr>
          <w:p w14:paraId="746C00ED"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POME</w:t>
            </w:r>
          </w:p>
        </w:tc>
        <w:tc>
          <w:tcPr>
            <w:tcW w:w="0" w:type="auto"/>
            <w:gridSpan w:val="3"/>
            <w:noWrap/>
            <w:vAlign w:val="bottom"/>
            <w:hideMark/>
          </w:tcPr>
          <w:p w14:paraId="6E6C8319" w14:textId="77777777" w:rsidR="00E35B56" w:rsidRPr="00E35B56" w:rsidRDefault="00E35B56" w:rsidP="008979CA">
            <w:pPr>
              <w:spacing w:after="0" w:line="240" w:lineRule="auto"/>
              <w:jc w:val="center"/>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CME</w:t>
            </w:r>
          </w:p>
        </w:tc>
        <w:tc>
          <w:tcPr>
            <w:tcW w:w="1764" w:type="dxa"/>
            <w:gridSpan w:val="2"/>
            <w:noWrap/>
            <w:vAlign w:val="bottom"/>
            <w:hideMark/>
          </w:tcPr>
          <w:p w14:paraId="53EE51CA" w14:textId="77777777" w:rsidR="00E35B56" w:rsidRPr="00E35B56" w:rsidRDefault="00E35B56" w:rsidP="008979CA">
            <w:pPr>
              <w:spacing w:after="0" w:line="240" w:lineRule="auto"/>
              <w:jc w:val="center"/>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b/>
                <w:bCs/>
                <w:color w:val="000000" w:themeColor="text1"/>
                <w:sz w:val="18"/>
                <w:szCs w:val="18"/>
              </w:rPr>
              <w:t>Control</w:t>
            </w:r>
          </w:p>
        </w:tc>
      </w:tr>
      <w:tr w:rsidR="00E35B56" w:rsidRPr="00E35B56" w14:paraId="0D4C3EFA" w14:textId="77777777" w:rsidTr="008979CA">
        <w:trPr>
          <w:trHeight w:val="307"/>
        </w:trPr>
        <w:tc>
          <w:tcPr>
            <w:tcW w:w="0" w:type="auto"/>
            <w:noWrap/>
            <w:vAlign w:val="bottom"/>
            <w:hideMark/>
          </w:tcPr>
          <w:p w14:paraId="26A33F9F"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Depth (cm)</w:t>
            </w:r>
          </w:p>
        </w:tc>
        <w:tc>
          <w:tcPr>
            <w:tcW w:w="0" w:type="auto"/>
            <w:noWrap/>
            <w:vAlign w:val="bottom"/>
            <w:hideMark/>
          </w:tcPr>
          <w:p w14:paraId="5FCC90E6"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 – 20</w:t>
            </w:r>
          </w:p>
        </w:tc>
        <w:tc>
          <w:tcPr>
            <w:tcW w:w="0" w:type="auto"/>
            <w:noWrap/>
            <w:vAlign w:val="bottom"/>
            <w:hideMark/>
          </w:tcPr>
          <w:p w14:paraId="45DFB51A"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20–40</w:t>
            </w:r>
          </w:p>
        </w:tc>
        <w:tc>
          <w:tcPr>
            <w:tcW w:w="0" w:type="auto"/>
            <w:noWrap/>
            <w:vAlign w:val="bottom"/>
            <w:hideMark/>
          </w:tcPr>
          <w:p w14:paraId="32336F5A"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 – 20</w:t>
            </w:r>
          </w:p>
        </w:tc>
        <w:tc>
          <w:tcPr>
            <w:tcW w:w="0" w:type="auto"/>
            <w:noWrap/>
            <w:vAlign w:val="bottom"/>
            <w:hideMark/>
          </w:tcPr>
          <w:p w14:paraId="7A439F6A"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 – 40</w:t>
            </w:r>
          </w:p>
        </w:tc>
        <w:tc>
          <w:tcPr>
            <w:tcW w:w="0" w:type="auto"/>
            <w:noWrap/>
            <w:vAlign w:val="bottom"/>
            <w:hideMark/>
          </w:tcPr>
          <w:p w14:paraId="0F47AFE7"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 – 20</w:t>
            </w:r>
          </w:p>
        </w:tc>
        <w:tc>
          <w:tcPr>
            <w:tcW w:w="0" w:type="auto"/>
            <w:noWrap/>
            <w:vAlign w:val="bottom"/>
            <w:hideMark/>
          </w:tcPr>
          <w:p w14:paraId="4C33F746"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20–40</w:t>
            </w:r>
          </w:p>
        </w:tc>
        <w:tc>
          <w:tcPr>
            <w:tcW w:w="0" w:type="auto"/>
            <w:noWrap/>
            <w:vAlign w:val="bottom"/>
            <w:hideMark/>
          </w:tcPr>
          <w:p w14:paraId="00A227C7" w14:textId="77777777" w:rsidR="00E35B56" w:rsidRPr="00E35B56" w:rsidRDefault="00E35B56" w:rsidP="008979CA">
            <w:pPr>
              <w:spacing w:after="0" w:line="240" w:lineRule="auto"/>
              <w:ind w:left="-74"/>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0–20</w:t>
            </w:r>
          </w:p>
        </w:tc>
        <w:tc>
          <w:tcPr>
            <w:tcW w:w="0" w:type="auto"/>
            <w:noWrap/>
            <w:vAlign w:val="bottom"/>
            <w:hideMark/>
          </w:tcPr>
          <w:p w14:paraId="67DCAD9F" w14:textId="77777777" w:rsidR="00E35B56" w:rsidRPr="00E35B56" w:rsidRDefault="00E35B56" w:rsidP="008979CA">
            <w:pPr>
              <w:spacing w:after="0" w:line="240" w:lineRule="auto"/>
              <w:ind w:left="-120"/>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20-40</w:t>
            </w:r>
          </w:p>
        </w:tc>
        <w:tc>
          <w:tcPr>
            <w:tcW w:w="0" w:type="auto"/>
            <w:noWrap/>
            <w:vAlign w:val="bottom"/>
            <w:hideMark/>
          </w:tcPr>
          <w:p w14:paraId="17FD8CAD"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 – 20</w:t>
            </w:r>
          </w:p>
        </w:tc>
        <w:tc>
          <w:tcPr>
            <w:tcW w:w="0" w:type="auto"/>
            <w:noWrap/>
            <w:vAlign w:val="bottom"/>
            <w:hideMark/>
          </w:tcPr>
          <w:p w14:paraId="750A749A"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 – 40</w:t>
            </w:r>
          </w:p>
        </w:tc>
        <w:tc>
          <w:tcPr>
            <w:tcW w:w="0" w:type="auto"/>
            <w:noWrap/>
            <w:vAlign w:val="bottom"/>
            <w:hideMark/>
          </w:tcPr>
          <w:p w14:paraId="2D283B25"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 – 20</w:t>
            </w:r>
          </w:p>
        </w:tc>
        <w:tc>
          <w:tcPr>
            <w:tcW w:w="0" w:type="auto"/>
            <w:noWrap/>
            <w:vAlign w:val="bottom"/>
            <w:hideMark/>
          </w:tcPr>
          <w:p w14:paraId="7B71D660"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20 - 40</w:t>
            </w:r>
          </w:p>
        </w:tc>
        <w:tc>
          <w:tcPr>
            <w:tcW w:w="0" w:type="auto"/>
            <w:noWrap/>
            <w:vAlign w:val="bottom"/>
            <w:hideMark/>
          </w:tcPr>
          <w:p w14:paraId="593A1C35"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 – 20</w:t>
            </w:r>
          </w:p>
        </w:tc>
        <w:tc>
          <w:tcPr>
            <w:tcW w:w="0" w:type="auto"/>
            <w:noWrap/>
            <w:vAlign w:val="bottom"/>
            <w:hideMark/>
          </w:tcPr>
          <w:p w14:paraId="2558F67F"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 – 40</w:t>
            </w:r>
          </w:p>
        </w:tc>
        <w:tc>
          <w:tcPr>
            <w:tcW w:w="0" w:type="auto"/>
            <w:noWrap/>
            <w:vAlign w:val="bottom"/>
            <w:hideMark/>
          </w:tcPr>
          <w:p w14:paraId="60F5266C"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0 – 20</w:t>
            </w:r>
          </w:p>
        </w:tc>
        <w:tc>
          <w:tcPr>
            <w:tcW w:w="0" w:type="auto"/>
            <w:noWrap/>
            <w:vAlign w:val="bottom"/>
            <w:hideMark/>
          </w:tcPr>
          <w:p w14:paraId="37CFF798"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20 - 40</w:t>
            </w:r>
          </w:p>
        </w:tc>
        <w:tc>
          <w:tcPr>
            <w:tcW w:w="0" w:type="auto"/>
            <w:noWrap/>
            <w:vAlign w:val="bottom"/>
            <w:hideMark/>
          </w:tcPr>
          <w:p w14:paraId="405A4D72"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0 - 20</w:t>
            </w:r>
          </w:p>
        </w:tc>
        <w:tc>
          <w:tcPr>
            <w:tcW w:w="1022" w:type="dxa"/>
            <w:noWrap/>
            <w:vAlign w:val="bottom"/>
            <w:hideMark/>
          </w:tcPr>
          <w:p w14:paraId="6359F656"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20 - 40</w:t>
            </w:r>
          </w:p>
        </w:tc>
      </w:tr>
      <w:tr w:rsidR="00E35B56" w:rsidRPr="00E35B56" w14:paraId="665940E8" w14:textId="77777777" w:rsidTr="008979CA">
        <w:trPr>
          <w:trHeight w:val="307"/>
        </w:trPr>
        <w:tc>
          <w:tcPr>
            <w:tcW w:w="0" w:type="auto"/>
            <w:noWrap/>
            <w:vAlign w:val="center"/>
          </w:tcPr>
          <w:p w14:paraId="4118A85B"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Mean Sand (%)</w:t>
            </w:r>
          </w:p>
        </w:tc>
        <w:tc>
          <w:tcPr>
            <w:tcW w:w="0" w:type="auto"/>
            <w:noWrap/>
            <w:vAlign w:val="center"/>
          </w:tcPr>
          <w:p w14:paraId="69FF72F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77.69b</w:t>
            </w:r>
          </w:p>
        </w:tc>
        <w:tc>
          <w:tcPr>
            <w:tcW w:w="0" w:type="auto"/>
            <w:noWrap/>
            <w:vAlign w:val="center"/>
          </w:tcPr>
          <w:p w14:paraId="07EB3C2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77.33b</w:t>
            </w:r>
          </w:p>
        </w:tc>
        <w:tc>
          <w:tcPr>
            <w:tcW w:w="0" w:type="auto"/>
            <w:noWrap/>
            <w:vAlign w:val="center"/>
          </w:tcPr>
          <w:p w14:paraId="666ED79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75.83c</w:t>
            </w:r>
          </w:p>
        </w:tc>
        <w:tc>
          <w:tcPr>
            <w:tcW w:w="0" w:type="auto"/>
            <w:noWrap/>
            <w:vAlign w:val="center"/>
          </w:tcPr>
          <w:p w14:paraId="4551A3A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77.68b</w:t>
            </w:r>
          </w:p>
        </w:tc>
        <w:tc>
          <w:tcPr>
            <w:tcW w:w="0" w:type="auto"/>
            <w:noWrap/>
            <w:vAlign w:val="center"/>
          </w:tcPr>
          <w:p w14:paraId="67FF474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75.11c</w:t>
            </w:r>
          </w:p>
        </w:tc>
        <w:tc>
          <w:tcPr>
            <w:tcW w:w="0" w:type="auto"/>
            <w:noWrap/>
            <w:vAlign w:val="center"/>
          </w:tcPr>
          <w:p w14:paraId="475E6F4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72.36c</w:t>
            </w:r>
          </w:p>
        </w:tc>
        <w:tc>
          <w:tcPr>
            <w:tcW w:w="0" w:type="auto"/>
            <w:noWrap/>
            <w:vAlign w:val="center"/>
          </w:tcPr>
          <w:p w14:paraId="0CE07DCB"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79.47b</w:t>
            </w:r>
          </w:p>
        </w:tc>
        <w:tc>
          <w:tcPr>
            <w:tcW w:w="0" w:type="auto"/>
            <w:noWrap/>
            <w:vAlign w:val="center"/>
          </w:tcPr>
          <w:p w14:paraId="1B469DA7"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73.51c</w:t>
            </w:r>
          </w:p>
        </w:tc>
        <w:tc>
          <w:tcPr>
            <w:tcW w:w="0" w:type="auto"/>
            <w:noWrap/>
            <w:vAlign w:val="center"/>
          </w:tcPr>
          <w:p w14:paraId="7F1ADF6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82.06a</w:t>
            </w:r>
          </w:p>
        </w:tc>
        <w:tc>
          <w:tcPr>
            <w:tcW w:w="0" w:type="auto"/>
            <w:noWrap/>
            <w:vAlign w:val="center"/>
          </w:tcPr>
          <w:p w14:paraId="44F8E35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78.8b</w:t>
            </w:r>
          </w:p>
        </w:tc>
        <w:tc>
          <w:tcPr>
            <w:tcW w:w="0" w:type="auto"/>
            <w:noWrap/>
            <w:vAlign w:val="center"/>
          </w:tcPr>
          <w:p w14:paraId="1B3706C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80.13a</w:t>
            </w:r>
          </w:p>
        </w:tc>
        <w:tc>
          <w:tcPr>
            <w:tcW w:w="0" w:type="auto"/>
            <w:noWrap/>
            <w:vAlign w:val="center"/>
          </w:tcPr>
          <w:p w14:paraId="290BEFA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78.0b3</w:t>
            </w:r>
          </w:p>
        </w:tc>
        <w:tc>
          <w:tcPr>
            <w:tcW w:w="0" w:type="auto"/>
            <w:noWrap/>
            <w:vAlign w:val="center"/>
          </w:tcPr>
          <w:p w14:paraId="49F516E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83.63a</w:t>
            </w:r>
          </w:p>
        </w:tc>
        <w:tc>
          <w:tcPr>
            <w:tcW w:w="0" w:type="auto"/>
            <w:noWrap/>
            <w:vAlign w:val="center"/>
          </w:tcPr>
          <w:p w14:paraId="5A7CA23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77.6b</w:t>
            </w:r>
          </w:p>
        </w:tc>
        <w:tc>
          <w:tcPr>
            <w:tcW w:w="0" w:type="auto"/>
            <w:noWrap/>
            <w:vAlign w:val="center"/>
          </w:tcPr>
          <w:p w14:paraId="7A66F87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81.53a</w:t>
            </w:r>
          </w:p>
        </w:tc>
        <w:tc>
          <w:tcPr>
            <w:tcW w:w="0" w:type="auto"/>
            <w:noWrap/>
            <w:vAlign w:val="center"/>
          </w:tcPr>
          <w:p w14:paraId="5B56855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80.15a</w:t>
            </w:r>
          </w:p>
        </w:tc>
        <w:tc>
          <w:tcPr>
            <w:tcW w:w="0" w:type="auto"/>
            <w:noWrap/>
            <w:vAlign w:val="center"/>
          </w:tcPr>
          <w:p w14:paraId="2146E0C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78.84b</w:t>
            </w:r>
          </w:p>
        </w:tc>
        <w:tc>
          <w:tcPr>
            <w:tcW w:w="1022" w:type="dxa"/>
            <w:noWrap/>
            <w:vAlign w:val="center"/>
          </w:tcPr>
          <w:p w14:paraId="372A21A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79.55b</w:t>
            </w:r>
          </w:p>
        </w:tc>
      </w:tr>
      <w:tr w:rsidR="00E35B56" w:rsidRPr="00E35B56" w14:paraId="36D4A356" w14:textId="77777777" w:rsidTr="008979CA">
        <w:trPr>
          <w:trHeight w:val="307"/>
        </w:trPr>
        <w:tc>
          <w:tcPr>
            <w:tcW w:w="0" w:type="auto"/>
            <w:noWrap/>
            <w:vAlign w:val="center"/>
          </w:tcPr>
          <w:p w14:paraId="091BE431"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center"/>
          </w:tcPr>
          <w:p w14:paraId="0E0DF27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3.27</w:t>
            </w:r>
          </w:p>
        </w:tc>
        <w:tc>
          <w:tcPr>
            <w:tcW w:w="0" w:type="auto"/>
            <w:noWrap/>
            <w:vAlign w:val="center"/>
          </w:tcPr>
          <w:p w14:paraId="481B575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4.8</w:t>
            </w:r>
          </w:p>
        </w:tc>
        <w:tc>
          <w:tcPr>
            <w:tcW w:w="0" w:type="auto"/>
            <w:noWrap/>
            <w:vAlign w:val="center"/>
          </w:tcPr>
          <w:p w14:paraId="5BF32AA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5.89</w:t>
            </w:r>
          </w:p>
        </w:tc>
        <w:tc>
          <w:tcPr>
            <w:tcW w:w="0" w:type="auto"/>
            <w:noWrap/>
            <w:vAlign w:val="center"/>
          </w:tcPr>
          <w:p w14:paraId="1AB743E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4.32</w:t>
            </w:r>
          </w:p>
        </w:tc>
        <w:tc>
          <w:tcPr>
            <w:tcW w:w="0" w:type="auto"/>
            <w:noWrap/>
            <w:vAlign w:val="center"/>
          </w:tcPr>
          <w:p w14:paraId="03B4872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3.37</w:t>
            </w:r>
          </w:p>
        </w:tc>
        <w:tc>
          <w:tcPr>
            <w:tcW w:w="0" w:type="auto"/>
            <w:noWrap/>
            <w:vAlign w:val="center"/>
          </w:tcPr>
          <w:p w14:paraId="3FB0B5C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4.97</w:t>
            </w:r>
          </w:p>
        </w:tc>
        <w:tc>
          <w:tcPr>
            <w:tcW w:w="0" w:type="auto"/>
            <w:noWrap/>
            <w:vAlign w:val="center"/>
          </w:tcPr>
          <w:p w14:paraId="793AADB8"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5.95</w:t>
            </w:r>
          </w:p>
        </w:tc>
        <w:tc>
          <w:tcPr>
            <w:tcW w:w="0" w:type="auto"/>
            <w:noWrap/>
            <w:vAlign w:val="center"/>
          </w:tcPr>
          <w:p w14:paraId="5B27538B"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7.57</w:t>
            </w:r>
          </w:p>
        </w:tc>
        <w:tc>
          <w:tcPr>
            <w:tcW w:w="0" w:type="auto"/>
            <w:noWrap/>
            <w:vAlign w:val="center"/>
          </w:tcPr>
          <w:p w14:paraId="0EBCE45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0.86</w:t>
            </w:r>
          </w:p>
        </w:tc>
        <w:tc>
          <w:tcPr>
            <w:tcW w:w="0" w:type="auto"/>
            <w:noWrap/>
            <w:vAlign w:val="center"/>
          </w:tcPr>
          <w:p w14:paraId="7F8FFC0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1.06</w:t>
            </w:r>
          </w:p>
        </w:tc>
        <w:tc>
          <w:tcPr>
            <w:tcW w:w="0" w:type="auto"/>
            <w:noWrap/>
            <w:vAlign w:val="center"/>
          </w:tcPr>
          <w:p w14:paraId="51C5458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2.32</w:t>
            </w:r>
          </w:p>
        </w:tc>
        <w:tc>
          <w:tcPr>
            <w:tcW w:w="0" w:type="auto"/>
            <w:noWrap/>
            <w:vAlign w:val="center"/>
          </w:tcPr>
          <w:p w14:paraId="18093EE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4.13</w:t>
            </w:r>
          </w:p>
        </w:tc>
        <w:tc>
          <w:tcPr>
            <w:tcW w:w="0" w:type="auto"/>
            <w:noWrap/>
            <w:vAlign w:val="center"/>
          </w:tcPr>
          <w:p w14:paraId="35BF359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0.95</w:t>
            </w:r>
          </w:p>
        </w:tc>
        <w:tc>
          <w:tcPr>
            <w:tcW w:w="0" w:type="auto"/>
            <w:noWrap/>
            <w:vAlign w:val="center"/>
          </w:tcPr>
          <w:p w14:paraId="03774CC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5.76</w:t>
            </w:r>
          </w:p>
        </w:tc>
        <w:tc>
          <w:tcPr>
            <w:tcW w:w="0" w:type="auto"/>
            <w:noWrap/>
            <w:vAlign w:val="center"/>
          </w:tcPr>
          <w:p w14:paraId="12CA2CB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4.01</w:t>
            </w:r>
          </w:p>
        </w:tc>
        <w:tc>
          <w:tcPr>
            <w:tcW w:w="0" w:type="auto"/>
            <w:noWrap/>
            <w:vAlign w:val="center"/>
          </w:tcPr>
          <w:p w14:paraId="7123277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0.08</w:t>
            </w:r>
          </w:p>
        </w:tc>
        <w:tc>
          <w:tcPr>
            <w:tcW w:w="0" w:type="auto"/>
            <w:noWrap/>
            <w:vAlign w:val="center"/>
          </w:tcPr>
          <w:p w14:paraId="6CAD49F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4.67</w:t>
            </w:r>
          </w:p>
        </w:tc>
        <w:tc>
          <w:tcPr>
            <w:tcW w:w="1022" w:type="dxa"/>
            <w:noWrap/>
            <w:vAlign w:val="center"/>
          </w:tcPr>
          <w:p w14:paraId="4EFC0EE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4.68</w:t>
            </w:r>
          </w:p>
        </w:tc>
      </w:tr>
      <w:tr w:rsidR="00E35B56" w:rsidRPr="00E35B56" w14:paraId="67A6B817" w14:textId="77777777" w:rsidTr="008979CA">
        <w:trPr>
          <w:trHeight w:val="307"/>
        </w:trPr>
        <w:tc>
          <w:tcPr>
            <w:tcW w:w="0" w:type="auto"/>
            <w:noWrap/>
            <w:vAlign w:val="center"/>
          </w:tcPr>
          <w:p w14:paraId="168AF7E8"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center"/>
          </w:tcPr>
          <w:p w14:paraId="6C5534B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4.2</w:t>
            </w:r>
          </w:p>
        </w:tc>
        <w:tc>
          <w:tcPr>
            <w:tcW w:w="0" w:type="auto"/>
            <w:noWrap/>
            <w:vAlign w:val="center"/>
          </w:tcPr>
          <w:p w14:paraId="1BD3CAC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6.21</w:t>
            </w:r>
          </w:p>
        </w:tc>
        <w:tc>
          <w:tcPr>
            <w:tcW w:w="0" w:type="auto"/>
            <w:noWrap/>
            <w:vAlign w:val="center"/>
          </w:tcPr>
          <w:p w14:paraId="2717625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7.77</w:t>
            </w:r>
          </w:p>
        </w:tc>
        <w:tc>
          <w:tcPr>
            <w:tcW w:w="0" w:type="auto"/>
            <w:noWrap/>
            <w:vAlign w:val="center"/>
          </w:tcPr>
          <w:p w14:paraId="4724EEA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5.56</w:t>
            </w:r>
          </w:p>
        </w:tc>
        <w:tc>
          <w:tcPr>
            <w:tcW w:w="0" w:type="auto"/>
            <w:noWrap/>
            <w:vAlign w:val="center"/>
          </w:tcPr>
          <w:p w14:paraId="6EE4ACA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4.49</w:t>
            </w:r>
          </w:p>
        </w:tc>
        <w:tc>
          <w:tcPr>
            <w:tcW w:w="0" w:type="auto"/>
            <w:noWrap/>
            <w:vAlign w:val="center"/>
          </w:tcPr>
          <w:p w14:paraId="55C1362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6.87</w:t>
            </w:r>
          </w:p>
        </w:tc>
        <w:tc>
          <w:tcPr>
            <w:tcW w:w="0" w:type="auto"/>
            <w:noWrap/>
            <w:vAlign w:val="center"/>
          </w:tcPr>
          <w:p w14:paraId="70482134"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7.49</w:t>
            </w:r>
          </w:p>
        </w:tc>
        <w:tc>
          <w:tcPr>
            <w:tcW w:w="0" w:type="auto"/>
            <w:noWrap/>
            <w:vAlign w:val="center"/>
          </w:tcPr>
          <w:p w14:paraId="1A2EC553"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10.29</w:t>
            </w:r>
          </w:p>
        </w:tc>
        <w:tc>
          <w:tcPr>
            <w:tcW w:w="0" w:type="auto"/>
            <w:noWrap/>
            <w:vAlign w:val="center"/>
          </w:tcPr>
          <w:p w14:paraId="0F54B75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1.04</w:t>
            </w:r>
          </w:p>
        </w:tc>
        <w:tc>
          <w:tcPr>
            <w:tcW w:w="0" w:type="auto"/>
            <w:noWrap/>
            <w:vAlign w:val="center"/>
          </w:tcPr>
          <w:p w14:paraId="4009D18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1.35</w:t>
            </w:r>
          </w:p>
        </w:tc>
        <w:tc>
          <w:tcPr>
            <w:tcW w:w="0" w:type="auto"/>
            <w:noWrap/>
            <w:vAlign w:val="center"/>
          </w:tcPr>
          <w:p w14:paraId="53B7205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2.89</w:t>
            </w:r>
          </w:p>
        </w:tc>
        <w:tc>
          <w:tcPr>
            <w:tcW w:w="0" w:type="auto"/>
            <w:noWrap/>
            <w:vAlign w:val="center"/>
          </w:tcPr>
          <w:p w14:paraId="3360D20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5.29</w:t>
            </w:r>
          </w:p>
        </w:tc>
        <w:tc>
          <w:tcPr>
            <w:tcW w:w="0" w:type="auto"/>
            <w:noWrap/>
            <w:vAlign w:val="center"/>
          </w:tcPr>
          <w:p w14:paraId="2466D66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1.14</w:t>
            </w:r>
          </w:p>
        </w:tc>
        <w:tc>
          <w:tcPr>
            <w:tcW w:w="0" w:type="auto"/>
            <w:noWrap/>
            <w:vAlign w:val="center"/>
          </w:tcPr>
          <w:p w14:paraId="183CD2B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7.42</w:t>
            </w:r>
          </w:p>
        </w:tc>
        <w:tc>
          <w:tcPr>
            <w:tcW w:w="0" w:type="auto"/>
            <w:noWrap/>
            <w:vAlign w:val="center"/>
          </w:tcPr>
          <w:p w14:paraId="706B818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4.92</w:t>
            </w:r>
          </w:p>
        </w:tc>
        <w:tc>
          <w:tcPr>
            <w:tcW w:w="0" w:type="auto"/>
            <w:noWrap/>
            <w:vAlign w:val="center"/>
          </w:tcPr>
          <w:p w14:paraId="6754FED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w:t>
            </w:r>
          </w:p>
        </w:tc>
        <w:tc>
          <w:tcPr>
            <w:tcW w:w="0" w:type="auto"/>
            <w:noWrap/>
            <w:vAlign w:val="center"/>
          </w:tcPr>
          <w:p w14:paraId="42C1866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5.92</w:t>
            </w:r>
          </w:p>
        </w:tc>
        <w:tc>
          <w:tcPr>
            <w:tcW w:w="1022" w:type="dxa"/>
            <w:noWrap/>
            <w:vAlign w:val="center"/>
          </w:tcPr>
          <w:p w14:paraId="154DE06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5.88</w:t>
            </w:r>
          </w:p>
        </w:tc>
      </w:tr>
      <w:tr w:rsidR="00E35B56" w:rsidRPr="00E35B56" w14:paraId="09BC995A" w14:textId="77777777" w:rsidTr="008979CA">
        <w:trPr>
          <w:trHeight w:val="307"/>
        </w:trPr>
        <w:tc>
          <w:tcPr>
            <w:tcW w:w="0" w:type="auto"/>
            <w:noWrap/>
            <w:vAlign w:val="center"/>
          </w:tcPr>
          <w:p w14:paraId="01F1410C"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Mean Silt (%)</w:t>
            </w:r>
          </w:p>
        </w:tc>
        <w:tc>
          <w:tcPr>
            <w:tcW w:w="0" w:type="auto"/>
            <w:noWrap/>
            <w:vAlign w:val="center"/>
          </w:tcPr>
          <w:p w14:paraId="1F59120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10.13b</w:t>
            </w:r>
          </w:p>
        </w:tc>
        <w:tc>
          <w:tcPr>
            <w:tcW w:w="0" w:type="auto"/>
            <w:noWrap/>
            <w:vAlign w:val="center"/>
          </w:tcPr>
          <w:p w14:paraId="3716220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9.79b</w:t>
            </w:r>
          </w:p>
        </w:tc>
        <w:tc>
          <w:tcPr>
            <w:tcW w:w="0" w:type="auto"/>
            <w:noWrap/>
            <w:vAlign w:val="center"/>
          </w:tcPr>
          <w:p w14:paraId="6724B5A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10.68b</w:t>
            </w:r>
          </w:p>
        </w:tc>
        <w:tc>
          <w:tcPr>
            <w:tcW w:w="0" w:type="auto"/>
            <w:noWrap/>
            <w:vAlign w:val="center"/>
          </w:tcPr>
          <w:p w14:paraId="065956E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10.07b</w:t>
            </w:r>
          </w:p>
        </w:tc>
        <w:tc>
          <w:tcPr>
            <w:tcW w:w="0" w:type="auto"/>
            <w:noWrap/>
            <w:vAlign w:val="center"/>
          </w:tcPr>
          <w:p w14:paraId="2C66CAB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8.04c</w:t>
            </w:r>
          </w:p>
        </w:tc>
        <w:tc>
          <w:tcPr>
            <w:tcW w:w="0" w:type="auto"/>
            <w:noWrap/>
            <w:vAlign w:val="center"/>
          </w:tcPr>
          <w:p w14:paraId="7E7B5AD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12.12b</w:t>
            </w:r>
          </w:p>
        </w:tc>
        <w:tc>
          <w:tcPr>
            <w:tcW w:w="0" w:type="auto"/>
            <w:noWrap/>
            <w:vAlign w:val="center"/>
          </w:tcPr>
          <w:p w14:paraId="5D58E92F"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7.87d</w:t>
            </w:r>
          </w:p>
        </w:tc>
        <w:tc>
          <w:tcPr>
            <w:tcW w:w="0" w:type="auto"/>
            <w:noWrap/>
            <w:vAlign w:val="center"/>
          </w:tcPr>
          <w:p w14:paraId="36F68C50"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10.49b</w:t>
            </w:r>
          </w:p>
        </w:tc>
        <w:tc>
          <w:tcPr>
            <w:tcW w:w="0" w:type="auto"/>
            <w:noWrap/>
            <w:vAlign w:val="center"/>
          </w:tcPr>
          <w:p w14:paraId="2B71A38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7.35d</w:t>
            </w:r>
          </w:p>
        </w:tc>
        <w:tc>
          <w:tcPr>
            <w:tcW w:w="0" w:type="auto"/>
            <w:noWrap/>
            <w:vAlign w:val="center"/>
          </w:tcPr>
          <w:p w14:paraId="419BD41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9.23c</w:t>
            </w:r>
          </w:p>
        </w:tc>
        <w:tc>
          <w:tcPr>
            <w:tcW w:w="0" w:type="auto"/>
            <w:noWrap/>
            <w:vAlign w:val="center"/>
          </w:tcPr>
          <w:p w14:paraId="1224C3A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8.57c</w:t>
            </w:r>
          </w:p>
        </w:tc>
        <w:tc>
          <w:tcPr>
            <w:tcW w:w="0" w:type="auto"/>
            <w:noWrap/>
            <w:vAlign w:val="center"/>
          </w:tcPr>
          <w:p w14:paraId="2772F88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8.55c</w:t>
            </w:r>
          </w:p>
        </w:tc>
        <w:tc>
          <w:tcPr>
            <w:tcW w:w="0" w:type="auto"/>
            <w:noWrap/>
            <w:vAlign w:val="center"/>
          </w:tcPr>
          <w:p w14:paraId="00B5D7A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7.29d</w:t>
            </w:r>
          </w:p>
        </w:tc>
        <w:tc>
          <w:tcPr>
            <w:tcW w:w="0" w:type="auto"/>
            <w:noWrap/>
            <w:vAlign w:val="center"/>
          </w:tcPr>
          <w:p w14:paraId="5B1EA50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8.35c</w:t>
            </w:r>
          </w:p>
        </w:tc>
        <w:tc>
          <w:tcPr>
            <w:tcW w:w="0" w:type="auto"/>
            <w:noWrap/>
            <w:vAlign w:val="center"/>
          </w:tcPr>
          <w:p w14:paraId="41AE512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6.68d</w:t>
            </w:r>
          </w:p>
        </w:tc>
        <w:tc>
          <w:tcPr>
            <w:tcW w:w="0" w:type="auto"/>
            <w:noWrap/>
            <w:vAlign w:val="center"/>
          </w:tcPr>
          <w:p w14:paraId="576BB59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8.75c</w:t>
            </w:r>
          </w:p>
        </w:tc>
        <w:tc>
          <w:tcPr>
            <w:tcW w:w="0" w:type="auto"/>
            <w:noWrap/>
            <w:vAlign w:val="center"/>
          </w:tcPr>
          <w:p w14:paraId="5A21F75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8.85c</w:t>
            </w:r>
          </w:p>
        </w:tc>
        <w:tc>
          <w:tcPr>
            <w:tcW w:w="1022" w:type="dxa"/>
            <w:noWrap/>
            <w:vAlign w:val="center"/>
          </w:tcPr>
          <w:p w14:paraId="641B634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25a</w:t>
            </w:r>
          </w:p>
        </w:tc>
      </w:tr>
      <w:tr w:rsidR="00E35B56" w:rsidRPr="00E35B56" w14:paraId="284946DF" w14:textId="77777777" w:rsidTr="008979CA">
        <w:trPr>
          <w:trHeight w:val="307"/>
        </w:trPr>
        <w:tc>
          <w:tcPr>
            <w:tcW w:w="0" w:type="auto"/>
            <w:noWrap/>
            <w:vAlign w:val="center"/>
          </w:tcPr>
          <w:p w14:paraId="2353BD28"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center"/>
          </w:tcPr>
          <w:p w14:paraId="5E8C687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1.52</w:t>
            </w:r>
          </w:p>
        </w:tc>
        <w:tc>
          <w:tcPr>
            <w:tcW w:w="0" w:type="auto"/>
            <w:noWrap/>
            <w:vAlign w:val="center"/>
          </w:tcPr>
          <w:p w14:paraId="4B91961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4.11</w:t>
            </w:r>
          </w:p>
        </w:tc>
        <w:tc>
          <w:tcPr>
            <w:tcW w:w="0" w:type="auto"/>
            <w:noWrap/>
            <w:vAlign w:val="center"/>
          </w:tcPr>
          <w:p w14:paraId="2B38EFC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3.82</w:t>
            </w:r>
          </w:p>
        </w:tc>
        <w:tc>
          <w:tcPr>
            <w:tcW w:w="0" w:type="auto"/>
            <w:noWrap/>
            <w:vAlign w:val="center"/>
          </w:tcPr>
          <w:p w14:paraId="4252F72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2.87</w:t>
            </w:r>
          </w:p>
        </w:tc>
        <w:tc>
          <w:tcPr>
            <w:tcW w:w="0" w:type="auto"/>
            <w:noWrap/>
            <w:vAlign w:val="center"/>
          </w:tcPr>
          <w:p w14:paraId="03DFD7C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1.63</w:t>
            </w:r>
          </w:p>
        </w:tc>
        <w:tc>
          <w:tcPr>
            <w:tcW w:w="0" w:type="auto"/>
            <w:noWrap/>
            <w:vAlign w:val="center"/>
          </w:tcPr>
          <w:p w14:paraId="3D64B90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5.6</w:t>
            </w:r>
          </w:p>
        </w:tc>
        <w:tc>
          <w:tcPr>
            <w:tcW w:w="0" w:type="auto"/>
            <w:noWrap/>
            <w:vAlign w:val="center"/>
          </w:tcPr>
          <w:p w14:paraId="5C1AA73E"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3.68</w:t>
            </w:r>
          </w:p>
        </w:tc>
        <w:tc>
          <w:tcPr>
            <w:tcW w:w="0" w:type="auto"/>
            <w:noWrap/>
            <w:vAlign w:val="center"/>
          </w:tcPr>
          <w:p w14:paraId="058ED8BB"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3.34</w:t>
            </w:r>
          </w:p>
        </w:tc>
        <w:tc>
          <w:tcPr>
            <w:tcW w:w="0" w:type="auto"/>
            <w:noWrap/>
            <w:vAlign w:val="center"/>
          </w:tcPr>
          <w:p w14:paraId="541D444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0.63</w:t>
            </w:r>
          </w:p>
        </w:tc>
        <w:tc>
          <w:tcPr>
            <w:tcW w:w="0" w:type="auto"/>
            <w:noWrap/>
            <w:vAlign w:val="center"/>
          </w:tcPr>
          <w:p w14:paraId="01D1BA3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1.29</w:t>
            </w:r>
          </w:p>
        </w:tc>
        <w:tc>
          <w:tcPr>
            <w:tcW w:w="0" w:type="auto"/>
            <w:noWrap/>
            <w:vAlign w:val="center"/>
          </w:tcPr>
          <w:p w14:paraId="65E219C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w:t>
            </w:r>
          </w:p>
        </w:tc>
        <w:tc>
          <w:tcPr>
            <w:tcW w:w="0" w:type="auto"/>
            <w:noWrap/>
            <w:vAlign w:val="center"/>
          </w:tcPr>
          <w:p w14:paraId="2E032DC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1.91</w:t>
            </w:r>
          </w:p>
        </w:tc>
        <w:tc>
          <w:tcPr>
            <w:tcW w:w="0" w:type="auto"/>
            <w:noWrap/>
            <w:vAlign w:val="center"/>
          </w:tcPr>
          <w:p w14:paraId="4AFEFC6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0.35</w:t>
            </w:r>
          </w:p>
        </w:tc>
        <w:tc>
          <w:tcPr>
            <w:tcW w:w="0" w:type="auto"/>
            <w:noWrap/>
            <w:vAlign w:val="center"/>
          </w:tcPr>
          <w:p w14:paraId="332623E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1.13</w:t>
            </w:r>
          </w:p>
        </w:tc>
        <w:tc>
          <w:tcPr>
            <w:tcW w:w="0" w:type="auto"/>
            <w:noWrap/>
            <w:vAlign w:val="center"/>
          </w:tcPr>
          <w:p w14:paraId="593D4ED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0.78</w:t>
            </w:r>
          </w:p>
        </w:tc>
        <w:tc>
          <w:tcPr>
            <w:tcW w:w="0" w:type="auto"/>
            <w:noWrap/>
            <w:vAlign w:val="center"/>
          </w:tcPr>
          <w:p w14:paraId="200708E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0.85</w:t>
            </w:r>
          </w:p>
        </w:tc>
        <w:tc>
          <w:tcPr>
            <w:tcW w:w="0" w:type="auto"/>
            <w:noWrap/>
            <w:vAlign w:val="center"/>
          </w:tcPr>
          <w:p w14:paraId="48ECEAC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0.79</w:t>
            </w:r>
          </w:p>
        </w:tc>
        <w:tc>
          <w:tcPr>
            <w:tcW w:w="1022" w:type="dxa"/>
            <w:noWrap/>
            <w:vAlign w:val="center"/>
          </w:tcPr>
          <w:p w14:paraId="43F8510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0.92</w:t>
            </w:r>
          </w:p>
        </w:tc>
      </w:tr>
      <w:tr w:rsidR="00E35B56" w:rsidRPr="00E35B56" w14:paraId="71222C94" w14:textId="77777777" w:rsidTr="008979CA">
        <w:trPr>
          <w:trHeight w:val="307"/>
        </w:trPr>
        <w:tc>
          <w:tcPr>
            <w:tcW w:w="0" w:type="auto"/>
            <w:noWrap/>
            <w:vAlign w:val="center"/>
          </w:tcPr>
          <w:p w14:paraId="1E309DE0"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center"/>
          </w:tcPr>
          <w:p w14:paraId="4A254B1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14.99</w:t>
            </w:r>
          </w:p>
        </w:tc>
        <w:tc>
          <w:tcPr>
            <w:tcW w:w="0" w:type="auto"/>
            <w:noWrap/>
            <w:vAlign w:val="center"/>
          </w:tcPr>
          <w:p w14:paraId="13BE1AA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41.98</w:t>
            </w:r>
          </w:p>
        </w:tc>
        <w:tc>
          <w:tcPr>
            <w:tcW w:w="0" w:type="auto"/>
            <w:noWrap/>
            <w:vAlign w:val="center"/>
          </w:tcPr>
          <w:p w14:paraId="7F11511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35.76</w:t>
            </w:r>
          </w:p>
        </w:tc>
        <w:tc>
          <w:tcPr>
            <w:tcW w:w="0" w:type="auto"/>
            <w:noWrap/>
            <w:vAlign w:val="center"/>
          </w:tcPr>
          <w:p w14:paraId="5660795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28.47</w:t>
            </w:r>
          </w:p>
        </w:tc>
        <w:tc>
          <w:tcPr>
            <w:tcW w:w="0" w:type="auto"/>
            <w:noWrap/>
            <w:vAlign w:val="center"/>
          </w:tcPr>
          <w:p w14:paraId="4E1C731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20.32</w:t>
            </w:r>
          </w:p>
        </w:tc>
        <w:tc>
          <w:tcPr>
            <w:tcW w:w="0" w:type="auto"/>
            <w:noWrap/>
            <w:vAlign w:val="center"/>
          </w:tcPr>
          <w:p w14:paraId="3478542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46.21</w:t>
            </w:r>
          </w:p>
        </w:tc>
        <w:tc>
          <w:tcPr>
            <w:tcW w:w="0" w:type="auto"/>
            <w:noWrap/>
            <w:vAlign w:val="center"/>
          </w:tcPr>
          <w:p w14:paraId="074166B7"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46.75</w:t>
            </w:r>
          </w:p>
        </w:tc>
        <w:tc>
          <w:tcPr>
            <w:tcW w:w="0" w:type="auto"/>
            <w:noWrap/>
            <w:vAlign w:val="center"/>
          </w:tcPr>
          <w:p w14:paraId="730E2855"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31.85</w:t>
            </w:r>
          </w:p>
        </w:tc>
        <w:tc>
          <w:tcPr>
            <w:tcW w:w="0" w:type="auto"/>
            <w:noWrap/>
            <w:vAlign w:val="center"/>
          </w:tcPr>
          <w:p w14:paraId="012E4B6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8.62</w:t>
            </w:r>
          </w:p>
        </w:tc>
        <w:tc>
          <w:tcPr>
            <w:tcW w:w="0" w:type="auto"/>
            <w:noWrap/>
            <w:vAlign w:val="center"/>
          </w:tcPr>
          <w:p w14:paraId="680E7D8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13.95</w:t>
            </w:r>
          </w:p>
        </w:tc>
        <w:tc>
          <w:tcPr>
            <w:tcW w:w="0" w:type="auto"/>
            <w:noWrap/>
            <w:vAlign w:val="center"/>
          </w:tcPr>
          <w:p w14:paraId="0EF1EA0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17.55</w:t>
            </w:r>
          </w:p>
        </w:tc>
        <w:tc>
          <w:tcPr>
            <w:tcW w:w="0" w:type="auto"/>
            <w:noWrap/>
            <w:vAlign w:val="center"/>
          </w:tcPr>
          <w:p w14:paraId="71ACC36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22.3</w:t>
            </w:r>
          </w:p>
        </w:tc>
        <w:tc>
          <w:tcPr>
            <w:tcW w:w="0" w:type="auto"/>
            <w:noWrap/>
            <w:vAlign w:val="center"/>
          </w:tcPr>
          <w:p w14:paraId="0BD0EF4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4.79</w:t>
            </w:r>
          </w:p>
        </w:tc>
        <w:tc>
          <w:tcPr>
            <w:tcW w:w="0" w:type="auto"/>
            <w:noWrap/>
            <w:vAlign w:val="center"/>
          </w:tcPr>
          <w:p w14:paraId="69776A4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13.57</w:t>
            </w:r>
          </w:p>
        </w:tc>
        <w:tc>
          <w:tcPr>
            <w:tcW w:w="0" w:type="auto"/>
            <w:noWrap/>
            <w:vAlign w:val="center"/>
          </w:tcPr>
          <w:p w14:paraId="2535F61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11.73</w:t>
            </w:r>
          </w:p>
        </w:tc>
        <w:tc>
          <w:tcPr>
            <w:tcW w:w="0" w:type="auto"/>
            <w:noWrap/>
            <w:vAlign w:val="center"/>
          </w:tcPr>
          <w:p w14:paraId="222DF22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9.77</w:t>
            </w:r>
          </w:p>
        </w:tc>
        <w:tc>
          <w:tcPr>
            <w:tcW w:w="0" w:type="auto"/>
            <w:noWrap/>
            <w:vAlign w:val="center"/>
          </w:tcPr>
          <w:p w14:paraId="57B04F7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8.98</w:t>
            </w:r>
          </w:p>
        </w:tc>
        <w:tc>
          <w:tcPr>
            <w:tcW w:w="1022" w:type="dxa"/>
            <w:noWrap/>
            <w:vAlign w:val="center"/>
          </w:tcPr>
          <w:p w14:paraId="21E534A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11.09</w:t>
            </w:r>
          </w:p>
        </w:tc>
      </w:tr>
      <w:tr w:rsidR="00E35B56" w:rsidRPr="00E35B56" w14:paraId="7121BB34" w14:textId="77777777" w:rsidTr="008979CA">
        <w:trPr>
          <w:trHeight w:val="307"/>
        </w:trPr>
        <w:tc>
          <w:tcPr>
            <w:tcW w:w="0" w:type="auto"/>
            <w:noWrap/>
            <w:vAlign w:val="bottom"/>
          </w:tcPr>
          <w:p w14:paraId="47152D44"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Mean Clay (%)</w:t>
            </w:r>
          </w:p>
        </w:tc>
        <w:tc>
          <w:tcPr>
            <w:tcW w:w="0" w:type="auto"/>
            <w:noWrap/>
            <w:vAlign w:val="center"/>
          </w:tcPr>
          <w:p w14:paraId="12765B2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12.17a</w:t>
            </w:r>
          </w:p>
        </w:tc>
        <w:tc>
          <w:tcPr>
            <w:tcW w:w="0" w:type="auto"/>
            <w:noWrap/>
            <w:vAlign w:val="center"/>
          </w:tcPr>
          <w:p w14:paraId="6193ABA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12.88a</w:t>
            </w:r>
          </w:p>
        </w:tc>
        <w:tc>
          <w:tcPr>
            <w:tcW w:w="0" w:type="auto"/>
            <w:noWrap/>
            <w:vAlign w:val="center"/>
          </w:tcPr>
          <w:p w14:paraId="792D004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13.49a</w:t>
            </w:r>
          </w:p>
        </w:tc>
        <w:tc>
          <w:tcPr>
            <w:tcW w:w="0" w:type="auto"/>
            <w:noWrap/>
            <w:vAlign w:val="center"/>
          </w:tcPr>
          <w:p w14:paraId="4E6FAE9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12.25a</w:t>
            </w:r>
          </w:p>
        </w:tc>
        <w:tc>
          <w:tcPr>
            <w:tcW w:w="0" w:type="auto"/>
            <w:noWrap/>
            <w:vAlign w:val="center"/>
          </w:tcPr>
          <w:p w14:paraId="2D8A46D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16.85a</w:t>
            </w:r>
          </w:p>
        </w:tc>
        <w:tc>
          <w:tcPr>
            <w:tcW w:w="0" w:type="auto"/>
            <w:noWrap/>
            <w:vAlign w:val="center"/>
          </w:tcPr>
          <w:p w14:paraId="2CCCEB2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15.52a</w:t>
            </w:r>
          </w:p>
        </w:tc>
        <w:tc>
          <w:tcPr>
            <w:tcW w:w="0" w:type="auto"/>
            <w:noWrap/>
            <w:vAlign w:val="center"/>
          </w:tcPr>
          <w:p w14:paraId="4C669F85"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12.67a</w:t>
            </w:r>
          </w:p>
        </w:tc>
        <w:tc>
          <w:tcPr>
            <w:tcW w:w="0" w:type="auto"/>
            <w:noWrap/>
            <w:vAlign w:val="center"/>
          </w:tcPr>
          <w:p w14:paraId="1802956C"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16.00a</w:t>
            </w:r>
          </w:p>
        </w:tc>
        <w:tc>
          <w:tcPr>
            <w:tcW w:w="0" w:type="auto"/>
            <w:noWrap/>
            <w:vAlign w:val="center"/>
          </w:tcPr>
          <w:p w14:paraId="362B1D7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10.57a</w:t>
            </w:r>
          </w:p>
        </w:tc>
        <w:tc>
          <w:tcPr>
            <w:tcW w:w="0" w:type="auto"/>
            <w:noWrap/>
            <w:vAlign w:val="center"/>
          </w:tcPr>
          <w:p w14:paraId="2F17024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11.97a</w:t>
            </w:r>
          </w:p>
        </w:tc>
        <w:tc>
          <w:tcPr>
            <w:tcW w:w="0" w:type="auto"/>
            <w:noWrap/>
            <w:vAlign w:val="center"/>
          </w:tcPr>
          <w:p w14:paraId="20C01F2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11.29a</w:t>
            </w:r>
          </w:p>
        </w:tc>
        <w:tc>
          <w:tcPr>
            <w:tcW w:w="0" w:type="auto"/>
            <w:noWrap/>
            <w:vAlign w:val="center"/>
          </w:tcPr>
          <w:p w14:paraId="057843E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13.23a</w:t>
            </w:r>
          </w:p>
        </w:tc>
        <w:tc>
          <w:tcPr>
            <w:tcW w:w="0" w:type="auto"/>
            <w:noWrap/>
            <w:vAlign w:val="center"/>
          </w:tcPr>
          <w:p w14:paraId="71D1F73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9.08a</w:t>
            </w:r>
          </w:p>
        </w:tc>
        <w:tc>
          <w:tcPr>
            <w:tcW w:w="0" w:type="auto"/>
            <w:noWrap/>
            <w:vAlign w:val="center"/>
          </w:tcPr>
          <w:p w14:paraId="1F05F45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14.05a</w:t>
            </w:r>
          </w:p>
        </w:tc>
        <w:tc>
          <w:tcPr>
            <w:tcW w:w="0" w:type="auto"/>
            <w:noWrap/>
            <w:vAlign w:val="center"/>
          </w:tcPr>
          <w:p w14:paraId="427A7A4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11.79a</w:t>
            </w:r>
          </w:p>
        </w:tc>
        <w:tc>
          <w:tcPr>
            <w:tcW w:w="0" w:type="auto"/>
            <w:noWrap/>
            <w:vAlign w:val="center"/>
          </w:tcPr>
          <w:p w14:paraId="6FB2C29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11.11a</w:t>
            </w:r>
          </w:p>
        </w:tc>
        <w:tc>
          <w:tcPr>
            <w:tcW w:w="0" w:type="auto"/>
            <w:noWrap/>
            <w:vAlign w:val="center"/>
          </w:tcPr>
          <w:p w14:paraId="37E1481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12.32a</w:t>
            </w:r>
          </w:p>
        </w:tc>
        <w:tc>
          <w:tcPr>
            <w:tcW w:w="1022" w:type="dxa"/>
            <w:noWrap/>
            <w:vAlign w:val="bottom"/>
          </w:tcPr>
          <w:p w14:paraId="5898989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12.12a</w:t>
            </w:r>
          </w:p>
        </w:tc>
      </w:tr>
      <w:tr w:rsidR="00E35B56" w:rsidRPr="00E35B56" w14:paraId="4AEBDA44" w14:textId="77777777" w:rsidTr="008979CA">
        <w:trPr>
          <w:trHeight w:val="307"/>
        </w:trPr>
        <w:tc>
          <w:tcPr>
            <w:tcW w:w="0" w:type="auto"/>
            <w:noWrap/>
            <w:vAlign w:val="center"/>
          </w:tcPr>
          <w:p w14:paraId="3617B380"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center"/>
          </w:tcPr>
          <w:p w14:paraId="464E07D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1.75</w:t>
            </w:r>
          </w:p>
        </w:tc>
        <w:tc>
          <w:tcPr>
            <w:tcW w:w="0" w:type="auto"/>
            <w:noWrap/>
            <w:vAlign w:val="center"/>
          </w:tcPr>
          <w:p w14:paraId="3A8FDB3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0.94</w:t>
            </w:r>
          </w:p>
        </w:tc>
        <w:tc>
          <w:tcPr>
            <w:tcW w:w="0" w:type="auto"/>
            <w:noWrap/>
            <w:vAlign w:val="center"/>
          </w:tcPr>
          <w:p w14:paraId="3BD9761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2.43</w:t>
            </w:r>
          </w:p>
        </w:tc>
        <w:tc>
          <w:tcPr>
            <w:tcW w:w="0" w:type="auto"/>
            <w:noWrap/>
            <w:vAlign w:val="center"/>
          </w:tcPr>
          <w:p w14:paraId="20952C0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w:t>
            </w:r>
          </w:p>
        </w:tc>
        <w:tc>
          <w:tcPr>
            <w:tcW w:w="0" w:type="auto"/>
            <w:noWrap/>
            <w:vAlign w:val="center"/>
          </w:tcPr>
          <w:p w14:paraId="15C6B4D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3.41</w:t>
            </w:r>
          </w:p>
        </w:tc>
        <w:tc>
          <w:tcPr>
            <w:tcW w:w="0" w:type="auto"/>
            <w:noWrap/>
            <w:vAlign w:val="center"/>
          </w:tcPr>
          <w:p w14:paraId="0313E9E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3.71</w:t>
            </w:r>
          </w:p>
        </w:tc>
        <w:tc>
          <w:tcPr>
            <w:tcW w:w="0" w:type="auto"/>
            <w:noWrap/>
            <w:vAlign w:val="center"/>
          </w:tcPr>
          <w:p w14:paraId="2E01284C"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2.52</w:t>
            </w:r>
          </w:p>
        </w:tc>
        <w:tc>
          <w:tcPr>
            <w:tcW w:w="0" w:type="auto"/>
            <w:noWrap/>
            <w:vAlign w:val="center"/>
          </w:tcPr>
          <w:p w14:paraId="7D73BC3B"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4.27</w:t>
            </w:r>
          </w:p>
        </w:tc>
        <w:tc>
          <w:tcPr>
            <w:tcW w:w="0" w:type="auto"/>
            <w:noWrap/>
            <w:vAlign w:val="center"/>
          </w:tcPr>
          <w:p w14:paraId="5C09255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0.84</w:t>
            </w:r>
          </w:p>
        </w:tc>
        <w:tc>
          <w:tcPr>
            <w:tcW w:w="0" w:type="auto"/>
            <w:noWrap/>
            <w:vAlign w:val="center"/>
          </w:tcPr>
          <w:p w14:paraId="65EB130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0.28</w:t>
            </w:r>
          </w:p>
        </w:tc>
        <w:tc>
          <w:tcPr>
            <w:tcW w:w="0" w:type="auto"/>
            <w:noWrap/>
            <w:vAlign w:val="center"/>
          </w:tcPr>
          <w:p w14:paraId="0647221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0.89</w:t>
            </w:r>
          </w:p>
        </w:tc>
        <w:tc>
          <w:tcPr>
            <w:tcW w:w="0" w:type="auto"/>
            <w:noWrap/>
            <w:vAlign w:val="center"/>
          </w:tcPr>
          <w:p w14:paraId="71F34E3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3.34</w:t>
            </w:r>
          </w:p>
        </w:tc>
        <w:tc>
          <w:tcPr>
            <w:tcW w:w="0" w:type="auto"/>
            <w:noWrap/>
            <w:vAlign w:val="center"/>
          </w:tcPr>
          <w:p w14:paraId="1E0CF5A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w:t>
            </w:r>
          </w:p>
        </w:tc>
        <w:tc>
          <w:tcPr>
            <w:tcW w:w="0" w:type="auto"/>
            <w:noWrap/>
            <w:vAlign w:val="center"/>
          </w:tcPr>
          <w:p w14:paraId="7239587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5.11</w:t>
            </w:r>
          </w:p>
        </w:tc>
        <w:tc>
          <w:tcPr>
            <w:tcW w:w="0" w:type="auto"/>
            <w:noWrap/>
            <w:vAlign w:val="center"/>
          </w:tcPr>
          <w:p w14:paraId="1D04BC8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3.77</w:t>
            </w:r>
          </w:p>
        </w:tc>
        <w:tc>
          <w:tcPr>
            <w:tcW w:w="0" w:type="auto"/>
            <w:noWrap/>
            <w:vAlign w:val="center"/>
          </w:tcPr>
          <w:p w14:paraId="59C1707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0.82</w:t>
            </w:r>
          </w:p>
        </w:tc>
        <w:tc>
          <w:tcPr>
            <w:tcW w:w="0" w:type="auto"/>
            <w:noWrap/>
            <w:vAlign w:val="center"/>
          </w:tcPr>
          <w:p w14:paraId="6D0474D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4.08</w:t>
            </w:r>
          </w:p>
        </w:tc>
        <w:tc>
          <w:tcPr>
            <w:tcW w:w="1022" w:type="dxa"/>
            <w:noWrap/>
            <w:vAlign w:val="bottom"/>
          </w:tcPr>
          <w:p w14:paraId="5F04819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4.3</w:t>
            </w:r>
          </w:p>
        </w:tc>
      </w:tr>
      <w:tr w:rsidR="00E35B56" w:rsidRPr="00E35B56" w14:paraId="6FDCEC48" w14:textId="77777777" w:rsidTr="008979CA">
        <w:trPr>
          <w:trHeight w:val="307"/>
        </w:trPr>
        <w:tc>
          <w:tcPr>
            <w:tcW w:w="0" w:type="auto"/>
            <w:noWrap/>
            <w:vAlign w:val="center"/>
          </w:tcPr>
          <w:p w14:paraId="552131D4"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center"/>
          </w:tcPr>
          <w:p w14:paraId="758164A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14.35</w:t>
            </w:r>
          </w:p>
        </w:tc>
        <w:tc>
          <w:tcPr>
            <w:tcW w:w="0" w:type="auto"/>
            <w:noWrap/>
            <w:vAlign w:val="center"/>
          </w:tcPr>
          <w:p w14:paraId="7FFF8EA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7.27</w:t>
            </w:r>
          </w:p>
        </w:tc>
        <w:tc>
          <w:tcPr>
            <w:tcW w:w="0" w:type="auto"/>
            <w:noWrap/>
            <w:vAlign w:val="center"/>
          </w:tcPr>
          <w:p w14:paraId="0A10357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18.01</w:t>
            </w:r>
          </w:p>
        </w:tc>
        <w:tc>
          <w:tcPr>
            <w:tcW w:w="0" w:type="auto"/>
            <w:noWrap/>
            <w:vAlign w:val="center"/>
          </w:tcPr>
          <w:p w14:paraId="2AE01B3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13.06</w:t>
            </w:r>
          </w:p>
        </w:tc>
        <w:tc>
          <w:tcPr>
            <w:tcW w:w="0" w:type="auto"/>
            <w:noWrap/>
            <w:vAlign w:val="center"/>
          </w:tcPr>
          <w:p w14:paraId="728169B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20.23</w:t>
            </w:r>
          </w:p>
        </w:tc>
        <w:tc>
          <w:tcPr>
            <w:tcW w:w="0" w:type="auto"/>
            <w:noWrap/>
            <w:vAlign w:val="center"/>
          </w:tcPr>
          <w:p w14:paraId="69C1960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23.87</w:t>
            </w:r>
          </w:p>
        </w:tc>
        <w:tc>
          <w:tcPr>
            <w:tcW w:w="0" w:type="auto"/>
            <w:noWrap/>
            <w:vAlign w:val="center"/>
          </w:tcPr>
          <w:p w14:paraId="42A570D2"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19.9</w:t>
            </w:r>
          </w:p>
        </w:tc>
        <w:tc>
          <w:tcPr>
            <w:tcW w:w="0" w:type="auto"/>
            <w:noWrap/>
            <w:vAlign w:val="center"/>
          </w:tcPr>
          <w:p w14:paraId="5FE5FFCE"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26.67</w:t>
            </w:r>
          </w:p>
        </w:tc>
        <w:tc>
          <w:tcPr>
            <w:tcW w:w="0" w:type="auto"/>
            <w:noWrap/>
            <w:vAlign w:val="center"/>
          </w:tcPr>
          <w:p w14:paraId="159361A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7.95</w:t>
            </w:r>
          </w:p>
        </w:tc>
        <w:tc>
          <w:tcPr>
            <w:tcW w:w="0" w:type="auto"/>
            <w:noWrap/>
            <w:vAlign w:val="center"/>
          </w:tcPr>
          <w:p w14:paraId="5216C32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2.32</w:t>
            </w:r>
          </w:p>
        </w:tc>
        <w:tc>
          <w:tcPr>
            <w:tcW w:w="0" w:type="auto"/>
            <w:noWrap/>
            <w:vAlign w:val="center"/>
          </w:tcPr>
          <w:p w14:paraId="4E4A57F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7.85</w:t>
            </w:r>
          </w:p>
        </w:tc>
        <w:tc>
          <w:tcPr>
            <w:tcW w:w="0" w:type="auto"/>
            <w:noWrap/>
            <w:vAlign w:val="center"/>
          </w:tcPr>
          <w:p w14:paraId="151D3E3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25.25</w:t>
            </w:r>
          </w:p>
        </w:tc>
        <w:tc>
          <w:tcPr>
            <w:tcW w:w="0" w:type="auto"/>
            <w:noWrap/>
            <w:vAlign w:val="center"/>
          </w:tcPr>
          <w:p w14:paraId="1DE80F7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14.33</w:t>
            </w:r>
          </w:p>
        </w:tc>
        <w:tc>
          <w:tcPr>
            <w:tcW w:w="0" w:type="auto"/>
            <w:noWrap/>
            <w:vAlign w:val="center"/>
          </w:tcPr>
          <w:p w14:paraId="6AA5C8A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36.36</w:t>
            </w:r>
          </w:p>
        </w:tc>
        <w:tc>
          <w:tcPr>
            <w:tcW w:w="0" w:type="auto"/>
            <w:noWrap/>
            <w:vAlign w:val="center"/>
          </w:tcPr>
          <w:p w14:paraId="7510987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32</w:t>
            </w:r>
          </w:p>
        </w:tc>
        <w:tc>
          <w:tcPr>
            <w:tcW w:w="0" w:type="auto"/>
            <w:noWrap/>
            <w:vAlign w:val="center"/>
          </w:tcPr>
          <w:p w14:paraId="18B71F7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7.35</w:t>
            </w:r>
          </w:p>
        </w:tc>
        <w:tc>
          <w:tcPr>
            <w:tcW w:w="0" w:type="auto"/>
            <w:noWrap/>
            <w:vAlign w:val="center"/>
          </w:tcPr>
          <w:p w14:paraId="443E340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33.09</w:t>
            </w:r>
          </w:p>
        </w:tc>
        <w:tc>
          <w:tcPr>
            <w:tcW w:w="1022" w:type="dxa"/>
            <w:noWrap/>
            <w:vAlign w:val="bottom"/>
          </w:tcPr>
          <w:p w14:paraId="215FB62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35.44</w:t>
            </w:r>
          </w:p>
        </w:tc>
      </w:tr>
      <w:tr w:rsidR="00E35B56" w:rsidRPr="00E35B56" w14:paraId="594B8474" w14:textId="77777777" w:rsidTr="008979CA">
        <w:trPr>
          <w:trHeight w:val="307"/>
        </w:trPr>
        <w:tc>
          <w:tcPr>
            <w:tcW w:w="0" w:type="auto"/>
            <w:noWrap/>
            <w:vAlign w:val="bottom"/>
            <w:hideMark/>
          </w:tcPr>
          <w:p w14:paraId="096183BD"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 xml:space="preserve"> Mean </w:t>
            </w:r>
            <w:proofErr w:type="spellStart"/>
            <w:r w:rsidRPr="00E35B56">
              <w:rPr>
                <w:rFonts w:ascii="Times New Roman" w:eastAsia="Times New Roman" w:hAnsi="Times New Roman" w:cs="Times New Roman"/>
                <w:b/>
                <w:bCs/>
                <w:color w:val="000000" w:themeColor="text1"/>
                <w:sz w:val="18"/>
                <w:szCs w:val="18"/>
              </w:rPr>
              <w:t>Ksat</w:t>
            </w:r>
            <w:proofErr w:type="spellEnd"/>
            <w:r w:rsidRPr="00E35B56">
              <w:rPr>
                <w:rFonts w:ascii="Times New Roman" w:eastAsia="Times New Roman" w:hAnsi="Times New Roman" w:cs="Times New Roman"/>
                <w:b/>
                <w:bCs/>
                <w:color w:val="000000" w:themeColor="text1"/>
                <w:sz w:val="18"/>
                <w:szCs w:val="18"/>
              </w:rPr>
              <w:t xml:space="preserve"> (cm/</w:t>
            </w:r>
            <w:proofErr w:type="spellStart"/>
            <w:r w:rsidRPr="00E35B56">
              <w:rPr>
                <w:rFonts w:ascii="Times New Roman" w:eastAsia="Times New Roman" w:hAnsi="Times New Roman" w:cs="Times New Roman"/>
                <w:b/>
                <w:bCs/>
                <w:color w:val="000000" w:themeColor="text1"/>
                <w:sz w:val="18"/>
                <w:szCs w:val="18"/>
              </w:rPr>
              <w:t>hr</w:t>
            </w:r>
            <w:proofErr w:type="spellEnd"/>
            <w:r w:rsidRPr="00E35B56">
              <w:rPr>
                <w:rFonts w:ascii="Times New Roman" w:eastAsia="Times New Roman" w:hAnsi="Times New Roman" w:cs="Times New Roman"/>
                <w:b/>
                <w:bCs/>
                <w:color w:val="000000" w:themeColor="text1"/>
                <w:sz w:val="18"/>
                <w:szCs w:val="18"/>
              </w:rPr>
              <w:t>)</w:t>
            </w:r>
          </w:p>
        </w:tc>
        <w:tc>
          <w:tcPr>
            <w:tcW w:w="0" w:type="auto"/>
            <w:noWrap/>
            <w:vAlign w:val="bottom"/>
            <w:hideMark/>
          </w:tcPr>
          <w:p w14:paraId="7D07AD9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0.57b</w:t>
            </w:r>
          </w:p>
        </w:tc>
        <w:tc>
          <w:tcPr>
            <w:tcW w:w="0" w:type="auto"/>
            <w:noWrap/>
            <w:vAlign w:val="bottom"/>
            <w:hideMark/>
          </w:tcPr>
          <w:p w14:paraId="2A9C7CF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0.88a</w:t>
            </w:r>
          </w:p>
        </w:tc>
        <w:tc>
          <w:tcPr>
            <w:tcW w:w="0" w:type="auto"/>
            <w:noWrap/>
            <w:vAlign w:val="bottom"/>
            <w:hideMark/>
          </w:tcPr>
          <w:p w14:paraId="5071C47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0.30c</w:t>
            </w:r>
          </w:p>
        </w:tc>
        <w:tc>
          <w:tcPr>
            <w:tcW w:w="0" w:type="auto"/>
            <w:noWrap/>
            <w:vAlign w:val="bottom"/>
            <w:hideMark/>
          </w:tcPr>
          <w:p w14:paraId="378A51A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0.40c</w:t>
            </w:r>
          </w:p>
        </w:tc>
        <w:tc>
          <w:tcPr>
            <w:tcW w:w="0" w:type="auto"/>
            <w:noWrap/>
            <w:vAlign w:val="bottom"/>
            <w:hideMark/>
          </w:tcPr>
          <w:p w14:paraId="506A963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0.93a</w:t>
            </w:r>
          </w:p>
        </w:tc>
        <w:tc>
          <w:tcPr>
            <w:tcW w:w="0" w:type="auto"/>
            <w:noWrap/>
            <w:vAlign w:val="bottom"/>
            <w:hideMark/>
          </w:tcPr>
          <w:p w14:paraId="2412423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0.08d</w:t>
            </w:r>
          </w:p>
        </w:tc>
        <w:tc>
          <w:tcPr>
            <w:tcW w:w="0" w:type="auto"/>
            <w:noWrap/>
            <w:vAlign w:val="bottom"/>
            <w:hideMark/>
          </w:tcPr>
          <w:p w14:paraId="6B83A161" w14:textId="77777777" w:rsidR="00E35B56" w:rsidRPr="00E35B56" w:rsidRDefault="00E35B56" w:rsidP="008979CA">
            <w:pPr>
              <w:spacing w:after="0" w:line="240" w:lineRule="auto"/>
              <w:ind w:left="-74"/>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0.25d</w:t>
            </w:r>
          </w:p>
        </w:tc>
        <w:tc>
          <w:tcPr>
            <w:tcW w:w="0" w:type="auto"/>
            <w:noWrap/>
            <w:vAlign w:val="bottom"/>
            <w:hideMark/>
          </w:tcPr>
          <w:p w14:paraId="33D2FF2C" w14:textId="77777777" w:rsidR="00E35B56" w:rsidRPr="00E35B56" w:rsidRDefault="00E35B56" w:rsidP="008979CA">
            <w:pPr>
              <w:spacing w:after="0" w:line="240" w:lineRule="auto"/>
              <w:ind w:left="-138"/>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0.70b</w:t>
            </w:r>
          </w:p>
        </w:tc>
        <w:tc>
          <w:tcPr>
            <w:tcW w:w="0" w:type="auto"/>
            <w:noWrap/>
            <w:vAlign w:val="bottom"/>
            <w:hideMark/>
          </w:tcPr>
          <w:p w14:paraId="40941B6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1.23a</w:t>
            </w:r>
          </w:p>
        </w:tc>
        <w:tc>
          <w:tcPr>
            <w:tcW w:w="0" w:type="auto"/>
            <w:noWrap/>
            <w:vAlign w:val="bottom"/>
            <w:hideMark/>
          </w:tcPr>
          <w:p w14:paraId="0CECA8F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0.36c</w:t>
            </w:r>
          </w:p>
        </w:tc>
        <w:tc>
          <w:tcPr>
            <w:tcW w:w="0" w:type="auto"/>
            <w:noWrap/>
            <w:vAlign w:val="bottom"/>
            <w:hideMark/>
          </w:tcPr>
          <w:p w14:paraId="6E1A13E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0.61b</w:t>
            </w:r>
          </w:p>
        </w:tc>
        <w:tc>
          <w:tcPr>
            <w:tcW w:w="0" w:type="auto"/>
            <w:noWrap/>
            <w:vAlign w:val="bottom"/>
            <w:hideMark/>
          </w:tcPr>
          <w:p w14:paraId="797B0D9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0.32c</w:t>
            </w:r>
          </w:p>
        </w:tc>
        <w:tc>
          <w:tcPr>
            <w:tcW w:w="0" w:type="auto"/>
            <w:noWrap/>
            <w:vAlign w:val="bottom"/>
            <w:hideMark/>
          </w:tcPr>
          <w:p w14:paraId="00C43C6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0.36c</w:t>
            </w:r>
          </w:p>
        </w:tc>
        <w:tc>
          <w:tcPr>
            <w:tcW w:w="0" w:type="auto"/>
            <w:noWrap/>
            <w:vAlign w:val="bottom"/>
            <w:hideMark/>
          </w:tcPr>
          <w:p w14:paraId="034F303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0.29c</w:t>
            </w:r>
          </w:p>
        </w:tc>
        <w:tc>
          <w:tcPr>
            <w:tcW w:w="0" w:type="auto"/>
            <w:noWrap/>
            <w:vAlign w:val="bottom"/>
            <w:hideMark/>
          </w:tcPr>
          <w:p w14:paraId="0FF86E5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0.44c</w:t>
            </w:r>
          </w:p>
        </w:tc>
        <w:tc>
          <w:tcPr>
            <w:tcW w:w="0" w:type="auto"/>
            <w:noWrap/>
            <w:vAlign w:val="bottom"/>
            <w:hideMark/>
          </w:tcPr>
          <w:p w14:paraId="48ACE65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0.72b</w:t>
            </w:r>
          </w:p>
        </w:tc>
        <w:tc>
          <w:tcPr>
            <w:tcW w:w="0" w:type="auto"/>
            <w:noWrap/>
            <w:vAlign w:val="bottom"/>
            <w:hideMark/>
          </w:tcPr>
          <w:p w14:paraId="2C0D58A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0.17d</w:t>
            </w:r>
          </w:p>
        </w:tc>
        <w:tc>
          <w:tcPr>
            <w:tcW w:w="1022" w:type="dxa"/>
            <w:noWrap/>
            <w:vAlign w:val="bottom"/>
            <w:hideMark/>
          </w:tcPr>
          <w:p w14:paraId="170FEED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0.15d</w:t>
            </w:r>
          </w:p>
        </w:tc>
      </w:tr>
      <w:tr w:rsidR="00E35B56" w:rsidRPr="00E35B56" w14:paraId="57BDCAD8" w14:textId="77777777" w:rsidTr="008979CA">
        <w:trPr>
          <w:trHeight w:val="307"/>
        </w:trPr>
        <w:tc>
          <w:tcPr>
            <w:tcW w:w="0" w:type="auto"/>
            <w:noWrap/>
            <w:vAlign w:val="bottom"/>
            <w:hideMark/>
          </w:tcPr>
          <w:p w14:paraId="41252CC2"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bottom"/>
            <w:hideMark/>
          </w:tcPr>
          <w:p w14:paraId="4A32E76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0.30</w:t>
            </w:r>
          </w:p>
        </w:tc>
        <w:tc>
          <w:tcPr>
            <w:tcW w:w="0" w:type="auto"/>
            <w:noWrap/>
            <w:vAlign w:val="bottom"/>
            <w:hideMark/>
          </w:tcPr>
          <w:p w14:paraId="1DE4BEA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0.55</w:t>
            </w:r>
          </w:p>
        </w:tc>
        <w:tc>
          <w:tcPr>
            <w:tcW w:w="0" w:type="auto"/>
            <w:noWrap/>
            <w:vAlign w:val="bottom"/>
            <w:hideMark/>
          </w:tcPr>
          <w:p w14:paraId="6B72CAC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0.20</w:t>
            </w:r>
          </w:p>
        </w:tc>
        <w:tc>
          <w:tcPr>
            <w:tcW w:w="0" w:type="auto"/>
            <w:noWrap/>
            <w:vAlign w:val="bottom"/>
            <w:hideMark/>
          </w:tcPr>
          <w:p w14:paraId="2DDA4AC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0.18</w:t>
            </w:r>
          </w:p>
        </w:tc>
        <w:tc>
          <w:tcPr>
            <w:tcW w:w="0" w:type="auto"/>
            <w:noWrap/>
            <w:vAlign w:val="bottom"/>
            <w:hideMark/>
          </w:tcPr>
          <w:p w14:paraId="2A72776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0.96</w:t>
            </w:r>
          </w:p>
        </w:tc>
        <w:tc>
          <w:tcPr>
            <w:tcW w:w="0" w:type="auto"/>
            <w:noWrap/>
            <w:vAlign w:val="bottom"/>
            <w:hideMark/>
          </w:tcPr>
          <w:p w14:paraId="045B611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0.04</w:t>
            </w:r>
          </w:p>
        </w:tc>
        <w:tc>
          <w:tcPr>
            <w:tcW w:w="0" w:type="auto"/>
            <w:noWrap/>
            <w:vAlign w:val="bottom"/>
            <w:hideMark/>
          </w:tcPr>
          <w:p w14:paraId="40A9864D"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0.05</w:t>
            </w:r>
          </w:p>
        </w:tc>
        <w:tc>
          <w:tcPr>
            <w:tcW w:w="0" w:type="auto"/>
            <w:noWrap/>
            <w:vAlign w:val="bottom"/>
            <w:hideMark/>
          </w:tcPr>
          <w:p w14:paraId="42921FF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0.24</w:t>
            </w:r>
          </w:p>
        </w:tc>
        <w:tc>
          <w:tcPr>
            <w:tcW w:w="0" w:type="auto"/>
            <w:noWrap/>
            <w:vAlign w:val="bottom"/>
            <w:hideMark/>
          </w:tcPr>
          <w:p w14:paraId="7AE171C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0.81</w:t>
            </w:r>
          </w:p>
        </w:tc>
        <w:tc>
          <w:tcPr>
            <w:tcW w:w="0" w:type="auto"/>
            <w:noWrap/>
            <w:vAlign w:val="bottom"/>
            <w:hideMark/>
          </w:tcPr>
          <w:p w14:paraId="35D7468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0.18</w:t>
            </w:r>
          </w:p>
        </w:tc>
        <w:tc>
          <w:tcPr>
            <w:tcW w:w="0" w:type="auto"/>
            <w:noWrap/>
            <w:vAlign w:val="bottom"/>
            <w:hideMark/>
          </w:tcPr>
          <w:p w14:paraId="1EB94B2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0.59</w:t>
            </w:r>
          </w:p>
        </w:tc>
        <w:tc>
          <w:tcPr>
            <w:tcW w:w="0" w:type="auto"/>
            <w:noWrap/>
            <w:vAlign w:val="bottom"/>
            <w:hideMark/>
          </w:tcPr>
          <w:p w14:paraId="458449F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0.30</w:t>
            </w:r>
          </w:p>
        </w:tc>
        <w:tc>
          <w:tcPr>
            <w:tcW w:w="0" w:type="auto"/>
            <w:noWrap/>
            <w:vAlign w:val="bottom"/>
            <w:hideMark/>
          </w:tcPr>
          <w:p w14:paraId="7F176BA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0.35</w:t>
            </w:r>
          </w:p>
        </w:tc>
        <w:tc>
          <w:tcPr>
            <w:tcW w:w="0" w:type="auto"/>
            <w:noWrap/>
            <w:vAlign w:val="bottom"/>
            <w:hideMark/>
          </w:tcPr>
          <w:p w14:paraId="408A432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0.29</w:t>
            </w:r>
          </w:p>
        </w:tc>
        <w:tc>
          <w:tcPr>
            <w:tcW w:w="0" w:type="auto"/>
            <w:noWrap/>
            <w:vAlign w:val="bottom"/>
            <w:hideMark/>
          </w:tcPr>
          <w:p w14:paraId="133F2CA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0.25</w:t>
            </w:r>
          </w:p>
        </w:tc>
        <w:tc>
          <w:tcPr>
            <w:tcW w:w="0" w:type="auto"/>
            <w:noWrap/>
            <w:vAlign w:val="bottom"/>
            <w:hideMark/>
          </w:tcPr>
          <w:p w14:paraId="79A1A5D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0.51</w:t>
            </w:r>
          </w:p>
        </w:tc>
        <w:tc>
          <w:tcPr>
            <w:tcW w:w="0" w:type="auto"/>
            <w:noWrap/>
            <w:vAlign w:val="bottom"/>
            <w:hideMark/>
          </w:tcPr>
          <w:p w14:paraId="4963FD6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0.05</w:t>
            </w:r>
          </w:p>
        </w:tc>
        <w:tc>
          <w:tcPr>
            <w:tcW w:w="1022" w:type="dxa"/>
            <w:noWrap/>
            <w:vAlign w:val="bottom"/>
            <w:hideMark/>
          </w:tcPr>
          <w:p w14:paraId="1BFD193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0.17</w:t>
            </w:r>
          </w:p>
        </w:tc>
      </w:tr>
      <w:tr w:rsidR="00E35B56" w:rsidRPr="00E35B56" w14:paraId="5EBAA8F4" w14:textId="77777777" w:rsidTr="008979CA">
        <w:trPr>
          <w:trHeight w:val="307"/>
        </w:trPr>
        <w:tc>
          <w:tcPr>
            <w:tcW w:w="0" w:type="auto"/>
            <w:noWrap/>
            <w:vAlign w:val="bottom"/>
            <w:hideMark/>
          </w:tcPr>
          <w:p w14:paraId="271B9537"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bottom"/>
            <w:hideMark/>
          </w:tcPr>
          <w:p w14:paraId="6838232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52.84</w:t>
            </w:r>
          </w:p>
        </w:tc>
        <w:tc>
          <w:tcPr>
            <w:tcW w:w="0" w:type="auto"/>
            <w:noWrap/>
            <w:vAlign w:val="bottom"/>
            <w:hideMark/>
          </w:tcPr>
          <w:p w14:paraId="4CA9E75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63.29</w:t>
            </w:r>
          </w:p>
        </w:tc>
        <w:tc>
          <w:tcPr>
            <w:tcW w:w="0" w:type="auto"/>
            <w:noWrap/>
            <w:vAlign w:val="bottom"/>
            <w:hideMark/>
          </w:tcPr>
          <w:p w14:paraId="2D1CA95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66.07</w:t>
            </w:r>
          </w:p>
        </w:tc>
        <w:tc>
          <w:tcPr>
            <w:tcW w:w="0" w:type="auto"/>
            <w:noWrap/>
            <w:vAlign w:val="bottom"/>
            <w:hideMark/>
          </w:tcPr>
          <w:p w14:paraId="3F99DD1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44.41</w:t>
            </w:r>
          </w:p>
        </w:tc>
        <w:tc>
          <w:tcPr>
            <w:tcW w:w="0" w:type="auto"/>
            <w:noWrap/>
            <w:vAlign w:val="bottom"/>
            <w:hideMark/>
          </w:tcPr>
          <w:p w14:paraId="0CC40E8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103.40</w:t>
            </w:r>
          </w:p>
        </w:tc>
        <w:tc>
          <w:tcPr>
            <w:tcW w:w="0" w:type="auto"/>
            <w:noWrap/>
            <w:vAlign w:val="bottom"/>
            <w:hideMark/>
          </w:tcPr>
          <w:p w14:paraId="586D3F7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49.32</w:t>
            </w:r>
          </w:p>
        </w:tc>
        <w:tc>
          <w:tcPr>
            <w:tcW w:w="0" w:type="auto"/>
            <w:noWrap/>
            <w:vAlign w:val="bottom"/>
            <w:hideMark/>
          </w:tcPr>
          <w:p w14:paraId="7228481D"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21.46</w:t>
            </w:r>
          </w:p>
        </w:tc>
        <w:tc>
          <w:tcPr>
            <w:tcW w:w="0" w:type="auto"/>
            <w:noWrap/>
            <w:vAlign w:val="bottom"/>
            <w:hideMark/>
          </w:tcPr>
          <w:p w14:paraId="0E636DD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34.77</w:t>
            </w:r>
          </w:p>
        </w:tc>
        <w:tc>
          <w:tcPr>
            <w:tcW w:w="0" w:type="auto"/>
            <w:noWrap/>
            <w:vAlign w:val="bottom"/>
            <w:hideMark/>
          </w:tcPr>
          <w:p w14:paraId="177A450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65.87</w:t>
            </w:r>
          </w:p>
        </w:tc>
        <w:tc>
          <w:tcPr>
            <w:tcW w:w="0" w:type="auto"/>
            <w:noWrap/>
            <w:vAlign w:val="bottom"/>
            <w:hideMark/>
          </w:tcPr>
          <w:p w14:paraId="48B5CDB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49.86</w:t>
            </w:r>
          </w:p>
        </w:tc>
        <w:tc>
          <w:tcPr>
            <w:tcW w:w="0" w:type="auto"/>
            <w:noWrap/>
            <w:vAlign w:val="bottom"/>
            <w:hideMark/>
          </w:tcPr>
          <w:p w14:paraId="01A0DE1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95.45</w:t>
            </w:r>
          </w:p>
        </w:tc>
        <w:tc>
          <w:tcPr>
            <w:tcW w:w="0" w:type="auto"/>
            <w:noWrap/>
            <w:vAlign w:val="bottom"/>
            <w:hideMark/>
          </w:tcPr>
          <w:p w14:paraId="1374C33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93.85</w:t>
            </w:r>
          </w:p>
        </w:tc>
        <w:tc>
          <w:tcPr>
            <w:tcW w:w="0" w:type="auto"/>
            <w:noWrap/>
            <w:vAlign w:val="bottom"/>
            <w:hideMark/>
          </w:tcPr>
          <w:p w14:paraId="0171EAE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96.25</w:t>
            </w:r>
          </w:p>
        </w:tc>
        <w:tc>
          <w:tcPr>
            <w:tcW w:w="0" w:type="auto"/>
            <w:noWrap/>
            <w:vAlign w:val="bottom"/>
            <w:hideMark/>
          </w:tcPr>
          <w:p w14:paraId="0A4E523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97.32</w:t>
            </w:r>
          </w:p>
        </w:tc>
        <w:tc>
          <w:tcPr>
            <w:tcW w:w="0" w:type="auto"/>
            <w:noWrap/>
            <w:vAlign w:val="bottom"/>
            <w:hideMark/>
          </w:tcPr>
          <w:p w14:paraId="79B3D39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57.88</w:t>
            </w:r>
          </w:p>
        </w:tc>
        <w:tc>
          <w:tcPr>
            <w:tcW w:w="0" w:type="auto"/>
            <w:noWrap/>
            <w:vAlign w:val="bottom"/>
            <w:hideMark/>
          </w:tcPr>
          <w:p w14:paraId="02C934E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70.30</w:t>
            </w:r>
          </w:p>
        </w:tc>
        <w:tc>
          <w:tcPr>
            <w:tcW w:w="0" w:type="auto"/>
            <w:noWrap/>
            <w:vAlign w:val="bottom"/>
            <w:hideMark/>
          </w:tcPr>
          <w:p w14:paraId="7BFE5A4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26.74</w:t>
            </w:r>
          </w:p>
        </w:tc>
        <w:tc>
          <w:tcPr>
            <w:tcW w:w="1022" w:type="dxa"/>
            <w:noWrap/>
            <w:vAlign w:val="bottom"/>
            <w:hideMark/>
          </w:tcPr>
          <w:p w14:paraId="67DB2F8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113.66</w:t>
            </w:r>
          </w:p>
        </w:tc>
      </w:tr>
      <w:tr w:rsidR="00E35B56" w:rsidRPr="00E35B56" w14:paraId="1B9885D6" w14:textId="77777777" w:rsidTr="008979CA">
        <w:trPr>
          <w:trHeight w:val="307"/>
        </w:trPr>
        <w:tc>
          <w:tcPr>
            <w:tcW w:w="0" w:type="auto"/>
            <w:noWrap/>
            <w:vAlign w:val="bottom"/>
            <w:hideMark/>
          </w:tcPr>
          <w:p w14:paraId="39F075DA"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Mean Bulk density (g/cm3)</w:t>
            </w:r>
          </w:p>
        </w:tc>
        <w:tc>
          <w:tcPr>
            <w:tcW w:w="0" w:type="auto"/>
            <w:noWrap/>
            <w:vAlign w:val="bottom"/>
            <w:hideMark/>
          </w:tcPr>
          <w:p w14:paraId="58E6048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1.02d</w:t>
            </w:r>
          </w:p>
        </w:tc>
        <w:tc>
          <w:tcPr>
            <w:tcW w:w="0" w:type="auto"/>
            <w:noWrap/>
            <w:vAlign w:val="bottom"/>
            <w:hideMark/>
          </w:tcPr>
          <w:p w14:paraId="0B48DB8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0.99d</w:t>
            </w:r>
          </w:p>
        </w:tc>
        <w:tc>
          <w:tcPr>
            <w:tcW w:w="0" w:type="auto"/>
            <w:noWrap/>
            <w:vAlign w:val="bottom"/>
            <w:hideMark/>
          </w:tcPr>
          <w:p w14:paraId="051AA92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1.14c</w:t>
            </w:r>
          </w:p>
        </w:tc>
        <w:tc>
          <w:tcPr>
            <w:tcW w:w="0" w:type="auto"/>
            <w:noWrap/>
            <w:vAlign w:val="bottom"/>
            <w:hideMark/>
          </w:tcPr>
          <w:p w14:paraId="6AD71DB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1.24c</w:t>
            </w:r>
          </w:p>
        </w:tc>
        <w:tc>
          <w:tcPr>
            <w:tcW w:w="0" w:type="auto"/>
            <w:noWrap/>
            <w:vAlign w:val="bottom"/>
            <w:hideMark/>
          </w:tcPr>
          <w:p w14:paraId="599C07A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1.15c</w:t>
            </w:r>
          </w:p>
        </w:tc>
        <w:tc>
          <w:tcPr>
            <w:tcW w:w="0" w:type="auto"/>
            <w:noWrap/>
            <w:vAlign w:val="bottom"/>
            <w:hideMark/>
          </w:tcPr>
          <w:p w14:paraId="51DEED4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1.14c</w:t>
            </w:r>
          </w:p>
        </w:tc>
        <w:tc>
          <w:tcPr>
            <w:tcW w:w="0" w:type="auto"/>
            <w:noWrap/>
            <w:vAlign w:val="bottom"/>
            <w:hideMark/>
          </w:tcPr>
          <w:p w14:paraId="7041CBE7"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1.17c</w:t>
            </w:r>
          </w:p>
        </w:tc>
        <w:tc>
          <w:tcPr>
            <w:tcW w:w="0" w:type="auto"/>
            <w:noWrap/>
            <w:vAlign w:val="bottom"/>
            <w:hideMark/>
          </w:tcPr>
          <w:p w14:paraId="27385A9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1.15c</w:t>
            </w:r>
          </w:p>
        </w:tc>
        <w:tc>
          <w:tcPr>
            <w:tcW w:w="0" w:type="auto"/>
            <w:noWrap/>
            <w:vAlign w:val="bottom"/>
            <w:hideMark/>
          </w:tcPr>
          <w:p w14:paraId="37F7846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1.18c</w:t>
            </w:r>
          </w:p>
        </w:tc>
        <w:tc>
          <w:tcPr>
            <w:tcW w:w="0" w:type="auto"/>
            <w:noWrap/>
            <w:vAlign w:val="bottom"/>
            <w:hideMark/>
          </w:tcPr>
          <w:p w14:paraId="2D9F5CC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1.18c</w:t>
            </w:r>
          </w:p>
        </w:tc>
        <w:tc>
          <w:tcPr>
            <w:tcW w:w="0" w:type="auto"/>
            <w:noWrap/>
            <w:vAlign w:val="bottom"/>
            <w:hideMark/>
          </w:tcPr>
          <w:p w14:paraId="55B8083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1.55a</w:t>
            </w:r>
          </w:p>
        </w:tc>
        <w:tc>
          <w:tcPr>
            <w:tcW w:w="0" w:type="auto"/>
            <w:noWrap/>
            <w:vAlign w:val="bottom"/>
            <w:hideMark/>
          </w:tcPr>
          <w:p w14:paraId="101F83A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1.48a</w:t>
            </w:r>
          </w:p>
        </w:tc>
        <w:tc>
          <w:tcPr>
            <w:tcW w:w="0" w:type="auto"/>
            <w:noWrap/>
            <w:vAlign w:val="bottom"/>
            <w:hideMark/>
          </w:tcPr>
          <w:p w14:paraId="240AE34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1.17c</w:t>
            </w:r>
          </w:p>
        </w:tc>
        <w:tc>
          <w:tcPr>
            <w:tcW w:w="0" w:type="auto"/>
            <w:noWrap/>
            <w:vAlign w:val="bottom"/>
            <w:hideMark/>
          </w:tcPr>
          <w:p w14:paraId="50BD0DE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1.35b</w:t>
            </w:r>
          </w:p>
        </w:tc>
        <w:tc>
          <w:tcPr>
            <w:tcW w:w="0" w:type="auto"/>
            <w:noWrap/>
            <w:vAlign w:val="bottom"/>
            <w:hideMark/>
          </w:tcPr>
          <w:p w14:paraId="7FCC2AB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1.21c</w:t>
            </w:r>
          </w:p>
        </w:tc>
        <w:tc>
          <w:tcPr>
            <w:tcW w:w="0" w:type="auto"/>
            <w:noWrap/>
            <w:vAlign w:val="bottom"/>
            <w:hideMark/>
          </w:tcPr>
          <w:p w14:paraId="568FA4B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1.36b</w:t>
            </w:r>
          </w:p>
        </w:tc>
        <w:tc>
          <w:tcPr>
            <w:tcW w:w="0" w:type="auto"/>
            <w:noWrap/>
            <w:vAlign w:val="bottom"/>
            <w:hideMark/>
          </w:tcPr>
          <w:p w14:paraId="5FAEF29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1.39b</w:t>
            </w:r>
          </w:p>
        </w:tc>
        <w:tc>
          <w:tcPr>
            <w:tcW w:w="1022" w:type="dxa"/>
            <w:noWrap/>
            <w:vAlign w:val="bottom"/>
            <w:hideMark/>
          </w:tcPr>
          <w:p w14:paraId="559DA38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1.24c</w:t>
            </w:r>
          </w:p>
        </w:tc>
      </w:tr>
      <w:tr w:rsidR="00E35B56" w:rsidRPr="00E35B56" w14:paraId="7D20D395" w14:textId="77777777" w:rsidTr="008979CA">
        <w:trPr>
          <w:trHeight w:val="307"/>
        </w:trPr>
        <w:tc>
          <w:tcPr>
            <w:tcW w:w="0" w:type="auto"/>
            <w:noWrap/>
            <w:vAlign w:val="bottom"/>
            <w:hideMark/>
          </w:tcPr>
          <w:p w14:paraId="455310E6"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bottom"/>
            <w:hideMark/>
          </w:tcPr>
          <w:p w14:paraId="1EBC1D3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0.43</w:t>
            </w:r>
          </w:p>
        </w:tc>
        <w:tc>
          <w:tcPr>
            <w:tcW w:w="0" w:type="auto"/>
            <w:noWrap/>
            <w:vAlign w:val="bottom"/>
            <w:hideMark/>
          </w:tcPr>
          <w:p w14:paraId="31B8F89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0.44</w:t>
            </w:r>
          </w:p>
        </w:tc>
        <w:tc>
          <w:tcPr>
            <w:tcW w:w="0" w:type="auto"/>
            <w:noWrap/>
            <w:vAlign w:val="bottom"/>
            <w:hideMark/>
          </w:tcPr>
          <w:p w14:paraId="20262C4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0.10</w:t>
            </w:r>
          </w:p>
        </w:tc>
        <w:tc>
          <w:tcPr>
            <w:tcW w:w="0" w:type="auto"/>
            <w:noWrap/>
            <w:vAlign w:val="bottom"/>
            <w:hideMark/>
          </w:tcPr>
          <w:p w14:paraId="737E3F3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0.04</w:t>
            </w:r>
          </w:p>
        </w:tc>
        <w:tc>
          <w:tcPr>
            <w:tcW w:w="0" w:type="auto"/>
            <w:noWrap/>
            <w:vAlign w:val="bottom"/>
            <w:hideMark/>
          </w:tcPr>
          <w:p w14:paraId="4D4C187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0.19</w:t>
            </w:r>
          </w:p>
        </w:tc>
        <w:tc>
          <w:tcPr>
            <w:tcW w:w="0" w:type="auto"/>
            <w:noWrap/>
            <w:vAlign w:val="bottom"/>
            <w:hideMark/>
          </w:tcPr>
          <w:p w14:paraId="7B5468D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0.34</w:t>
            </w:r>
          </w:p>
        </w:tc>
        <w:tc>
          <w:tcPr>
            <w:tcW w:w="0" w:type="auto"/>
            <w:noWrap/>
            <w:vAlign w:val="bottom"/>
            <w:hideMark/>
          </w:tcPr>
          <w:p w14:paraId="70463254"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0.04</w:t>
            </w:r>
          </w:p>
        </w:tc>
        <w:tc>
          <w:tcPr>
            <w:tcW w:w="0" w:type="auto"/>
            <w:noWrap/>
            <w:vAlign w:val="bottom"/>
            <w:hideMark/>
          </w:tcPr>
          <w:p w14:paraId="5005AC0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0.12</w:t>
            </w:r>
          </w:p>
        </w:tc>
        <w:tc>
          <w:tcPr>
            <w:tcW w:w="0" w:type="auto"/>
            <w:noWrap/>
            <w:vAlign w:val="bottom"/>
            <w:hideMark/>
          </w:tcPr>
          <w:p w14:paraId="04A5C84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0.21</w:t>
            </w:r>
          </w:p>
        </w:tc>
        <w:tc>
          <w:tcPr>
            <w:tcW w:w="0" w:type="auto"/>
            <w:noWrap/>
            <w:vAlign w:val="bottom"/>
            <w:hideMark/>
          </w:tcPr>
          <w:p w14:paraId="67016B6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0.16</w:t>
            </w:r>
          </w:p>
        </w:tc>
        <w:tc>
          <w:tcPr>
            <w:tcW w:w="0" w:type="auto"/>
            <w:noWrap/>
            <w:vAlign w:val="bottom"/>
            <w:hideMark/>
          </w:tcPr>
          <w:p w14:paraId="3C81B11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0.10</w:t>
            </w:r>
          </w:p>
        </w:tc>
        <w:tc>
          <w:tcPr>
            <w:tcW w:w="0" w:type="auto"/>
            <w:noWrap/>
            <w:vAlign w:val="bottom"/>
            <w:hideMark/>
          </w:tcPr>
          <w:p w14:paraId="5674CB4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0.13</w:t>
            </w:r>
          </w:p>
        </w:tc>
        <w:tc>
          <w:tcPr>
            <w:tcW w:w="0" w:type="auto"/>
            <w:noWrap/>
            <w:vAlign w:val="bottom"/>
            <w:hideMark/>
          </w:tcPr>
          <w:p w14:paraId="59A7348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0.31</w:t>
            </w:r>
          </w:p>
        </w:tc>
        <w:tc>
          <w:tcPr>
            <w:tcW w:w="0" w:type="auto"/>
            <w:noWrap/>
            <w:vAlign w:val="bottom"/>
            <w:hideMark/>
          </w:tcPr>
          <w:p w14:paraId="7E97727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0.05</w:t>
            </w:r>
          </w:p>
        </w:tc>
        <w:tc>
          <w:tcPr>
            <w:tcW w:w="0" w:type="auto"/>
            <w:noWrap/>
            <w:vAlign w:val="bottom"/>
            <w:hideMark/>
          </w:tcPr>
          <w:p w14:paraId="131015E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0.20</w:t>
            </w:r>
          </w:p>
        </w:tc>
        <w:tc>
          <w:tcPr>
            <w:tcW w:w="0" w:type="auto"/>
            <w:noWrap/>
            <w:vAlign w:val="bottom"/>
            <w:hideMark/>
          </w:tcPr>
          <w:p w14:paraId="6B2424F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0.20</w:t>
            </w:r>
          </w:p>
        </w:tc>
        <w:tc>
          <w:tcPr>
            <w:tcW w:w="0" w:type="auto"/>
            <w:noWrap/>
            <w:vAlign w:val="bottom"/>
            <w:hideMark/>
          </w:tcPr>
          <w:p w14:paraId="64AA00F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0.09</w:t>
            </w:r>
          </w:p>
        </w:tc>
        <w:tc>
          <w:tcPr>
            <w:tcW w:w="1022" w:type="dxa"/>
            <w:noWrap/>
            <w:vAlign w:val="bottom"/>
            <w:hideMark/>
          </w:tcPr>
          <w:p w14:paraId="68F43EF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0.19</w:t>
            </w:r>
          </w:p>
        </w:tc>
      </w:tr>
      <w:tr w:rsidR="00E35B56" w:rsidRPr="00E35B56" w14:paraId="587E896A" w14:textId="77777777" w:rsidTr="008979CA">
        <w:trPr>
          <w:trHeight w:val="307"/>
        </w:trPr>
        <w:tc>
          <w:tcPr>
            <w:tcW w:w="0" w:type="auto"/>
            <w:noWrap/>
            <w:vAlign w:val="bottom"/>
            <w:hideMark/>
          </w:tcPr>
          <w:p w14:paraId="6F62085E"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bottom"/>
            <w:hideMark/>
          </w:tcPr>
          <w:p w14:paraId="1EE7E72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42.12</w:t>
            </w:r>
          </w:p>
        </w:tc>
        <w:tc>
          <w:tcPr>
            <w:tcW w:w="0" w:type="auto"/>
            <w:noWrap/>
            <w:vAlign w:val="bottom"/>
            <w:hideMark/>
          </w:tcPr>
          <w:p w14:paraId="419A7C8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44.21</w:t>
            </w:r>
          </w:p>
        </w:tc>
        <w:tc>
          <w:tcPr>
            <w:tcW w:w="0" w:type="auto"/>
            <w:noWrap/>
            <w:vAlign w:val="bottom"/>
            <w:hideMark/>
          </w:tcPr>
          <w:p w14:paraId="5EA8594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8.95</w:t>
            </w:r>
          </w:p>
        </w:tc>
        <w:tc>
          <w:tcPr>
            <w:tcW w:w="0" w:type="auto"/>
            <w:noWrap/>
            <w:vAlign w:val="bottom"/>
            <w:hideMark/>
          </w:tcPr>
          <w:p w14:paraId="7B76CE6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3.31</w:t>
            </w:r>
          </w:p>
        </w:tc>
        <w:tc>
          <w:tcPr>
            <w:tcW w:w="0" w:type="auto"/>
            <w:noWrap/>
            <w:vAlign w:val="bottom"/>
            <w:hideMark/>
          </w:tcPr>
          <w:p w14:paraId="17D8AFF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16.83</w:t>
            </w:r>
          </w:p>
        </w:tc>
        <w:tc>
          <w:tcPr>
            <w:tcW w:w="0" w:type="auto"/>
            <w:noWrap/>
            <w:vAlign w:val="bottom"/>
            <w:hideMark/>
          </w:tcPr>
          <w:p w14:paraId="6EE458D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29.84</w:t>
            </w:r>
          </w:p>
        </w:tc>
        <w:tc>
          <w:tcPr>
            <w:tcW w:w="0" w:type="auto"/>
            <w:noWrap/>
            <w:vAlign w:val="bottom"/>
            <w:hideMark/>
          </w:tcPr>
          <w:p w14:paraId="493151CD"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3.04</w:t>
            </w:r>
          </w:p>
        </w:tc>
        <w:tc>
          <w:tcPr>
            <w:tcW w:w="0" w:type="auto"/>
            <w:noWrap/>
            <w:vAlign w:val="bottom"/>
            <w:hideMark/>
          </w:tcPr>
          <w:p w14:paraId="041BFEB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10.74</w:t>
            </w:r>
          </w:p>
        </w:tc>
        <w:tc>
          <w:tcPr>
            <w:tcW w:w="0" w:type="auto"/>
            <w:noWrap/>
            <w:vAlign w:val="bottom"/>
            <w:hideMark/>
          </w:tcPr>
          <w:p w14:paraId="410772C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17.75</w:t>
            </w:r>
          </w:p>
        </w:tc>
        <w:tc>
          <w:tcPr>
            <w:tcW w:w="0" w:type="auto"/>
            <w:noWrap/>
            <w:vAlign w:val="bottom"/>
            <w:hideMark/>
          </w:tcPr>
          <w:p w14:paraId="55CAC38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13.15</w:t>
            </w:r>
          </w:p>
        </w:tc>
        <w:tc>
          <w:tcPr>
            <w:tcW w:w="0" w:type="auto"/>
            <w:noWrap/>
            <w:vAlign w:val="bottom"/>
            <w:hideMark/>
          </w:tcPr>
          <w:p w14:paraId="5EBD368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6.60</w:t>
            </w:r>
          </w:p>
        </w:tc>
        <w:tc>
          <w:tcPr>
            <w:tcW w:w="0" w:type="auto"/>
            <w:noWrap/>
            <w:vAlign w:val="bottom"/>
            <w:hideMark/>
          </w:tcPr>
          <w:p w14:paraId="1BE2341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8.53</w:t>
            </w:r>
          </w:p>
        </w:tc>
        <w:tc>
          <w:tcPr>
            <w:tcW w:w="0" w:type="auto"/>
            <w:noWrap/>
            <w:vAlign w:val="bottom"/>
            <w:hideMark/>
          </w:tcPr>
          <w:p w14:paraId="4FF3FAD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26.07</w:t>
            </w:r>
          </w:p>
        </w:tc>
        <w:tc>
          <w:tcPr>
            <w:tcW w:w="0" w:type="auto"/>
            <w:noWrap/>
            <w:vAlign w:val="bottom"/>
            <w:hideMark/>
          </w:tcPr>
          <w:p w14:paraId="5DE9F5D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3.64</w:t>
            </w:r>
          </w:p>
        </w:tc>
        <w:tc>
          <w:tcPr>
            <w:tcW w:w="0" w:type="auto"/>
            <w:noWrap/>
            <w:vAlign w:val="bottom"/>
            <w:hideMark/>
          </w:tcPr>
          <w:p w14:paraId="7388679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16.50</w:t>
            </w:r>
          </w:p>
        </w:tc>
        <w:tc>
          <w:tcPr>
            <w:tcW w:w="0" w:type="auto"/>
            <w:noWrap/>
            <w:vAlign w:val="bottom"/>
            <w:hideMark/>
          </w:tcPr>
          <w:p w14:paraId="52FAA75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14.44</w:t>
            </w:r>
          </w:p>
        </w:tc>
        <w:tc>
          <w:tcPr>
            <w:tcW w:w="0" w:type="auto"/>
            <w:noWrap/>
            <w:vAlign w:val="bottom"/>
            <w:hideMark/>
          </w:tcPr>
          <w:p w14:paraId="74F31B0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6.19</w:t>
            </w:r>
          </w:p>
        </w:tc>
        <w:tc>
          <w:tcPr>
            <w:tcW w:w="1022" w:type="dxa"/>
            <w:noWrap/>
            <w:vAlign w:val="bottom"/>
            <w:hideMark/>
          </w:tcPr>
          <w:p w14:paraId="2D600A7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15.20</w:t>
            </w:r>
          </w:p>
        </w:tc>
      </w:tr>
      <w:tr w:rsidR="00E35B56" w:rsidRPr="00E35B56" w14:paraId="04DEAA3D" w14:textId="77777777" w:rsidTr="008979CA">
        <w:trPr>
          <w:trHeight w:val="307"/>
        </w:trPr>
        <w:tc>
          <w:tcPr>
            <w:tcW w:w="0" w:type="auto"/>
            <w:noWrap/>
            <w:vAlign w:val="bottom"/>
            <w:hideMark/>
          </w:tcPr>
          <w:p w14:paraId="096A8FF6"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Mean Total porosity (%)</w:t>
            </w:r>
          </w:p>
        </w:tc>
        <w:tc>
          <w:tcPr>
            <w:tcW w:w="0" w:type="auto"/>
            <w:noWrap/>
            <w:vAlign w:val="bottom"/>
            <w:hideMark/>
          </w:tcPr>
          <w:p w14:paraId="58218BC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46.17d</w:t>
            </w:r>
          </w:p>
        </w:tc>
        <w:tc>
          <w:tcPr>
            <w:tcW w:w="0" w:type="auto"/>
            <w:noWrap/>
            <w:vAlign w:val="bottom"/>
            <w:hideMark/>
          </w:tcPr>
          <w:p w14:paraId="19FC796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65.37a</w:t>
            </w:r>
          </w:p>
        </w:tc>
        <w:tc>
          <w:tcPr>
            <w:tcW w:w="0" w:type="auto"/>
            <w:noWrap/>
            <w:vAlign w:val="bottom"/>
            <w:hideMark/>
          </w:tcPr>
          <w:p w14:paraId="05CB61E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57.07b</w:t>
            </w:r>
          </w:p>
        </w:tc>
        <w:tc>
          <w:tcPr>
            <w:tcW w:w="0" w:type="auto"/>
            <w:noWrap/>
            <w:vAlign w:val="bottom"/>
            <w:hideMark/>
          </w:tcPr>
          <w:p w14:paraId="6676C44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53.10c</w:t>
            </w:r>
          </w:p>
        </w:tc>
        <w:tc>
          <w:tcPr>
            <w:tcW w:w="0" w:type="auto"/>
            <w:noWrap/>
            <w:vAlign w:val="bottom"/>
            <w:hideMark/>
          </w:tcPr>
          <w:p w14:paraId="7556072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56.77b</w:t>
            </w:r>
          </w:p>
        </w:tc>
        <w:tc>
          <w:tcPr>
            <w:tcW w:w="0" w:type="auto"/>
            <w:noWrap/>
            <w:vAlign w:val="bottom"/>
            <w:hideMark/>
          </w:tcPr>
          <w:p w14:paraId="005D580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56.83b</w:t>
            </w:r>
          </w:p>
        </w:tc>
        <w:tc>
          <w:tcPr>
            <w:tcW w:w="0" w:type="auto"/>
            <w:noWrap/>
            <w:vAlign w:val="bottom"/>
            <w:hideMark/>
          </w:tcPr>
          <w:p w14:paraId="1807F8B7"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55.80b</w:t>
            </w:r>
          </w:p>
        </w:tc>
        <w:tc>
          <w:tcPr>
            <w:tcW w:w="0" w:type="auto"/>
            <w:noWrap/>
            <w:vAlign w:val="bottom"/>
            <w:hideMark/>
          </w:tcPr>
          <w:p w14:paraId="04DD3FF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56.70b</w:t>
            </w:r>
          </w:p>
        </w:tc>
        <w:tc>
          <w:tcPr>
            <w:tcW w:w="0" w:type="auto"/>
            <w:noWrap/>
            <w:vAlign w:val="bottom"/>
            <w:hideMark/>
          </w:tcPr>
          <w:p w14:paraId="36EC243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55.60b</w:t>
            </w:r>
          </w:p>
        </w:tc>
        <w:tc>
          <w:tcPr>
            <w:tcW w:w="0" w:type="auto"/>
            <w:noWrap/>
            <w:vAlign w:val="bottom"/>
            <w:hideMark/>
          </w:tcPr>
          <w:p w14:paraId="1C35CEB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47.00c</w:t>
            </w:r>
          </w:p>
        </w:tc>
        <w:tc>
          <w:tcPr>
            <w:tcW w:w="0" w:type="auto"/>
            <w:noWrap/>
            <w:vAlign w:val="bottom"/>
            <w:hideMark/>
          </w:tcPr>
          <w:p w14:paraId="574911A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41.33d</w:t>
            </w:r>
          </w:p>
        </w:tc>
        <w:tc>
          <w:tcPr>
            <w:tcW w:w="0" w:type="auto"/>
            <w:noWrap/>
            <w:vAlign w:val="bottom"/>
            <w:hideMark/>
          </w:tcPr>
          <w:p w14:paraId="2936600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44.07d</w:t>
            </w:r>
          </w:p>
        </w:tc>
        <w:tc>
          <w:tcPr>
            <w:tcW w:w="0" w:type="auto"/>
            <w:noWrap/>
            <w:vAlign w:val="bottom"/>
            <w:hideMark/>
          </w:tcPr>
          <w:p w14:paraId="260F914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55.93b</w:t>
            </w:r>
          </w:p>
        </w:tc>
        <w:tc>
          <w:tcPr>
            <w:tcW w:w="0" w:type="auto"/>
            <w:noWrap/>
            <w:vAlign w:val="bottom"/>
            <w:hideMark/>
          </w:tcPr>
          <w:p w14:paraId="3E45910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45.23c</w:t>
            </w:r>
          </w:p>
        </w:tc>
        <w:tc>
          <w:tcPr>
            <w:tcW w:w="0" w:type="auto"/>
            <w:noWrap/>
            <w:vAlign w:val="bottom"/>
            <w:hideMark/>
          </w:tcPr>
          <w:p w14:paraId="0DDAC9B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54.30b</w:t>
            </w:r>
          </w:p>
        </w:tc>
        <w:tc>
          <w:tcPr>
            <w:tcW w:w="0" w:type="auto"/>
            <w:noWrap/>
            <w:vAlign w:val="bottom"/>
            <w:hideMark/>
          </w:tcPr>
          <w:p w14:paraId="1D7A109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48.43c</w:t>
            </w:r>
          </w:p>
        </w:tc>
        <w:tc>
          <w:tcPr>
            <w:tcW w:w="0" w:type="auto"/>
            <w:noWrap/>
            <w:vAlign w:val="bottom"/>
            <w:hideMark/>
          </w:tcPr>
          <w:p w14:paraId="6EDBE5F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47.43c</w:t>
            </w:r>
          </w:p>
        </w:tc>
        <w:tc>
          <w:tcPr>
            <w:tcW w:w="1022" w:type="dxa"/>
            <w:noWrap/>
            <w:vAlign w:val="bottom"/>
            <w:hideMark/>
          </w:tcPr>
          <w:p w14:paraId="0511546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53.20c</w:t>
            </w:r>
          </w:p>
        </w:tc>
      </w:tr>
      <w:tr w:rsidR="00E35B56" w:rsidRPr="00E35B56" w14:paraId="10648375" w14:textId="77777777" w:rsidTr="008979CA">
        <w:trPr>
          <w:trHeight w:val="307"/>
        </w:trPr>
        <w:tc>
          <w:tcPr>
            <w:tcW w:w="0" w:type="auto"/>
            <w:noWrap/>
            <w:vAlign w:val="bottom"/>
            <w:hideMark/>
          </w:tcPr>
          <w:p w14:paraId="6D35A4F3"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bottom"/>
            <w:hideMark/>
          </w:tcPr>
          <w:p w14:paraId="3E05E05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7.56</w:t>
            </w:r>
          </w:p>
        </w:tc>
        <w:tc>
          <w:tcPr>
            <w:tcW w:w="0" w:type="auto"/>
            <w:noWrap/>
            <w:vAlign w:val="bottom"/>
            <w:hideMark/>
          </w:tcPr>
          <w:p w14:paraId="027CFA6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14.94</w:t>
            </w:r>
          </w:p>
        </w:tc>
        <w:tc>
          <w:tcPr>
            <w:tcW w:w="0" w:type="auto"/>
            <w:noWrap/>
            <w:vAlign w:val="bottom"/>
            <w:hideMark/>
          </w:tcPr>
          <w:p w14:paraId="0F9FC24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3.90</w:t>
            </w:r>
          </w:p>
        </w:tc>
        <w:tc>
          <w:tcPr>
            <w:tcW w:w="0" w:type="auto"/>
            <w:noWrap/>
            <w:vAlign w:val="bottom"/>
            <w:hideMark/>
          </w:tcPr>
          <w:p w14:paraId="7EECC46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1.64</w:t>
            </w:r>
          </w:p>
        </w:tc>
        <w:tc>
          <w:tcPr>
            <w:tcW w:w="0" w:type="auto"/>
            <w:noWrap/>
            <w:vAlign w:val="bottom"/>
            <w:hideMark/>
          </w:tcPr>
          <w:p w14:paraId="5C36C2F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7.25</w:t>
            </w:r>
          </w:p>
        </w:tc>
        <w:tc>
          <w:tcPr>
            <w:tcW w:w="0" w:type="auto"/>
            <w:noWrap/>
            <w:vAlign w:val="bottom"/>
            <w:hideMark/>
          </w:tcPr>
          <w:p w14:paraId="3BE3203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12.97</w:t>
            </w:r>
          </w:p>
        </w:tc>
        <w:tc>
          <w:tcPr>
            <w:tcW w:w="0" w:type="auto"/>
            <w:noWrap/>
            <w:vAlign w:val="bottom"/>
            <w:hideMark/>
          </w:tcPr>
          <w:p w14:paraId="13583361"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1.30</w:t>
            </w:r>
          </w:p>
        </w:tc>
        <w:tc>
          <w:tcPr>
            <w:tcW w:w="0" w:type="auto"/>
            <w:noWrap/>
            <w:vAlign w:val="bottom"/>
            <w:hideMark/>
          </w:tcPr>
          <w:p w14:paraId="39B7CFB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4.59</w:t>
            </w:r>
          </w:p>
        </w:tc>
        <w:tc>
          <w:tcPr>
            <w:tcW w:w="0" w:type="auto"/>
            <w:noWrap/>
            <w:vAlign w:val="bottom"/>
            <w:hideMark/>
          </w:tcPr>
          <w:p w14:paraId="5BA8007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7.98</w:t>
            </w:r>
          </w:p>
        </w:tc>
        <w:tc>
          <w:tcPr>
            <w:tcW w:w="0" w:type="auto"/>
            <w:noWrap/>
            <w:vAlign w:val="bottom"/>
            <w:hideMark/>
          </w:tcPr>
          <w:p w14:paraId="5726811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7.51</w:t>
            </w:r>
          </w:p>
        </w:tc>
        <w:tc>
          <w:tcPr>
            <w:tcW w:w="0" w:type="auto"/>
            <w:noWrap/>
            <w:vAlign w:val="bottom"/>
            <w:hideMark/>
          </w:tcPr>
          <w:p w14:paraId="7B32269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4.12</w:t>
            </w:r>
          </w:p>
        </w:tc>
        <w:tc>
          <w:tcPr>
            <w:tcW w:w="0" w:type="auto"/>
            <w:noWrap/>
            <w:vAlign w:val="bottom"/>
            <w:hideMark/>
          </w:tcPr>
          <w:p w14:paraId="4E00532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4.69</w:t>
            </w:r>
          </w:p>
        </w:tc>
        <w:tc>
          <w:tcPr>
            <w:tcW w:w="0" w:type="auto"/>
            <w:noWrap/>
            <w:vAlign w:val="bottom"/>
            <w:hideMark/>
          </w:tcPr>
          <w:p w14:paraId="7D825A8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11.59</w:t>
            </w:r>
          </w:p>
        </w:tc>
        <w:tc>
          <w:tcPr>
            <w:tcW w:w="0" w:type="auto"/>
            <w:noWrap/>
            <w:vAlign w:val="bottom"/>
            <w:hideMark/>
          </w:tcPr>
          <w:p w14:paraId="0CD7CDB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5.62</w:t>
            </w:r>
          </w:p>
        </w:tc>
        <w:tc>
          <w:tcPr>
            <w:tcW w:w="0" w:type="auto"/>
            <w:noWrap/>
            <w:vAlign w:val="bottom"/>
            <w:hideMark/>
          </w:tcPr>
          <w:p w14:paraId="4DFB322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7.48</w:t>
            </w:r>
          </w:p>
        </w:tc>
        <w:tc>
          <w:tcPr>
            <w:tcW w:w="0" w:type="auto"/>
            <w:noWrap/>
            <w:vAlign w:val="bottom"/>
            <w:hideMark/>
          </w:tcPr>
          <w:p w14:paraId="38BFF21D"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7.43</w:t>
            </w:r>
          </w:p>
        </w:tc>
        <w:tc>
          <w:tcPr>
            <w:tcW w:w="0" w:type="auto"/>
            <w:noWrap/>
            <w:vAlign w:val="bottom"/>
            <w:hideMark/>
          </w:tcPr>
          <w:p w14:paraId="36B8044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3.19</w:t>
            </w:r>
          </w:p>
        </w:tc>
        <w:tc>
          <w:tcPr>
            <w:tcW w:w="1022" w:type="dxa"/>
            <w:noWrap/>
            <w:vAlign w:val="bottom"/>
            <w:hideMark/>
          </w:tcPr>
          <w:p w14:paraId="4C87CA3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6.92</w:t>
            </w:r>
          </w:p>
        </w:tc>
      </w:tr>
      <w:tr w:rsidR="00E35B56" w:rsidRPr="00E35B56" w14:paraId="144271E2" w14:textId="77777777" w:rsidTr="008979CA">
        <w:trPr>
          <w:trHeight w:val="307"/>
        </w:trPr>
        <w:tc>
          <w:tcPr>
            <w:tcW w:w="0" w:type="auto"/>
            <w:noWrap/>
            <w:vAlign w:val="bottom"/>
            <w:hideMark/>
          </w:tcPr>
          <w:p w14:paraId="7B13E82E"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bottom"/>
            <w:hideMark/>
          </w:tcPr>
          <w:p w14:paraId="45BF344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16.37</w:t>
            </w:r>
          </w:p>
        </w:tc>
        <w:tc>
          <w:tcPr>
            <w:tcW w:w="0" w:type="auto"/>
            <w:noWrap/>
            <w:vAlign w:val="bottom"/>
            <w:hideMark/>
          </w:tcPr>
          <w:p w14:paraId="5344921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22.85</w:t>
            </w:r>
          </w:p>
        </w:tc>
        <w:tc>
          <w:tcPr>
            <w:tcW w:w="0" w:type="auto"/>
            <w:noWrap/>
            <w:vAlign w:val="bottom"/>
            <w:hideMark/>
          </w:tcPr>
          <w:p w14:paraId="08A4FBC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6.83</w:t>
            </w:r>
          </w:p>
        </w:tc>
        <w:tc>
          <w:tcPr>
            <w:tcW w:w="0" w:type="auto"/>
            <w:noWrap/>
            <w:vAlign w:val="bottom"/>
            <w:hideMark/>
          </w:tcPr>
          <w:p w14:paraId="3C5B09E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3.09</w:t>
            </w:r>
          </w:p>
        </w:tc>
        <w:tc>
          <w:tcPr>
            <w:tcW w:w="0" w:type="auto"/>
            <w:noWrap/>
            <w:vAlign w:val="bottom"/>
            <w:hideMark/>
          </w:tcPr>
          <w:p w14:paraId="0B98E21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12.78</w:t>
            </w:r>
          </w:p>
        </w:tc>
        <w:tc>
          <w:tcPr>
            <w:tcW w:w="0" w:type="auto"/>
            <w:noWrap/>
            <w:vAlign w:val="bottom"/>
            <w:hideMark/>
          </w:tcPr>
          <w:p w14:paraId="0326D5D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22.83</w:t>
            </w:r>
          </w:p>
        </w:tc>
        <w:tc>
          <w:tcPr>
            <w:tcW w:w="0" w:type="auto"/>
            <w:noWrap/>
            <w:vAlign w:val="bottom"/>
            <w:hideMark/>
          </w:tcPr>
          <w:p w14:paraId="03E65D25"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2.32</w:t>
            </w:r>
          </w:p>
        </w:tc>
        <w:tc>
          <w:tcPr>
            <w:tcW w:w="0" w:type="auto"/>
            <w:noWrap/>
            <w:vAlign w:val="bottom"/>
            <w:hideMark/>
          </w:tcPr>
          <w:p w14:paraId="3790053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8.09</w:t>
            </w:r>
          </w:p>
        </w:tc>
        <w:tc>
          <w:tcPr>
            <w:tcW w:w="0" w:type="auto"/>
            <w:noWrap/>
            <w:vAlign w:val="bottom"/>
            <w:hideMark/>
          </w:tcPr>
          <w:p w14:paraId="2B252FB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14.35</w:t>
            </w:r>
          </w:p>
        </w:tc>
        <w:tc>
          <w:tcPr>
            <w:tcW w:w="0" w:type="auto"/>
            <w:noWrap/>
            <w:vAlign w:val="bottom"/>
            <w:hideMark/>
          </w:tcPr>
          <w:p w14:paraId="4CA37B9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15.98</w:t>
            </w:r>
          </w:p>
        </w:tc>
        <w:tc>
          <w:tcPr>
            <w:tcW w:w="0" w:type="auto"/>
            <w:noWrap/>
            <w:vAlign w:val="bottom"/>
            <w:hideMark/>
          </w:tcPr>
          <w:p w14:paraId="36C9CF2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9.98</w:t>
            </w:r>
          </w:p>
        </w:tc>
        <w:tc>
          <w:tcPr>
            <w:tcW w:w="0" w:type="auto"/>
            <w:noWrap/>
            <w:vAlign w:val="bottom"/>
            <w:hideMark/>
          </w:tcPr>
          <w:p w14:paraId="771C45C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10.65</w:t>
            </w:r>
          </w:p>
        </w:tc>
        <w:tc>
          <w:tcPr>
            <w:tcW w:w="0" w:type="auto"/>
            <w:noWrap/>
            <w:vAlign w:val="bottom"/>
            <w:hideMark/>
          </w:tcPr>
          <w:p w14:paraId="12AE023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20.73</w:t>
            </w:r>
          </w:p>
        </w:tc>
        <w:tc>
          <w:tcPr>
            <w:tcW w:w="0" w:type="auto"/>
            <w:noWrap/>
            <w:vAlign w:val="bottom"/>
            <w:hideMark/>
          </w:tcPr>
          <w:p w14:paraId="3897DBD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12.43</w:t>
            </w:r>
          </w:p>
        </w:tc>
        <w:tc>
          <w:tcPr>
            <w:tcW w:w="0" w:type="auto"/>
            <w:noWrap/>
            <w:vAlign w:val="bottom"/>
            <w:hideMark/>
          </w:tcPr>
          <w:p w14:paraId="34DA65A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13.78</w:t>
            </w:r>
          </w:p>
        </w:tc>
        <w:tc>
          <w:tcPr>
            <w:tcW w:w="0" w:type="auto"/>
            <w:noWrap/>
            <w:vAlign w:val="bottom"/>
            <w:hideMark/>
          </w:tcPr>
          <w:p w14:paraId="3979C21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15.33</w:t>
            </w:r>
          </w:p>
        </w:tc>
        <w:tc>
          <w:tcPr>
            <w:tcW w:w="0" w:type="auto"/>
            <w:noWrap/>
            <w:vAlign w:val="bottom"/>
            <w:hideMark/>
          </w:tcPr>
          <w:p w14:paraId="0F185FE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6.73</w:t>
            </w:r>
          </w:p>
        </w:tc>
        <w:tc>
          <w:tcPr>
            <w:tcW w:w="1022" w:type="dxa"/>
            <w:noWrap/>
            <w:vAlign w:val="bottom"/>
            <w:hideMark/>
          </w:tcPr>
          <w:p w14:paraId="3522D49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13.00</w:t>
            </w:r>
          </w:p>
        </w:tc>
      </w:tr>
      <w:tr w:rsidR="00E35B56" w:rsidRPr="00E35B56" w14:paraId="2CC14F73" w14:textId="77777777" w:rsidTr="008979CA">
        <w:trPr>
          <w:trHeight w:val="307"/>
        </w:trPr>
        <w:tc>
          <w:tcPr>
            <w:tcW w:w="0" w:type="auto"/>
            <w:noWrap/>
            <w:vAlign w:val="bottom"/>
            <w:hideMark/>
          </w:tcPr>
          <w:p w14:paraId="5417BA73"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Mean Moisture content (%)</w:t>
            </w:r>
          </w:p>
        </w:tc>
        <w:tc>
          <w:tcPr>
            <w:tcW w:w="0" w:type="auto"/>
            <w:noWrap/>
            <w:vAlign w:val="bottom"/>
            <w:hideMark/>
          </w:tcPr>
          <w:p w14:paraId="2D58B55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38.70a</w:t>
            </w:r>
          </w:p>
        </w:tc>
        <w:tc>
          <w:tcPr>
            <w:tcW w:w="0" w:type="auto"/>
            <w:noWrap/>
            <w:vAlign w:val="bottom"/>
            <w:hideMark/>
          </w:tcPr>
          <w:p w14:paraId="3F31326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40.57a</w:t>
            </w:r>
          </w:p>
        </w:tc>
        <w:tc>
          <w:tcPr>
            <w:tcW w:w="0" w:type="auto"/>
            <w:noWrap/>
            <w:vAlign w:val="bottom"/>
            <w:hideMark/>
          </w:tcPr>
          <w:p w14:paraId="5D677FE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22.37c</w:t>
            </w:r>
          </w:p>
        </w:tc>
        <w:tc>
          <w:tcPr>
            <w:tcW w:w="0" w:type="auto"/>
            <w:noWrap/>
            <w:vAlign w:val="bottom"/>
            <w:hideMark/>
          </w:tcPr>
          <w:p w14:paraId="66A346C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14.73d</w:t>
            </w:r>
          </w:p>
        </w:tc>
        <w:tc>
          <w:tcPr>
            <w:tcW w:w="0" w:type="auto"/>
            <w:noWrap/>
            <w:vAlign w:val="bottom"/>
            <w:hideMark/>
          </w:tcPr>
          <w:p w14:paraId="20DFAD3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12.70e</w:t>
            </w:r>
          </w:p>
        </w:tc>
        <w:tc>
          <w:tcPr>
            <w:tcW w:w="0" w:type="auto"/>
            <w:noWrap/>
            <w:vAlign w:val="bottom"/>
            <w:hideMark/>
          </w:tcPr>
          <w:p w14:paraId="4004FE2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31.53</w:t>
            </w:r>
          </w:p>
        </w:tc>
        <w:tc>
          <w:tcPr>
            <w:tcW w:w="0" w:type="auto"/>
            <w:noWrap/>
            <w:vAlign w:val="bottom"/>
            <w:hideMark/>
          </w:tcPr>
          <w:p w14:paraId="1A9722F2"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10.27b</w:t>
            </w:r>
          </w:p>
        </w:tc>
        <w:tc>
          <w:tcPr>
            <w:tcW w:w="0" w:type="auto"/>
            <w:noWrap/>
            <w:vAlign w:val="bottom"/>
            <w:hideMark/>
          </w:tcPr>
          <w:p w14:paraId="33244C4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18.57d</w:t>
            </w:r>
          </w:p>
        </w:tc>
        <w:tc>
          <w:tcPr>
            <w:tcW w:w="0" w:type="auto"/>
            <w:noWrap/>
            <w:vAlign w:val="bottom"/>
            <w:hideMark/>
          </w:tcPr>
          <w:p w14:paraId="128FC3C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10.07f</w:t>
            </w:r>
          </w:p>
        </w:tc>
        <w:tc>
          <w:tcPr>
            <w:tcW w:w="0" w:type="auto"/>
            <w:noWrap/>
            <w:vAlign w:val="bottom"/>
            <w:hideMark/>
          </w:tcPr>
          <w:p w14:paraId="305727D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13.80d</w:t>
            </w:r>
          </w:p>
        </w:tc>
        <w:tc>
          <w:tcPr>
            <w:tcW w:w="0" w:type="auto"/>
            <w:noWrap/>
            <w:vAlign w:val="bottom"/>
            <w:hideMark/>
          </w:tcPr>
          <w:p w14:paraId="1A9FA4C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4.83</w:t>
            </w:r>
          </w:p>
        </w:tc>
        <w:tc>
          <w:tcPr>
            <w:tcW w:w="0" w:type="auto"/>
            <w:noWrap/>
            <w:vAlign w:val="bottom"/>
            <w:hideMark/>
          </w:tcPr>
          <w:p w14:paraId="7980C83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5.57f</w:t>
            </w:r>
          </w:p>
        </w:tc>
        <w:tc>
          <w:tcPr>
            <w:tcW w:w="0" w:type="auto"/>
            <w:noWrap/>
            <w:vAlign w:val="bottom"/>
            <w:hideMark/>
          </w:tcPr>
          <w:p w14:paraId="5C8EF8F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24.17c</w:t>
            </w:r>
          </w:p>
        </w:tc>
        <w:tc>
          <w:tcPr>
            <w:tcW w:w="0" w:type="auto"/>
            <w:noWrap/>
            <w:vAlign w:val="bottom"/>
            <w:hideMark/>
          </w:tcPr>
          <w:p w14:paraId="73F130A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14.97d</w:t>
            </w:r>
          </w:p>
        </w:tc>
        <w:tc>
          <w:tcPr>
            <w:tcW w:w="0" w:type="auto"/>
            <w:noWrap/>
            <w:vAlign w:val="bottom"/>
            <w:hideMark/>
          </w:tcPr>
          <w:p w14:paraId="06E4879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16.93d</w:t>
            </w:r>
          </w:p>
        </w:tc>
        <w:tc>
          <w:tcPr>
            <w:tcW w:w="0" w:type="auto"/>
            <w:noWrap/>
            <w:vAlign w:val="bottom"/>
            <w:hideMark/>
          </w:tcPr>
          <w:p w14:paraId="08321DF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15.77d</w:t>
            </w:r>
          </w:p>
        </w:tc>
        <w:tc>
          <w:tcPr>
            <w:tcW w:w="0" w:type="auto"/>
            <w:noWrap/>
            <w:vAlign w:val="bottom"/>
            <w:hideMark/>
          </w:tcPr>
          <w:p w14:paraId="05B5825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12.17e</w:t>
            </w:r>
          </w:p>
        </w:tc>
        <w:tc>
          <w:tcPr>
            <w:tcW w:w="1022" w:type="dxa"/>
            <w:noWrap/>
            <w:vAlign w:val="bottom"/>
            <w:hideMark/>
          </w:tcPr>
          <w:p w14:paraId="1F5576F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15.37d</w:t>
            </w:r>
          </w:p>
        </w:tc>
      </w:tr>
      <w:tr w:rsidR="00E35B56" w:rsidRPr="00E35B56" w14:paraId="1857FDCC" w14:textId="77777777" w:rsidTr="008979CA">
        <w:trPr>
          <w:trHeight w:val="307"/>
        </w:trPr>
        <w:tc>
          <w:tcPr>
            <w:tcW w:w="0" w:type="auto"/>
            <w:noWrap/>
            <w:vAlign w:val="bottom"/>
            <w:hideMark/>
          </w:tcPr>
          <w:p w14:paraId="0F11BC55"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SD</w:t>
            </w:r>
          </w:p>
        </w:tc>
        <w:tc>
          <w:tcPr>
            <w:tcW w:w="0" w:type="auto"/>
            <w:noWrap/>
            <w:vAlign w:val="bottom"/>
            <w:hideMark/>
          </w:tcPr>
          <w:p w14:paraId="3672BC4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30.93</w:t>
            </w:r>
          </w:p>
        </w:tc>
        <w:tc>
          <w:tcPr>
            <w:tcW w:w="0" w:type="auto"/>
            <w:noWrap/>
            <w:vAlign w:val="bottom"/>
            <w:hideMark/>
          </w:tcPr>
          <w:p w14:paraId="6AADE0D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32.73</w:t>
            </w:r>
          </w:p>
        </w:tc>
        <w:tc>
          <w:tcPr>
            <w:tcW w:w="0" w:type="auto"/>
            <w:noWrap/>
            <w:vAlign w:val="bottom"/>
            <w:hideMark/>
          </w:tcPr>
          <w:p w14:paraId="2B98356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6.52</w:t>
            </w:r>
          </w:p>
        </w:tc>
        <w:tc>
          <w:tcPr>
            <w:tcW w:w="0" w:type="auto"/>
            <w:noWrap/>
            <w:vAlign w:val="bottom"/>
            <w:hideMark/>
          </w:tcPr>
          <w:p w14:paraId="0946B12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3.52</w:t>
            </w:r>
          </w:p>
        </w:tc>
        <w:tc>
          <w:tcPr>
            <w:tcW w:w="0" w:type="auto"/>
            <w:noWrap/>
            <w:vAlign w:val="bottom"/>
            <w:hideMark/>
          </w:tcPr>
          <w:p w14:paraId="7807DA9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3.13</w:t>
            </w:r>
          </w:p>
        </w:tc>
        <w:tc>
          <w:tcPr>
            <w:tcW w:w="0" w:type="auto"/>
            <w:noWrap/>
            <w:vAlign w:val="bottom"/>
            <w:hideMark/>
          </w:tcPr>
          <w:p w14:paraId="605AE65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18.94</w:t>
            </w:r>
          </w:p>
        </w:tc>
        <w:tc>
          <w:tcPr>
            <w:tcW w:w="0" w:type="auto"/>
            <w:noWrap/>
            <w:vAlign w:val="bottom"/>
            <w:hideMark/>
          </w:tcPr>
          <w:p w14:paraId="1A439D0E"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5.82</w:t>
            </w:r>
          </w:p>
        </w:tc>
        <w:tc>
          <w:tcPr>
            <w:tcW w:w="0" w:type="auto"/>
            <w:noWrap/>
            <w:vAlign w:val="bottom"/>
            <w:hideMark/>
          </w:tcPr>
          <w:p w14:paraId="2EECE8D2"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11.05</w:t>
            </w:r>
          </w:p>
        </w:tc>
        <w:tc>
          <w:tcPr>
            <w:tcW w:w="0" w:type="auto"/>
            <w:noWrap/>
            <w:vAlign w:val="bottom"/>
            <w:hideMark/>
          </w:tcPr>
          <w:p w14:paraId="51AC85B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3.73</w:t>
            </w:r>
          </w:p>
        </w:tc>
        <w:tc>
          <w:tcPr>
            <w:tcW w:w="0" w:type="auto"/>
            <w:noWrap/>
            <w:vAlign w:val="bottom"/>
            <w:hideMark/>
          </w:tcPr>
          <w:p w14:paraId="6293D8D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3.87</w:t>
            </w:r>
          </w:p>
        </w:tc>
        <w:tc>
          <w:tcPr>
            <w:tcW w:w="0" w:type="auto"/>
            <w:noWrap/>
            <w:vAlign w:val="bottom"/>
            <w:hideMark/>
          </w:tcPr>
          <w:p w14:paraId="5CF26B8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1.37</w:t>
            </w:r>
          </w:p>
        </w:tc>
        <w:tc>
          <w:tcPr>
            <w:tcW w:w="0" w:type="auto"/>
            <w:noWrap/>
            <w:vAlign w:val="bottom"/>
            <w:hideMark/>
          </w:tcPr>
          <w:p w14:paraId="5B13CF17"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1.28</w:t>
            </w:r>
          </w:p>
        </w:tc>
        <w:tc>
          <w:tcPr>
            <w:tcW w:w="0" w:type="auto"/>
            <w:noWrap/>
            <w:vAlign w:val="bottom"/>
            <w:hideMark/>
          </w:tcPr>
          <w:p w14:paraId="21FC9646"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9.16</w:t>
            </w:r>
          </w:p>
        </w:tc>
        <w:tc>
          <w:tcPr>
            <w:tcW w:w="0" w:type="auto"/>
            <w:noWrap/>
            <w:vAlign w:val="bottom"/>
            <w:hideMark/>
          </w:tcPr>
          <w:p w14:paraId="721DCB0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2.75</w:t>
            </w:r>
          </w:p>
        </w:tc>
        <w:tc>
          <w:tcPr>
            <w:tcW w:w="0" w:type="auto"/>
            <w:noWrap/>
            <w:vAlign w:val="bottom"/>
            <w:hideMark/>
          </w:tcPr>
          <w:p w14:paraId="7C01BB7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6.27</w:t>
            </w:r>
          </w:p>
        </w:tc>
        <w:tc>
          <w:tcPr>
            <w:tcW w:w="0" w:type="auto"/>
            <w:noWrap/>
            <w:vAlign w:val="bottom"/>
            <w:hideMark/>
          </w:tcPr>
          <w:p w14:paraId="6981461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6.13</w:t>
            </w:r>
          </w:p>
        </w:tc>
        <w:tc>
          <w:tcPr>
            <w:tcW w:w="0" w:type="auto"/>
            <w:noWrap/>
            <w:vAlign w:val="bottom"/>
            <w:hideMark/>
          </w:tcPr>
          <w:p w14:paraId="1F6B421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2.32</w:t>
            </w:r>
          </w:p>
        </w:tc>
        <w:tc>
          <w:tcPr>
            <w:tcW w:w="1022" w:type="dxa"/>
            <w:noWrap/>
            <w:vAlign w:val="bottom"/>
            <w:hideMark/>
          </w:tcPr>
          <w:p w14:paraId="70D4373C"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5.55</w:t>
            </w:r>
          </w:p>
        </w:tc>
      </w:tr>
      <w:tr w:rsidR="00E35B56" w:rsidRPr="00E35B56" w14:paraId="6B238F9E" w14:textId="77777777" w:rsidTr="008979CA">
        <w:trPr>
          <w:trHeight w:val="307"/>
        </w:trPr>
        <w:tc>
          <w:tcPr>
            <w:tcW w:w="0" w:type="auto"/>
            <w:noWrap/>
            <w:vAlign w:val="bottom"/>
            <w:hideMark/>
          </w:tcPr>
          <w:p w14:paraId="02B03E79" w14:textId="77777777" w:rsidR="00E35B56" w:rsidRPr="00E35B56" w:rsidRDefault="00E35B56" w:rsidP="008979CA">
            <w:pPr>
              <w:spacing w:after="0" w:line="240" w:lineRule="auto"/>
              <w:rPr>
                <w:rFonts w:ascii="Times New Roman" w:eastAsia="Times New Roman" w:hAnsi="Times New Roman" w:cs="Times New Roman"/>
                <w:b/>
                <w:bCs/>
                <w:color w:val="000000" w:themeColor="text1"/>
                <w:sz w:val="18"/>
                <w:szCs w:val="18"/>
              </w:rPr>
            </w:pPr>
            <w:r w:rsidRPr="00E35B56">
              <w:rPr>
                <w:rFonts w:ascii="Times New Roman" w:eastAsia="Times New Roman" w:hAnsi="Times New Roman" w:cs="Times New Roman"/>
                <w:b/>
                <w:bCs/>
                <w:color w:val="000000" w:themeColor="text1"/>
                <w:sz w:val="18"/>
                <w:szCs w:val="18"/>
              </w:rPr>
              <w:t>CV</w:t>
            </w:r>
          </w:p>
        </w:tc>
        <w:tc>
          <w:tcPr>
            <w:tcW w:w="0" w:type="auto"/>
            <w:noWrap/>
            <w:vAlign w:val="bottom"/>
            <w:hideMark/>
          </w:tcPr>
          <w:p w14:paraId="3E5966B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79.92</w:t>
            </w:r>
          </w:p>
        </w:tc>
        <w:tc>
          <w:tcPr>
            <w:tcW w:w="0" w:type="auto"/>
            <w:noWrap/>
            <w:vAlign w:val="bottom"/>
            <w:hideMark/>
          </w:tcPr>
          <w:p w14:paraId="06C78F7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80.67</w:t>
            </w:r>
          </w:p>
        </w:tc>
        <w:tc>
          <w:tcPr>
            <w:tcW w:w="0" w:type="auto"/>
            <w:noWrap/>
            <w:vAlign w:val="bottom"/>
            <w:hideMark/>
          </w:tcPr>
          <w:p w14:paraId="30D7D685"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29.16</w:t>
            </w:r>
          </w:p>
        </w:tc>
        <w:tc>
          <w:tcPr>
            <w:tcW w:w="0" w:type="auto"/>
            <w:noWrap/>
            <w:vAlign w:val="bottom"/>
            <w:hideMark/>
          </w:tcPr>
          <w:p w14:paraId="634D83A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23.90</w:t>
            </w:r>
          </w:p>
        </w:tc>
        <w:tc>
          <w:tcPr>
            <w:tcW w:w="0" w:type="auto"/>
            <w:noWrap/>
            <w:vAlign w:val="bottom"/>
            <w:hideMark/>
          </w:tcPr>
          <w:p w14:paraId="2FC1A279"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24.63</w:t>
            </w:r>
          </w:p>
        </w:tc>
        <w:tc>
          <w:tcPr>
            <w:tcW w:w="0" w:type="auto"/>
            <w:noWrap/>
            <w:vAlign w:val="bottom"/>
            <w:hideMark/>
          </w:tcPr>
          <w:p w14:paraId="3282C3E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60.06</w:t>
            </w:r>
          </w:p>
        </w:tc>
        <w:tc>
          <w:tcPr>
            <w:tcW w:w="0" w:type="auto"/>
            <w:noWrap/>
            <w:vAlign w:val="bottom"/>
            <w:hideMark/>
          </w:tcPr>
          <w:p w14:paraId="5DA1C3B0" w14:textId="77777777" w:rsidR="00E35B56" w:rsidRPr="00E35B56" w:rsidRDefault="00E35B56" w:rsidP="008979CA">
            <w:pPr>
              <w:spacing w:after="0" w:line="240" w:lineRule="auto"/>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56.66</w:t>
            </w:r>
          </w:p>
        </w:tc>
        <w:tc>
          <w:tcPr>
            <w:tcW w:w="0" w:type="auto"/>
            <w:noWrap/>
            <w:vAlign w:val="bottom"/>
            <w:hideMark/>
          </w:tcPr>
          <w:p w14:paraId="21DD2A2E"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59.51</w:t>
            </w:r>
          </w:p>
        </w:tc>
        <w:tc>
          <w:tcPr>
            <w:tcW w:w="0" w:type="auto"/>
            <w:noWrap/>
            <w:vAlign w:val="bottom"/>
            <w:hideMark/>
          </w:tcPr>
          <w:p w14:paraId="3CA7E820"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37.10</w:t>
            </w:r>
          </w:p>
        </w:tc>
        <w:tc>
          <w:tcPr>
            <w:tcW w:w="0" w:type="auto"/>
            <w:noWrap/>
            <w:vAlign w:val="bottom"/>
            <w:hideMark/>
          </w:tcPr>
          <w:p w14:paraId="1080DD0F"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28.07</w:t>
            </w:r>
          </w:p>
        </w:tc>
        <w:tc>
          <w:tcPr>
            <w:tcW w:w="0" w:type="auto"/>
            <w:noWrap/>
            <w:vAlign w:val="bottom"/>
            <w:hideMark/>
          </w:tcPr>
          <w:p w14:paraId="3AAD3C3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28.33</w:t>
            </w:r>
          </w:p>
        </w:tc>
        <w:tc>
          <w:tcPr>
            <w:tcW w:w="0" w:type="auto"/>
            <w:noWrap/>
            <w:vAlign w:val="bottom"/>
            <w:hideMark/>
          </w:tcPr>
          <w:p w14:paraId="22EC4441"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23.02</w:t>
            </w:r>
          </w:p>
        </w:tc>
        <w:tc>
          <w:tcPr>
            <w:tcW w:w="0" w:type="auto"/>
            <w:noWrap/>
            <w:vAlign w:val="bottom"/>
            <w:hideMark/>
          </w:tcPr>
          <w:p w14:paraId="5D033A84"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37.90</w:t>
            </w:r>
          </w:p>
        </w:tc>
        <w:tc>
          <w:tcPr>
            <w:tcW w:w="0" w:type="auto"/>
            <w:noWrap/>
            <w:vAlign w:val="bottom"/>
            <w:hideMark/>
          </w:tcPr>
          <w:p w14:paraId="5FE8D00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18.34</w:t>
            </w:r>
          </w:p>
        </w:tc>
        <w:tc>
          <w:tcPr>
            <w:tcW w:w="0" w:type="auto"/>
            <w:noWrap/>
            <w:vAlign w:val="bottom"/>
            <w:hideMark/>
          </w:tcPr>
          <w:p w14:paraId="0181F3AB"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37.05</w:t>
            </w:r>
          </w:p>
        </w:tc>
        <w:tc>
          <w:tcPr>
            <w:tcW w:w="0" w:type="auto"/>
            <w:noWrap/>
            <w:vAlign w:val="bottom"/>
            <w:hideMark/>
          </w:tcPr>
          <w:p w14:paraId="716D870A"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38.87</w:t>
            </w:r>
          </w:p>
        </w:tc>
        <w:tc>
          <w:tcPr>
            <w:tcW w:w="0" w:type="auto"/>
            <w:noWrap/>
            <w:vAlign w:val="bottom"/>
            <w:hideMark/>
          </w:tcPr>
          <w:p w14:paraId="11E27303"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19.04</w:t>
            </w:r>
          </w:p>
        </w:tc>
        <w:tc>
          <w:tcPr>
            <w:tcW w:w="1022" w:type="dxa"/>
            <w:noWrap/>
            <w:vAlign w:val="bottom"/>
            <w:hideMark/>
          </w:tcPr>
          <w:p w14:paraId="3762FA28" w14:textId="77777777" w:rsidR="00E35B56" w:rsidRPr="00E35B56" w:rsidRDefault="00E35B56" w:rsidP="008979CA">
            <w:pPr>
              <w:spacing w:after="0" w:line="240" w:lineRule="auto"/>
              <w:jc w:val="right"/>
              <w:rPr>
                <w:rFonts w:ascii="Times New Roman" w:eastAsia="Times New Roman" w:hAnsi="Times New Roman" w:cs="Times New Roman"/>
                <w:color w:val="000000" w:themeColor="text1"/>
                <w:sz w:val="18"/>
                <w:szCs w:val="18"/>
              </w:rPr>
            </w:pPr>
            <w:r w:rsidRPr="00E35B56">
              <w:rPr>
                <w:rFonts w:ascii="Times New Roman" w:eastAsia="Times New Roman" w:hAnsi="Times New Roman" w:cs="Times New Roman"/>
                <w:color w:val="000000" w:themeColor="text1"/>
                <w:sz w:val="18"/>
                <w:szCs w:val="18"/>
              </w:rPr>
              <w:t>36.13</w:t>
            </w:r>
          </w:p>
        </w:tc>
      </w:tr>
    </w:tbl>
    <w:p w14:paraId="4E499E5A" w14:textId="77777777" w:rsidR="00E35B56" w:rsidRPr="00E35B56" w:rsidRDefault="00E35B56" w:rsidP="00E35B56">
      <w:pPr>
        <w:rPr>
          <w:rFonts w:ascii="Times New Roman" w:hAnsi="Times New Roman" w:cs="Times New Roman"/>
          <w:color w:val="000000" w:themeColor="text1"/>
        </w:rPr>
        <w:sectPr w:rsidR="00E35B56" w:rsidRPr="00E35B56" w:rsidSect="00E35B56">
          <w:pgSz w:w="16838" w:h="11906" w:orient="landscape"/>
          <w:pgMar w:top="720" w:right="720" w:bottom="720" w:left="720" w:header="709" w:footer="709" w:gutter="0"/>
          <w:cols w:space="708"/>
          <w:docGrid w:linePitch="360"/>
        </w:sectPr>
      </w:pPr>
    </w:p>
    <w:p w14:paraId="794CC992" w14:textId="77777777" w:rsidR="00D21AC3" w:rsidRPr="0087045E" w:rsidRDefault="00D21AC3" w:rsidP="00D21AC3">
      <w:pPr>
        <w:spacing w:after="0" w:line="360" w:lineRule="auto"/>
        <w:jc w:val="both"/>
        <w:rPr>
          <w:rFonts w:ascii="Times New Roman" w:hAnsi="Times New Roman" w:cs="Times New Roman"/>
          <w:b/>
          <w:bCs/>
          <w:color w:val="000000"/>
        </w:rPr>
      </w:pPr>
      <w:r w:rsidRPr="0087045E">
        <w:rPr>
          <w:rFonts w:ascii="Times New Roman" w:hAnsi="Times New Roman" w:cs="Times New Roman"/>
          <w:b/>
          <w:bCs/>
          <w:color w:val="000000"/>
        </w:rPr>
        <w:lastRenderedPageBreak/>
        <w:t>Relationships between soil properties and universal extractants</w:t>
      </w:r>
    </w:p>
    <w:p w14:paraId="11DDCEF1" w14:textId="56836AB3" w:rsidR="004A2D64" w:rsidRPr="0087045E" w:rsidRDefault="004A2D64" w:rsidP="004A2D64">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Pearson correlation coefficients were </w:t>
      </w:r>
      <w:r w:rsidR="0055634E" w:rsidRPr="0087045E">
        <w:rPr>
          <w:rFonts w:ascii="Times New Roman" w:hAnsi="Times New Roman" w:cs="Times New Roman"/>
          <w:color w:val="000000"/>
        </w:rPr>
        <w:t>employed to assess the</w:t>
      </w:r>
      <w:r w:rsidRPr="0087045E">
        <w:rPr>
          <w:rFonts w:ascii="Times New Roman" w:hAnsi="Times New Roman" w:cs="Times New Roman"/>
          <w:color w:val="000000"/>
        </w:rPr>
        <w:t xml:space="preserve"> interrelationships between soil physicochemical properties and nutrient conc</w:t>
      </w:r>
      <w:r w:rsidR="0017062C" w:rsidRPr="0087045E">
        <w:rPr>
          <w:rFonts w:ascii="Times New Roman" w:hAnsi="Times New Roman" w:cs="Times New Roman"/>
          <w:color w:val="000000"/>
        </w:rPr>
        <w:t xml:space="preserve">entrations extracted using </w:t>
      </w:r>
      <w:r w:rsidR="0017062C" w:rsidRPr="00A6019B">
        <w:rPr>
          <w:rFonts w:ascii="Times New Roman" w:hAnsi="Times New Roman" w:cs="Times New Roman"/>
        </w:rPr>
        <w:t>CaCl</w:t>
      </w:r>
      <w:r w:rsidR="0017062C" w:rsidRPr="00A6019B">
        <w:rPr>
          <w:rFonts w:ascii="Times New Roman" w:hAnsi="Times New Roman" w:cs="Times New Roman"/>
          <w:vertAlign w:val="subscript"/>
        </w:rPr>
        <w:t>2</w:t>
      </w:r>
      <w:r w:rsidR="00B87262">
        <w:rPr>
          <w:rFonts w:ascii="Times New Roman" w:hAnsi="Times New Roman" w:cs="Times New Roman"/>
          <w:vertAlign w:val="subscript"/>
        </w:rPr>
        <w:t xml:space="preserve"> </w:t>
      </w:r>
      <w:r w:rsidR="00F62DEC" w:rsidRPr="00A6019B">
        <w:rPr>
          <w:rFonts w:ascii="Times New Roman" w:hAnsi="Times New Roman" w:cs="Times New Roman"/>
        </w:rPr>
        <w:t xml:space="preserve">and </w:t>
      </w:r>
      <w:r w:rsidRPr="00A6019B">
        <w:rPr>
          <w:rFonts w:ascii="Times New Roman" w:hAnsi="Times New Roman" w:cs="Times New Roman"/>
        </w:rPr>
        <w:t xml:space="preserve">ASI </w:t>
      </w:r>
      <w:r w:rsidR="00CB5A49" w:rsidRPr="00A6019B">
        <w:rPr>
          <w:rFonts w:ascii="Times New Roman" w:hAnsi="Times New Roman" w:cs="Times New Roman"/>
        </w:rPr>
        <w:t>extractant</w:t>
      </w:r>
      <w:r w:rsidR="00DE16BD" w:rsidRPr="00A6019B">
        <w:rPr>
          <w:rFonts w:ascii="Times New Roman" w:hAnsi="Times New Roman" w:cs="Times New Roman"/>
        </w:rPr>
        <w:t>s</w:t>
      </w:r>
      <w:r w:rsidR="00B87262">
        <w:rPr>
          <w:rFonts w:ascii="Times New Roman" w:hAnsi="Times New Roman" w:cs="Times New Roman"/>
        </w:rPr>
        <w:t xml:space="preserve"> </w:t>
      </w:r>
      <w:r w:rsidRPr="0087045E">
        <w:rPr>
          <w:rFonts w:ascii="Times New Roman" w:hAnsi="Times New Roman" w:cs="Times New Roman"/>
          <w:color w:val="000000"/>
        </w:rPr>
        <w:t xml:space="preserve">(Tables </w:t>
      </w:r>
      <w:r w:rsidR="008866C1">
        <w:rPr>
          <w:rFonts w:ascii="Times New Roman" w:hAnsi="Times New Roman" w:cs="Times New Roman"/>
          <w:color w:val="000000"/>
        </w:rPr>
        <w:t>3</w:t>
      </w:r>
      <w:r w:rsidRPr="0087045E">
        <w:rPr>
          <w:rFonts w:ascii="Times New Roman" w:hAnsi="Times New Roman" w:cs="Times New Roman"/>
          <w:color w:val="000000"/>
        </w:rPr>
        <w:t xml:space="preserve"> and </w:t>
      </w:r>
      <w:r w:rsidR="008866C1">
        <w:rPr>
          <w:rFonts w:ascii="Times New Roman" w:hAnsi="Times New Roman" w:cs="Times New Roman"/>
          <w:color w:val="000000"/>
        </w:rPr>
        <w:t>4</w:t>
      </w:r>
      <w:r w:rsidRPr="0087045E">
        <w:rPr>
          <w:rFonts w:ascii="Times New Roman" w:hAnsi="Times New Roman" w:cs="Times New Roman"/>
          <w:color w:val="000000"/>
        </w:rPr>
        <w:t xml:space="preserve">). The correlation analysis revealed that a few significant relationships existed between the extractable nutrients and the soil physicochemical properties, implying that the nutrient extraction was </w:t>
      </w:r>
      <w:r w:rsidR="00417272" w:rsidRPr="0087045E">
        <w:rPr>
          <w:rFonts w:ascii="Times New Roman" w:hAnsi="Times New Roman" w:cs="Times New Roman"/>
          <w:color w:val="000000"/>
        </w:rPr>
        <w:t>impacted</w:t>
      </w:r>
      <w:r w:rsidRPr="0087045E">
        <w:rPr>
          <w:rFonts w:ascii="Times New Roman" w:hAnsi="Times New Roman" w:cs="Times New Roman"/>
          <w:color w:val="000000"/>
        </w:rPr>
        <w:t xml:space="preserve"> by soil chemical and physical </w:t>
      </w:r>
      <w:r w:rsidR="00417272" w:rsidRPr="0087045E">
        <w:rPr>
          <w:rFonts w:ascii="Times New Roman" w:hAnsi="Times New Roman" w:cs="Times New Roman"/>
          <w:color w:val="000000"/>
        </w:rPr>
        <w:t>characteristics</w:t>
      </w:r>
      <w:r w:rsidRPr="0087045E">
        <w:rPr>
          <w:rFonts w:ascii="Times New Roman" w:hAnsi="Times New Roman" w:cs="Times New Roman"/>
          <w:color w:val="000000"/>
        </w:rPr>
        <w:t xml:space="preserve">.  </w:t>
      </w:r>
    </w:p>
    <w:p w14:paraId="0558B26B" w14:textId="77777777" w:rsidR="00181B5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Table </w:t>
      </w:r>
      <w:r w:rsidR="008866C1">
        <w:rPr>
          <w:rFonts w:ascii="Times New Roman" w:hAnsi="Times New Roman" w:cs="Times New Roman"/>
          <w:color w:val="000000"/>
        </w:rPr>
        <w:t>3</w:t>
      </w:r>
      <w:r w:rsidRPr="0087045E">
        <w:rPr>
          <w:rFonts w:ascii="Times New Roman" w:hAnsi="Times New Roman" w:cs="Times New Roman"/>
          <w:color w:val="000000"/>
        </w:rPr>
        <w:t xml:space="preserve"> illustrates the correlation between the universal extractants and soil physical properties. </w:t>
      </w:r>
    </w:p>
    <w:p w14:paraId="36C1758F" w14:textId="77777777" w:rsidR="00181B54" w:rsidRPr="0087045E" w:rsidRDefault="00181B54" w:rsidP="00485133">
      <w:pPr>
        <w:spacing w:after="0" w:line="360" w:lineRule="auto"/>
        <w:ind w:firstLine="720"/>
        <w:jc w:val="both"/>
        <w:rPr>
          <w:rFonts w:ascii="Times New Roman" w:hAnsi="Times New Roman" w:cs="Times New Roman"/>
          <w:color w:val="000000"/>
        </w:rPr>
      </w:pPr>
    </w:p>
    <w:p w14:paraId="36C7BBC0" w14:textId="77777777" w:rsidR="00181B54" w:rsidRPr="00181B54" w:rsidRDefault="00181B54" w:rsidP="00181B54">
      <w:pPr>
        <w:spacing w:after="0" w:line="360" w:lineRule="auto"/>
        <w:jc w:val="both"/>
        <w:rPr>
          <w:rFonts w:ascii="Times New Roman" w:hAnsi="Times New Roman" w:cs="Times New Roman"/>
          <w:b/>
          <w:bCs/>
          <w:sz w:val="20"/>
          <w:szCs w:val="20"/>
        </w:rPr>
      </w:pPr>
      <w:r w:rsidRPr="00181B54">
        <w:rPr>
          <w:rFonts w:ascii="Times New Roman" w:hAnsi="Times New Roman" w:cs="Times New Roman"/>
          <w:b/>
          <w:bCs/>
          <w:sz w:val="20"/>
          <w:szCs w:val="20"/>
        </w:rPr>
        <w:t xml:space="preserve">Table </w:t>
      </w:r>
      <w:r w:rsidR="00804CEC">
        <w:rPr>
          <w:rFonts w:ascii="Times New Roman" w:hAnsi="Times New Roman" w:cs="Times New Roman"/>
          <w:b/>
          <w:bCs/>
          <w:sz w:val="20"/>
          <w:szCs w:val="20"/>
        </w:rPr>
        <w:t>3</w:t>
      </w:r>
      <w:r w:rsidRPr="00181B54">
        <w:rPr>
          <w:rFonts w:ascii="Times New Roman" w:hAnsi="Times New Roman" w:cs="Times New Roman"/>
          <w:b/>
          <w:bCs/>
          <w:sz w:val="20"/>
          <w:szCs w:val="20"/>
        </w:rPr>
        <w:t xml:space="preserve">: </w:t>
      </w:r>
      <w:r w:rsidRPr="00181B54">
        <w:rPr>
          <w:rFonts w:ascii="Times New Roman" w:hAnsi="Times New Roman" w:cs="Times New Roman"/>
          <w:sz w:val="20"/>
          <w:szCs w:val="20"/>
        </w:rPr>
        <w:t>Pearson correlation matrix between universal extractants and selected soil physical properties</w:t>
      </w:r>
    </w:p>
    <w:tbl>
      <w:tblPr>
        <w:tblW w:w="10422" w:type="dxa"/>
        <w:tblLook w:val="04A0" w:firstRow="1" w:lastRow="0" w:firstColumn="1" w:lastColumn="0" w:noHBand="0" w:noVBand="1"/>
      </w:tblPr>
      <w:tblGrid>
        <w:gridCol w:w="838"/>
        <w:gridCol w:w="652"/>
        <w:gridCol w:w="675"/>
        <w:gridCol w:w="714"/>
        <w:gridCol w:w="769"/>
        <w:gridCol w:w="590"/>
        <w:gridCol w:w="613"/>
        <w:gridCol w:w="652"/>
        <w:gridCol w:w="707"/>
        <w:gridCol w:w="601"/>
        <w:gridCol w:w="531"/>
        <w:gridCol w:w="531"/>
        <w:gridCol w:w="531"/>
        <w:gridCol w:w="621"/>
        <w:gridCol w:w="675"/>
        <w:gridCol w:w="722"/>
      </w:tblGrid>
      <w:tr w:rsidR="0094308B" w:rsidRPr="00D21AC3" w14:paraId="79E672BC" w14:textId="77777777" w:rsidTr="00B11832">
        <w:trPr>
          <w:trHeight w:val="20"/>
        </w:trPr>
        <w:tc>
          <w:tcPr>
            <w:tcW w:w="838" w:type="dxa"/>
            <w:vMerge w:val="restart"/>
            <w:tcBorders>
              <w:top w:val="single" w:sz="8" w:space="0" w:color="auto"/>
              <w:left w:val="single" w:sz="8" w:space="0" w:color="auto"/>
              <w:bottom w:val="single" w:sz="8" w:space="0" w:color="000000"/>
              <w:right w:val="single" w:sz="8" w:space="0" w:color="auto"/>
            </w:tcBorders>
            <w:vAlign w:val="center"/>
            <w:hideMark/>
          </w:tcPr>
          <w:p w14:paraId="277A958F" w14:textId="77777777" w:rsidR="0094308B"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Parameters</w:t>
            </w:r>
          </w:p>
        </w:tc>
        <w:tc>
          <w:tcPr>
            <w:tcW w:w="652" w:type="dxa"/>
            <w:vMerge w:val="restart"/>
            <w:tcBorders>
              <w:top w:val="single" w:sz="8" w:space="0" w:color="auto"/>
              <w:left w:val="single" w:sz="8" w:space="0" w:color="auto"/>
              <w:bottom w:val="single" w:sz="8" w:space="0" w:color="000000"/>
              <w:right w:val="single" w:sz="8" w:space="0" w:color="auto"/>
            </w:tcBorders>
            <w:vAlign w:val="center"/>
            <w:hideMark/>
          </w:tcPr>
          <w:p w14:paraId="24C85C8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CaCl_P</w:t>
            </w:r>
            <w:proofErr w:type="spellEnd"/>
          </w:p>
        </w:tc>
        <w:tc>
          <w:tcPr>
            <w:tcW w:w="675" w:type="dxa"/>
            <w:vMerge w:val="restart"/>
            <w:tcBorders>
              <w:top w:val="single" w:sz="8" w:space="0" w:color="auto"/>
              <w:left w:val="single" w:sz="8" w:space="0" w:color="auto"/>
              <w:bottom w:val="single" w:sz="8" w:space="0" w:color="000000"/>
              <w:right w:val="single" w:sz="8" w:space="0" w:color="auto"/>
            </w:tcBorders>
            <w:vAlign w:val="center"/>
            <w:hideMark/>
          </w:tcPr>
          <w:p w14:paraId="3591744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hAnsi="Times New Roman" w:cs="Times New Roman"/>
                <w:color w:val="000000"/>
                <w:kern w:val="0"/>
                <w:sz w:val="14"/>
                <w:szCs w:val="14"/>
              </w:rPr>
              <w:t>CaCl_K</w:t>
            </w:r>
            <w:proofErr w:type="spellEnd"/>
          </w:p>
        </w:tc>
        <w:tc>
          <w:tcPr>
            <w:tcW w:w="714" w:type="dxa"/>
            <w:vMerge w:val="restart"/>
            <w:tcBorders>
              <w:top w:val="single" w:sz="8" w:space="0" w:color="auto"/>
              <w:left w:val="single" w:sz="8" w:space="0" w:color="auto"/>
              <w:bottom w:val="single" w:sz="8" w:space="0" w:color="000000"/>
              <w:right w:val="single" w:sz="8" w:space="0" w:color="auto"/>
            </w:tcBorders>
            <w:vAlign w:val="center"/>
            <w:hideMark/>
          </w:tcPr>
          <w:p w14:paraId="28261F6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CaCl_Fe</w:t>
            </w:r>
            <w:proofErr w:type="spellEnd"/>
          </w:p>
        </w:tc>
        <w:tc>
          <w:tcPr>
            <w:tcW w:w="769" w:type="dxa"/>
            <w:vMerge w:val="restart"/>
            <w:tcBorders>
              <w:top w:val="single" w:sz="8" w:space="0" w:color="auto"/>
              <w:left w:val="single" w:sz="8" w:space="0" w:color="auto"/>
              <w:bottom w:val="single" w:sz="8" w:space="0" w:color="000000"/>
              <w:right w:val="single" w:sz="8" w:space="0" w:color="auto"/>
            </w:tcBorders>
            <w:vAlign w:val="center"/>
            <w:hideMark/>
          </w:tcPr>
          <w:p w14:paraId="598FB64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CaCl_Mn</w:t>
            </w:r>
            <w:proofErr w:type="spellEnd"/>
          </w:p>
        </w:tc>
        <w:tc>
          <w:tcPr>
            <w:tcW w:w="590" w:type="dxa"/>
            <w:vMerge w:val="restart"/>
            <w:tcBorders>
              <w:top w:val="single" w:sz="8" w:space="0" w:color="auto"/>
              <w:left w:val="single" w:sz="8" w:space="0" w:color="auto"/>
              <w:bottom w:val="single" w:sz="8" w:space="0" w:color="000000"/>
              <w:right w:val="single" w:sz="8" w:space="0" w:color="auto"/>
            </w:tcBorders>
            <w:vAlign w:val="center"/>
            <w:hideMark/>
          </w:tcPr>
          <w:p w14:paraId="7951291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ASI_P</w:t>
            </w:r>
          </w:p>
        </w:tc>
        <w:tc>
          <w:tcPr>
            <w:tcW w:w="613" w:type="dxa"/>
            <w:vMerge w:val="restart"/>
            <w:tcBorders>
              <w:top w:val="single" w:sz="8" w:space="0" w:color="auto"/>
              <w:left w:val="single" w:sz="8" w:space="0" w:color="auto"/>
              <w:bottom w:val="single" w:sz="8" w:space="0" w:color="000000"/>
              <w:right w:val="single" w:sz="8" w:space="0" w:color="auto"/>
            </w:tcBorders>
            <w:vAlign w:val="center"/>
            <w:hideMark/>
          </w:tcPr>
          <w:p w14:paraId="39A2735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ASI_K</w:t>
            </w:r>
          </w:p>
        </w:tc>
        <w:tc>
          <w:tcPr>
            <w:tcW w:w="652" w:type="dxa"/>
            <w:vMerge w:val="restart"/>
            <w:tcBorders>
              <w:top w:val="single" w:sz="8" w:space="0" w:color="auto"/>
              <w:left w:val="single" w:sz="8" w:space="0" w:color="auto"/>
              <w:bottom w:val="single" w:sz="8" w:space="0" w:color="000000"/>
              <w:right w:val="single" w:sz="8" w:space="0" w:color="auto"/>
            </w:tcBorders>
            <w:vAlign w:val="center"/>
            <w:hideMark/>
          </w:tcPr>
          <w:p w14:paraId="28304AC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ASI_Fe</w:t>
            </w:r>
            <w:proofErr w:type="spellEnd"/>
          </w:p>
        </w:tc>
        <w:tc>
          <w:tcPr>
            <w:tcW w:w="707" w:type="dxa"/>
            <w:vMerge w:val="restart"/>
            <w:tcBorders>
              <w:top w:val="single" w:sz="8" w:space="0" w:color="auto"/>
              <w:left w:val="single" w:sz="8" w:space="0" w:color="auto"/>
              <w:bottom w:val="single" w:sz="8" w:space="0" w:color="000000"/>
              <w:right w:val="single" w:sz="8" w:space="0" w:color="auto"/>
            </w:tcBorders>
            <w:vAlign w:val="center"/>
            <w:hideMark/>
          </w:tcPr>
          <w:p w14:paraId="5FB2145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ASI_Mn</w:t>
            </w:r>
          </w:p>
        </w:tc>
        <w:tc>
          <w:tcPr>
            <w:tcW w:w="601" w:type="dxa"/>
            <w:vMerge w:val="restart"/>
            <w:tcBorders>
              <w:top w:val="single" w:sz="8" w:space="0" w:color="auto"/>
              <w:left w:val="single" w:sz="8" w:space="0" w:color="auto"/>
              <w:bottom w:val="single" w:sz="8" w:space="0" w:color="000000"/>
              <w:right w:val="single" w:sz="8" w:space="0" w:color="auto"/>
            </w:tcBorders>
            <w:vAlign w:val="center"/>
            <w:hideMark/>
          </w:tcPr>
          <w:p w14:paraId="4DC2B86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Sand</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422911B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Silt</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3C9AAD6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Clay</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14FBC45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Ksat</w:t>
            </w:r>
            <w:proofErr w:type="spellEnd"/>
          </w:p>
        </w:tc>
        <w:tc>
          <w:tcPr>
            <w:tcW w:w="621" w:type="dxa"/>
            <w:tcBorders>
              <w:top w:val="single" w:sz="8" w:space="0" w:color="auto"/>
              <w:left w:val="nil"/>
              <w:bottom w:val="nil"/>
              <w:right w:val="single" w:sz="8" w:space="0" w:color="auto"/>
            </w:tcBorders>
            <w:vAlign w:val="center"/>
            <w:hideMark/>
          </w:tcPr>
          <w:p w14:paraId="19A797E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Bulk</w:t>
            </w:r>
          </w:p>
        </w:tc>
        <w:tc>
          <w:tcPr>
            <w:tcW w:w="675" w:type="dxa"/>
            <w:tcBorders>
              <w:top w:val="single" w:sz="8" w:space="0" w:color="auto"/>
              <w:left w:val="nil"/>
              <w:bottom w:val="nil"/>
              <w:right w:val="single" w:sz="8" w:space="0" w:color="auto"/>
            </w:tcBorders>
            <w:vAlign w:val="center"/>
            <w:hideMark/>
          </w:tcPr>
          <w:p w14:paraId="4D7BDE3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Total</w:t>
            </w:r>
          </w:p>
        </w:tc>
        <w:tc>
          <w:tcPr>
            <w:tcW w:w="722" w:type="dxa"/>
            <w:vMerge w:val="restart"/>
            <w:tcBorders>
              <w:top w:val="single" w:sz="8" w:space="0" w:color="auto"/>
              <w:left w:val="single" w:sz="8" w:space="0" w:color="auto"/>
              <w:bottom w:val="single" w:sz="8" w:space="0" w:color="000000"/>
              <w:right w:val="single" w:sz="8" w:space="0" w:color="auto"/>
            </w:tcBorders>
            <w:vAlign w:val="center"/>
            <w:hideMark/>
          </w:tcPr>
          <w:p w14:paraId="24081D7A" w14:textId="77777777" w:rsidR="00D21AC3"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Moisture</w:t>
            </w:r>
          </w:p>
          <w:p w14:paraId="665F87B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content</w:t>
            </w:r>
          </w:p>
        </w:tc>
      </w:tr>
      <w:tr w:rsidR="0094308B" w:rsidRPr="00D21AC3" w14:paraId="045AB020" w14:textId="77777777" w:rsidTr="00B11832">
        <w:trPr>
          <w:trHeight w:val="20"/>
        </w:trPr>
        <w:tc>
          <w:tcPr>
            <w:tcW w:w="838" w:type="dxa"/>
            <w:vMerge/>
            <w:tcBorders>
              <w:top w:val="single" w:sz="8" w:space="0" w:color="auto"/>
              <w:left w:val="single" w:sz="8" w:space="0" w:color="auto"/>
              <w:bottom w:val="single" w:sz="8" w:space="0" w:color="000000"/>
              <w:right w:val="single" w:sz="8" w:space="0" w:color="auto"/>
            </w:tcBorders>
            <w:vAlign w:val="center"/>
            <w:hideMark/>
          </w:tcPr>
          <w:p w14:paraId="18CC8EC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single" w:sz="8" w:space="0" w:color="auto"/>
              <w:left w:val="single" w:sz="8" w:space="0" w:color="auto"/>
              <w:bottom w:val="single" w:sz="8" w:space="0" w:color="000000"/>
              <w:right w:val="single" w:sz="8" w:space="0" w:color="auto"/>
            </w:tcBorders>
            <w:vAlign w:val="center"/>
            <w:hideMark/>
          </w:tcPr>
          <w:p w14:paraId="7A8E6B7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single" w:sz="8" w:space="0" w:color="auto"/>
              <w:left w:val="single" w:sz="8" w:space="0" w:color="auto"/>
              <w:bottom w:val="single" w:sz="8" w:space="0" w:color="000000"/>
              <w:right w:val="single" w:sz="8" w:space="0" w:color="auto"/>
            </w:tcBorders>
            <w:vAlign w:val="center"/>
            <w:hideMark/>
          </w:tcPr>
          <w:p w14:paraId="44BE9CA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single" w:sz="8" w:space="0" w:color="auto"/>
              <w:left w:val="single" w:sz="8" w:space="0" w:color="auto"/>
              <w:bottom w:val="single" w:sz="8" w:space="0" w:color="000000"/>
              <w:right w:val="single" w:sz="8" w:space="0" w:color="auto"/>
            </w:tcBorders>
            <w:vAlign w:val="center"/>
            <w:hideMark/>
          </w:tcPr>
          <w:p w14:paraId="5F8BE75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single" w:sz="8" w:space="0" w:color="auto"/>
              <w:left w:val="single" w:sz="8" w:space="0" w:color="auto"/>
              <w:bottom w:val="single" w:sz="8" w:space="0" w:color="000000"/>
              <w:right w:val="single" w:sz="8" w:space="0" w:color="auto"/>
            </w:tcBorders>
            <w:vAlign w:val="center"/>
            <w:hideMark/>
          </w:tcPr>
          <w:p w14:paraId="1537C5F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single" w:sz="8" w:space="0" w:color="auto"/>
              <w:left w:val="single" w:sz="8" w:space="0" w:color="auto"/>
              <w:bottom w:val="single" w:sz="8" w:space="0" w:color="000000"/>
              <w:right w:val="single" w:sz="8" w:space="0" w:color="auto"/>
            </w:tcBorders>
            <w:vAlign w:val="center"/>
            <w:hideMark/>
          </w:tcPr>
          <w:p w14:paraId="17B131E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single" w:sz="8" w:space="0" w:color="auto"/>
              <w:left w:val="single" w:sz="8" w:space="0" w:color="auto"/>
              <w:bottom w:val="single" w:sz="8" w:space="0" w:color="000000"/>
              <w:right w:val="single" w:sz="8" w:space="0" w:color="auto"/>
            </w:tcBorders>
            <w:vAlign w:val="center"/>
            <w:hideMark/>
          </w:tcPr>
          <w:p w14:paraId="03D50B3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single" w:sz="8" w:space="0" w:color="auto"/>
              <w:left w:val="single" w:sz="8" w:space="0" w:color="auto"/>
              <w:bottom w:val="single" w:sz="8" w:space="0" w:color="000000"/>
              <w:right w:val="single" w:sz="8" w:space="0" w:color="auto"/>
            </w:tcBorders>
            <w:vAlign w:val="center"/>
            <w:hideMark/>
          </w:tcPr>
          <w:p w14:paraId="1F1D219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single" w:sz="8" w:space="0" w:color="auto"/>
              <w:left w:val="single" w:sz="8" w:space="0" w:color="auto"/>
              <w:bottom w:val="single" w:sz="8" w:space="0" w:color="000000"/>
              <w:right w:val="single" w:sz="8" w:space="0" w:color="auto"/>
            </w:tcBorders>
            <w:vAlign w:val="center"/>
            <w:hideMark/>
          </w:tcPr>
          <w:p w14:paraId="3B9D7B9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single" w:sz="8" w:space="0" w:color="auto"/>
              <w:left w:val="single" w:sz="8" w:space="0" w:color="auto"/>
              <w:bottom w:val="single" w:sz="8" w:space="0" w:color="000000"/>
              <w:right w:val="single" w:sz="8" w:space="0" w:color="auto"/>
            </w:tcBorders>
            <w:vAlign w:val="center"/>
            <w:hideMark/>
          </w:tcPr>
          <w:p w14:paraId="239A0C8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67DF0F8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736467C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6DEDB85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53C608C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density</w:t>
            </w:r>
          </w:p>
        </w:tc>
        <w:tc>
          <w:tcPr>
            <w:tcW w:w="675" w:type="dxa"/>
            <w:tcBorders>
              <w:top w:val="nil"/>
              <w:left w:val="nil"/>
              <w:bottom w:val="single" w:sz="8" w:space="0" w:color="auto"/>
              <w:right w:val="single" w:sz="8" w:space="0" w:color="auto"/>
            </w:tcBorders>
            <w:vAlign w:val="center"/>
            <w:hideMark/>
          </w:tcPr>
          <w:p w14:paraId="6F4B50B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porosity</w:t>
            </w:r>
          </w:p>
        </w:tc>
        <w:tc>
          <w:tcPr>
            <w:tcW w:w="722" w:type="dxa"/>
            <w:vMerge/>
            <w:tcBorders>
              <w:top w:val="single" w:sz="8" w:space="0" w:color="auto"/>
              <w:left w:val="single" w:sz="8" w:space="0" w:color="auto"/>
              <w:bottom w:val="single" w:sz="8" w:space="0" w:color="000000"/>
              <w:right w:val="single" w:sz="8" w:space="0" w:color="auto"/>
            </w:tcBorders>
            <w:vAlign w:val="center"/>
            <w:hideMark/>
          </w:tcPr>
          <w:p w14:paraId="3763A26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784AE8F"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2623798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CaCl_P</w:t>
            </w:r>
            <w:proofErr w:type="spellEnd"/>
          </w:p>
        </w:tc>
        <w:tc>
          <w:tcPr>
            <w:tcW w:w="652" w:type="dxa"/>
            <w:tcBorders>
              <w:top w:val="nil"/>
              <w:left w:val="nil"/>
              <w:bottom w:val="single" w:sz="8" w:space="0" w:color="auto"/>
              <w:right w:val="single" w:sz="8" w:space="0" w:color="auto"/>
            </w:tcBorders>
            <w:vAlign w:val="center"/>
            <w:hideMark/>
          </w:tcPr>
          <w:p w14:paraId="39F998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1</w:t>
            </w:r>
          </w:p>
        </w:tc>
        <w:tc>
          <w:tcPr>
            <w:tcW w:w="675" w:type="dxa"/>
            <w:tcBorders>
              <w:top w:val="nil"/>
              <w:left w:val="nil"/>
              <w:bottom w:val="single" w:sz="8" w:space="0" w:color="auto"/>
              <w:right w:val="single" w:sz="8" w:space="0" w:color="auto"/>
            </w:tcBorders>
            <w:vAlign w:val="center"/>
            <w:hideMark/>
          </w:tcPr>
          <w:p w14:paraId="374E791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14" w:type="dxa"/>
            <w:tcBorders>
              <w:top w:val="nil"/>
              <w:left w:val="nil"/>
              <w:bottom w:val="single" w:sz="8" w:space="0" w:color="auto"/>
              <w:right w:val="single" w:sz="8" w:space="0" w:color="auto"/>
            </w:tcBorders>
            <w:vAlign w:val="center"/>
            <w:hideMark/>
          </w:tcPr>
          <w:p w14:paraId="5888434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tcBorders>
              <w:top w:val="nil"/>
              <w:left w:val="nil"/>
              <w:bottom w:val="single" w:sz="8" w:space="0" w:color="auto"/>
              <w:right w:val="single" w:sz="8" w:space="0" w:color="auto"/>
            </w:tcBorders>
            <w:vAlign w:val="center"/>
            <w:hideMark/>
          </w:tcPr>
          <w:p w14:paraId="7E8A693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1EF33C1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7454575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62A714B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3ED2C39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36A55AA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093B5B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3DAF5A1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B20F78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AC5F2E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7046C7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FC22EA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A8AE0AF"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4829816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CaCl_K</w:t>
            </w:r>
            <w:proofErr w:type="spellEnd"/>
          </w:p>
        </w:tc>
        <w:tc>
          <w:tcPr>
            <w:tcW w:w="652" w:type="dxa"/>
            <w:tcBorders>
              <w:top w:val="nil"/>
              <w:left w:val="nil"/>
              <w:bottom w:val="single" w:sz="8" w:space="0" w:color="auto"/>
              <w:right w:val="single" w:sz="8" w:space="0" w:color="auto"/>
            </w:tcBorders>
            <w:shd w:val="clear" w:color="auto" w:fill="FFC000"/>
            <w:vAlign w:val="center"/>
            <w:hideMark/>
          </w:tcPr>
          <w:p w14:paraId="7B5579D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.660**</w:t>
            </w:r>
          </w:p>
        </w:tc>
        <w:tc>
          <w:tcPr>
            <w:tcW w:w="675" w:type="dxa"/>
            <w:tcBorders>
              <w:top w:val="nil"/>
              <w:left w:val="nil"/>
              <w:bottom w:val="single" w:sz="8" w:space="0" w:color="auto"/>
              <w:right w:val="single" w:sz="8" w:space="0" w:color="auto"/>
            </w:tcBorders>
            <w:vAlign w:val="center"/>
            <w:hideMark/>
          </w:tcPr>
          <w:p w14:paraId="19304D3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14" w:type="dxa"/>
            <w:tcBorders>
              <w:top w:val="nil"/>
              <w:left w:val="nil"/>
              <w:bottom w:val="single" w:sz="8" w:space="0" w:color="auto"/>
              <w:right w:val="single" w:sz="8" w:space="0" w:color="auto"/>
            </w:tcBorders>
            <w:vAlign w:val="center"/>
            <w:hideMark/>
          </w:tcPr>
          <w:p w14:paraId="6D0F8A5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tcBorders>
              <w:top w:val="nil"/>
              <w:left w:val="nil"/>
              <w:bottom w:val="single" w:sz="8" w:space="0" w:color="auto"/>
              <w:right w:val="single" w:sz="8" w:space="0" w:color="auto"/>
            </w:tcBorders>
            <w:vAlign w:val="center"/>
            <w:hideMark/>
          </w:tcPr>
          <w:p w14:paraId="083B883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6EE4B66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5736C89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6BBA18C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5D56696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57169B3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94D5E0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81E071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302EC8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239A5F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58A14FF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F85C95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11609868"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0CDA62A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CaCl_Fe</w:t>
            </w:r>
            <w:proofErr w:type="spellEnd"/>
          </w:p>
        </w:tc>
        <w:tc>
          <w:tcPr>
            <w:tcW w:w="652" w:type="dxa"/>
            <w:tcBorders>
              <w:top w:val="nil"/>
              <w:left w:val="nil"/>
              <w:bottom w:val="single" w:sz="8" w:space="0" w:color="auto"/>
              <w:right w:val="single" w:sz="8" w:space="0" w:color="auto"/>
            </w:tcBorders>
            <w:shd w:val="clear" w:color="auto" w:fill="00B0F0"/>
            <w:vAlign w:val="center"/>
            <w:hideMark/>
          </w:tcPr>
          <w:p w14:paraId="3106982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0.217</w:t>
            </w:r>
          </w:p>
        </w:tc>
        <w:tc>
          <w:tcPr>
            <w:tcW w:w="675" w:type="dxa"/>
            <w:tcBorders>
              <w:top w:val="nil"/>
              <w:left w:val="nil"/>
              <w:bottom w:val="single" w:sz="8" w:space="0" w:color="auto"/>
              <w:right w:val="single" w:sz="8" w:space="0" w:color="auto"/>
            </w:tcBorders>
            <w:shd w:val="clear" w:color="auto" w:fill="00B0F0"/>
            <w:vAlign w:val="center"/>
            <w:hideMark/>
          </w:tcPr>
          <w:p w14:paraId="6507C59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.363**</w:t>
            </w:r>
          </w:p>
        </w:tc>
        <w:tc>
          <w:tcPr>
            <w:tcW w:w="714" w:type="dxa"/>
            <w:tcBorders>
              <w:top w:val="nil"/>
              <w:left w:val="nil"/>
              <w:bottom w:val="single" w:sz="8" w:space="0" w:color="auto"/>
              <w:right w:val="single" w:sz="8" w:space="0" w:color="auto"/>
            </w:tcBorders>
            <w:vAlign w:val="center"/>
            <w:hideMark/>
          </w:tcPr>
          <w:p w14:paraId="76341F3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69" w:type="dxa"/>
            <w:tcBorders>
              <w:top w:val="nil"/>
              <w:left w:val="nil"/>
              <w:bottom w:val="single" w:sz="8" w:space="0" w:color="auto"/>
              <w:right w:val="single" w:sz="8" w:space="0" w:color="auto"/>
            </w:tcBorders>
            <w:vAlign w:val="center"/>
            <w:hideMark/>
          </w:tcPr>
          <w:p w14:paraId="489FBB9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32EC1B2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26DB2AD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4108763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7CAC079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6EAB8C4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632A0E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F5438B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D10295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00F6B5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1A95B60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7C7436A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330EC48B"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41C3800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CaCl_Mn</w:t>
            </w:r>
            <w:proofErr w:type="spellEnd"/>
          </w:p>
        </w:tc>
        <w:tc>
          <w:tcPr>
            <w:tcW w:w="652" w:type="dxa"/>
            <w:tcBorders>
              <w:top w:val="nil"/>
              <w:left w:val="nil"/>
              <w:bottom w:val="single" w:sz="8" w:space="0" w:color="auto"/>
              <w:right w:val="single" w:sz="8" w:space="0" w:color="auto"/>
            </w:tcBorders>
            <w:vAlign w:val="center"/>
            <w:hideMark/>
          </w:tcPr>
          <w:p w14:paraId="041494B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w:t>
            </w:r>
          </w:p>
        </w:tc>
        <w:tc>
          <w:tcPr>
            <w:tcW w:w="675" w:type="dxa"/>
            <w:tcBorders>
              <w:top w:val="nil"/>
              <w:left w:val="nil"/>
              <w:bottom w:val="single" w:sz="8" w:space="0" w:color="auto"/>
              <w:right w:val="single" w:sz="8" w:space="0" w:color="auto"/>
            </w:tcBorders>
            <w:shd w:val="clear" w:color="auto" w:fill="00B0F0"/>
            <w:vAlign w:val="center"/>
            <w:hideMark/>
          </w:tcPr>
          <w:p w14:paraId="249A257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0.223</w:t>
            </w:r>
          </w:p>
        </w:tc>
        <w:tc>
          <w:tcPr>
            <w:tcW w:w="714" w:type="dxa"/>
            <w:tcBorders>
              <w:top w:val="nil"/>
              <w:left w:val="nil"/>
              <w:bottom w:val="single" w:sz="8" w:space="0" w:color="auto"/>
              <w:right w:val="single" w:sz="8" w:space="0" w:color="auto"/>
            </w:tcBorders>
            <w:shd w:val="clear" w:color="auto" w:fill="92D050"/>
            <w:vAlign w:val="center"/>
            <w:hideMark/>
          </w:tcPr>
          <w:p w14:paraId="489B4EA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.483**</w:t>
            </w:r>
          </w:p>
        </w:tc>
        <w:tc>
          <w:tcPr>
            <w:tcW w:w="769" w:type="dxa"/>
            <w:tcBorders>
              <w:top w:val="nil"/>
              <w:left w:val="nil"/>
              <w:bottom w:val="single" w:sz="8" w:space="0" w:color="auto"/>
              <w:right w:val="single" w:sz="8" w:space="0" w:color="auto"/>
            </w:tcBorders>
            <w:vAlign w:val="center"/>
            <w:hideMark/>
          </w:tcPr>
          <w:p w14:paraId="0924EDA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90" w:type="dxa"/>
            <w:tcBorders>
              <w:top w:val="nil"/>
              <w:left w:val="nil"/>
              <w:bottom w:val="single" w:sz="8" w:space="0" w:color="auto"/>
              <w:right w:val="single" w:sz="8" w:space="0" w:color="auto"/>
            </w:tcBorders>
            <w:vAlign w:val="center"/>
            <w:hideMark/>
          </w:tcPr>
          <w:p w14:paraId="68BEE89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7EEE453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15E2570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273262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52ECDA4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37F64C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94B32D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4E938B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4230C40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3DE1A2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5A9F79C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24512C5A"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5896E3C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ASI_P</w:t>
            </w:r>
          </w:p>
        </w:tc>
        <w:tc>
          <w:tcPr>
            <w:tcW w:w="652" w:type="dxa"/>
            <w:tcBorders>
              <w:top w:val="nil"/>
              <w:left w:val="nil"/>
              <w:bottom w:val="single" w:sz="8" w:space="0" w:color="auto"/>
              <w:right w:val="single" w:sz="8" w:space="0" w:color="auto"/>
            </w:tcBorders>
            <w:vAlign w:val="center"/>
            <w:hideMark/>
          </w:tcPr>
          <w:p w14:paraId="2FAC6C7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-0.01</w:t>
            </w:r>
          </w:p>
        </w:tc>
        <w:tc>
          <w:tcPr>
            <w:tcW w:w="675" w:type="dxa"/>
            <w:tcBorders>
              <w:top w:val="nil"/>
              <w:left w:val="nil"/>
              <w:bottom w:val="single" w:sz="8" w:space="0" w:color="auto"/>
              <w:right w:val="single" w:sz="8" w:space="0" w:color="auto"/>
            </w:tcBorders>
            <w:vAlign w:val="center"/>
            <w:hideMark/>
          </w:tcPr>
          <w:p w14:paraId="04C99C5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0.113</w:t>
            </w:r>
          </w:p>
        </w:tc>
        <w:tc>
          <w:tcPr>
            <w:tcW w:w="714" w:type="dxa"/>
            <w:tcBorders>
              <w:top w:val="nil"/>
              <w:left w:val="nil"/>
              <w:bottom w:val="single" w:sz="8" w:space="0" w:color="auto"/>
              <w:right w:val="single" w:sz="8" w:space="0" w:color="auto"/>
            </w:tcBorders>
            <w:vAlign w:val="center"/>
            <w:hideMark/>
          </w:tcPr>
          <w:p w14:paraId="457ECB2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0.073</w:t>
            </w:r>
          </w:p>
        </w:tc>
        <w:tc>
          <w:tcPr>
            <w:tcW w:w="769" w:type="dxa"/>
            <w:tcBorders>
              <w:top w:val="nil"/>
              <w:left w:val="nil"/>
              <w:bottom w:val="single" w:sz="8" w:space="0" w:color="auto"/>
              <w:right w:val="single" w:sz="8" w:space="0" w:color="auto"/>
            </w:tcBorders>
            <w:vAlign w:val="center"/>
            <w:hideMark/>
          </w:tcPr>
          <w:p w14:paraId="2C43ACE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0.071</w:t>
            </w:r>
          </w:p>
        </w:tc>
        <w:tc>
          <w:tcPr>
            <w:tcW w:w="590" w:type="dxa"/>
            <w:tcBorders>
              <w:top w:val="nil"/>
              <w:left w:val="nil"/>
              <w:bottom w:val="single" w:sz="8" w:space="0" w:color="auto"/>
              <w:right w:val="single" w:sz="8" w:space="0" w:color="auto"/>
            </w:tcBorders>
            <w:vAlign w:val="center"/>
            <w:hideMark/>
          </w:tcPr>
          <w:p w14:paraId="3B4D9DD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13" w:type="dxa"/>
            <w:tcBorders>
              <w:top w:val="nil"/>
              <w:left w:val="nil"/>
              <w:bottom w:val="single" w:sz="8" w:space="0" w:color="auto"/>
              <w:right w:val="single" w:sz="8" w:space="0" w:color="auto"/>
            </w:tcBorders>
            <w:vAlign w:val="center"/>
            <w:hideMark/>
          </w:tcPr>
          <w:p w14:paraId="2BAD459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31531E0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5CB2BAA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4FB015B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313D5D3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A2E54D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E7861C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B4B6A8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4741A9A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D16874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796B727B"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591F45F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ASI_K</w:t>
            </w:r>
          </w:p>
        </w:tc>
        <w:tc>
          <w:tcPr>
            <w:tcW w:w="652" w:type="dxa"/>
            <w:tcBorders>
              <w:top w:val="nil"/>
              <w:left w:val="nil"/>
              <w:bottom w:val="single" w:sz="8" w:space="0" w:color="auto"/>
              <w:right w:val="single" w:sz="8" w:space="0" w:color="auto"/>
            </w:tcBorders>
            <w:shd w:val="clear" w:color="auto" w:fill="92D050"/>
            <w:vAlign w:val="center"/>
            <w:hideMark/>
          </w:tcPr>
          <w:p w14:paraId="1FCB392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408</w:t>
            </w:r>
            <w:r w:rsidRPr="00485133">
              <w:rPr>
                <w:rFonts w:ascii="Times New Roman" w:eastAsia="Times New Roman" w:hAnsi="Times New Roman" w:cs="Times New Roman"/>
                <w:color w:val="000000"/>
                <w:kern w:val="0"/>
                <w:sz w:val="14"/>
                <w:szCs w:val="14"/>
              </w:rPr>
              <w:t>**</w:t>
            </w:r>
          </w:p>
        </w:tc>
        <w:tc>
          <w:tcPr>
            <w:tcW w:w="675" w:type="dxa"/>
            <w:tcBorders>
              <w:top w:val="nil"/>
              <w:left w:val="nil"/>
              <w:bottom w:val="single" w:sz="8" w:space="0" w:color="auto"/>
              <w:right w:val="single" w:sz="8" w:space="0" w:color="auto"/>
            </w:tcBorders>
            <w:shd w:val="clear" w:color="auto" w:fill="FFC000"/>
            <w:vAlign w:val="center"/>
            <w:hideMark/>
          </w:tcPr>
          <w:p w14:paraId="525D01C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.634**</w:t>
            </w:r>
          </w:p>
        </w:tc>
        <w:tc>
          <w:tcPr>
            <w:tcW w:w="714" w:type="dxa"/>
            <w:tcBorders>
              <w:top w:val="nil"/>
              <w:left w:val="nil"/>
              <w:bottom w:val="single" w:sz="8" w:space="0" w:color="auto"/>
              <w:right w:val="single" w:sz="8" w:space="0" w:color="auto"/>
            </w:tcBorders>
            <w:shd w:val="clear" w:color="auto" w:fill="92D050"/>
            <w:vAlign w:val="center"/>
            <w:hideMark/>
          </w:tcPr>
          <w:p w14:paraId="551B3E3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.424**</w:t>
            </w:r>
          </w:p>
        </w:tc>
        <w:tc>
          <w:tcPr>
            <w:tcW w:w="769" w:type="dxa"/>
            <w:tcBorders>
              <w:top w:val="nil"/>
              <w:left w:val="nil"/>
              <w:bottom w:val="single" w:sz="8" w:space="0" w:color="auto"/>
              <w:right w:val="single" w:sz="8" w:space="0" w:color="auto"/>
            </w:tcBorders>
            <w:shd w:val="clear" w:color="auto" w:fill="00B0F0"/>
            <w:vAlign w:val="center"/>
            <w:hideMark/>
          </w:tcPr>
          <w:p w14:paraId="112E798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.364**</w:t>
            </w:r>
          </w:p>
        </w:tc>
        <w:tc>
          <w:tcPr>
            <w:tcW w:w="590" w:type="dxa"/>
            <w:tcBorders>
              <w:top w:val="nil"/>
              <w:left w:val="nil"/>
              <w:bottom w:val="single" w:sz="8" w:space="0" w:color="auto"/>
              <w:right w:val="single" w:sz="8" w:space="0" w:color="auto"/>
            </w:tcBorders>
            <w:vAlign w:val="center"/>
            <w:hideMark/>
          </w:tcPr>
          <w:p w14:paraId="3EFA118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w:t>
            </w:r>
          </w:p>
        </w:tc>
        <w:tc>
          <w:tcPr>
            <w:tcW w:w="613" w:type="dxa"/>
            <w:tcBorders>
              <w:top w:val="nil"/>
              <w:left w:val="nil"/>
              <w:bottom w:val="single" w:sz="8" w:space="0" w:color="auto"/>
              <w:right w:val="single" w:sz="8" w:space="0" w:color="auto"/>
            </w:tcBorders>
            <w:vAlign w:val="center"/>
            <w:hideMark/>
          </w:tcPr>
          <w:p w14:paraId="1A804DA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52" w:type="dxa"/>
            <w:tcBorders>
              <w:top w:val="nil"/>
              <w:left w:val="nil"/>
              <w:bottom w:val="single" w:sz="8" w:space="0" w:color="auto"/>
              <w:right w:val="single" w:sz="8" w:space="0" w:color="auto"/>
            </w:tcBorders>
            <w:vAlign w:val="center"/>
            <w:hideMark/>
          </w:tcPr>
          <w:p w14:paraId="4730BE9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340B768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36CFC9B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C79C6F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6D3FED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DE4BF5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5B8D7E1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5E2C14F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5C2E5B2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3452F130"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2A13C2E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ASI_Fe</w:t>
            </w:r>
            <w:proofErr w:type="spellEnd"/>
          </w:p>
        </w:tc>
        <w:tc>
          <w:tcPr>
            <w:tcW w:w="652" w:type="dxa"/>
            <w:tcBorders>
              <w:top w:val="nil"/>
              <w:left w:val="nil"/>
              <w:bottom w:val="single" w:sz="8" w:space="0" w:color="auto"/>
              <w:right w:val="single" w:sz="8" w:space="0" w:color="auto"/>
            </w:tcBorders>
            <w:shd w:val="clear" w:color="auto" w:fill="00B0F0"/>
            <w:vAlign w:val="center"/>
            <w:hideMark/>
          </w:tcPr>
          <w:p w14:paraId="532A142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.310*</w:t>
            </w:r>
          </w:p>
        </w:tc>
        <w:tc>
          <w:tcPr>
            <w:tcW w:w="675" w:type="dxa"/>
            <w:tcBorders>
              <w:top w:val="nil"/>
              <w:left w:val="nil"/>
              <w:bottom w:val="single" w:sz="8" w:space="0" w:color="auto"/>
              <w:right w:val="single" w:sz="8" w:space="0" w:color="auto"/>
            </w:tcBorders>
            <w:shd w:val="clear" w:color="auto" w:fill="00B0F0"/>
            <w:vAlign w:val="center"/>
            <w:hideMark/>
          </w:tcPr>
          <w:p w14:paraId="1054FBE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0.24</w:t>
            </w:r>
          </w:p>
        </w:tc>
        <w:tc>
          <w:tcPr>
            <w:tcW w:w="714" w:type="dxa"/>
            <w:tcBorders>
              <w:top w:val="nil"/>
              <w:left w:val="nil"/>
              <w:bottom w:val="single" w:sz="8" w:space="0" w:color="auto"/>
              <w:right w:val="single" w:sz="8" w:space="0" w:color="auto"/>
            </w:tcBorders>
            <w:shd w:val="clear" w:color="auto" w:fill="00B0F0"/>
            <w:vAlign w:val="center"/>
            <w:hideMark/>
          </w:tcPr>
          <w:p w14:paraId="274FD86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357**</w:t>
            </w:r>
          </w:p>
        </w:tc>
        <w:tc>
          <w:tcPr>
            <w:tcW w:w="769" w:type="dxa"/>
            <w:tcBorders>
              <w:top w:val="nil"/>
              <w:left w:val="nil"/>
              <w:bottom w:val="single" w:sz="8" w:space="0" w:color="auto"/>
              <w:right w:val="single" w:sz="8" w:space="0" w:color="auto"/>
            </w:tcBorders>
            <w:vAlign w:val="center"/>
            <w:hideMark/>
          </w:tcPr>
          <w:p w14:paraId="3D2DD65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0.029</w:t>
            </w:r>
          </w:p>
        </w:tc>
        <w:tc>
          <w:tcPr>
            <w:tcW w:w="590" w:type="dxa"/>
            <w:tcBorders>
              <w:top w:val="nil"/>
              <w:left w:val="nil"/>
              <w:bottom w:val="single" w:sz="8" w:space="0" w:color="auto"/>
              <w:right w:val="single" w:sz="8" w:space="0" w:color="auto"/>
            </w:tcBorders>
            <w:vAlign w:val="center"/>
            <w:hideMark/>
          </w:tcPr>
          <w:p w14:paraId="22838E4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0.029</w:t>
            </w:r>
          </w:p>
        </w:tc>
        <w:tc>
          <w:tcPr>
            <w:tcW w:w="613" w:type="dxa"/>
            <w:tcBorders>
              <w:top w:val="nil"/>
              <w:left w:val="nil"/>
              <w:bottom w:val="single" w:sz="8" w:space="0" w:color="auto"/>
              <w:right w:val="single" w:sz="8" w:space="0" w:color="auto"/>
            </w:tcBorders>
            <w:vAlign w:val="center"/>
            <w:hideMark/>
          </w:tcPr>
          <w:p w14:paraId="2BF73EF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w:t>
            </w:r>
          </w:p>
        </w:tc>
        <w:tc>
          <w:tcPr>
            <w:tcW w:w="652" w:type="dxa"/>
            <w:tcBorders>
              <w:top w:val="nil"/>
              <w:left w:val="nil"/>
              <w:bottom w:val="single" w:sz="8" w:space="0" w:color="auto"/>
              <w:right w:val="single" w:sz="8" w:space="0" w:color="auto"/>
            </w:tcBorders>
            <w:vAlign w:val="center"/>
            <w:hideMark/>
          </w:tcPr>
          <w:p w14:paraId="47379AD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07" w:type="dxa"/>
            <w:tcBorders>
              <w:top w:val="nil"/>
              <w:left w:val="nil"/>
              <w:bottom w:val="single" w:sz="8" w:space="0" w:color="auto"/>
              <w:right w:val="single" w:sz="8" w:space="0" w:color="auto"/>
            </w:tcBorders>
            <w:vAlign w:val="center"/>
            <w:hideMark/>
          </w:tcPr>
          <w:p w14:paraId="3B3D0A4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2FBFC7D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B61731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489353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ECB3C3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5D1335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45AC518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7EC05A3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0D79BE2"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CFB913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ASI_Mn</w:t>
            </w:r>
          </w:p>
        </w:tc>
        <w:tc>
          <w:tcPr>
            <w:tcW w:w="652" w:type="dxa"/>
            <w:tcBorders>
              <w:top w:val="nil"/>
              <w:left w:val="nil"/>
              <w:bottom w:val="single" w:sz="8" w:space="0" w:color="auto"/>
              <w:right w:val="single" w:sz="8" w:space="0" w:color="auto"/>
            </w:tcBorders>
            <w:vAlign w:val="center"/>
            <w:hideMark/>
          </w:tcPr>
          <w:p w14:paraId="09FF79A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0.052</w:t>
            </w:r>
          </w:p>
        </w:tc>
        <w:tc>
          <w:tcPr>
            <w:tcW w:w="675" w:type="dxa"/>
            <w:tcBorders>
              <w:top w:val="nil"/>
              <w:left w:val="nil"/>
              <w:bottom w:val="single" w:sz="8" w:space="0" w:color="auto"/>
              <w:right w:val="single" w:sz="8" w:space="0" w:color="auto"/>
            </w:tcBorders>
            <w:vAlign w:val="center"/>
            <w:hideMark/>
          </w:tcPr>
          <w:p w14:paraId="28E9A5E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0.13</w:t>
            </w:r>
          </w:p>
        </w:tc>
        <w:tc>
          <w:tcPr>
            <w:tcW w:w="714" w:type="dxa"/>
            <w:tcBorders>
              <w:top w:val="nil"/>
              <w:left w:val="nil"/>
              <w:bottom w:val="single" w:sz="8" w:space="0" w:color="auto"/>
              <w:right w:val="single" w:sz="8" w:space="0" w:color="auto"/>
            </w:tcBorders>
            <w:shd w:val="clear" w:color="auto" w:fill="00B0F0"/>
            <w:vAlign w:val="center"/>
            <w:hideMark/>
          </w:tcPr>
          <w:p w14:paraId="268E39E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.273*</w:t>
            </w:r>
          </w:p>
        </w:tc>
        <w:tc>
          <w:tcPr>
            <w:tcW w:w="769" w:type="dxa"/>
            <w:tcBorders>
              <w:top w:val="nil"/>
              <w:left w:val="nil"/>
              <w:bottom w:val="single" w:sz="8" w:space="0" w:color="auto"/>
              <w:right w:val="single" w:sz="8" w:space="0" w:color="auto"/>
            </w:tcBorders>
            <w:shd w:val="clear" w:color="auto" w:fill="00B0F0"/>
            <w:vAlign w:val="center"/>
            <w:hideMark/>
          </w:tcPr>
          <w:p w14:paraId="39511CF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0.236</w:t>
            </w:r>
          </w:p>
        </w:tc>
        <w:tc>
          <w:tcPr>
            <w:tcW w:w="590" w:type="dxa"/>
            <w:tcBorders>
              <w:top w:val="nil"/>
              <w:left w:val="nil"/>
              <w:bottom w:val="single" w:sz="8" w:space="0" w:color="auto"/>
              <w:right w:val="single" w:sz="8" w:space="0" w:color="auto"/>
            </w:tcBorders>
            <w:vAlign w:val="center"/>
            <w:hideMark/>
          </w:tcPr>
          <w:p w14:paraId="77D1818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0.026</w:t>
            </w:r>
          </w:p>
        </w:tc>
        <w:tc>
          <w:tcPr>
            <w:tcW w:w="613" w:type="dxa"/>
            <w:tcBorders>
              <w:top w:val="nil"/>
              <w:left w:val="nil"/>
              <w:bottom w:val="single" w:sz="8" w:space="0" w:color="auto"/>
              <w:right w:val="single" w:sz="8" w:space="0" w:color="auto"/>
            </w:tcBorders>
            <w:vAlign w:val="center"/>
            <w:hideMark/>
          </w:tcPr>
          <w:p w14:paraId="3B6308A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0.127</w:t>
            </w:r>
          </w:p>
        </w:tc>
        <w:tc>
          <w:tcPr>
            <w:tcW w:w="652" w:type="dxa"/>
            <w:tcBorders>
              <w:top w:val="nil"/>
              <w:left w:val="nil"/>
              <w:bottom w:val="single" w:sz="8" w:space="0" w:color="auto"/>
              <w:right w:val="single" w:sz="8" w:space="0" w:color="auto"/>
            </w:tcBorders>
            <w:shd w:val="clear" w:color="auto" w:fill="FFC000"/>
            <w:vAlign w:val="center"/>
            <w:hideMark/>
          </w:tcPr>
          <w:p w14:paraId="6150158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.646**</w:t>
            </w:r>
          </w:p>
        </w:tc>
        <w:tc>
          <w:tcPr>
            <w:tcW w:w="707" w:type="dxa"/>
            <w:tcBorders>
              <w:top w:val="nil"/>
              <w:left w:val="nil"/>
              <w:bottom w:val="single" w:sz="8" w:space="0" w:color="auto"/>
              <w:right w:val="single" w:sz="8" w:space="0" w:color="auto"/>
            </w:tcBorders>
            <w:vAlign w:val="center"/>
            <w:hideMark/>
          </w:tcPr>
          <w:p w14:paraId="5856EFF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01" w:type="dxa"/>
            <w:tcBorders>
              <w:top w:val="nil"/>
              <w:left w:val="nil"/>
              <w:bottom w:val="single" w:sz="8" w:space="0" w:color="auto"/>
              <w:right w:val="single" w:sz="8" w:space="0" w:color="auto"/>
            </w:tcBorders>
            <w:vAlign w:val="center"/>
            <w:hideMark/>
          </w:tcPr>
          <w:p w14:paraId="1A402C8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AF9C69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B44262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078B92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264DBB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724E230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AA2565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7352DFC1"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6A83D0C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Sand</w:t>
            </w:r>
          </w:p>
        </w:tc>
        <w:tc>
          <w:tcPr>
            <w:tcW w:w="652" w:type="dxa"/>
            <w:tcBorders>
              <w:top w:val="nil"/>
              <w:left w:val="nil"/>
              <w:bottom w:val="single" w:sz="8" w:space="0" w:color="auto"/>
              <w:right w:val="single" w:sz="8" w:space="0" w:color="auto"/>
            </w:tcBorders>
            <w:vAlign w:val="center"/>
            <w:hideMark/>
          </w:tcPr>
          <w:p w14:paraId="5DECDAB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0.173</w:t>
            </w:r>
          </w:p>
        </w:tc>
        <w:tc>
          <w:tcPr>
            <w:tcW w:w="675" w:type="dxa"/>
            <w:tcBorders>
              <w:top w:val="nil"/>
              <w:left w:val="nil"/>
              <w:bottom w:val="single" w:sz="8" w:space="0" w:color="auto"/>
              <w:right w:val="single" w:sz="8" w:space="0" w:color="auto"/>
            </w:tcBorders>
            <w:vAlign w:val="center"/>
            <w:hideMark/>
          </w:tcPr>
          <w:p w14:paraId="628FE99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0.034</w:t>
            </w:r>
          </w:p>
        </w:tc>
        <w:tc>
          <w:tcPr>
            <w:tcW w:w="714" w:type="dxa"/>
            <w:tcBorders>
              <w:top w:val="nil"/>
              <w:left w:val="nil"/>
              <w:bottom w:val="single" w:sz="8" w:space="0" w:color="auto"/>
              <w:right w:val="single" w:sz="8" w:space="0" w:color="auto"/>
            </w:tcBorders>
            <w:vAlign w:val="center"/>
            <w:hideMark/>
          </w:tcPr>
          <w:p w14:paraId="4601EFE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-0.195</w:t>
            </w:r>
          </w:p>
        </w:tc>
        <w:tc>
          <w:tcPr>
            <w:tcW w:w="769" w:type="dxa"/>
            <w:tcBorders>
              <w:top w:val="nil"/>
              <w:left w:val="nil"/>
              <w:bottom w:val="single" w:sz="8" w:space="0" w:color="auto"/>
              <w:right w:val="single" w:sz="8" w:space="0" w:color="auto"/>
            </w:tcBorders>
            <w:vAlign w:val="center"/>
            <w:hideMark/>
          </w:tcPr>
          <w:p w14:paraId="535DF9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-0.164</w:t>
            </w:r>
          </w:p>
        </w:tc>
        <w:tc>
          <w:tcPr>
            <w:tcW w:w="590" w:type="dxa"/>
            <w:tcBorders>
              <w:top w:val="nil"/>
              <w:left w:val="nil"/>
              <w:bottom w:val="single" w:sz="8" w:space="0" w:color="auto"/>
              <w:right w:val="single" w:sz="8" w:space="0" w:color="auto"/>
            </w:tcBorders>
            <w:vAlign w:val="center"/>
            <w:hideMark/>
          </w:tcPr>
          <w:p w14:paraId="574A57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w:t>
            </w:r>
          </w:p>
        </w:tc>
        <w:tc>
          <w:tcPr>
            <w:tcW w:w="613" w:type="dxa"/>
            <w:tcBorders>
              <w:top w:val="nil"/>
              <w:left w:val="nil"/>
              <w:bottom w:val="single" w:sz="8" w:space="0" w:color="auto"/>
              <w:right w:val="single" w:sz="8" w:space="0" w:color="auto"/>
            </w:tcBorders>
            <w:vAlign w:val="center"/>
            <w:hideMark/>
          </w:tcPr>
          <w:p w14:paraId="5A168D9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-0.058</w:t>
            </w:r>
          </w:p>
        </w:tc>
        <w:tc>
          <w:tcPr>
            <w:tcW w:w="652" w:type="dxa"/>
            <w:tcBorders>
              <w:top w:val="nil"/>
              <w:left w:val="nil"/>
              <w:bottom w:val="single" w:sz="8" w:space="0" w:color="auto"/>
              <w:right w:val="single" w:sz="8" w:space="0" w:color="auto"/>
            </w:tcBorders>
            <w:vAlign w:val="center"/>
            <w:hideMark/>
          </w:tcPr>
          <w:p w14:paraId="2E41BB7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0.056</w:t>
            </w:r>
          </w:p>
        </w:tc>
        <w:tc>
          <w:tcPr>
            <w:tcW w:w="707" w:type="dxa"/>
            <w:tcBorders>
              <w:top w:val="nil"/>
              <w:left w:val="nil"/>
              <w:bottom w:val="single" w:sz="8" w:space="0" w:color="auto"/>
              <w:right w:val="single" w:sz="8" w:space="0" w:color="auto"/>
            </w:tcBorders>
            <w:vAlign w:val="center"/>
            <w:hideMark/>
          </w:tcPr>
          <w:p w14:paraId="2AC151C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-0.052</w:t>
            </w:r>
          </w:p>
        </w:tc>
        <w:tc>
          <w:tcPr>
            <w:tcW w:w="601" w:type="dxa"/>
            <w:tcBorders>
              <w:top w:val="nil"/>
              <w:left w:val="nil"/>
              <w:bottom w:val="single" w:sz="8" w:space="0" w:color="auto"/>
              <w:right w:val="single" w:sz="8" w:space="0" w:color="auto"/>
            </w:tcBorders>
            <w:vAlign w:val="center"/>
            <w:hideMark/>
          </w:tcPr>
          <w:p w14:paraId="556BADD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1EF9DE5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2D2738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EA72BC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3E4674F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3002DAA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788A790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78CC4A59"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4D5EEF0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Silt</w:t>
            </w:r>
          </w:p>
        </w:tc>
        <w:tc>
          <w:tcPr>
            <w:tcW w:w="652" w:type="dxa"/>
            <w:tcBorders>
              <w:top w:val="nil"/>
              <w:left w:val="nil"/>
              <w:bottom w:val="single" w:sz="8" w:space="0" w:color="auto"/>
              <w:right w:val="single" w:sz="8" w:space="0" w:color="auto"/>
            </w:tcBorders>
            <w:vAlign w:val="center"/>
            <w:hideMark/>
          </w:tcPr>
          <w:p w14:paraId="4E0448B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-0.083</w:t>
            </w:r>
          </w:p>
        </w:tc>
        <w:tc>
          <w:tcPr>
            <w:tcW w:w="675" w:type="dxa"/>
            <w:tcBorders>
              <w:top w:val="nil"/>
              <w:left w:val="nil"/>
              <w:bottom w:val="single" w:sz="8" w:space="0" w:color="auto"/>
              <w:right w:val="single" w:sz="8" w:space="0" w:color="auto"/>
            </w:tcBorders>
            <w:vAlign w:val="center"/>
            <w:hideMark/>
          </w:tcPr>
          <w:p w14:paraId="156578C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714" w:type="dxa"/>
            <w:tcBorders>
              <w:top w:val="nil"/>
              <w:left w:val="nil"/>
              <w:bottom w:val="single" w:sz="8" w:space="0" w:color="auto"/>
              <w:right w:val="single" w:sz="8" w:space="0" w:color="auto"/>
            </w:tcBorders>
            <w:shd w:val="clear" w:color="auto" w:fill="00B0F0"/>
            <w:vAlign w:val="center"/>
            <w:hideMark/>
          </w:tcPr>
          <w:p w14:paraId="70D7594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0.233</w:t>
            </w:r>
          </w:p>
        </w:tc>
        <w:tc>
          <w:tcPr>
            <w:tcW w:w="769" w:type="dxa"/>
            <w:tcBorders>
              <w:top w:val="nil"/>
              <w:left w:val="nil"/>
              <w:bottom w:val="single" w:sz="8" w:space="0" w:color="auto"/>
              <w:right w:val="single" w:sz="8" w:space="0" w:color="auto"/>
            </w:tcBorders>
            <w:vAlign w:val="center"/>
            <w:hideMark/>
          </w:tcPr>
          <w:p w14:paraId="1088398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0.069</w:t>
            </w:r>
          </w:p>
        </w:tc>
        <w:tc>
          <w:tcPr>
            <w:tcW w:w="590" w:type="dxa"/>
            <w:tcBorders>
              <w:top w:val="nil"/>
              <w:left w:val="nil"/>
              <w:bottom w:val="single" w:sz="8" w:space="0" w:color="auto"/>
              <w:right w:val="single" w:sz="8" w:space="0" w:color="auto"/>
            </w:tcBorders>
            <w:vAlign w:val="center"/>
            <w:hideMark/>
          </w:tcPr>
          <w:p w14:paraId="5514CAB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-0.027</w:t>
            </w:r>
          </w:p>
        </w:tc>
        <w:tc>
          <w:tcPr>
            <w:tcW w:w="613" w:type="dxa"/>
            <w:tcBorders>
              <w:top w:val="nil"/>
              <w:left w:val="nil"/>
              <w:bottom w:val="single" w:sz="8" w:space="0" w:color="auto"/>
              <w:right w:val="single" w:sz="8" w:space="0" w:color="auto"/>
            </w:tcBorders>
            <w:vAlign w:val="center"/>
            <w:hideMark/>
          </w:tcPr>
          <w:p w14:paraId="19B2797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0.046</w:t>
            </w:r>
          </w:p>
        </w:tc>
        <w:tc>
          <w:tcPr>
            <w:tcW w:w="652" w:type="dxa"/>
            <w:tcBorders>
              <w:top w:val="nil"/>
              <w:left w:val="nil"/>
              <w:bottom w:val="single" w:sz="8" w:space="0" w:color="auto"/>
              <w:right w:val="single" w:sz="8" w:space="0" w:color="auto"/>
            </w:tcBorders>
            <w:vAlign w:val="center"/>
            <w:hideMark/>
          </w:tcPr>
          <w:p w14:paraId="6EE9DA8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0.025</w:t>
            </w:r>
          </w:p>
        </w:tc>
        <w:tc>
          <w:tcPr>
            <w:tcW w:w="707" w:type="dxa"/>
            <w:tcBorders>
              <w:top w:val="nil"/>
              <w:left w:val="nil"/>
              <w:bottom w:val="single" w:sz="8" w:space="0" w:color="auto"/>
              <w:right w:val="single" w:sz="8" w:space="0" w:color="auto"/>
            </w:tcBorders>
            <w:vAlign w:val="center"/>
            <w:hideMark/>
          </w:tcPr>
          <w:p w14:paraId="1C70B41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-0.025</w:t>
            </w:r>
          </w:p>
        </w:tc>
        <w:tc>
          <w:tcPr>
            <w:tcW w:w="601" w:type="dxa"/>
            <w:tcBorders>
              <w:top w:val="nil"/>
              <w:left w:val="nil"/>
              <w:bottom w:val="single" w:sz="8" w:space="0" w:color="auto"/>
              <w:right w:val="single" w:sz="8" w:space="0" w:color="auto"/>
            </w:tcBorders>
            <w:shd w:val="clear" w:color="auto" w:fill="FFC000"/>
            <w:vAlign w:val="center"/>
            <w:hideMark/>
          </w:tcPr>
          <w:p w14:paraId="2AB9FB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-.770**</w:t>
            </w:r>
          </w:p>
        </w:tc>
        <w:tc>
          <w:tcPr>
            <w:tcW w:w="531" w:type="dxa"/>
            <w:tcBorders>
              <w:top w:val="nil"/>
              <w:left w:val="nil"/>
              <w:bottom w:val="single" w:sz="8" w:space="0" w:color="auto"/>
              <w:right w:val="single" w:sz="8" w:space="0" w:color="auto"/>
            </w:tcBorders>
            <w:vAlign w:val="center"/>
            <w:hideMark/>
          </w:tcPr>
          <w:p w14:paraId="3BE3BE8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2B1070C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30C4075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B5A8E8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0C1A25B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22677B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2CAF022C"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504D3D7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Clay</w:t>
            </w:r>
          </w:p>
        </w:tc>
        <w:tc>
          <w:tcPr>
            <w:tcW w:w="652" w:type="dxa"/>
            <w:tcBorders>
              <w:top w:val="nil"/>
              <w:left w:val="nil"/>
              <w:bottom w:val="single" w:sz="8" w:space="0" w:color="auto"/>
              <w:right w:val="single" w:sz="8" w:space="0" w:color="auto"/>
            </w:tcBorders>
            <w:vAlign w:val="center"/>
            <w:hideMark/>
          </w:tcPr>
          <w:p w14:paraId="3E3C68F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-0.188</w:t>
            </w:r>
          </w:p>
        </w:tc>
        <w:tc>
          <w:tcPr>
            <w:tcW w:w="675" w:type="dxa"/>
            <w:tcBorders>
              <w:top w:val="nil"/>
              <w:left w:val="nil"/>
              <w:bottom w:val="single" w:sz="8" w:space="0" w:color="auto"/>
              <w:right w:val="single" w:sz="8" w:space="0" w:color="auto"/>
            </w:tcBorders>
            <w:vAlign w:val="center"/>
            <w:hideMark/>
          </w:tcPr>
          <w:p w14:paraId="2E94421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-0.048</w:t>
            </w:r>
          </w:p>
        </w:tc>
        <w:tc>
          <w:tcPr>
            <w:tcW w:w="714" w:type="dxa"/>
            <w:tcBorders>
              <w:top w:val="nil"/>
              <w:left w:val="nil"/>
              <w:bottom w:val="single" w:sz="8" w:space="0" w:color="auto"/>
              <w:right w:val="single" w:sz="8" w:space="0" w:color="auto"/>
            </w:tcBorders>
            <w:vAlign w:val="center"/>
            <w:hideMark/>
          </w:tcPr>
          <w:p w14:paraId="08B8758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w:t>
            </w:r>
          </w:p>
        </w:tc>
        <w:tc>
          <w:tcPr>
            <w:tcW w:w="769" w:type="dxa"/>
            <w:tcBorders>
              <w:top w:val="nil"/>
              <w:left w:val="nil"/>
              <w:bottom w:val="single" w:sz="8" w:space="0" w:color="auto"/>
              <w:right w:val="single" w:sz="8" w:space="0" w:color="auto"/>
            </w:tcBorders>
            <w:vAlign w:val="center"/>
            <w:hideMark/>
          </w:tcPr>
          <w:p w14:paraId="27826C1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0.186</w:t>
            </w:r>
          </w:p>
        </w:tc>
        <w:tc>
          <w:tcPr>
            <w:tcW w:w="590" w:type="dxa"/>
            <w:tcBorders>
              <w:top w:val="nil"/>
              <w:left w:val="nil"/>
              <w:bottom w:val="single" w:sz="8" w:space="0" w:color="auto"/>
              <w:right w:val="single" w:sz="8" w:space="0" w:color="auto"/>
            </w:tcBorders>
            <w:vAlign w:val="center"/>
            <w:hideMark/>
          </w:tcPr>
          <w:p w14:paraId="5179FF0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-0.179</w:t>
            </w:r>
          </w:p>
        </w:tc>
        <w:tc>
          <w:tcPr>
            <w:tcW w:w="613" w:type="dxa"/>
            <w:tcBorders>
              <w:top w:val="nil"/>
              <w:left w:val="nil"/>
              <w:bottom w:val="single" w:sz="8" w:space="0" w:color="auto"/>
              <w:right w:val="single" w:sz="8" w:space="0" w:color="auto"/>
            </w:tcBorders>
            <w:vAlign w:val="center"/>
            <w:hideMark/>
          </w:tcPr>
          <w:p w14:paraId="5039AAB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0.051</w:t>
            </w:r>
          </w:p>
        </w:tc>
        <w:tc>
          <w:tcPr>
            <w:tcW w:w="652" w:type="dxa"/>
            <w:tcBorders>
              <w:top w:val="nil"/>
              <w:left w:val="nil"/>
              <w:bottom w:val="single" w:sz="8" w:space="0" w:color="auto"/>
              <w:right w:val="single" w:sz="8" w:space="0" w:color="auto"/>
            </w:tcBorders>
            <w:vAlign w:val="center"/>
            <w:hideMark/>
          </w:tcPr>
          <w:p w14:paraId="4F576CB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-0.105</w:t>
            </w:r>
          </w:p>
        </w:tc>
        <w:tc>
          <w:tcPr>
            <w:tcW w:w="707" w:type="dxa"/>
            <w:tcBorders>
              <w:top w:val="nil"/>
              <w:left w:val="nil"/>
              <w:bottom w:val="single" w:sz="8" w:space="0" w:color="auto"/>
              <w:right w:val="single" w:sz="8" w:space="0" w:color="auto"/>
            </w:tcBorders>
            <w:vAlign w:val="center"/>
            <w:hideMark/>
          </w:tcPr>
          <w:p w14:paraId="67F2D62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0.098</w:t>
            </w:r>
          </w:p>
        </w:tc>
        <w:tc>
          <w:tcPr>
            <w:tcW w:w="601" w:type="dxa"/>
            <w:tcBorders>
              <w:top w:val="nil"/>
              <w:left w:val="nil"/>
              <w:bottom w:val="single" w:sz="8" w:space="0" w:color="auto"/>
              <w:right w:val="single" w:sz="8" w:space="0" w:color="auto"/>
            </w:tcBorders>
            <w:shd w:val="clear" w:color="auto" w:fill="EE0000"/>
            <w:vAlign w:val="center"/>
            <w:hideMark/>
          </w:tcPr>
          <w:p w14:paraId="6A0EE4B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-.853**</w:t>
            </w:r>
          </w:p>
        </w:tc>
        <w:tc>
          <w:tcPr>
            <w:tcW w:w="531" w:type="dxa"/>
            <w:tcBorders>
              <w:top w:val="nil"/>
              <w:left w:val="nil"/>
              <w:bottom w:val="single" w:sz="8" w:space="0" w:color="auto"/>
              <w:right w:val="single" w:sz="8" w:space="0" w:color="auto"/>
            </w:tcBorders>
            <w:shd w:val="clear" w:color="auto" w:fill="00B0F0"/>
            <w:vAlign w:val="center"/>
            <w:hideMark/>
          </w:tcPr>
          <w:p w14:paraId="586A44E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.324*</w:t>
            </w:r>
          </w:p>
        </w:tc>
        <w:tc>
          <w:tcPr>
            <w:tcW w:w="531" w:type="dxa"/>
            <w:tcBorders>
              <w:top w:val="nil"/>
              <w:left w:val="nil"/>
              <w:bottom w:val="single" w:sz="8" w:space="0" w:color="auto"/>
              <w:right w:val="single" w:sz="8" w:space="0" w:color="auto"/>
            </w:tcBorders>
            <w:vAlign w:val="center"/>
            <w:hideMark/>
          </w:tcPr>
          <w:p w14:paraId="7FE26A1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2C0D178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D4D476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8B80ED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781DDCD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3E88A83"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50F31D7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roofErr w:type="spellStart"/>
            <w:r w:rsidRPr="00D21AC3">
              <w:rPr>
                <w:rFonts w:ascii="Times New Roman" w:eastAsia="Times New Roman" w:hAnsi="Times New Roman" w:cs="Times New Roman"/>
                <w:color w:val="000000"/>
                <w:kern w:val="0"/>
                <w:sz w:val="14"/>
                <w:szCs w:val="14"/>
              </w:rPr>
              <w:t>Ksat</w:t>
            </w:r>
            <w:proofErr w:type="spellEnd"/>
          </w:p>
        </w:tc>
        <w:tc>
          <w:tcPr>
            <w:tcW w:w="652" w:type="dxa"/>
            <w:tcBorders>
              <w:top w:val="nil"/>
              <w:left w:val="nil"/>
              <w:bottom w:val="single" w:sz="8" w:space="0" w:color="auto"/>
              <w:right w:val="single" w:sz="8" w:space="0" w:color="auto"/>
            </w:tcBorders>
            <w:vAlign w:val="center"/>
            <w:hideMark/>
          </w:tcPr>
          <w:p w14:paraId="19BD282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0.046</w:t>
            </w:r>
          </w:p>
        </w:tc>
        <w:tc>
          <w:tcPr>
            <w:tcW w:w="675" w:type="dxa"/>
            <w:tcBorders>
              <w:top w:val="nil"/>
              <w:left w:val="nil"/>
              <w:bottom w:val="single" w:sz="8" w:space="0" w:color="auto"/>
              <w:right w:val="single" w:sz="8" w:space="0" w:color="auto"/>
            </w:tcBorders>
            <w:vAlign w:val="center"/>
            <w:hideMark/>
          </w:tcPr>
          <w:p w14:paraId="08BA518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-0.008</w:t>
            </w:r>
          </w:p>
        </w:tc>
        <w:tc>
          <w:tcPr>
            <w:tcW w:w="714" w:type="dxa"/>
            <w:tcBorders>
              <w:top w:val="nil"/>
              <w:left w:val="nil"/>
              <w:bottom w:val="single" w:sz="8" w:space="0" w:color="auto"/>
              <w:right w:val="single" w:sz="8" w:space="0" w:color="auto"/>
            </w:tcBorders>
            <w:vAlign w:val="center"/>
            <w:hideMark/>
          </w:tcPr>
          <w:p w14:paraId="6ED6C7C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-0.015</w:t>
            </w:r>
          </w:p>
        </w:tc>
        <w:tc>
          <w:tcPr>
            <w:tcW w:w="769" w:type="dxa"/>
            <w:tcBorders>
              <w:top w:val="nil"/>
              <w:left w:val="nil"/>
              <w:bottom w:val="single" w:sz="8" w:space="0" w:color="auto"/>
              <w:right w:val="single" w:sz="8" w:space="0" w:color="auto"/>
            </w:tcBorders>
            <w:vAlign w:val="center"/>
            <w:hideMark/>
          </w:tcPr>
          <w:p w14:paraId="40BB741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w:t>
            </w:r>
          </w:p>
        </w:tc>
        <w:tc>
          <w:tcPr>
            <w:tcW w:w="590" w:type="dxa"/>
            <w:tcBorders>
              <w:top w:val="nil"/>
              <w:left w:val="nil"/>
              <w:bottom w:val="single" w:sz="8" w:space="0" w:color="auto"/>
              <w:right w:val="single" w:sz="8" w:space="0" w:color="auto"/>
            </w:tcBorders>
            <w:vAlign w:val="center"/>
            <w:hideMark/>
          </w:tcPr>
          <w:p w14:paraId="72624D6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0.031</w:t>
            </w:r>
          </w:p>
        </w:tc>
        <w:tc>
          <w:tcPr>
            <w:tcW w:w="613" w:type="dxa"/>
            <w:tcBorders>
              <w:top w:val="nil"/>
              <w:left w:val="nil"/>
              <w:bottom w:val="single" w:sz="8" w:space="0" w:color="auto"/>
              <w:right w:val="single" w:sz="8" w:space="0" w:color="auto"/>
            </w:tcBorders>
            <w:vAlign w:val="center"/>
            <w:hideMark/>
          </w:tcPr>
          <w:p w14:paraId="403F821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0.008</w:t>
            </w:r>
          </w:p>
        </w:tc>
        <w:tc>
          <w:tcPr>
            <w:tcW w:w="652" w:type="dxa"/>
            <w:tcBorders>
              <w:top w:val="nil"/>
              <w:left w:val="nil"/>
              <w:bottom w:val="single" w:sz="8" w:space="0" w:color="auto"/>
              <w:right w:val="single" w:sz="8" w:space="0" w:color="auto"/>
            </w:tcBorders>
            <w:vAlign w:val="center"/>
            <w:hideMark/>
          </w:tcPr>
          <w:p w14:paraId="5F6D9B8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0.073</w:t>
            </w:r>
          </w:p>
        </w:tc>
        <w:tc>
          <w:tcPr>
            <w:tcW w:w="707" w:type="dxa"/>
            <w:tcBorders>
              <w:top w:val="nil"/>
              <w:left w:val="nil"/>
              <w:bottom w:val="single" w:sz="8" w:space="0" w:color="auto"/>
              <w:right w:val="single" w:sz="8" w:space="0" w:color="auto"/>
            </w:tcBorders>
            <w:vAlign w:val="center"/>
            <w:hideMark/>
          </w:tcPr>
          <w:p w14:paraId="0AF412E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0.144</w:t>
            </w:r>
          </w:p>
        </w:tc>
        <w:tc>
          <w:tcPr>
            <w:tcW w:w="601" w:type="dxa"/>
            <w:tcBorders>
              <w:top w:val="nil"/>
              <w:left w:val="nil"/>
              <w:bottom w:val="single" w:sz="8" w:space="0" w:color="auto"/>
              <w:right w:val="single" w:sz="8" w:space="0" w:color="auto"/>
            </w:tcBorders>
            <w:vAlign w:val="center"/>
            <w:hideMark/>
          </w:tcPr>
          <w:p w14:paraId="5085529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-0.033</w:t>
            </w:r>
          </w:p>
        </w:tc>
        <w:tc>
          <w:tcPr>
            <w:tcW w:w="531" w:type="dxa"/>
            <w:tcBorders>
              <w:top w:val="nil"/>
              <w:left w:val="nil"/>
              <w:bottom w:val="single" w:sz="8" w:space="0" w:color="auto"/>
              <w:right w:val="single" w:sz="8" w:space="0" w:color="auto"/>
            </w:tcBorders>
            <w:vAlign w:val="center"/>
            <w:hideMark/>
          </w:tcPr>
          <w:p w14:paraId="25BDAF8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w:t>
            </w:r>
          </w:p>
        </w:tc>
        <w:tc>
          <w:tcPr>
            <w:tcW w:w="531" w:type="dxa"/>
            <w:tcBorders>
              <w:top w:val="nil"/>
              <w:left w:val="nil"/>
              <w:bottom w:val="single" w:sz="8" w:space="0" w:color="auto"/>
              <w:right w:val="single" w:sz="8" w:space="0" w:color="auto"/>
            </w:tcBorders>
            <w:vAlign w:val="center"/>
            <w:hideMark/>
          </w:tcPr>
          <w:p w14:paraId="790313D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w:t>
            </w:r>
          </w:p>
        </w:tc>
        <w:tc>
          <w:tcPr>
            <w:tcW w:w="531" w:type="dxa"/>
            <w:tcBorders>
              <w:top w:val="nil"/>
              <w:left w:val="nil"/>
              <w:bottom w:val="single" w:sz="8" w:space="0" w:color="auto"/>
              <w:right w:val="single" w:sz="8" w:space="0" w:color="auto"/>
            </w:tcBorders>
            <w:vAlign w:val="center"/>
            <w:hideMark/>
          </w:tcPr>
          <w:p w14:paraId="061C5A5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21" w:type="dxa"/>
            <w:tcBorders>
              <w:top w:val="nil"/>
              <w:left w:val="nil"/>
              <w:bottom w:val="single" w:sz="8" w:space="0" w:color="auto"/>
              <w:right w:val="single" w:sz="8" w:space="0" w:color="auto"/>
            </w:tcBorders>
            <w:vAlign w:val="center"/>
            <w:hideMark/>
          </w:tcPr>
          <w:p w14:paraId="08C1DF8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10A8C21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52ABED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266A190C" w14:textId="77777777" w:rsidTr="00185DF3">
        <w:trPr>
          <w:trHeight w:val="20"/>
        </w:trPr>
        <w:tc>
          <w:tcPr>
            <w:tcW w:w="838" w:type="dxa"/>
            <w:tcBorders>
              <w:top w:val="nil"/>
              <w:left w:val="single" w:sz="8" w:space="0" w:color="auto"/>
              <w:bottom w:val="nil"/>
              <w:right w:val="single" w:sz="8" w:space="0" w:color="auto"/>
            </w:tcBorders>
            <w:vAlign w:val="center"/>
            <w:hideMark/>
          </w:tcPr>
          <w:p w14:paraId="4B168AD9"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Bulk</w:t>
            </w:r>
          </w:p>
        </w:tc>
        <w:tc>
          <w:tcPr>
            <w:tcW w:w="652" w:type="dxa"/>
            <w:vMerge w:val="restart"/>
            <w:tcBorders>
              <w:top w:val="single" w:sz="8" w:space="0" w:color="auto"/>
              <w:left w:val="single" w:sz="8" w:space="0" w:color="auto"/>
              <w:bottom w:val="single" w:sz="8" w:space="0" w:color="000000"/>
              <w:right w:val="single" w:sz="8" w:space="0" w:color="auto"/>
            </w:tcBorders>
            <w:shd w:val="clear" w:color="auto" w:fill="92D050"/>
            <w:vAlign w:val="center"/>
            <w:hideMark/>
          </w:tcPr>
          <w:p w14:paraId="3AD976B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-.447*</w:t>
            </w:r>
          </w:p>
        </w:tc>
        <w:tc>
          <w:tcPr>
            <w:tcW w:w="675" w:type="dxa"/>
            <w:vMerge w:val="restart"/>
            <w:tcBorders>
              <w:top w:val="single" w:sz="8" w:space="0" w:color="auto"/>
              <w:left w:val="single" w:sz="8" w:space="0" w:color="auto"/>
              <w:bottom w:val="single" w:sz="8" w:space="0" w:color="000000"/>
              <w:right w:val="single" w:sz="8" w:space="0" w:color="auto"/>
            </w:tcBorders>
            <w:shd w:val="clear" w:color="auto" w:fill="92D050"/>
            <w:vAlign w:val="center"/>
            <w:hideMark/>
          </w:tcPr>
          <w:p w14:paraId="43ABC95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-.533**</w:t>
            </w:r>
          </w:p>
        </w:tc>
        <w:tc>
          <w:tcPr>
            <w:tcW w:w="714" w:type="dxa"/>
            <w:vMerge w:val="restart"/>
            <w:tcBorders>
              <w:top w:val="nil"/>
              <w:left w:val="single" w:sz="8" w:space="0" w:color="auto"/>
              <w:bottom w:val="single" w:sz="8" w:space="0" w:color="000000"/>
              <w:right w:val="single" w:sz="8" w:space="0" w:color="auto"/>
            </w:tcBorders>
            <w:shd w:val="clear" w:color="auto" w:fill="92D050"/>
            <w:vAlign w:val="center"/>
            <w:hideMark/>
          </w:tcPr>
          <w:p w14:paraId="30588C7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-.420**</w:t>
            </w:r>
          </w:p>
        </w:tc>
        <w:tc>
          <w:tcPr>
            <w:tcW w:w="769" w:type="dxa"/>
            <w:vMerge w:val="restart"/>
            <w:tcBorders>
              <w:top w:val="nil"/>
              <w:left w:val="single" w:sz="8" w:space="0" w:color="auto"/>
              <w:bottom w:val="single" w:sz="8" w:space="0" w:color="000000"/>
              <w:right w:val="single" w:sz="8" w:space="0" w:color="auto"/>
            </w:tcBorders>
            <w:shd w:val="clear" w:color="auto" w:fill="00B0F0"/>
            <w:vAlign w:val="center"/>
            <w:hideMark/>
          </w:tcPr>
          <w:p w14:paraId="501173F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-0.234</w:t>
            </w:r>
          </w:p>
        </w:tc>
        <w:tc>
          <w:tcPr>
            <w:tcW w:w="590" w:type="dxa"/>
            <w:vMerge w:val="restart"/>
            <w:tcBorders>
              <w:top w:val="nil"/>
              <w:left w:val="single" w:sz="8" w:space="0" w:color="auto"/>
              <w:bottom w:val="single" w:sz="8" w:space="0" w:color="000000"/>
              <w:right w:val="single" w:sz="8" w:space="0" w:color="auto"/>
            </w:tcBorders>
            <w:vAlign w:val="center"/>
            <w:hideMark/>
          </w:tcPr>
          <w:p w14:paraId="489BAB0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-0.079</w:t>
            </w:r>
          </w:p>
        </w:tc>
        <w:tc>
          <w:tcPr>
            <w:tcW w:w="613" w:type="dxa"/>
            <w:vMerge w:val="restart"/>
            <w:tcBorders>
              <w:top w:val="nil"/>
              <w:left w:val="single" w:sz="8" w:space="0" w:color="auto"/>
              <w:bottom w:val="single" w:sz="8" w:space="0" w:color="000000"/>
              <w:right w:val="single" w:sz="8" w:space="0" w:color="auto"/>
            </w:tcBorders>
            <w:shd w:val="clear" w:color="auto" w:fill="92D050"/>
            <w:vAlign w:val="center"/>
            <w:hideMark/>
          </w:tcPr>
          <w:p w14:paraId="16FDA1A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412**</w:t>
            </w:r>
          </w:p>
        </w:tc>
        <w:tc>
          <w:tcPr>
            <w:tcW w:w="652" w:type="dxa"/>
            <w:vMerge w:val="restart"/>
            <w:tcBorders>
              <w:top w:val="nil"/>
              <w:left w:val="single" w:sz="8" w:space="0" w:color="auto"/>
              <w:bottom w:val="single" w:sz="8" w:space="0" w:color="000000"/>
              <w:right w:val="single" w:sz="8" w:space="0" w:color="auto"/>
            </w:tcBorders>
            <w:shd w:val="clear" w:color="auto" w:fill="00B0F0"/>
            <w:vAlign w:val="center"/>
            <w:hideMark/>
          </w:tcPr>
          <w:p w14:paraId="1B30848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-.319*</w:t>
            </w:r>
          </w:p>
        </w:tc>
        <w:tc>
          <w:tcPr>
            <w:tcW w:w="707" w:type="dxa"/>
            <w:vMerge w:val="restart"/>
            <w:tcBorders>
              <w:top w:val="nil"/>
              <w:left w:val="single" w:sz="8" w:space="0" w:color="auto"/>
              <w:bottom w:val="single" w:sz="8" w:space="0" w:color="000000"/>
              <w:right w:val="single" w:sz="8" w:space="0" w:color="auto"/>
            </w:tcBorders>
            <w:shd w:val="clear" w:color="auto" w:fill="00B0F0"/>
            <w:vAlign w:val="center"/>
            <w:hideMark/>
          </w:tcPr>
          <w:p w14:paraId="2F57F8B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-0.239</w:t>
            </w:r>
          </w:p>
        </w:tc>
        <w:tc>
          <w:tcPr>
            <w:tcW w:w="601" w:type="dxa"/>
            <w:vMerge w:val="restart"/>
            <w:tcBorders>
              <w:top w:val="nil"/>
              <w:left w:val="single" w:sz="8" w:space="0" w:color="auto"/>
              <w:bottom w:val="single" w:sz="8" w:space="0" w:color="000000"/>
              <w:right w:val="single" w:sz="8" w:space="0" w:color="auto"/>
            </w:tcBorders>
            <w:vAlign w:val="center"/>
            <w:hideMark/>
          </w:tcPr>
          <w:p w14:paraId="5CEE6D7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0.023</w:t>
            </w:r>
          </w:p>
        </w:tc>
        <w:tc>
          <w:tcPr>
            <w:tcW w:w="531" w:type="dxa"/>
            <w:vMerge w:val="restart"/>
            <w:tcBorders>
              <w:top w:val="nil"/>
              <w:left w:val="single" w:sz="8" w:space="0" w:color="auto"/>
              <w:bottom w:val="single" w:sz="8" w:space="0" w:color="000000"/>
              <w:right w:val="single" w:sz="8" w:space="0" w:color="auto"/>
            </w:tcBorders>
            <w:vAlign w:val="center"/>
            <w:hideMark/>
          </w:tcPr>
          <w:p w14:paraId="41EB0D6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-0.045</w:t>
            </w:r>
          </w:p>
        </w:tc>
        <w:tc>
          <w:tcPr>
            <w:tcW w:w="531" w:type="dxa"/>
            <w:vMerge w:val="restart"/>
            <w:tcBorders>
              <w:top w:val="nil"/>
              <w:left w:val="single" w:sz="8" w:space="0" w:color="auto"/>
              <w:bottom w:val="single" w:sz="8" w:space="0" w:color="000000"/>
              <w:right w:val="single" w:sz="8" w:space="0" w:color="auto"/>
            </w:tcBorders>
            <w:vAlign w:val="center"/>
            <w:hideMark/>
          </w:tcPr>
          <w:p w14:paraId="716F179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531" w:type="dxa"/>
            <w:vMerge w:val="restart"/>
            <w:tcBorders>
              <w:top w:val="nil"/>
              <w:left w:val="single" w:sz="8" w:space="0" w:color="auto"/>
              <w:bottom w:val="single" w:sz="8" w:space="0" w:color="000000"/>
              <w:right w:val="single" w:sz="8" w:space="0" w:color="auto"/>
            </w:tcBorders>
            <w:shd w:val="clear" w:color="auto" w:fill="00B0F0"/>
            <w:vAlign w:val="center"/>
            <w:hideMark/>
          </w:tcPr>
          <w:p w14:paraId="4DE7F10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-.326*</w:t>
            </w:r>
          </w:p>
        </w:tc>
        <w:tc>
          <w:tcPr>
            <w:tcW w:w="621" w:type="dxa"/>
            <w:vMerge w:val="restart"/>
            <w:tcBorders>
              <w:top w:val="nil"/>
              <w:left w:val="single" w:sz="8" w:space="0" w:color="auto"/>
              <w:bottom w:val="single" w:sz="8" w:space="0" w:color="000000"/>
              <w:right w:val="single" w:sz="8" w:space="0" w:color="auto"/>
            </w:tcBorders>
            <w:vAlign w:val="center"/>
            <w:hideMark/>
          </w:tcPr>
          <w:p w14:paraId="5615EA1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75" w:type="dxa"/>
            <w:vMerge w:val="restart"/>
            <w:tcBorders>
              <w:top w:val="nil"/>
              <w:left w:val="single" w:sz="8" w:space="0" w:color="auto"/>
              <w:bottom w:val="single" w:sz="8" w:space="0" w:color="000000"/>
              <w:right w:val="single" w:sz="8" w:space="0" w:color="auto"/>
            </w:tcBorders>
            <w:vAlign w:val="center"/>
            <w:hideMark/>
          </w:tcPr>
          <w:p w14:paraId="21C3353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val="restart"/>
            <w:tcBorders>
              <w:top w:val="nil"/>
              <w:left w:val="single" w:sz="8" w:space="0" w:color="auto"/>
              <w:bottom w:val="single" w:sz="8" w:space="0" w:color="000000"/>
              <w:right w:val="single" w:sz="8" w:space="0" w:color="auto"/>
            </w:tcBorders>
            <w:vAlign w:val="center"/>
            <w:hideMark/>
          </w:tcPr>
          <w:p w14:paraId="58DCB720"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66B57636"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4F4FB3B4"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density</w:t>
            </w:r>
          </w:p>
        </w:tc>
        <w:tc>
          <w:tcPr>
            <w:tcW w:w="652"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14:paraId="3FADF22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14:paraId="0F2ED1D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nil"/>
              <w:left w:val="single" w:sz="8" w:space="0" w:color="auto"/>
              <w:bottom w:val="single" w:sz="8" w:space="0" w:color="000000"/>
              <w:right w:val="single" w:sz="8" w:space="0" w:color="auto"/>
            </w:tcBorders>
            <w:shd w:val="clear" w:color="auto" w:fill="92D050"/>
            <w:vAlign w:val="center"/>
            <w:hideMark/>
          </w:tcPr>
          <w:p w14:paraId="1235675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nil"/>
              <w:left w:val="single" w:sz="8" w:space="0" w:color="auto"/>
              <w:bottom w:val="single" w:sz="8" w:space="0" w:color="000000"/>
              <w:right w:val="single" w:sz="8" w:space="0" w:color="auto"/>
            </w:tcBorders>
            <w:shd w:val="clear" w:color="auto" w:fill="00B0F0"/>
            <w:vAlign w:val="center"/>
            <w:hideMark/>
          </w:tcPr>
          <w:p w14:paraId="25C9877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nil"/>
              <w:left w:val="single" w:sz="8" w:space="0" w:color="auto"/>
              <w:bottom w:val="single" w:sz="8" w:space="0" w:color="000000"/>
              <w:right w:val="single" w:sz="8" w:space="0" w:color="auto"/>
            </w:tcBorders>
            <w:vAlign w:val="center"/>
            <w:hideMark/>
          </w:tcPr>
          <w:p w14:paraId="3F5D949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nil"/>
              <w:left w:val="single" w:sz="8" w:space="0" w:color="auto"/>
              <w:bottom w:val="single" w:sz="8" w:space="0" w:color="000000"/>
              <w:right w:val="single" w:sz="8" w:space="0" w:color="auto"/>
            </w:tcBorders>
            <w:shd w:val="clear" w:color="auto" w:fill="92D050"/>
            <w:vAlign w:val="center"/>
            <w:hideMark/>
          </w:tcPr>
          <w:p w14:paraId="0419B0C9"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nil"/>
              <w:left w:val="single" w:sz="8" w:space="0" w:color="auto"/>
              <w:bottom w:val="single" w:sz="8" w:space="0" w:color="000000"/>
              <w:right w:val="single" w:sz="8" w:space="0" w:color="auto"/>
            </w:tcBorders>
            <w:shd w:val="clear" w:color="auto" w:fill="00B0F0"/>
            <w:vAlign w:val="center"/>
            <w:hideMark/>
          </w:tcPr>
          <w:p w14:paraId="689FB94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nil"/>
              <w:left w:val="single" w:sz="8" w:space="0" w:color="auto"/>
              <w:bottom w:val="single" w:sz="8" w:space="0" w:color="000000"/>
              <w:right w:val="single" w:sz="8" w:space="0" w:color="auto"/>
            </w:tcBorders>
            <w:shd w:val="clear" w:color="auto" w:fill="00B0F0"/>
            <w:vAlign w:val="center"/>
            <w:hideMark/>
          </w:tcPr>
          <w:p w14:paraId="5293C3B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nil"/>
              <w:left w:val="single" w:sz="8" w:space="0" w:color="auto"/>
              <w:bottom w:val="single" w:sz="8" w:space="0" w:color="000000"/>
              <w:right w:val="single" w:sz="8" w:space="0" w:color="auto"/>
            </w:tcBorders>
            <w:vAlign w:val="center"/>
            <w:hideMark/>
          </w:tcPr>
          <w:p w14:paraId="09C8250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5E41B72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1A1BB6F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shd w:val="clear" w:color="auto" w:fill="00B0F0"/>
            <w:vAlign w:val="center"/>
            <w:hideMark/>
          </w:tcPr>
          <w:p w14:paraId="3448231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21" w:type="dxa"/>
            <w:vMerge/>
            <w:tcBorders>
              <w:top w:val="nil"/>
              <w:left w:val="single" w:sz="8" w:space="0" w:color="auto"/>
              <w:bottom w:val="single" w:sz="8" w:space="0" w:color="000000"/>
              <w:right w:val="single" w:sz="8" w:space="0" w:color="auto"/>
            </w:tcBorders>
            <w:vAlign w:val="center"/>
            <w:hideMark/>
          </w:tcPr>
          <w:p w14:paraId="4E76E3A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vAlign w:val="center"/>
            <w:hideMark/>
          </w:tcPr>
          <w:p w14:paraId="42083D4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tcBorders>
              <w:top w:val="nil"/>
              <w:left w:val="single" w:sz="8" w:space="0" w:color="auto"/>
              <w:bottom w:val="single" w:sz="8" w:space="0" w:color="000000"/>
              <w:right w:val="single" w:sz="8" w:space="0" w:color="auto"/>
            </w:tcBorders>
            <w:vAlign w:val="center"/>
            <w:hideMark/>
          </w:tcPr>
          <w:p w14:paraId="5123D529"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4B5CB2D6" w14:textId="77777777" w:rsidTr="007540EE">
        <w:trPr>
          <w:trHeight w:val="20"/>
        </w:trPr>
        <w:tc>
          <w:tcPr>
            <w:tcW w:w="838" w:type="dxa"/>
            <w:tcBorders>
              <w:top w:val="nil"/>
              <w:left w:val="single" w:sz="8" w:space="0" w:color="auto"/>
              <w:bottom w:val="nil"/>
              <w:right w:val="single" w:sz="8" w:space="0" w:color="auto"/>
            </w:tcBorders>
            <w:vAlign w:val="center"/>
            <w:hideMark/>
          </w:tcPr>
          <w:p w14:paraId="5A84DA2B"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Total</w:t>
            </w:r>
          </w:p>
        </w:tc>
        <w:tc>
          <w:tcPr>
            <w:tcW w:w="652" w:type="dxa"/>
            <w:vMerge w:val="restart"/>
            <w:tcBorders>
              <w:top w:val="nil"/>
              <w:left w:val="single" w:sz="8" w:space="0" w:color="auto"/>
              <w:bottom w:val="single" w:sz="8" w:space="0" w:color="000000"/>
              <w:right w:val="single" w:sz="8" w:space="0" w:color="auto"/>
            </w:tcBorders>
            <w:vAlign w:val="center"/>
            <w:hideMark/>
          </w:tcPr>
          <w:p w14:paraId="35B29AA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0.196</w:t>
            </w:r>
          </w:p>
        </w:tc>
        <w:tc>
          <w:tcPr>
            <w:tcW w:w="675" w:type="dxa"/>
            <w:vMerge w:val="restart"/>
            <w:tcBorders>
              <w:top w:val="nil"/>
              <w:left w:val="single" w:sz="8" w:space="0" w:color="auto"/>
              <w:bottom w:val="single" w:sz="8" w:space="0" w:color="000000"/>
              <w:right w:val="single" w:sz="8" w:space="0" w:color="auto"/>
            </w:tcBorders>
            <w:shd w:val="clear" w:color="auto" w:fill="00B0F0"/>
            <w:vAlign w:val="center"/>
            <w:hideMark/>
          </w:tcPr>
          <w:p w14:paraId="1FE4F71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0.231</w:t>
            </w:r>
          </w:p>
        </w:tc>
        <w:tc>
          <w:tcPr>
            <w:tcW w:w="714" w:type="dxa"/>
            <w:vMerge w:val="restart"/>
            <w:tcBorders>
              <w:top w:val="nil"/>
              <w:left w:val="single" w:sz="8" w:space="0" w:color="auto"/>
              <w:bottom w:val="single" w:sz="8" w:space="0" w:color="000000"/>
              <w:right w:val="single" w:sz="8" w:space="0" w:color="auto"/>
            </w:tcBorders>
            <w:vAlign w:val="center"/>
            <w:hideMark/>
          </w:tcPr>
          <w:p w14:paraId="2DE87DE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0.101</w:t>
            </w:r>
          </w:p>
        </w:tc>
        <w:tc>
          <w:tcPr>
            <w:tcW w:w="769" w:type="dxa"/>
            <w:vMerge w:val="restart"/>
            <w:tcBorders>
              <w:top w:val="nil"/>
              <w:left w:val="single" w:sz="8" w:space="0" w:color="auto"/>
              <w:bottom w:val="single" w:sz="8" w:space="0" w:color="000000"/>
              <w:right w:val="single" w:sz="8" w:space="0" w:color="auto"/>
            </w:tcBorders>
            <w:vAlign w:val="center"/>
            <w:hideMark/>
          </w:tcPr>
          <w:p w14:paraId="4B320DF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0.059</w:t>
            </w:r>
          </w:p>
        </w:tc>
        <w:tc>
          <w:tcPr>
            <w:tcW w:w="590" w:type="dxa"/>
            <w:vMerge w:val="restart"/>
            <w:tcBorders>
              <w:top w:val="nil"/>
              <w:left w:val="single" w:sz="8" w:space="0" w:color="auto"/>
              <w:bottom w:val="single" w:sz="8" w:space="0" w:color="000000"/>
              <w:right w:val="single" w:sz="8" w:space="0" w:color="auto"/>
            </w:tcBorders>
            <w:vAlign w:val="center"/>
            <w:hideMark/>
          </w:tcPr>
          <w:p w14:paraId="5A4F4FF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0.074</w:t>
            </w:r>
          </w:p>
        </w:tc>
        <w:tc>
          <w:tcPr>
            <w:tcW w:w="613" w:type="dxa"/>
            <w:vMerge w:val="restart"/>
            <w:tcBorders>
              <w:top w:val="nil"/>
              <w:left w:val="single" w:sz="8" w:space="0" w:color="auto"/>
              <w:bottom w:val="single" w:sz="8" w:space="0" w:color="000000"/>
              <w:right w:val="single" w:sz="8" w:space="0" w:color="auto"/>
            </w:tcBorders>
            <w:vAlign w:val="center"/>
            <w:hideMark/>
          </w:tcPr>
          <w:p w14:paraId="2FBAB0C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0.071</w:t>
            </w:r>
          </w:p>
        </w:tc>
        <w:tc>
          <w:tcPr>
            <w:tcW w:w="652" w:type="dxa"/>
            <w:vMerge w:val="restart"/>
            <w:tcBorders>
              <w:top w:val="nil"/>
              <w:left w:val="single" w:sz="8" w:space="0" w:color="auto"/>
              <w:bottom w:val="single" w:sz="8" w:space="0" w:color="000000"/>
              <w:right w:val="single" w:sz="8" w:space="0" w:color="auto"/>
            </w:tcBorders>
            <w:vAlign w:val="center"/>
            <w:hideMark/>
          </w:tcPr>
          <w:p w14:paraId="281BE50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0.181</w:t>
            </w:r>
          </w:p>
        </w:tc>
        <w:tc>
          <w:tcPr>
            <w:tcW w:w="707" w:type="dxa"/>
            <w:vMerge w:val="restart"/>
            <w:tcBorders>
              <w:top w:val="nil"/>
              <w:left w:val="single" w:sz="8" w:space="0" w:color="auto"/>
              <w:bottom w:val="single" w:sz="8" w:space="0" w:color="000000"/>
              <w:right w:val="single" w:sz="8" w:space="0" w:color="auto"/>
            </w:tcBorders>
            <w:vAlign w:val="center"/>
            <w:hideMark/>
          </w:tcPr>
          <w:p w14:paraId="512D521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0.161</w:t>
            </w:r>
          </w:p>
        </w:tc>
        <w:tc>
          <w:tcPr>
            <w:tcW w:w="601" w:type="dxa"/>
            <w:vMerge w:val="restart"/>
            <w:tcBorders>
              <w:top w:val="nil"/>
              <w:left w:val="single" w:sz="8" w:space="0" w:color="auto"/>
              <w:bottom w:val="single" w:sz="8" w:space="0" w:color="000000"/>
              <w:right w:val="single" w:sz="8" w:space="0" w:color="auto"/>
            </w:tcBorders>
            <w:vAlign w:val="center"/>
            <w:hideMark/>
          </w:tcPr>
          <w:p w14:paraId="52B350C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-0.136</w:t>
            </w:r>
          </w:p>
        </w:tc>
        <w:tc>
          <w:tcPr>
            <w:tcW w:w="531" w:type="dxa"/>
            <w:vMerge w:val="restart"/>
            <w:tcBorders>
              <w:top w:val="nil"/>
              <w:left w:val="single" w:sz="8" w:space="0" w:color="auto"/>
              <w:bottom w:val="single" w:sz="8" w:space="0" w:color="000000"/>
              <w:right w:val="single" w:sz="8" w:space="0" w:color="auto"/>
            </w:tcBorders>
            <w:vAlign w:val="center"/>
            <w:hideMark/>
          </w:tcPr>
          <w:p w14:paraId="442F28B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0.113</w:t>
            </w:r>
          </w:p>
        </w:tc>
        <w:tc>
          <w:tcPr>
            <w:tcW w:w="531" w:type="dxa"/>
            <w:vMerge w:val="restart"/>
            <w:tcBorders>
              <w:top w:val="nil"/>
              <w:left w:val="single" w:sz="8" w:space="0" w:color="auto"/>
              <w:bottom w:val="single" w:sz="8" w:space="0" w:color="000000"/>
              <w:right w:val="single" w:sz="8" w:space="0" w:color="auto"/>
            </w:tcBorders>
            <w:vAlign w:val="center"/>
            <w:hideMark/>
          </w:tcPr>
          <w:p w14:paraId="60395AA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w:t>
            </w:r>
          </w:p>
        </w:tc>
        <w:tc>
          <w:tcPr>
            <w:tcW w:w="531" w:type="dxa"/>
            <w:vMerge w:val="restart"/>
            <w:tcBorders>
              <w:top w:val="nil"/>
              <w:left w:val="single" w:sz="8" w:space="0" w:color="auto"/>
              <w:bottom w:val="single" w:sz="8" w:space="0" w:color="000000"/>
              <w:right w:val="single" w:sz="8" w:space="0" w:color="auto"/>
            </w:tcBorders>
            <w:shd w:val="clear" w:color="auto" w:fill="00B0F0"/>
            <w:vAlign w:val="center"/>
            <w:hideMark/>
          </w:tcPr>
          <w:p w14:paraId="1356B92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0.256</w:t>
            </w:r>
          </w:p>
        </w:tc>
        <w:tc>
          <w:tcPr>
            <w:tcW w:w="621" w:type="dxa"/>
            <w:vMerge w:val="restart"/>
            <w:tcBorders>
              <w:top w:val="nil"/>
              <w:left w:val="single" w:sz="8" w:space="0" w:color="auto"/>
              <w:bottom w:val="single" w:sz="8" w:space="0" w:color="000000"/>
              <w:right w:val="single" w:sz="8" w:space="0" w:color="auto"/>
            </w:tcBorders>
            <w:shd w:val="clear" w:color="auto" w:fill="FFC000"/>
            <w:vAlign w:val="center"/>
            <w:hideMark/>
          </w:tcPr>
          <w:p w14:paraId="01096E1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-.719**</w:t>
            </w:r>
          </w:p>
        </w:tc>
        <w:tc>
          <w:tcPr>
            <w:tcW w:w="675" w:type="dxa"/>
            <w:vMerge w:val="restart"/>
            <w:tcBorders>
              <w:top w:val="nil"/>
              <w:left w:val="single" w:sz="8" w:space="0" w:color="auto"/>
              <w:bottom w:val="single" w:sz="8" w:space="0" w:color="000000"/>
              <w:right w:val="single" w:sz="8" w:space="0" w:color="auto"/>
            </w:tcBorders>
            <w:vAlign w:val="center"/>
            <w:hideMark/>
          </w:tcPr>
          <w:p w14:paraId="61D09A2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22" w:type="dxa"/>
            <w:vMerge w:val="restart"/>
            <w:tcBorders>
              <w:top w:val="nil"/>
              <w:left w:val="single" w:sz="8" w:space="0" w:color="auto"/>
              <w:bottom w:val="single" w:sz="8" w:space="0" w:color="000000"/>
              <w:right w:val="single" w:sz="8" w:space="0" w:color="auto"/>
            </w:tcBorders>
            <w:vAlign w:val="center"/>
            <w:hideMark/>
          </w:tcPr>
          <w:p w14:paraId="1AB5CBEB"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3F291620"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3E45ABFC"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porosity</w:t>
            </w:r>
          </w:p>
        </w:tc>
        <w:tc>
          <w:tcPr>
            <w:tcW w:w="652" w:type="dxa"/>
            <w:vMerge/>
            <w:tcBorders>
              <w:top w:val="nil"/>
              <w:left w:val="single" w:sz="8" w:space="0" w:color="auto"/>
              <w:bottom w:val="single" w:sz="8" w:space="0" w:color="000000"/>
              <w:right w:val="single" w:sz="8" w:space="0" w:color="auto"/>
            </w:tcBorders>
            <w:vAlign w:val="center"/>
            <w:hideMark/>
          </w:tcPr>
          <w:p w14:paraId="11E3C02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shd w:val="clear" w:color="auto" w:fill="00B0F0"/>
            <w:vAlign w:val="center"/>
            <w:hideMark/>
          </w:tcPr>
          <w:p w14:paraId="694EAD2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nil"/>
              <w:left w:val="single" w:sz="8" w:space="0" w:color="auto"/>
              <w:bottom w:val="single" w:sz="8" w:space="0" w:color="000000"/>
              <w:right w:val="single" w:sz="8" w:space="0" w:color="auto"/>
            </w:tcBorders>
            <w:vAlign w:val="center"/>
            <w:hideMark/>
          </w:tcPr>
          <w:p w14:paraId="0A563C2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nil"/>
              <w:left w:val="single" w:sz="8" w:space="0" w:color="auto"/>
              <w:bottom w:val="single" w:sz="8" w:space="0" w:color="000000"/>
              <w:right w:val="single" w:sz="8" w:space="0" w:color="auto"/>
            </w:tcBorders>
            <w:vAlign w:val="center"/>
            <w:hideMark/>
          </w:tcPr>
          <w:p w14:paraId="294DEBA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nil"/>
              <w:left w:val="single" w:sz="8" w:space="0" w:color="auto"/>
              <w:bottom w:val="single" w:sz="8" w:space="0" w:color="000000"/>
              <w:right w:val="single" w:sz="8" w:space="0" w:color="auto"/>
            </w:tcBorders>
            <w:vAlign w:val="center"/>
            <w:hideMark/>
          </w:tcPr>
          <w:p w14:paraId="2D5700F9"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nil"/>
              <w:left w:val="single" w:sz="8" w:space="0" w:color="auto"/>
              <w:bottom w:val="single" w:sz="8" w:space="0" w:color="000000"/>
              <w:right w:val="single" w:sz="8" w:space="0" w:color="auto"/>
            </w:tcBorders>
            <w:vAlign w:val="center"/>
            <w:hideMark/>
          </w:tcPr>
          <w:p w14:paraId="7DCD21F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nil"/>
              <w:left w:val="single" w:sz="8" w:space="0" w:color="auto"/>
              <w:bottom w:val="single" w:sz="8" w:space="0" w:color="000000"/>
              <w:right w:val="single" w:sz="8" w:space="0" w:color="auto"/>
            </w:tcBorders>
            <w:vAlign w:val="center"/>
            <w:hideMark/>
          </w:tcPr>
          <w:p w14:paraId="419D65A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nil"/>
              <w:left w:val="single" w:sz="8" w:space="0" w:color="auto"/>
              <w:bottom w:val="single" w:sz="8" w:space="0" w:color="000000"/>
              <w:right w:val="single" w:sz="8" w:space="0" w:color="auto"/>
            </w:tcBorders>
            <w:vAlign w:val="center"/>
            <w:hideMark/>
          </w:tcPr>
          <w:p w14:paraId="4E50F4C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nil"/>
              <w:left w:val="single" w:sz="8" w:space="0" w:color="auto"/>
              <w:bottom w:val="single" w:sz="8" w:space="0" w:color="000000"/>
              <w:right w:val="single" w:sz="8" w:space="0" w:color="auto"/>
            </w:tcBorders>
            <w:vAlign w:val="center"/>
            <w:hideMark/>
          </w:tcPr>
          <w:p w14:paraId="12CA887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7EE172A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29F93AF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shd w:val="clear" w:color="auto" w:fill="00B0F0"/>
            <w:vAlign w:val="center"/>
            <w:hideMark/>
          </w:tcPr>
          <w:p w14:paraId="59576FE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21" w:type="dxa"/>
            <w:vMerge/>
            <w:tcBorders>
              <w:top w:val="nil"/>
              <w:left w:val="single" w:sz="8" w:space="0" w:color="auto"/>
              <w:bottom w:val="single" w:sz="8" w:space="0" w:color="000000"/>
              <w:right w:val="single" w:sz="8" w:space="0" w:color="auto"/>
            </w:tcBorders>
            <w:shd w:val="clear" w:color="auto" w:fill="FFC000"/>
            <w:vAlign w:val="center"/>
            <w:hideMark/>
          </w:tcPr>
          <w:p w14:paraId="0A6C621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vAlign w:val="center"/>
            <w:hideMark/>
          </w:tcPr>
          <w:p w14:paraId="7AFB9AD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tcBorders>
              <w:top w:val="nil"/>
              <w:left w:val="single" w:sz="8" w:space="0" w:color="auto"/>
              <w:bottom w:val="single" w:sz="8" w:space="0" w:color="000000"/>
              <w:right w:val="single" w:sz="8" w:space="0" w:color="auto"/>
            </w:tcBorders>
            <w:vAlign w:val="center"/>
            <w:hideMark/>
          </w:tcPr>
          <w:p w14:paraId="216F1FF1"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18C7AED1"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26429E98"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Moisture content</w:t>
            </w:r>
          </w:p>
        </w:tc>
        <w:tc>
          <w:tcPr>
            <w:tcW w:w="652" w:type="dxa"/>
            <w:tcBorders>
              <w:top w:val="nil"/>
              <w:left w:val="nil"/>
              <w:bottom w:val="single" w:sz="8" w:space="0" w:color="auto"/>
              <w:right w:val="single" w:sz="8" w:space="0" w:color="auto"/>
            </w:tcBorders>
            <w:shd w:val="clear" w:color="auto" w:fill="92D050"/>
            <w:vAlign w:val="center"/>
            <w:hideMark/>
          </w:tcPr>
          <w:p w14:paraId="64CB064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.516**</w:t>
            </w:r>
          </w:p>
        </w:tc>
        <w:tc>
          <w:tcPr>
            <w:tcW w:w="675" w:type="dxa"/>
            <w:tcBorders>
              <w:top w:val="nil"/>
              <w:left w:val="nil"/>
              <w:bottom w:val="single" w:sz="8" w:space="0" w:color="auto"/>
              <w:right w:val="single" w:sz="8" w:space="0" w:color="auto"/>
            </w:tcBorders>
            <w:shd w:val="clear" w:color="auto" w:fill="FFC000"/>
            <w:vAlign w:val="center"/>
            <w:hideMark/>
          </w:tcPr>
          <w:p w14:paraId="5BBDDD6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.696**</w:t>
            </w:r>
          </w:p>
        </w:tc>
        <w:tc>
          <w:tcPr>
            <w:tcW w:w="714" w:type="dxa"/>
            <w:tcBorders>
              <w:top w:val="nil"/>
              <w:left w:val="nil"/>
              <w:bottom w:val="single" w:sz="8" w:space="0" w:color="auto"/>
              <w:right w:val="single" w:sz="8" w:space="0" w:color="auto"/>
            </w:tcBorders>
            <w:shd w:val="clear" w:color="auto" w:fill="00B0F0"/>
            <w:vAlign w:val="center"/>
            <w:hideMark/>
          </w:tcPr>
          <w:p w14:paraId="1DE407B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.311*</w:t>
            </w:r>
          </w:p>
        </w:tc>
        <w:tc>
          <w:tcPr>
            <w:tcW w:w="769" w:type="dxa"/>
            <w:tcBorders>
              <w:top w:val="nil"/>
              <w:left w:val="nil"/>
              <w:bottom w:val="single" w:sz="8" w:space="0" w:color="auto"/>
              <w:right w:val="single" w:sz="8" w:space="0" w:color="auto"/>
            </w:tcBorders>
            <w:shd w:val="clear" w:color="auto" w:fill="00B0F0"/>
            <w:vAlign w:val="center"/>
            <w:hideMark/>
          </w:tcPr>
          <w:p w14:paraId="5009F4D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0.258</w:t>
            </w:r>
          </w:p>
        </w:tc>
        <w:tc>
          <w:tcPr>
            <w:tcW w:w="590" w:type="dxa"/>
            <w:tcBorders>
              <w:top w:val="nil"/>
              <w:left w:val="nil"/>
              <w:bottom w:val="single" w:sz="8" w:space="0" w:color="auto"/>
              <w:right w:val="single" w:sz="8" w:space="0" w:color="auto"/>
            </w:tcBorders>
            <w:vAlign w:val="center"/>
            <w:hideMark/>
          </w:tcPr>
          <w:p w14:paraId="2903B14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0.058</w:t>
            </w:r>
          </w:p>
        </w:tc>
        <w:tc>
          <w:tcPr>
            <w:tcW w:w="613" w:type="dxa"/>
            <w:tcBorders>
              <w:top w:val="nil"/>
              <w:left w:val="nil"/>
              <w:bottom w:val="single" w:sz="8" w:space="0" w:color="auto"/>
              <w:right w:val="single" w:sz="8" w:space="0" w:color="auto"/>
            </w:tcBorders>
            <w:vAlign w:val="center"/>
            <w:hideMark/>
          </w:tcPr>
          <w:p w14:paraId="0DB3E4D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.058**</w:t>
            </w:r>
          </w:p>
        </w:tc>
        <w:tc>
          <w:tcPr>
            <w:tcW w:w="652" w:type="dxa"/>
            <w:tcBorders>
              <w:top w:val="nil"/>
              <w:left w:val="nil"/>
              <w:bottom w:val="single" w:sz="8" w:space="0" w:color="auto"/>
              <w:right w:val="single" w:sz="8" w:space="0" w:color="auto"/>
            </w:tcBorders>
            <w:vAlign w:val="center"/>
            <w:hideMark/>
          </w:tcPr>
          <w:p w14:paraId="495E672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0.179</w:t>
            </w:r>
          </w:p>
        </w:tc>
        <w:tc>
          <w:tcPr>
            <w:tcW w:w="707" w:type="dxa"/>
            <w:tcBorders>
              <w:top w:val="nil"/>
              <w:left w:val="nil"/>
              <w:bottom w:val="single" w:sz="8" w:space="0" w:color="auto"/>
              <w:right w:val="single" w:sz="8" w:space="0" w:color="auto"/>
            </w:tcBorders>
            <w:vAlign w:val="center"/>
            <w:hideMark/>
          </w:tcPr>
          <w:p w14:paraId="45A8A16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0.144</w:t>
            </w:r>
          </w:p>
        </w:tc>
        <w:tc>
          <w:tcPr>
            <w:tcW w:w="601" w:type="dxa"/>
            <w:tcBorders>
              <w:top w:val="nil"/>
              <w:left w:val="nil"/>
              <w:bottom w:val="single" w:sz="8" w:space="0" w:color="auto"/>
              <w:right w:val="single" w:sz="8" w:space="0" w:color="auto"/>
            </w:tcBorders>
            <w:vAlign w:val="center"/>
            <w:hideMark/>
          </w:tcPr>
          <w:p w14:paraId="7144E2E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0.043</w:t>
            </w:r>
          </w:p>
        </w:tc>
        <w:tc>
          <w:tcPr>
            <w:tcW w:w="531" w:type="dxa"/>
            <w:tcBorders>
              <w:top w:val="nil"/>
              <w:left w:val="nil"/>
              <w:bottom w:val="single" w:sz="8" w:space="0" w:color="auto"/>
              <w:right w:val="single" w:sz="8" w:space="0" w:color="auto"/>
            </w:tcBorders>
            <w:vAlign w:val="center"/>
            <w:hideMark/>
          </w:tcPr>
          <w:p w14:paraId="7AC0B23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531" w:type="dxa"/>
            <w:tcBorders>
              <w:top w:val="nil"/>
              <w:left w:val="nil"/>
              <w:bottom w:val="single" w:sz="8" w:space="0" w:color="auto"/>
              <w:right w:val="single" w:sz="8" w:space="0" w:color="auto"/>
            </w:tcBorders>
            <w:vAlign w:val="center"/>
            <w:hideMark/>
          </w:tcPr>
          <w:p w14:paraId="4D82F2E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-0.062</w:t>
            </w:r>
          </w:p>
        </w:tc>
        <w:tc>
          <w:tcPr>
            <w:tcW w:w="531" w:type="dxa"/>
            <w:tcBorders>
              <w:top w:val="nil"/>
              <w:left w:val="nil"/>
              <w:bottom w:val="single" w:sz="8" w:space="0" w:color="auto"/>
              <w:right w:val="single" w:sz="8" w:space="0" w:color="auto"/>
            </w:tcBorders>
            <w:vAlign w:val="center"/>
            <w:hideMark/>
          </w:tcPr>
          <w:p w14:paraId="33AE586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621" w:type="dxa"/>
            <w:tcBorders>
              <w:top w:val="nil"/>
              <w:left w:val="nil"/>
              <w:bottom w:val="single" w:sz="8" w:space="0" w:color="auto"/>
              <w:right w:val="single" w:sz="8" w:space="0" w:color="auto"/>
            </w:tcBorders>
            <w:shd w:val="clear" w:color="auto" w:fill="FFC000"/>
            <w:vAlign w:val="center"/>
            <w:hideMark/>
          </w:tcPr>
          <w:p w14:paraId="4282F76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-.733**</w:t>
            </w:r>
          </w:p>
        </w:tc>
        <w:tc>
          <w:tcPr>
            <w:tcW w:w="675" w:type="dxa"/>
            <w:tcBorders>
              <w:top w:val="nil"/>
              <w:left w:val="nil"/>
              <w:bottom w:val="single" w:sz="8" w:space="0" w:color="auto"/>
              <w:right w:val="single" w:sz="8" w:space="0" w:color="auto"/>
            </w:tcBorders>
            <w:shd w:val="clear" w:color="auto" w:fill="00B0F0"/>
            <w:vAlign w:val="center"/>
            <w:hideMark/>
          </w:tcPr>
          <w:p w14:paraId="355A384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.394**</w:t>
            </w:r>
          </w:p>
        </w:tc>
        <w:tc>
          <w:tcPr>
            <w:tcW w:w="722" w:type="dxa"/>
            <w:tcBorders>
              <w:top w:val="nil"/>
              <w:left w:val="nil"/>
              <w:bottom w:val="single" w:sz="8" w:space="0" w:color="auto"/>
              <w:right w:val="single" w:sz="8" w:space="0" w:color="auto"/>
            </w:tcBorders>
            <w:vAlign w:val="center"/>
            <w:hideMark/>
          </w:tcPr>
          <w:p w14:paraId="612D0FE5"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1</w:t>
            </w:r>
          </w:p>
        </w:tc>
      </w:tr>
    </w:tbl>
    <w:p w14:paraId="3F8A4D9C" w14:textId="77777777" w:rsidR="00074F26" w:rsidRDefault="00074F26" w:rsidP="00074F26">
      <w:pPr>
        <w:spacing w:after="0" w:line="240" w:lineRule="auto"/>
        <w:jc w:val="both"/>
        <w:rPr>
          <w:rFonts w:ascii="Times New Roman" w:hAnsi="Times New Roman" w:cs="Times New Roman"/>
          <w:b/>
          <w:bCs/>
          <w:sz w:val="20"/>
          <w:szCs w:val="20"/>
        </w:rPr>
      </w:pPr>
    </w:p>
    <w:p w14:paraId="37D030AA" w14:textId="77777777" w:rsidR="007540EE" w:rsidRDefault="007540EE" w:rsidP="00074F26">
      <w:pPr>
        <w:spacing w:after="0" w:line="240" w:lineRule="auto"/>
        <w:jc w:val="both"/>
        <w:rPr>
          <w:rFonts w:ascii="Times New Roman" w:hAnsi="Times New Roman" w:cs="Times New Roman"/>
          <w:b/>
          <w:bCs/>
          <w:sz w:val="20"/>
          <w:szCs w:val="20"/>
        </w:rPr>
      </w:pPr>
    </w:p>
    <w:tbl>
      <w:tblPr>
        <w:tblW w:w="7645" w:type="dxa"/>
        <w:tblLook w:val="04A0" w:firstRow="1" w:lastRow="0" w:firstColumn="1" w:lastColumn="0" w:noHBand="0" w:noVBand="1"/>
      </w:tblPr>
      <w:tblGrid>
        <w:gridCol w:w="1358"/>
        <w:gridCol w:w="6287"/>
      </w:tblGrid>
      <w:tr w:rsidR="007540EE" w:rsidRPr="00484717" w14:paraId="3121AD74" w14:textId="77777777" w:rsidTr="00A824B2">
        <w:trPr>
          <w:trHeight w:val="254"/>
        </w:trPr>
        <w:tc>
          <w:tcPr>
            <w:tcW w:w="1358" w:type="dxa"/>
            <w:tcBorders>
              <w:top w:val="single" w:sz="4" w:space="0" w:color="auto"/>
              <w:left w:val="single" w:sz="4" w:space="0" w:color="auto"/>
              <w:bottom w:val="single" w:sz="4" w:space="0" w:color="auto"/>
              <w:right w:val="single" w:sz="4" w:space="0" w:color="auto"/>
            </w:tcBorders>
            <w:noWrap/>
            <w:vAlign w:val="center"/>
            <w:hideMark/>
          </w:tcPr>
          <w:p w14:paraId="48E7BF2D" w14:textId="77777777" w:rsidR="007540EE" w:rsidRPr="00484717" w:rsidRDefault="007540EE"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LEGEND</w:t>
            </w:r>
          </w:p>
        </w:tc>
        <w:tc>
          <w:tcPr>
            <w:tcW w:w="6287" w:type="dxa"/>
            <w:tcBorders>
              <w:top w:val="single" w:sz="4" w:space="0" w:color="auto"/>
              <w:left w:val="nil"/>
              <w:bottom w:val="single" w:sz="4" w:space="0" w:color="auto"/>
              <w:right w:val="single" w:sz="4" w:space="0" w:color="auto"/>
            </w:tcBorders>
            <w:noWrap/>
            <w:vAlign w:val="center"/>
            <w:hideMark/>
          </w:tcPr>
          <w:p w14:paraId="7D9DFDE1" w14:textId="77777777" w:rsidR="007540EE" w:rsidRPr="00484717" w:rsidRDefault="007540EE"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w:t>
            </w:r>
          </w:p>
        </w:tc>
      </w:tr>
      <w:tr w:rsidR="007540EE" w:rsidRPr="00484717" w14:paraId="0789CE1B" w14:textId="77777777" w:rsidTr="00A824B2">
        <w:trPr>
          <w:trHeight w:val="254"/>
        </w:trPr>
        <w:tc>
          <w:tcPr>
            <w:tcW w:w="1358" w:type="dxa"/>
            <w:tcBorders>
              <w:top w:val="nil"/>
              <w:left w:val="single" w:sz="4" w:space="0" w:color="auto"/>
              <w:bottom w:val="single" w:sz="4" w:space="0" w:color="auto"/>
              <w:right w:val="single" w:sz="4" w:space="0" w:color="auto"/>
            </w:tcBorders>
            <w:shd w:val="clear" w:color="000000" w:fill="FF0000"/>
            <w:noWrap/>
            <w:vAlign w:val="center"/>
            <w:hideMark/>
          </w:tcPr>
          <w:p w14:paraId="740819C6"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75D1AA93"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xml:space="preserve">Very strong correlations:  0.80 to 1.00 (positive) and −1.00 to −0.80 (negative) </w:t>
            </w:r>
          </w:p>
        </w:tc>
      </w:tr>
      <w:tr w:rsidR="007540EE" w:rsidRPr="00484717" w14:paraId="444979AF"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FFC000"/>
            <w:noWrap/>
            <w:vAlign w:val="center"/>
            <w:hideMark/>
          </w:tcPr>
          <w:p w14:paraId="4CB4894C"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4503F7E2"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Strong correlations:  0.60 to 0.79 (positive) and −0.79 to −0.60 (negative)</w:t>
            </w:r>
          </w:p>
        </w:tc>
      </w:tr>
      <w:tr w:rsidR="007540EE" w:rsidRPr="00484717" w14:paraId="3EDFF48E"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92D050"/>
            <w:noWrap/>
            <w:vAlign w:val="center"/>
            <w:hideMark/>
          </w:tcPr>
          <w:p w14:paraId="51CE0D95"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68EBF341"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Moderate correlations: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to 0.59 (positive) and −0.59 to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(negative).</w:t>
            </w:r>
          </w:p>
        </w:tc>
      </w:tr>
      <w:tr w:rsidR="007540EE" w:rsidRPr="00484717" w14:paraId="0CE39FAF"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00B0F0"/>
            <w:noWrap/>
            <w:vAlign w:val="bottom"/>
            <w:hideMark/>
          </w:tcPr>
          <w:p w14:paraId="30B5D3AA"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4A85DFB2"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Weak correlations: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to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(positive) and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to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(negative).</w:t>
            </w:r>
          </w:p>
        </w:tc>
      </w:tr>
    </w:tbl>
    <w:p w14:paraId="1371C542" w14:textId="77777777" w:rsidR="007540EE" w:rsidRDefault="007540EE" w:rsidP="00074F26">
      <w:pPr>
        <w:spacing w:after="0" w:line="240" w:lineRule="auto"/>
        <w:jc w:val="both"/>
        <w:rPr>
          <w:rFonts w:ascii="Times New Roman" w:hAnsi="Times New Roman" w:cs="Times New Roman"/>
          <w:b/>
          <w:bCs/>
          <w:sz w:val="20"/>
          <w:szCs w:val="20"/>
        </w:rPr>
      </w:pPr>
    </w:p>
    <w:p w14:paraId="0EA92FCC" w14:textId="77777777" w:rsidR="00B11832" w:rsidRPr="0087045E" w:rsidRDefault="00074F26" w:rsidP="00B11832">
      <w:pPr>
        <w:spacing w:after="0" w:line="240" w:lineRule="auto"/>
        <w:jc w:val="both"/>
        <w:rPr>
          <w:rFonts w:ascii="Times New Roman" w:hAnsi="Times New Roman" w:cs="Times New Roman"/>
          <w:color w:val="000000"/>
          <w:sz w:val="20"/>
          <w:szCs w:val="20"/>
        </w:rPr>
      </w:pPr>
      <w:proofErr w:type="gramStart"/>
      <w:r w:rsidRPr="00074F26">
        <w:rPr>
          <w:rFonts w:ascii="Times New Roman" w:hAnsi="Times New Roman" w:cs="Times New Roman"/>
          <w:b/>
          <w:bCs/>
          <w:sz w:val="20"/>
          <w:szCs w:val="20"/>
        </w:rPr>
        <w:t>Key:</w:t>
      </w:r>
      <w:r w:rsidR="00B11832" w:rsidRPr="0087045E">
        <w:rPr>
          <w:rFonts w:ascii="Times New Roman" w:hAnsi="Times New Roman" w:cs="Times New Roman"/>
          <w:color w:val="000000"/>
          <w:sz w:val="20"/>
          <w:szCs w:val="20"/>
        </w:rPr>
        <w:t>*</w:t>
      </w:r>
      <w:proofErr w:type="gramEnd"/>
      <w:r w:rsidR="00B11832" w:rsidRPr="0087045E">
        <w:rPr>
          <w:rFonts w:ascii="Times New Roman" w:hAnsi="Times New Roman" w:cs="Times New Roman"/>
          <w:color w:val="000000"/>
          <w:sz w:val="20"/>
          <w:szCs w:val="20"/>
        </w:rPr>
        <w:t>* Correlation is significant at the 0.01 level (2-tailed</w:t>
      </w:r>
      <w:proofErr w:type="gramStart"/>
      <w:r w:rsidR="00B11832" w:rsidRPr="0087045E">
        <w:rPr>
          <w:rFonts w:ascii="Times New Roman" w:hAnsi="Times New Roman" w:cs="Times New Roman"/>
          <w:color w:val="000000"/>
          <w:sz w:val="20"/>
          <w:szCs w:val="20"/>
        </w:rPr>
        <w:t>);*</w:t>
      </w:r>
      <w:proofErr w:type="gramEnd"/>
      <w:r w:rsidR="00B11832" w:rsidRPr="0087045E">
        <w:rPr>
          <w:rFonts w:ascii="Times New Roman" w:hAnsi="Times New Roman" w:cs="Times New Roman"/>
          <w:color w:val="000000"/>
          <w:sz w:val="20"/>
          <w:szCs w:val="20"/>
        </w:rPr>
        <w:t xml:space="preserve"> Correlation is significant at the 0.05 level (2-tailed).</w:t>
      </w:r>
    </w:p>
    <w:p w14:paraId="0B9B6F24" w14:textId="77777777" w:rsidR="00B11832" w:rsidRPr="0087045E" w:rsidRDefault="0017062C" w:rsidP="00B11832">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color w:val="000000"/>
          <w:sz w:val="20"/>
          <w:szCs w:val="20"/>
        </w:rPr>
        <w:t>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P = phosphorus extracted using calcium chloride;</w:t>
      </w:r>
      <w:r w:rsidRPr="0087045E">
        <w:rPr>
          <w:rFonts w:ascii="Times New Roman" w:hAnsi="Times New Roman" w:cs="Times New Roman"/>
          <w:color w:val="000000"/>
          <w:sz w:val="20"/>
          <w:szCs w:val="20"/>
        </w:rPr>
        <w:t xml:space="preserve"> 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K = potassium extracted using calcium chloride;</w:t>
      </w:r>
    </w:p>
    <w:p w14:paraId="65037D3C" w14:textId="77777777" w:rsidR="00074F26" w:rsidRPr="0087045E" w:rsidRDefault="0017062C" w:rsidP="00B11832">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color w:val="000000"/>
          <w:sz w:val="20"/>
          <w:szCs w:val="20"/>
        </w:rPr>
        <w:t>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Fe = iron extracted using calcium chloride;</w:t>
      </w:r>
      <w:r w:rsidRPr="0087045E">
        <w:rPr>
          <w:rFonts w:ascii="Times New Roman" w:hAnsi="Times New Roman" w:cs="Times New Roman"/>
          <w:color w:val="000000"/>
          <w:sz w:val="20"/>
          <w:szCs w:val="20"/>
        </w:rPr>
        <w:t xml:space="preserve"> 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Mn = manganese extracted using calcium chloride;</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P = phosphorus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K = potassium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Fe = iron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 xml:space="preserve">Mn = manganese extracted using </w:t>
      </w:r>
      <w:proofErr w:type="spellStart"/>
      <w:r w:rsidR="00B11832" w:rsidRPr="0087045E">
        <w:rPr>
          <w:rFonts w:ascii="Times New Roman" w:hAnsi="Times New Roman" w:cs="Times New Roman"/>
          <w:color w:val="000000"/>
          <w:sz w:val="20"/>
          <w:szCs w:val="20"/>
        </w:rPr>
        <w:t>Agro</w:t>
      </w:r>
      <w:proofErr w:type="spellEnd"/>
      <w:r w:rsidR="00B11832" w:rsidRPr="0087045E">
        <w:rPr>
          <w:rFonts w:ascii="Times New Roman" w:hAnsi="Times New Roman" w:cs="Times New Roman"/>
          <w:color w:val="000000"/>
          <w:sz w:val="20"/>
          <w:szCs w:val="20"/>
        </w:rPr>
        <w:t xml:space="preserve">-Services International (ASI) universal </w:t>
      </w:r>
      <w:proofErr w:type="spellStart"/>
      <w:r w:rsidR="00B11832" w:rsidRPr="0087045E">
        <w:rPr>
          <w:rFonts w:ascii="Times New Roman" w:hAnsi="Times New Roman" w:cs="Times New Roman"/>
          <w:color w:val="000000"/>
          <w:sz w:val="20"/>
          <w:szCs w:val="20"/>
        </w:rPr>
        <w:t>extractant;Ksat</w:t>
      </w:r>
      <w:proofErr w:type="spellEnd"/>
      <w:r w:rsidR="00B11832" w:rsidRPr="0087045E">
        <w:rPr>
          <w:rFonts w:ascii="Times New Roman" w:hAnsi="Times New Roman" w:cs="Times New Roman"/>
          <w:color w:val="000000"/>
          <w:sz w:val="20"/>
          <w:szCs w:val="20"/>
        </w:rPr>
        <w:t xml:space="preserve"> = saturated hydraulic conductivity.</w:t>
      </w:r>
    </w:p>
    <w:p w14:paraId="51E859BC" w14:textId="77777777" w:rsidR="00074F26" w:rsidRPr="0087045E" w:rsidRDefault="00074F26" w:rsidP="00074F26">
      <w:pPr>
        <w:spacing w:after="0" w:line="240" w:lineRule="auto"/>
        <w:jc w:val="both"/>
        <w:rPr>
          <w:rFonts w:ascii="Times New Roman" w:hAnsi="Times New Roman" w:cs="Times New Roman"/>
          <w:color w:val="000000"/>
          <w:sz w:val="20"/>
          <w:szCs w:val="20"/>
        </w:rPr>
      </w:pPr>
    </w:p>
    <w:p w14:paraId="59C77390" w14:textId="77777777" w:rsidR="00417272" w:rsidRDefault="00417272" w:rsidP="004A2D64">
      <w:pPr>
        <w:spacing w:after="0" w:line="360" w:lineRule="auto"/>
        <w:jc w:val="both"/>
        <w:rPr>
          <w:rFonts w:ascii="Times New Roman" w:hAnsi="Times New Roman" w:cs="Times New Roman"/>
        </w:rPr>
      </w:pPr>
    </w:p>
    <w:p w14:paraId="53A9353A" w14:textId="77777777" w:rsidR="004A2D64" w:rsidRPr="0087045E" w:rsidRDefault="00417272" w:rsidP="002E436E">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lastRenderedPageBreak/>
        <w:t>S</w:t>
      </w:r>
      <w:r w:rsidR="004A2D64" w:rsidRPr="0087045E">
        <w:rPr>
          <w:rFonts w:ascii="Times New Roman" w:hAnsi="Times New Roman" w:cs="Times New Roman"/>
          <w:color w:val="000000"/>
        </w:rPr>
        <w:t>trong positive correlation</w:t>
      </w:r>
      <w:r w:rsidRPr="0087045E">
        <w:rPr>
          <w:rFonts w:ascii="Times New Roman" w:hAnsi="Times New Roman" w:cs="Times New Roman"/>
          <w:color w:val="000000"/>
        </w:rPr>
        <w:t>s</w:t>
      </w:r>
      <w:r w:rsidR="008979CA">
        <w:rPr>
          <w:rFonts w:ascii="Times New Roman" w:hAnsi="Times New Roman" w:cs="Times New Roman"/>
          <w:color w:val="000000"/>
        </w:rPr>
        <w:t xml:space="preserve"> </w:t>
      </w:r>
      <w:r w:rsidRPr="0087045E">
        <w:rPr>
          <w:rFonts w:ascii="Times New Roman" w:hAnsi="Times New Roman" w:cs="Times New Roman"/>
          <w:color w:val="000000"/>
        </w:rPr>
        <w:t>existed</w:t>
      </w:r>
      <w:r w:rsidR="0017062C" w:rsidRPr="0087045E">
        <w:rPr>
          <w:rFonts w:ascii="Times New Roman" w:hAnsi="Times New Roman" w:cs="Times New Roman"/>
          <w:color w:val="000000"/>
        </w:rPr>
        <w:t xml:space="preserve"> between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-extractable phosphorus and potassium (r = 0.660, p &lt; 0.01) (Table </w:t>
      </w:r>
      <w:r w:rsidR="00804CEC">
        <w:rPr>
          <w:rFonts w:ascii="Times New Roman" w:hAnsi="Times New Roman" w:cs="Times New Roman"/>
          <w:color w:val="000000"/>
        </w:rPr>
        <w:t>3</w:t>
      </w:r>
      <w:r w:rsidR="004A2D64" w:rsidRPr="0087045E">
        <w:rPr>
          <w:rFonts w:ascii="Times New Roman" w:hAnsi="Times New Roman" w:cs="Times New Roman"/>
          <w:color w:val="000000"/>
        </w:rPr>
        <w:t>). This indicated that soils having high concentrations of soluble phosphorus would also tend to have higher concentrations of exchangeable pot</w:t>
      </w:r>
      <w:r w:rsidR="0017062C" w:rsidRPr="0087045E">
        <w:rPr>
          <w:rFonts w:ascii="Times New Roman" w:hAnsi="Times New Roman" w:cs="Times New Roman"/>
          <w:color w:val="000000"/>
        </w:rPr>
        <w:t>assium as well. Similarly,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-extractable potassium had a significant positive </w:t>
      </w:r>
      <w:r w:rsidRPr="0087045E">
        <w:rPr>
          <w:rFonts w:ascii="Times New Roman" w:hAnsi="Times New Roman" w:cs="Times New Roman"/>
          <w:color w:val="000000"/>
        </w:rPr>
        <w:t>correlation</w:t>
      </w:r>
      <w:r w:rsidR="004A2D64" w:rsidRPr="0087045E">
        <w:rPr>
          <w:rFonts w:ascii="Times New Roman" w:hAnsi="Times New Roman" w:cs="Times New Roman"/>
          <w:color w:val="000000"/>
        </w:rPr>
        <w:t xml:space="preserve"> with ASI-extractable potassium (r = 0.634, p &lt; 0</w:t>
      </w:r>
      <w:r w:rsidR="0017062C" w:rsidRPr="0087045E">
        <w:rPr>
          <w:rFonts w:ascii="Times New Roman" w:hAnsi="Times New Roman" w:cs="Times New Roman"/>
          <w:color w:val="000000"/>
        </w:rPr>
        <w:t>.01), indicating that both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 and ASI had similar behavior towards variations in potassium availability despite the difference in their extraction strength. The stronger correlations that were observed for potassium in comparison to phosphorus reflected the greater mobility and exchangeability of potassium within tropical soils. </w:t>
      </w:r>
    </w:p>
    <w:p w14:paraId="1D6BCAB7" w14:textId="4EF6967F" w:rsidR="004A2D6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Weak positive relations</w:t>
      </w:r>
      <w:r w:rsidR="0017062C" w:rsidRPr="0087045E">
        <w:rPr>
          <w:rFonts w:ascii="Times New Roman" w:hAnsi="Times New Roman" w:cs="Times New Roman"/>
          <w:color w:val="000000"/>
        </w:rPr>
        <w:t>hips were observed between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Fe and K (r = 0.363, p &lt; 0.01) (Table </w:t>
      </w:r>
      <w:r w:rsidR="002E436E">
        <w:rPr>
          <w:rFonts w:ascii="Times New Roman" w:hAnsi="Times New Roman" w:cs="Times New Roman"/>
          <w:color w:val="000000"/>
        </w:rPr>
        <w:t>3</w:t>
      </w:r>
      <w:r w:rsidRPr="0087045E">
        <w:rPr>
          <w:rFonts w:ascii="Times New Roman" w:hAnsi="Times New Roman" w:cs="Times New Roman"/>
          <w:color w:val="000000"/>
        </w:rPr>
        <w:t xml:space="preserve">). </w:t>
      </w:r>
      <w:r w:rsidR="00417272" w:rsidRPr="0087045E">
        <w:rPr>
          <w:rFonts w:ascii="Times New Roman" w:hAnsi="Times New Roman" w:cs="Times New Roman"/>
          <w:color w:val="000000"/>
        </w:rPr>
        <w:t>S</w:t>
      </w:r>
      <w:r w:rsidRPr="0087045E">
        <w:rPr>
          <w:rFonts w:ascii="Times New Roman" w:hAnsi="Times New Roman" w:cs="Times New Roman"/>
          <w:color w:val="000000"/>
        </w:rPr>
        <w:t xml:space="preserve">trong positive relationships were observed between Mn and Fe extracted with </w:t>
      </w:r>
      <w:r w:rsidRPr="00A6019B">
        <w:rPr>
          <w:rFonts w:ascii="Times New Roman" w:hAnsi="Times New Roman" w:cs="Times New Roman"/>
        </w:rPr>
        <w:t>ASI</w:t>
      </w:r>
      <w:r w:rsidR="002F6D8B" w:rsidRPr="00A6019B">
        <w:rPr>
          <w:rFonts w:ascii="Times New Roman" w:hAnsi="Times New Roman" w:cs="Times New Roman"/>
        </w:rPr>
        <w:t xml:space="preserve"> extractant</w:t>
      </w:r>
      <w:r w:rsidR="00DE16BD" w:rsidRPr="00A6019B">
        <w:rPr>
          <w:rFonts w:ascii="Times New Roman" w:hAnsi="Times New Roman" w:cs="Times New Roman"/>
        </w:rPr>
        <w:t>s</w:t>
      </w:r>
      <w:r w:rsidRPr="00A6019B">
        <w:rPr>
          <w:rFonts w:ascii="Times New Roman" w:hAnsi="Times New Roman" w:cs="Times New Roman"/>
        </w:rPr>
        <w:t xml:space="preserve"> (r = 0.646</w:t>
      </w:r>
      <w:r w:rsidRPr="0087045E">
        <w:rPr>
          <w:rFonts w:ascii="Times New Roman" w:hAnsi="Times New Roman" w:cs="Times New Roman"/>
          <w:color w:val="000000"/>
        </w:rPr>
        <w:t xml:space="preserve">, p &lt; 0.01). These strong relationships between Mn and Fe were attributed to the similarities in the geochemical forms of these elements within highly weathered acidic tropical soils. In such soils, these elements are both strongly impacted by redox conditions and oxide dissolution. Due to the acidic and periodically reducing soil environments, Fe and Mn oxides dissolve simultaneously, thereby increasing their extractability. </w:t>
      </w:r>
    </w:p>
    <w:p w14:paraId="4B4C7D63" w14:textId="7472A42D" w:rsidR="00837DBC" w:rsidRDefault="004A2D64" w:rsidP="00837DBC">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 xml:space="preserve">Particle size distribution also impacted nutrient extraction (Table </w:t>
      </w:r>
      <w:r w:rsidR="00804CEC">
        <w:rPr>
          <w:rFonts w:ascii="Times New Roman" w:hAnsi="Times New Roman" w:cs="Times New Roman"/>
          <w:color w:val="000000"/>
        </w:rPr>
        <w:t>3</w:t>
      </w:r>
      <w:r w:rsidRPr="0087045E">
        <w:rPr>
          <w:rFonts w:ascii="Times New Roman" w:hAnsi="Times New Roman" w:cs="Times New Roman"/>
          <w:color w:val="000000"/>
        </w:rPr>
        <w:t xml:space="preserve">). Sand content was observed to strongly correlate negatively with silt (r = -0.770, p &lt; 0.01) and clay (r = -0.853, p &lt; 0.01).  </w:t>
      </w:r>
      <w:r w:rsidR="00837DBC" w:rsidRPr="0087045E">
        <w:rPr>
          <w:rFonts w:ascii="Times New Roman" w:hAnsi="Times New Roman" w:cs="Times New Roman"/>
          <w:color w:val="000000"/>
        </w:rPr>
        <w:t>Clay had a weak positive correlation with silt (r = 0.324, p &lt; 0.05)</w:t>
      </w:r>
      <w:r w:rsidR="004B6088">
        <w:rPr>
          <w:rFonts w:ascii="Times New Roman" w:hAnsi="Times New Roman" w:cs="Times New Roman"/>
          <w:color w:val="000000"/>
        </w:rPr>
        <w:t xml:space="preserve">. </w:t>
      </w:r>
      <w:r w:rsidR="00837DBC" w:rsidRPr="0087045E">
        <w:rPr>
          <w:rFonts w:ascii="Times New Roman" w:hAnsi="Times New Roman" w:cs="Times New Roman"/>
          <w:color w:val="000000"/>
        </w:rPr>
        <w:t>Bulk density showed weak to moderate negative correlations with several extrac</w:t>
      </w:r>
      <w:r w:rsidR="0017062C" w:rsidRPr="0087045E">
        <w:rPr>
          <w:rFonts w:ascii="Times New Roman" w:hAnsi="Times New Roman" w:cs="Times New Roman"/>
          <w:color w:val="000000"/>
        </w:rPr>
        <w:t>table nutrients, including CaCl</w:t>
      </w:r>
      <w:r w:rsidR="0017062C" w:rsidRPr="0087045E">
        <w:rPr>
          <w:rFonts w:ascii="Times New Roman" w:hAnsi="Times New Roman" w:cs="Times New Roman"/>
          <w:color w:val="000000"/>
          <w:vertAlign w:val="subscript"/>
        </w:rPr>
        <w:t>2</w:t>
      </w:r>
      <w:r w:rsidR="00837DBC" w:rsidRPr="0087045E">
        <w:rPr>
          <w:rFonts w:ascii="Times New Roman" w:hAnsi="Times New Roman" w:cs="Times New Roman"/>
          <w:color w:val="000000"/>
        </w:rPr>
        <w:t>-extractable K, P, Fe, and Mn, as well as ASI-extractable K, Fe, and Mn</w:t>
      </w:r>
      <w:r w:rsidR="002E436E">
        <w:rPr>
          <w:rFonts w:ascii="Times New Roman" w:hAnsi="Times New Roman" w:cs="Times New Roman"/>
          <w:color w:val="000000"/>
        </w:rPr>
        <w:t>.</w:t>
      </w:r>
      <w:r w:rsidR="00837DBC" w:rsidRPr="0087045E">
        <w:rPr>
          <w:rFonts w:ascii="Times New Roman" w:hAnsi="Times New Roman" w:cs="Times New Roman"/>
          <w:color w:val="000000"/>
        </w:rPr>
        <w:t xml:space="preserve"> These correlations indicated that compacted soils with higher bulk density had reduced pore space, reduced aeration, and consequently limited nutrient mobility.  Total porosity, on the other hand, illustrated a strong negative relationship with bulk density (r = –0.719, p &lt; 0.01) and a moderate positive relationship with moisture content (r = 394, p &lt; 0.01). This indicated that improved porosity allowed for enhanced soil moisture content availability, demonstrating conditions favorable for nu</w:t>
      </w:r>
      <w:r w:rsidR="0017062C" w:rsidRPr="0087045E">
        <w:rPr>
          <w:rFonts w:ascii="Times New Roman" w:hAnsi="Times New Roman" w:cs="Times New Roman"/>
          <w:color w:val="000000"/>
        </w:rPr>
        <w:t xml:space="preserve">trient retention and mobility, </w:t>
      </w:r>
      <w:r w:rsidR="00837DBC" w:rsidRPr="0087045E">
        <w:rPr>
          <w:rFonts w:ascii="Times New Roman" w:hAnsi="Times New Roman" w:cs="Times New Roman"/>
          <w:color w:val="000000"/>
        </w:rPr>
        <w:t>reflecting improved soil</w:t>
      </w:r>
      <w:r w:rsidR="00837DBC" w:rsidRPr="006649B1">
        <w:rPr>
          <w:rFonts w:ascii="Times New Roman" w:hAnsi="Times New Roman" w:cs="Times New Roman"/>
        </w:rPr>
        <w:t xml:space="preserve"> structural conditions favorable for nutrient retention and movement.</w:t>
      </w:r>
    </w:p>
    <w:p w14:paraId="24361D60" w14:textId="77777777" w:rsidR="002E436E" w:rsidRDefault="002E436E" w:rsidP="00837DBC">
      <w:pPr>
        <w:spacing w:after="0" w:line="360" w:lineRule="auto"/>
        <w:ind w:firstLine="720"/>
        <w:jc w:val="both"/>
        <w:rPr>
          <w:rFonts w:ascii="Times New Roman" w:hAnsi="Times New Roman" w:cs="Times New Roman"/>
        </w:rPr>
      </w:pPr>
    </w:p>
    <w:p w14:paraId="7F5A2302" w14:textId="77777777" w:rsidR="002E436E" w:rsidRPr="006649B1" w:rsidRDefault="002E436E" w:rsidP="00837DBC">
      <w:pPr>
        <w:spacing w:after="0" w:line="360" w:lineRule="auto"/>
        <w:ind w:firstLine="720"/>
        <w:jc w:val="both"/>
        <w:rPr>
          <w:rFonts w:ascii="Times New Roman" w:hAnsi="Times New Roman" w:cs="Times New Roman"/>
        </w:rPr>
      </w:pPr>
    </w:p>
    <w:p w14:paraId="50730D90" w14:textId="77777777" w:rsidR="004A2D64" w:rsidRDefault="004A2D64" w:rsidP="004A2D64">
      <w:pPr>
        <w:spacing w:after="0" w:line="240" w:lineRule="auto"/>
        <w:jc w:val="both"/>
        <w:rPr>
          <w:rFonts w:ascii="Times New Roman" w:hAnsi="Times New Roman" w:cs="Times New Roman"/>
        </w:rPr>
      </w:pPr>
      <w:r>
        <w:rPr>
          <w:rFonts w:ascii="Times New Roman" w:hAnsi="Times New Roman" w:cs="Times New Roman"/>
        </w:rPr>
        <w:tab/>
      </w:r>
      <w:r w:rsidRPr="002B4BD4">
        <w:rPr>
          <w:rFonts w:ascii="Times New Roman" w:hAnsi="Times New Roman" w:cs="Times New Roman"/>
        </w:rPr>
        <w:t xml:space="preserve">Table </w:t>
      </w:r>
      <w:r w:rsidR="00804CEC">
        <w:rPr>
          <w:rFonts w:ascii="Times New Roman" w:hAnsi="Times New Roman" w:cs="Times New Roman"/>
        </w:rPr>
        <w:t>4</w:t>
      </w:r>
      <w:r w:rsidRPr="002B4BD4">
        <w:rPr>
          <w:rFonts w:ascii="Times New Roman" w:hAnsi="Times New Roman" w:cs="Times New Roman"/>
        </w:rPr>
        <w:t xml:space="preserve"> illustrat</w:t>
      </w:r>
      <w:r>
        <w:rPr>
          <w:rFonts w:ascii="Times New Roman" w:hAnsi="Times New Roman" w:cs="Times New Roman"/>
        </w:rPr>
        <w:t>es</w:t>
      </w:r>
      <w:r w:rsidRPr="002B4BD4">
        <w:rPr>
          <w:rFonts w:ascii="Times New Roman" w:hAnsi="Times New Roman" w:cs="Times New Roman"/>
        </w:rPr>
        <w:t xml:space="preserve"> the correlation</w:t>
      </w:r>
      <w:r>
        <w:rPr>
          <w:rFonts w:ascii="Times New Roman" w:hAnsi="Times New Roman" w:cs="Times New Roman"/>
        </w:rPr>
        <w:t>s</w:t>
      </w:r>
      <w:r w:rsidRPr="002B4BD4">
        <w:rPr>
          <w:rFonts w:ascii="Times New Roman" w:hAnsi="Times New Roman" w:cs="Times New Roman"/>
        </w:rPr>
        <w:t xml:space="preserve"> between universal extractants and soil chemical properties</w:t>
      </w:r>
      <w:r>
        <w:rPr>
          <w:rFonts w:ascii="Times New Roman" w:hAnsi="Times New Roman" w:cs="Times New Roman"/>
        </w:rPr>
        <w:t xml:space="preserve">. </w:t>
      </w:r>
    </w:p>
    <w:p w14:paraId="68DC3BE8" w14:textId="77777777" w:rsidR="00181B54" w:rsidRDefault="00181B54" w:rsidP="004A2D64">
      <w:pPr>
        <w:spacing w:after="0" w:line="360" w:lineRule="auto"/>
        <w:jc w:val="both"/>
        <w:rPr>
          <w:rFonts w:ascii="Times New Roman" w:hAnsi="Times New Roman" w:cs="Times New Roman"/>
        </w:rPr>
      </w:pPr>
    </w:p>
    <w:p w14:paraId="63F31104" w14:textId="77777777" w:rsidR="00804CEC" w:rsidRPr="00181B54" w:rsidRDefault="00804CEC" w:rsidP="00804CEC">
      <w:pPr>
        <w:spacing w:after="0" w:line="360" w:lineRule="auto"/>
        <w:jc w:val="both"/>
        <w:rPr>
          <w:rFonts w:ascii="Times New Roman" w:hAnsi="Times New Roman" w:cs="Times New Roman"/>
          <w:b/>
          <w:bCs/>
          <w:sz w:val="20"/>
          <w:szCs w:val="20"/>
        </w:rPr>
      </w:pPr>
      <w:r w:rsidRPr="00181B54">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4</w:t>
      </w:r>
      <w:r w:rsidRPr="00181B54">
        <w:rPr>
          <w:rFonts w:ascii="Times New Roman" w:hAnsi="Times New Roman" w:cs="Times New Roman"/>
          <w:b/>
          <w:bCs/>
          <w:sz w:val="20"/>
          <w:szCs w:val="20"/>
        </w:rPr>
        <w:t xml:space="preserve">: </w:t>
      </w:r>
      <w:r w:rsidRPr="00181B54">
        <w:rPr>
          <w:rFonts w:ascii="Times New Roman" w:hAnsi="Times New Roman" w:cs="Times New Roman"/>
          <w:sz w:val="20"/>
          <w:szCs w:val="20"/>
        </w:rPr>
        <w:t xml:space="preserve">Pearson correlation matrix between universal extractants and selected soil </w:t>
      </w:r>
      <w:r>
        <w:rPr>
          <w:rFonts w:ascii="Times New Roman" w:hAnsi="Times New Roman" w:cs="Times New Roman"/>
          <w:sz w:val="20"/>
          <w:szCs w:val="20"/>
        </w:rPr>
        <w:t xml:space="preserve">chemical </w:t>
      </w:r>
      <w:r w:rsidRPr="00181B54">
        <w:rPr>
          <w:rFonts w:ascii="Times New Roman" w:hAnsi="Times New Roman" w:cs="Times New Roman"/>
          <w:sz w:val="20"/>
          <w:szCs w:val="20"/>
        </w:rPr>
        <w:t>properties</w:t>
      </w:r>
    </w:p>
    <w:p w14:paraId="7EE0A935" w14:textId="77777777" w:rsidR="00181B54" w:rsidRDefault="00181B54" w:rsidP="00074F26">
      <w:pPr>
        <w:spacing w:after="0" w:line="240" w:lineRule="auto"/>
        <w:jc w:val="both"/>
        <w:rPr>
          <w:rFonts w:ascii="Times New Roman" w:hAnsi="Times New Roman" w:cs="Times New Roman"/>
        </w:rPr>
      </w:pPr>
    </w:p>
    <w:p w14:paraId="0BC83F88" w14:textId="77777777" w:rsidR="004F6F63" w:rsidRDefault="004F6F63" w:rsidP="00074F26">
      <w:pPr>
        <w:spacing w:after="0" w:line="240" w:lineRule="auto"/>
        <w:jc w:val="both"/>
        <w:rPr>
          <w:rFonts w:ascii="Times New Roman" w:hAnsi="Times New Roman" w:cs="Times New Roman"/>
          <w:sz w:val="20"/>
          <w:szCs w:val="20"/>
        </w:rPr>
      </w:pPr>
    </w:p>
    <w:tbl>
      <w:tblPr>
        <w:tblpPr w:leftFromText="180" w:rightFromText="180" w:horzAnchor="margin" w:tblpY="603"/>
        <w:tblW w:w="5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46"/>
        <w:gridCol w:w="668"/>
        <w:gridCol w:w="707"/>
        <w:gridCol w:w="761"/>
        <w:gridCol w:w="583"/>
        <w:gridCol w:w="605"/>
        <w:gridCol w:w="644"/>
        <w:gridCol w:w="698"/>
        <w:gridCol w:w="722"/>
        <w:gridCol w:w="594"/>
        <w:gridCol w:w="594"/>
        <w:gridCol w:w="594"/>
        <w:gridCol w:w="594"/>
        <w:gridCol w:w="594"/>
        <w:gridCol w:w="594"/>
        <w:gridCol w:w="378"/>
      </w:tblGrid>
      <w:tr w:rsidR="004F6F63" w:rsidRPr="004F6F63" w14:paraId="07E4D4F7" w14:textId="77777777" w:rsidTr="00A93231">
        <w:trPr>
          <w:trHeight w:val="33"/>
        </w:trPr>
        <w:tc>
          <w:tcPr>
            <w:tcW w:w="383" w:type="pct"/>
            <w:vAlign w:val="center"/>
            <w:hideMark/>
          </w:tcPr>
          <w:p w14:paraId="1C39FFD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Parameters</w:t>
            </w:r>
          </w:p>
        </w:tc>
        <w:tc>
          <w:tcPr>
            <w:tcW w:w="299" w:type="pct"/>
            <w:vAlign w:val="center"/>
            <w:hideMark/>
          </w:tcPr>
          <w:p w14:paraId="78181D10"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CaCl_P</w:t>
            </w:r>
            <w:proofErr w:type="spellEnd"/>
          </w:p>
        </w:tc>
        <w:tc>
          <w:tcPr>
            <w:tcW w:w="309" w:type="pct"/>
            <w:vAlign w:val="center"/>
            <w:hideMark/>
          </w:tcPr>
          <w:p w14:paraId="501FDFBB"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CaCl_K</w:t>
            </w:r>
            <w:proofErr w:type="spellEnd"/>
          </w:p>
        </w:tc>
        <w:tc>
          <w:tcPr>
            <w:tcW w:w="327" w:type="pct"/>
            <w:vAlign w:val="center"/>
            <w:hideMark/>
          </w:tcPr>
          <w:p w14:paraId="71D6D894"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CaCl_Fe</w:t>
            </w:r>
            <w:proofErr w:type="spellEnd"/>
          </w:p>
        </w:tc>
        <w:tc>
          <w:tcPr>
            <w:tcW w:w="352" w:type="pct"/>
            <w:vAlign w:val="center"/>
            <w:hideMark/>
          </w:tcPr>
          <w:p w14:paraId="5A3FA930"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CaCl_Mn</w:t>
            </w:r>
            <w:proofErr w:type="spellEnd"/>
          </w:p>
        </w:tc>
        <w:tc>
          <w:tcPr>
            <w:tcW w:w="270" w:type="pct"/>
            <w:vAlign w:val="center"/>
            <w:hideMark/>
          </w:tcPr>
          <w:p w14:paraId="574A875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ASI_P</w:t>
            </w:r>
          </w:p>
        </w:tc>
        <w:tc>
          <w:tcPr>
            <w:tcW w:w="280" w:type="pct"/>
            <w:vAlign w:val="center"/>
            <w:hideMark/>
          </w:tcPr>
          <w:p w14:paraId="61377DA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ASI_K</w:t>
            </w:r>
          </w:p>
        </w:tc>
        <w:tc>
          <w:tcPr>
            <w:tcW w:w="298" w:type="pct"/>
            <w:vAlign w:val="center"/>
            <w:hideMark/>
          </w:tcPr>
          <w:p w14:paraId="28DB85F2"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ASI_Fe</w:t>
            </w:r>
            <w:proofErr w:type="spellEnd"/>
          </w:p>
        </w:tc>
        <w:tc>
          <w:tcPr>
            <w:tcW w:w="323" w:type="pct"/>
            <w:vAlign w:val="center"/>
            <w:hideMark/>
          </w:tcPr>
          <w:p w14:paraId="08AE637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ASI_Mn</w:t>
            </w:r>
          </w:p>
        </w:tc>
        <w:tc>
          <w:tcPr>
            <w:tcW w:w="334" w:type="pct"/>
            <w:vAlign w:val="center"/>
            <w:hideMark/>
          </w:tcPr>
          <w:p w14:paraId="2529A751" w14:textId="77777777" w:rsidR="007540EE"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pH</w:t>
            </w:r>
          </w:p>
          <w:p w14:paraId="4A0489E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H2O</w:t>
            </w:r>
          </w:p>
        </w:tc>
        <w:tc>
          <w:tcPr>
            <w:tcW w:w="275" w:type="pct"/>
            <w:vAlign w:val="center"/>
            <w:hideMark/>
          </w:tcPr>
          <w:p w14:paraId="2B2BDEC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w:t>
            </w:r>
          </w:p>
        </w:tc>
        <w:tc>
          <w:tcPr>
            <w:tcW w:w="275" w:type="pct"/>
            <w:vAlign w:val="center"/>
            <w:hideMark/>
          </w:tcPr>
          <w:p w14:paraId="4D0D58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OC</w:t>
            </w:r>
          </w:p>
        </w:tc>
        <w:tc>
          <w:tcPr>
            <w:tcW w:w="275" w:type="pct"/>
            <w:vAlign w:val="center"/>
            <w:hideMark/>
          </w:tcPr>
          <w:p w14:paraId="140AC2D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TN</w:t>
            </w:r>
          </w:p>
        </w:tc>
        <w:tc>
          <w:tcPr>
            <w:tcW w:w="275" w:type="pct"/>
            <w:vAlign w:val="center"/>
            <w:hideMark/>
          </w:tcPr>
          <w:p w14:paraId="7BE051C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EA</w:t>
            </w:r>
          </w:p>
        </w:tc>
        <w:tc>
          <w:tcPr>
            <w:tcW w:w="275" w:type="pct"/>
            <w:vAlign w:val="center"/>
            <w:hideMark/>
          </w:tcPr>
          <w:p w14:paraId="67ADD2D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TEB</w:t>
            </w:r>
          </w:p>
        </w:tc>
        <w:tc>
          <w:tcPr>
            <w:tcW w:w="275" w:type="pct"/>
            <w:vAlign w:val="center"/>
            <w:hideMark/>
          </w:tcPr>
          <w:p w14:paraId="127EB86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ECEC</w:t>
            </w:r>
          </w:p>
        </w:tc>
        <w:tc>
          <w:tcPr>
            <w:tcW w:w="175" w:type="pct"/>
            <w:vAlign w:val="center"/>
            <w:hideMark/>
          </w:tcPr>
          <w:p w14:paraId="2275450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BS</w:t>
            </w:r>
          </w:p>
        </w:tc>
      </w:tr>
      <w:tr w:rsidR="004F6F63" w:rsidRPr="004F6F63" w14:paraId="3D08A9A4" w14:textId="77777777" w:rsidTr="00A93231">
        <w:trPr>
          <w:trHeight w:val="33"/>
        </w:trPr>
        <w:tc>
          <w:tcPr>
            <w:tcW w:w="383" w:type="pct"/>
            <w:vAlign w:val="center"/>
            <w:hideMark/>
          </w:tcPr>
          <w:p w14:paraId="70CAB18A"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CaCl_P</w:t>
            </w:r>
            <w:proofErr w:type="spellEnd"/>
          </w:p>
        </w:tc>
        <w:tc>
          <w:tcPr>
            <w:tcW w:w="299" w:type="pct"/>
            <w:vAlign w:val="center"/>
            <w:hideMark/>
          </w:tcPr>
          <w:p w14:paraId="2B09E29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09" w:type="pct"/>
            <w:vAlign w:val="center"/>
            <w:hideMark/>
          </w:tcPr>
          <w:p w14:paraId="35474EA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7" w:type="pct"/>
            <w:vAlign w:val="center"/>
            <w:hideMark/>
          </w:tcPr>
          <w:p w14:paraId="0BA1C15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52" w:type="pct"/>
            <w:vAlign w:val="center"/>
            <w:hideMark/>
          </w:tcPr>
          <w:p w14:paraId="57835B4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6550CA5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676F63D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3757039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20312C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1997D92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1726E9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E09138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D402F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25B4C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39413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2AB36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D5125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037B3D8" w14:textId="77777777" w:rsidTr="00A93231">
        <w:trPr>
          <w:trHeight w:val="33"/>
        </w:trPr>
        <w:tc>
          <w:tcPr>
            <w:tcW w:w="383" w:type="pct"/>
            <w:vAlign w:val="center"/>
            <w:hideMark/>
          </w:tcPr>
          <w:p w14:paraId="1060BA98"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CaCl_K</w:t>
            </w:r>
            <w:proofErr w:type="spellEnd"/>
          </w:p>
        </w:tc>
        <w:tc>
          <w:tcPr>
            <w:tcW w:w="299" w:type="pct"/>
            <w:shd w:val="clear" w:color="auto" w:fill="FFC000"/>
            <w:vAlign w:val="center"/>
            <w:hideMark/>
          </w:tcPr>
          <w:p w14:paraId="69E30DA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.660**</w:t>
            </w:r>
          </w:p>
        </w:tc>
        <w:tc>
          <w:tcPr>
            <w:tcW w:w="309" w:type="pct"/>
            <w:vAlign w:val="center"/>
            <w:hideMark/>
          </w:tcPr>
          <w:p w14:paraId="469038A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27" w:type="pct"/>
            <w:vAlign w:val="center"/>
            <w:hideMark/>
          </w:tcPr>
          <w:p w14:paraId="25DA4F3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52" w:type="pct"/>
            <w:vAlign w:val="center"/>
            <w:hideMark/>
          </w:tcPr>
          <w:p w14:paraId="431D9DB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623839D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220ED39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2DD7A7A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4546EE0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4D259BB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6D499C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51BFAE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D76203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7BE370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751834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D25E0B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112A562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423908E4" w14:textId="77777777" w:rsidTr="00A93231">
        <w:trPr>
          <w:trHeight w:val="33"/>
        </w:trPr>
        <w:tc>
          <w:tcPr>
            <w:tcW w:w="383" w:type="pct"/>
            <w:vAlign w:val="center"/>
            <w:hideMark/>
          </w:tcPr>
          <w:p w14:paraId="13FB1640"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CaCl_Fe</w:t>
            </w:r>
            <w:proofErr w:type="spellEnd"/>
          </w:p>
        </w:tc>
        <w:tc>
          <w:tcPr>
            <w:tcW w:w="299" w:type="pct"/>
            <w:shd w:val="clear" w:color="auto" w:fill="00B0F0"/>
            <w:vAlign w:val="center"/>
            <w:hideMark/>
          </w:tcPr>
          <w:p w14:paraId="2291523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0.217</w:t>
            </w:r>
          </w:p>
        </w:tc>
        <w:tc>
          <w:tcPr>
            <w:tcW w:w="309" w:type="pct"/>
            <w:shd w:val="clear" w:color="auto" w:fill="00B0F0"/>
            <w:vAlign w:val="center"/>
            <w:hideMark/>
          </w:tcPr>
          <w:p w14:paraId="3C0CE8D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.363**</w:t>
            </w:r>
          </w:p>
        </w:tc>
        <w:tc>
          <w:tcPr>
            <w:tcW w:w="327" w:type="pct"/>
            <w:vAlign w:val="center"/>
            <w:hideMark/>
          </w:tcPr>
          <w:p w14:paraId="564C81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52" w:type="pct"/>
            <w:vAlign w:val="center"/>
            <w:hideMark/>
          </w:tcPr>
          <w:p w14:paraId="4FFEC0F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7B3E5C6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226C125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2707961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691633C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13CCDB9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12081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FCCAC4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9F9DE6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1D71C7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46C00C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E65F22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5807E7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416AECA" w14:textId="77777777" w:rsidTr="00A93231">
        <w:trPr>
          <w:trHeight w:val="33"/>
        </w:trPr>
        <w:tc>
          <w:tcPr>
            <w:tcW w:w="383" w:type="pct"/>
            <w:vAlign w:val="center"/>
            <w:hideMark/>
          </w:tcPr>
          <w:p w14:paraId="2116DAC3"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CaCl_Mn</w:t>
            </w:r>
            <w:proofErr w:type="spellEnd"/>
          </w:p>
        </w:tc>
        <w:tc>
          <w:tcPr>
            <w:tcW w:w="299" w:type="pct"/>
            <w:vAlign w:val="center"/>
            <w:hideMark/>
          </w:tcPr>
          <w:p w14:paraId="04D32CB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w:t>
            </w:r>
          </w:p>
        </w:tc>
        <w:tc>
          <w:tcPr>
            <w:tcW w:w="309" w:type="pct"/>
            <w:shd w:val="clear" w:color="auto" w:fill="00B0F0"/>
            <w:vAlign w:val="center"/>
            <w:hideMark/>
          </w:tcPr>
          <w:p w14:paraId="3466C24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0.223</w:t>
            </w:r>
          </w:p>
        </w:tc>
        <w:tc>
          <w:tcPr>
            <w:tcW w:w="327" w:type="pct"/>
            <w:shd w:val="clear" w:color="auto" w:fill="92D050"/>
            <w:vAlign w:val="center"/>
            <w:hideMark/>
          </w:tcPr>
          <w:p w14:paraId="653792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.483**</w:t>
            </w:r>
          </w:p>
        </w:tc>
        <w:tc>
          <w:tcPr>
            <w:tcW w:w="352" w:type="pct"/>
            <w:vAlign w:val="center"/>
            <w:hideMark/>
          </w:tcPr>
          <w:p w14:paraId="1FFB421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0" w:type="pct"/>
            <w:vAlign w:val="center"/>
            <w:hideMark/>
          </w:tcPr>
          <w:p w14:paraId="05242CA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57D2B0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48B7EBD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52DE5A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373A868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B48958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A9C5E3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BD824F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E0F43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AB0317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466023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870A27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2EE956B" w14:textId="77777777" w:rsidTr="00A93231">
        <w:trPr>
          <w:trHeight w:val="33"/>
        </w:trPr>
        <w:tc>
          <w:tcPr>
            <w:tcW w:w="383" w:type="pct"/>
            <w:vAlign w:val="center"/>
            <w:hideMark/>
          </w:tcPr>
          <w:p w14:paraId="053C4E4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ASI_P</w:t>
            </w:r>
          </w:p>
        </w:tc>
        <w:tc>
          <w:tcPr>
            <w:tcW w:w="299" w:type="pct"/>
            <w:vAlign w:val="center"/>
            <w:hideMark/>
          </w:tcPr>
          <w:p w14:paraId="7592E9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w:t>
            </w:r>
          </w:p>
        </w:tc>
        <w:tc>
          <w:tcPr>
            <w:tcW w:w="309" w:type="pct"/>
            <w:vAlign w:val="center"/>
            <w:hideMark/>
          </w:tcPr>
          <w:p w14:paraId="201113C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0.113</w:t>
            </w:r>
          </w:p>
        </w:tc>
        <w:tc>
          <w:tcPr>
            <w:tcW w:w="327" w:type="pct"/>
            <w:vAlign w:val="center"/>
            <w:hideMark/>
          </w:tcPr>
          <w:p w14:paraId="4A314AD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0.073</w:t>
            </w:r>
          </w:p>
        </w:tc>
        <w:tc>
          <w:tcPr>
            <w:tcW w:w="352" w:type="pct"/>
            <w:vAlign w:val="center"/>
            <w:hideMark/>
          </w:tcPr>
          <w:p w14:paraId="601193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0.071</w:t>
            </w:r>
          </w:p>
        </w:tc>
        <w:tc>
          <w:tcPr>
            <w:tcW w:w="270" w:type="pct"/>
            <w:vAlign w:val="center"/>
            <w:hideMark/>
          </w:tcPr>
          <w:p w14:paraId="1D6468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80" w:type="pct"/>
            <w:vAlign w:val="center"/>
            <w:hideMark/>
          </w:tcPr>
          <w:p w14:paraId="3008DC7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5EFDF03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4EF5FA1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4D87814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27804A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15705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26AD9F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8396CD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E115B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AE7B79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67A0A6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3F55A93" w14:textId="77777777" w:rsidTr="00A93231">
        <w:trPr>
          <w:trHeight w:val="33"/>
        </w:trPr>
        <w:tc>
          <w:tcPr>
            <w:tcW w:w="383" w:type="pct"/>
            <w:vAlign w:val="center"/>
            <w:hideMark/>
          </w:tcPr>
          <w:p w14:paraId="25E70EF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ASI_K</w:t>
            </w:r>
          </w:p>
        </w:tc>
        <w:tc>
          <w:tcPr>
            <w:tcW w:w="299" w:type="pct"/>
            <w:shd w:val="clear" w:color="auto" w:fill="92D050"/>
            <w:vAlign w:val="center"/>
            <w:hideMark/>
          </w:tcPr>
          <w:p w14:paraId="2C355B6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.408**</w:t>
            </w:r>
          </w:p>
        </w:tc>
        <w:tc>
          <w:tcPr>
            <w:tcW w:w="309" w:type="pct"/>
            <w:shd w:val="clear" w:color="auto" w:fill="FFC000"/>
            <w:vAlign w:val="center"/>
            <w:hideMark/>
          </w:tcPr>
          <w:p w14:paraId="15FFE06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.634**</w:t>
            </w:r>
          </w:p>
        </w:tc>
        <w:tc>
          <w:tcPr>
            <w:tcW w:w="327" w:type="pct"/>
            <w:shd w:val="clear" w:color="auto" w:fill="92D050"/>
            <w:vAlign w:val="center"/>
            <w:hideMark/>
          </w:tcPr>
          <w:p w14:paraId="144F7C9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.424**</w:t>
            </w:r>
          </w:p>
        </w:tc>
        <w:tc>
          <w:tcPr>
            <w:tcW w:w="352" w:type="pct"/>
            <w:shd w:val="clear" w:color="auto" w:fill="00B0F0"/>
            <w:vAlign w:val="center"/>
            <w:hideMark/>
          </w:tcPr>
          <w:p w14:paraId="486AC1A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364**</w:t>
            </w:r>
          </w:p>
        </w:tc>
        <w:tc>
          <w:tcPr>
            <w:tcW w:w="270" w:type="pct"/>
            <w:vAlign w:val="center"/>
            <w:hideMark/>
          </w:tcPr>
          <w:p w14:paraId="4293407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w:t>
            </w:r>
          </w:p>
        </w:tc>
        <w:tc>
          <w:tcPr>
            <w:tcW w:w="280" w:type="pct"/>
            <w:vAlign w:val="center"/>
            <w:hideMark/>
          </w:tcPr>
          <w:p w14:paraId="261CDC3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98" w:type="pct"/>
            <w:vAlign w:val="center"/>
            <w:hideMark/>
          </w:tcPr>
          <w:p w14:paraId="3C37F7C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4A2A4F8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543B03D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70FB9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148A43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AD1DA3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FADDF0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C50ED7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7B3192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CD8605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BFDDC32" w14:textId="77777777" w:rsidTr="00A93231">
        <w:trPr>
          <w:trHeight w:val="33"/>
        </w:trPr>
        <w:tc>
          <w:tcPr>
            <w:tcW w:w="383" w:type="pct"/>
            <w:vAlign w:val="center"/>
            <w:hideMark/>
          </w:tcPr>
          <w:p w14:paraId="06A0993D" w14:textId="77777777" w:rsidR="004F6F63" w:rsidRPr="007540EE" w:rsidRDefault="004F6F63" w:rsidP="007540EE">
            <w:pPr>
              <w:spacing w:after="0" w:line="240" w:lineRule="auto"/>
              <w:jc w:val="both"/>
              <w:rPr>
                <w:rFonts w:ascii="Times New Roman" w:hAnsi="Times New Roman" w:cs="Times New Roman"/>
                <w:sz w:val="12"/>
                <w:szCs w:val="12"/>
              </w:rPr>
            </w:pPr>
            <w:proofErr w:type="spellStart"/>
            <w:r w:rsidRPr="007540EE">
              <w:rPr>
                <w:rFonts w:ascii="Times New Roman" w:hAnsi="Times New Roman" w:cs="Times New Roman"/>
                <w:sz w:val="12"/>
                <w:szCs w:val="12"/>
              </w:rPr>
              <w:t>ASI_Fe</w:t>
            </w:r>
            <w:proofErr w:type="spellEnd"/>
          </w:p>
        </w:tc>
        <w:tc>
          <w:tcPr>
            <w:tcW w:w="299" w:type="pct"/>
            <w:shd w:val="clear" w:color="auto" w:fill="00B0F0"/>
            <w:vAlign w:val="center"/>
            <w:hideMark/>
          </w:tcPr>
          <w:p w14:paraId="5A2378D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.310*</w:t>
            </w:r>
          </w:p>
        </w:tc>
        <w:tc>
          <w:tcPr>
            <w:tcW w:w="309" w:type="pct"/>
            <w:shd w:val="clear" w:color="auto" w:fill="00B0F0"/>
            <w:vAlign w:val="center"/>
            <w:hideMark/>
          </w:tcPr>
          <w:p w14:paraId="1DE005C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0.24</w:t>
            </w:r>
          </w:p>
        </w:tc>
        <w:tc>
          <w:tcPr>
            <w:tcW w:w="327" w:type="pct"/>
            <w:shd w:val="clear" w:color="auto" w:fill="00B0F0"/>
            <w:vAlign w:val="center"/>
            <w:hideMark/>
          </w:tcPr>
          <w:p w14:paraId="364B9C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.357**</w:t>
            </w:r>
          </w:p>
        </w:tc>
        <w:tc>
          <w:tcPr>
            <w:tcW w:w="352" w:type="pct"/>
            <w:vAlign w:val="center"/>
            <w:hideMark/>
          </w:tcPr>
          <w:p w14:paraId="0DADC3D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0.029</w:t>
            </w:r>
          </w:p>
        </w:tc>
        <w:tc>
          <w:tcPr>
            <w:tcW w:w="270" w:type="pct"/>
            <w:vAlign w:val="center"/>
            <w:hideMark/>
          </w:tcPr>
          <w:p w14:paraId="5E3EB5E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0.029</w:t>
            </w:r>
          </w:p>
        </w:tc>
        <w:tc>
          <w:tcPr>
            <w:tcW w:w="280" w:type="pct"/>
            <w:vAlign w:val="center"/>
            <w:hideMark/>
          </w:tcPr>
          <w:p w14:paraId="26D5D5A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w:t>
            </w:r>
          </w:p>
        </w:tc>
        <w:tc>
          <w:tcPr>
            <w:tcW w:w="298" w:type="pct"/>
            <w:vAlign w:val="center"/>
            <w:hideMark/>
          </w:tcPr>
          <w:p w14:paraId="74726D5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23" w:type="pct"/>
            <w:vAlign w:val="center"/>
            <w:hideMark/>
          </w:tcPr>
          <w:p w14:paraId="64D97E3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06CCF01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F2239A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F09A89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09546E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9CDDF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A057FE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007D74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07DA47B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6188F459" w14:textId="77777777" w:rsidTr="00A93231">
        <w:trPr>
          <w:trHeight w:val="33"/>
        </w:trPr>
        <w:tc>
          <w:tcPr>
            <w:tcW w:w="383" w:type="pct"/>
            <w:vAlign w:val="center"/>
            <w:hideMark/>
          </w:tcPr>
          <w:p w14:paraId="34F5442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ASI_Mn</w:t>
            </w:r>
          </w:p>
        </w:tc>
        <w:tc>
          <w:tcPr>
            <w:tcW w:w="299" w:type="pct"/>
            <w:vAlign w:val="center"/>
            <w:hideMark/>
          </w:tcPr>
          <w:p w14:paraId="40446BC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0.052</w:t>
            </w:r>
          </w:p>
        </w:tc>
        <w:tc>
          <w:tcPr>
            <w:tcW w:w="309" w:type="pct"/>
            <w:vAlign w:val="center"/>
            <w:hideMark/>
          </w:tcPr>
          <w:p w14:paraId="1BE7827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w:t>
            </w:r>
          </w:p>
        </w:tc>
        <w:tc>
          <w:tcPr>
            <w:tcW w:w="327" w:type="pct"/>
            <w:shd w:val="clear" w:color="auto" w:fill="00B0F0"/>
            <w:vAlign w:val="center"/>
            <w:hideMark/>
          </w:tcPr>
          <w:p w14:paraId="1B83F8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.273*</w:t>
            </w:r>
          </w:p>
        </w:tc>
        <w:tc>
          <w:tcPr>
            <w:tcW w:w="352" w:type="pct"/>
            <w:shd w:val="clear" w:color="auto" w:fill="00B0F0"/>
            <w:vAlign w:val="center"/>
            <w:hideMark/>
          </w:tcPr>
          <w:p w14:paraId="30CEE94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0.236</w:t>
            </w:r>
          </w:p>
        </w:tc>
        <w:tc>
          <w:tcPr>
            <w:tcW w:w="270" w:type="pct"/>
            <w:vAlign w:val="center"/>
            <w:hideMark/>
          </w:tcPr>
          <w:p w14:paraId="0CD72BB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0.026</w:t>
            </w:r>
          </w:p>
        </w:tc>
        <w:tc>
          <w:tcPr>
            <w:tcW w:w="280" w:type="pct"/>
            <w:vAlign w:val="center"/>
            <w:hideMark/>
          </w:tcPr>
          <w:p w14:paraId="35B5FC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0.127</w:t>
            </w:r>
          </w:p>
        </w:tc>
        <w:tc>
          <w:tcPr>
            <w:tcW w:w="298" w:type="pct"/>
            <w:shd w:val="clear" w:color="auto" w:fill="FFC000"/>
            <w:vAlign w:val="center"/>
            <w:hideMark/>
          </w:tcPr>
          <w:p w14:paraId="21AA6A5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.646**</w:t>
            </w:r>
          </w:p>
        </w:tc>
        <w:tc>
          <w:tcPr>
            <w:tcW w:w="323" w:type="pct"/>
            <w:vAlign w:val="center"/>
            <w:hideMark/>
          </w:tcPr>
          <w:p w14:paraId="21BE2C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34" w:type="pct"/>
            <w:vAlign w:val="center"/>
            <w:hideMark/>
          </w:tcPr>
          <w:p w14:paraId="17C3BA1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AC7D44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F26CD2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E984D1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3D17C8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6A37B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8B913F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F3EA69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6D97B68" w14:textId="77777777" w:rsidTr="00A93231">
        <w:trPr>
          <w:trHeight w:val="33"/>
        </w:trPr>
        <w:tc>
          <w:tcPr>
            <w:tcW w:w="383" w:type="pct"/>
            <w:vAlign w:val="center"/>
            <w:hideMark/>
          </w:tcPr>
          <w:p w14:paraId="5E12D4D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pHH</w:t>
            </w:r>
            <w:r w:rsidRPr="00354EB0">
              <w:rPr>
                <w:rFonts w:ascii="Times New Roman" w:hAnsi="Times New Roman" w:cs="Times New Roman"/>
                <w:sz w:val="12"/>
                <w:szCs w:val="12"/>
                <w:vertAlign w:val="subscript"/>
              </w:rPr>
              <w:t>2</w:t>
            </w:r>
            <w:r w:rsidRPr="007540EE">
              <w:rPr>
                <w:rFonts w:ascii="Times New Roman" w:hAnsi="Times New Roman" w:cs="Times New Roman"/>
                <w:sz w:val="12"/>
                <w:szCs w:val="12"/>
              </w:rPr>
              <w:t>O</w:t>
            </w:r>
          </w:p>
        </w:tc>
        <w:tc>
          <w:tcPr>
            <w:tcW w:w="299" w:type="pct"/>
            <w:vAlign w:val="center"/>
            <w:hideMark/>
          </w:tcPr>
          <w:p w14:paraId="137C4C7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0.186</w:t>
            </w:r>
          </w:p>
        </w:tc>
        <w:tc>
          <w:tcPr>
            <w:tcW w:w="309" w:type="pct"/>
            <w:shd w:val="clear" w:color="auto" w:fill="92D050"/>
            <w:vAlign w:val="center"/>
            <w:hideMark/>
          </w:tcPr>
          <w:p w14:paraId="228F587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.427**</w:t>
            </w:r>
          </w:p>
        </w:tc>
        <w:tc>
          <w:tcPr>
            <w:tcW w:w="327" w:type="pct"/>
            <w:vAlign w:val="center"/>
            <w:hideMark/>
          </w:tcPr>
          <w:p w14:paraId="7040924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0.082</w:t>
            </w:r>
          </w:p>
        </w:tc>
        <w:tc>
          <w:tcPr>
            <w:tcW w:w="352" w:type="pct"/>
            <w:vAlign w:val="center"/>
            <w:hideMark/>
          </w:tcPr>
          <w:p w14:paraId="7838CCF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0.181</w:t>
            </w:r>
          </w:p>
        </w:tc>
        <w:tc>
          <w:tcPr>
            <w:tcW w:w="270" w:type="pct"/>
            <w:vAlign w:val="center"/>
            <w:hideMark/>
          </w:tcPr>
          <w:p w14:paraId="361B0BE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0.099</w:t>
            </w:r>
          </w:p>
        </w:tc>
        <w:tc>
          <w:tcPr>
            <w:tcW w:w="280" w:type="pct"/>
            <w:shd w:val="clear" w:color="auto" w:fill="92D050"/>
            <w:vAlign w:val="center"/>
            <w:hideMark/>
          </w:tcPr>
          <w:p w14:paraId="46A4420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.451**</w:t>
            </w:r>
          </w:p>
        </w:tc>
        <w:tc>
          <w:tcPr>
            <w:tcW w:w="298" w:type="pct"/>
            <w:vAlign w:val="center"/>
            <w:hideMark/>
          </w:tcPr>
          <w:p w14:paraId="26851D3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0.028</w:t>
            </w:r>
          </w:p>
        </w:tc>
        <w:tc>
          <w:tcPr>
            <w:tcW w:w="323" w:type="pct"/>
            <w:vAlign w:val="center"/>
            <w:hideMark/>
          </w:tcPr>
          <w:p w14:paraId="5BBDD2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0.127</w:t>
            </w:r>
          </w:p>
        </w:tc>
        <w:tc>
          <w:tcPr>
            <w:tcW w:w="334" w:type="pct"/>
            <w:vAlign w:val="center"/>
            <w:hideMark/>
          </w:tcPr>
          <w:p w14:paraId="1C348EA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7510D4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B78607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419D47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DF83F8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7AA12A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2999C9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5A19B2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0EDBCA4" w14:textId="77777777" w:rsidTr="00A93231">
        <w:trPr>
          <w:trHeight w:val="33"/>
        </w:trPr>
        <w:tc>
          <w:tcPr>
            <w:tcW w:w="383" w:type="pct"/>
            <w:vAlign w:val="center"/>
            <w:hideMark/>
          </w:tcPr>
          <w:p w14:paraId="006009F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w:t>
            </w:r>
          </w:p>
        </w:tc>
        <w:tc>
          <w:tcPr>
            <w:tcW w:w="299" w:type="pct"/>
            <w:shd w:val="clear" w:color="auto" w:fill="FFC000"/>
            <w:vAlign w:val="center"/>
            <w:hideMark/>
          </w:tcPr>
          <w:p w14:paraId="7F6A2F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.634**</w:t>
            </w:r>
          </w:p>
        </w:tc>
        <w:tc>
          <w:tcPr>
            <w:tcW w:w="309" w:type="pct"/>
            <w:shd w:val="clear" w:color="auto" w:fill="FFC000"/>
            <w:vAlign w:val="center"/>
            <w:hideMark/>
          </w:tcPr>
          <w:p w14:paraId="279ED0E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.789**</w:t>
            </w:r>
          </w:p>
        </w:tc>
        <w:tc>
          <w:tcPr>
            <w:tcW w:w="327" w:type="pct"/>
            <w:shd w:val="clear" w:color="auto" w:fill="92D050"/>
            <w:vAlign w:val="center"/>
            <w:hideMark/>
          </w:tcPr>
          <w:p w14:paraId="12C0A33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xml:space="preserve">.452** </w:t>
            </w:r>
          </w:p>
        </w:tc>
        <w:tc>
          <w:tcPr>
            <w:tcW w:w="352" w:type="pct"/>
            <w:shd w:val="clear" w:color="auto" w:fill="00B0F0"/>
            <w:vAlign w:val="center"/>
            <w:hideMark/>
          </w:tcPr>
          <w:p w14:paraId="0341DCB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.282*</w:t>
            </w:r>
          </w:p>
        </w:tc>
        <w:tc>
          <w:tcPr>
            <w:tcW w:w="270" w:type="pct"/>
            <w:vAlign w:val="center"/>
            <w:hideMark/>
          </w:tcPr>
          <w:p w14:paraId="10BCC4E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0.058</w:t>
            </w:r>
          </w:p>
        </w:tc>
        <w:tc>
          <w:tcPr>
            <w:tcW w:w="280" w:type="pct"/>
            <w:shd w:val="clear" w:color="auto" w:fill="FFC000"/>
            <w:vAlign w:val="center"/>
            <w:hideMark/>
          </w:tcPr>
          <w:p w14:paraId="34DB824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.673**</w:t>
            </w:r>
          </w:p>
        </w:tc>
        <w:tc>
          <w:tcPr>
            <w:tcW w:w="298" w:type="pct"/>
            <w:vAlign w:val="center"/>
            <w:hideMark/>
          </w:tcPr>
          <w:p w14:paraId="6421C7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0.178</w:t>
            </w:r>
          </w:p>
        </w:tc>
        <w:tc>
          <w:tcPr>
            <w:tcW w:w="323" w:type="pct"/>
            <w:vAlign w:val="center"/>
            <w:hideMark/>
          </w:tcPr>
          <w:p w14:paraId="7EFE577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0.082</w:t>
            </w:r>
          </w:p>
        </w:tc>
        <w:tc>
          <w:tcPr>
            <w:tcW w:w="334" w:type="pct"/>
            <w:shd w:val="clear" w:color="auto" w:fill="00B0F0"/>
            <w:vAlign w:val="center"/>
            <w:hideMark/>
          </w:tcPr>
          <w:p w14:paraId="7E6E175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.377**</w:t>
            </w:r>
          </w:p>
        </w:tc>
        <w:tc>
          <w:tcPr>
            <w:tcW w:w="275" w:type="pct"/>
            <w:vAlign w:val="center"/>
            <w:hideMark/>
          </w:tcPr>
          <w:p w14:paraId="60825D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0459B6D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0C8585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0F182E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C36CEF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DAE241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6CAC816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868B6D5" w14:textId="77777777" w:rsidTr="00A93231">
        <w:trPr>
          <w:trHeight w:val="33"/>
        </w:trPr>
        <w:tc>
          <w:tcPr>
            <w:tcW w:w="383" w:type="pct"/>
            <w:vAlign w:val="center"/>
            <w:hideMark/>
          </w:tcPr>
          <w:p w14:paraId="2B6AA03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OC</w:t>
            </w:r>
          </w:p>
        </w:tc>
        <w:tc>
          <w:tcPr>
            <w:tcW w:w="299" w:type="pct"/>
            <w:vAlign w:val="center"/>
            <w:hideMark/>
          </w:tcPr>
          <w:p w14:paraId="34923AF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0.047</w:t>
            </w:r>
          </w:p>
        </w:tc>
        <w:tc>
          <w:tcPr>
            <w:tcW w:w="309" w:type="pct"/>
            <w:vAlign w:val="center"/>
            <w:hideMark/>
          </w:tcPr>
          <w:p w14:paraId="68EE259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0.161</w:t>
            </w:r>
          </w:p>
        </w:tc>
        <w:tc>
          <w:tcPr>
            <w:tcW w:w="327" w:type="pct"/>
            <w:vAlign w:val="center"/>
            <w:hideMark/>
          </w:tcPr>
          <w:p w14:paraId="13262E9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0.081</w:t>
            </w:r>
          </w:p>
        </w:tc>
        <w:tc>
          <w:tcPr>
            <w:tcW w:w="352" w:type="pct"/>
            <w:vAlign w:val="center"/>
            <w:hideMark/>
          </w:tcPr>
          <w:p w14:paraId="3AD5101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w:t>
            </w:r>
          </w:p>
        </w:tc>
        <w:tc>
          <w:tcPr>
            <w:tcW w:w="270" w:type="pct"/>
            <w:vAlign w:val="center"/>
            <w:hideMark/>
          </w:tcPr>
          <w:p w14:paraId="1AD6608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0.002</w:t>
            </w:r>
          </w:p>
        </w:tc>
        <w:tc>
          <w:tcPr>
            <w:tcW w:w="280" w:type="pct"/>
            <w:shd w:val="clear" w:color="auto" w:fill="00B0F0"/>
            <w:vAlign w:val="center"/>
            <w:hideMark/>
          </w:tcPr>
          <w:p w14:paraId="2D40DFC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.380**</w:t>
            </w:r>
          </w:p>
        </w:tc>
        <w:tc>
          <w:tcPr>
            <w:tcW w:w="298" w:type="pct"/>
            <w:vAlign w:val="center"/>
            <w:hideMark/>
          </w:tcPr>
          <w:p w14:paraId="2CD6720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-0.003</w:t>
            </w:r>
          </w:p>
        </w:tc>
        <w:tc>
          <w:tcPr>
            <w:tcW w:w="323" w:type="pct"/>
            <w:vAlign w:val="center"/>
            <w:hideMark/>
          </w:tcPr>
          <w:p w14:paraId="39E10CA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0.188</w:t>
            </w:r>
          </w:p>
        </w:tc>
        <w:tc>
          <w:tcPr>
            <w:tcW w:w="334" w:type="pct"/>
            <w:shd w:val="clear" w:color="auto" w:fill="00B0F0"/>
            <w:vAlign w:val="center"/>
            <w:hideMark/>
          </w:tcPr>
          <w:p w14:paraId="09AF063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.345*</w:t>
            </w:r>
          </w:p>
        </w:tc>
        <w:tc>
          <w:tcPr>
            <w:tcW w:w="275" w:type="pct"/>
            <w:shd w:val="clear" w:color="auto" w:fill="00B0F0"/>
            <w:vAlign w:val="center"/>
            <w:hideMark/>
          </w:tcPr>
          <w:p w14:paraId="1A8D16A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.311*</w:t>
            </w:r>
          </w:p>
        </w:tc>
        <w:tc>
          <w:tcPr>
            <w:tcW w:w="275" w:type="pct"/>
            <w:vAlign w:val="center"/>
            <w:hideMark/>
          </w:tcPr>
          <w:p w14:paraId="31AB263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0DE5D7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57B144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DC6F63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4DF60F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89788D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4735906" w14:textId="77777777" w:rsidTr="00A93231">
        <w:trPr>
          <w:trHeight w:val="33"/>
        </w:trPr>
        <w:tc>
          <w:tcPr>
            <w:tcW w:w="383" w:type="pct"/>
            <w:vAlign w:val="center"/>
            <w:hideMark/>
          </w:tcPr>
          <w:p w14:paraId="543ADB5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TN</w:t>
            </w:r>
          </w:p>
        </w:tc>
        <w:tc>
          <w:tcPr>
            <w:tcW w:w="299" w:type="pct"/>
            <w:vAlign w:val="center"/>
            <w:hideMark/>
          </w:tcPr>
          <w:p w14:paraId="70FDDA9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0.064</w:t>
            </w:r>
          </w:p>
        </w:tc>
        <w:tc>
          <w:tcPr>
            <w:tcW w:w="309" w:type="pct"/>
            <w:vAlign w:val="center"/>
            <w:hideMark/>
          </w:tcPr>
          <w:p w14:paraId="55B7DD5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0.174</w:t>
            </w:r>
          </w:p>
        </w:tc>
        <w:tc>
          <w:tcPr>
            <w:tcW w:w="327" w:type="pct"/>
            <w:vAlign w:val="center"/>
            <w:hideMark/>
          </w:tcPr>
          <w:p w14:paraId="09B2866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0.084</w:t>
            </w:r>
          </w:p>
        </w:tc>
        <w:tc>
          <w:tcPr>
            <w:tcW w:w="352" w:type="pct"/>
            <w:vAlign w:val="center"/>
            <w:hideMark/>
          </w:tcPr>
          <w:p w14:paraId="20DB01A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0.19</w:t>
            </w:r>
          </w:p>
        </w:tc>
        <w:tc>
          <w:tcPr>
            <w:tcW w:w="270" w:type="pct"/>
            <w:vAlign w:val="center"/>
            <w:hideMark/>
          </w:tcPr>
          <w:p w14:paraId="0CDBFEA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0.03</w:t>
            </w:r>
          </w:p>
        </w:tc>
        <w:tc>
          <w:tcPr>
            <w:tcW w:w="280" w:type="pct"/>
            <w:shd w:val="clear" w:color="auto" w:fill="00B0F0"/>
            <w:vAlign w:val="center"/>
            <w:hideMark/>
          </w:tcPr>
          <w:p w14:paraId="6EC5E87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.371**</w:t>
            </w:r>
          </w:p>
        </w:tc>
        <w:tc>
          <w:tcPr>
            <w:tcW w:w="298" w:type="pct"/>
            <w:vAlign w:val="center"/>
            <w:hideMark/>
          </w:tcPr>
          <w:p w14:paraId="39752C1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0.011</w:t>
            </w:r>
          </w:p>
        </w:tc>
        <w:tc>
          <w:tcPr>
            <w:tcW w:w="323" w:type="pct"/>
            <w:shd w:val="clear" w:color="auto" w:fill="00B0F0"/>
            <w:vAlign w:val="center"/>
            <w:hideMark/>
          </w:tcPr>
          <w:p w14:paraId="5F28A9F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0.204</w:t>
            </w:r>
          </w:p>
        </w:tc>
        <w:tc>
          <w:tcPr>
            <w:tcW w:w="334" w:type="pct"/>
            <w:shd w:val="clear" w:color="auto" w:fill="00B0F0"/>
            <w:vAlign w:val="center"/>
            <w:hideMark/>
          </w:tcPr>
          <w:p w14:paraId="360C88F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342*</w:t>
            </w:r>
          </w:p>
        </w:tc>
        <w:tc>
          <w:tcPr>
            <w:tcW w:w="275" w:type="pct"/>
            <w:shd w:val="clear" w:color="auto" w:fill="00B0F0"/>
            <w:vAlign w:val="center"/>
            <w:hideMark/>
          </w:tcPr>
          <w:p w14:paraId="19EF8D0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.330*</w:t>
            </w:r>
          </w:p>
        </w:tc>
        <w:tc>
          <w:tcPr>
            <w:tcW w:w="275" w:type="pct"/>
            <w:shd w:val="clear" w:color="auto" w:fill="EE0000"/>
            <w:vAlign w:val="center"/>
            <w:hideMark/>
          </w:tcPr>
          <w:p w14:paraId="1603085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.991**</w:t>
            </w:r>
          </w:p>
        </w:tc>
        <w:tc>
          <w:tcPr>
            <w:tcW w:w="275" w:type="pct"/>
            <w:vAlign w:val="center"/>
            <w:hideMark/>
          </w:tcPr>
          <w:p w14:paraId="0D63923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3FEC88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04C6E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F47E9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4E586D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1B4F9506" w14:textId="77777777" w:rsidTr="00A93231">
        <w:trPr>
          <w:trHeight w:val="33"/>
        </w:trPr>
        <w:tc>
          <w:tcPr>
            <w:tcW w:w="383" w:type="pct"/>
            <w:vAlign w:val="center"/>
            <w:hideMark/>
          </w:tcPr>
          <w:p w14:paraId="482B105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EA</w:t>
            </w:r>
          </w:p>
        </w:tc>
        <w:tc>
          <w:tcPr>
            <w:tcW w:w="299" w:type="pct"/>
            <w:vAlign w:val="center"/>
            <w:hideMark/>
          </w:tcPr>
          <w:p w14:paraId="371FFA8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0.146</w:t>
            </w:r>
          </w:p>
        </w:tc>
        <w:tc>
          <w:tcPr>
            <w:tcW w:w="309" w:type="pct"/>
            <w:vAlign w:val="center"/>
            <w:hideMark/>
          </w:tcPr>
          <w:p w14:paraId="60DA199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0.057</w:t>
            </w:r>
          </w:p>
        </w:tc>
        <w:tc>
          <w:tcPr>
            <w:tcW w:w="327" w:type="pct"/>
            <w:vAlign w:val="center"/>
            <w:hideMark/>
          </w:tcPr>
          <w:p w14:paraId="2A14202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-0.135</w:t>
            </w:r>
          </w:p>
        </w:tc>
        <w:tc>
          <w:tcPr>
            <w:tcW w:w="352" w:type="pct"/>
            <w:shd w:val="clear" w:color="auto" w:fill="00B0F0"/>
            <w:vAlign w:val="center"/>
            <w:hideMark/>
          </w:tcPr>
          <w:p w14:paraId="612151E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-0.231</w:t>
            </w:r>
          </w:p>
        </w:tc>
        <w:tc>
          <w:tcPr>
            <w:tcW w:w="270" w:type="pct"/>
            <w:vAlign w:val="center"/>
            <w:hideMark/>
          </w:tcPr>
          <w:p w14:paraId="564FE26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-0.005</w:t>
            </w:r>
          </w:p>
        </w:tc>
        <w:tc>
          <w:tcPr>
            <w:tcW w:w="280" w:type="pct"/>
            <w:vAlign w:val="center"/>
            <w:hideMark/>
          </w:tcPr>
          <w:p w14:paraId="51AE9C2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-0.045</w:t>
            </w:r>
          </w:p>
        </w:tc>
        <w:tc>
          <w:tcPr>
            <w:tcW w:w="298" w:type="pct"/>
            <w:vAlign w:val="center"/>
            <w:hideMark/>
          </w:tcPr>
          <w:p w14:paraId="32A9909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0.113</w:t>
            </w:r>
          </w:p>
        </w:tc>
        <w:tc>
          <w:tcPr>
            <w:tcW w:w="323" w:type="pct"/>
            <w:vAlign w:val="center"/>
            <w:hideMark/>
          </w:tcPr>
          <w:p w14:paraId="2E1C8D1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-0.079</w:t>
            </w:r>
          </w:p>
        </w:tc>
        <w:tc>
          <w:tcPr>
            <w:tcW w:w="334" w:type="pct"/>
            <w:vAlign w:val="center"/>
            <w:hideMark/>
          </w:tcPr>
          <w:p w14:paraId="185E0AA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-0.159</w:t>
            </w:r>
          </w:p>
        </w:tc>
        <w:tc>
          <w:tcPr>
            <w:tcW w:w="275" w:type="pct"/>
            <w:vAlign w:val="center"/>
            <w:hideMark/>
          </w:tcPr>
          <w:p w14:paraId="6ACB1A8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0.116</w:t>
            </w:r>
          </w:p>
        </w:tc>
        <w:tc>
          <w:tcPr>
            <w:tcW w:w="275" w:type="pct"/>
            <w:vAlign w:val="center"/>
            <w:hideMark/>
          </w:tcPr>
          <w:p w14:paraId="0CC4BA6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-0.144</w:t>
            </w:r>
          </w:p>
        </w:tc>
        <w:tc>
          <w:tcPr>
            <w:tcW w:w="275" w:type="pct"/>
            <w:vAlign w:val="center"/>
            <w:hideMark/>
          </w:tcPr>
          <w:p w14:paraId="722FDED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-0.108</w:t>
            </w:r>
          </w:p>
        </w:tc>
        <w:tc>
          <w:tcPr>
            <w:tcW w:w="275" w:type="pct"/>
            <w:vAlign w:val="center"/>
            <w:hideMark/>
          </w:tcPr>
          <w:p w14:paraId="31853E7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5FB9489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222DD5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6E93131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4FD134E" w14:textId="77777777" w:rsidTr="00A93231">
        <w:trPr>
          <w:trHeight w:val="33"/>
        </w:trPr>
        <w:tc>
          <w:tcPr>
            <w:tcW w:w="383" w:type="pct"/>
            <w:vAlign w:val="center"/>
            <w:hideMark/>
          </w:tcPr>
          <w:p w14:paraId="5714C7D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TEB</w:t>
            </w:r>
          </w:p>
        </w:tc>
        <w:tc>
          <w:tcPr>
            <w:tcW w:w="299" w:type="pct"/>
            <w:shd w:val="clear" w:color="auto" w:fill="92D050"/>
            <w:vAlign w:val="center"/>
            <w:hideMark/>
          </w:tcPr>
          <w:p w14:paraId="534379F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.425**</w:t>
            </w:r>
          </w:p>
        </w:tc>
        <w:tc>
          <w:tcPr>
            <w:tcW w:w="309" w:type="pct"/>
            <w:shd w:val="clear" w:color="auto" w:fill="92D050"/>
            <w:vAlign w:val="center"/>
            <w:hideMark/>
          </w:tcPr>
          <w:p w14:paraId="5EA9EF8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.478**</w:t>
            </w:r>
          </w:p>
        </w:tc>
        <w:tc>
          <w:tcPr>
            <w:tcW w:w="327" w:type="pct"/>
            <w:shd w:val="clear" w:color="auto" w:fill="00B0F0"/>
            <w:vAlign w:val="center"/>
            <w:hideMark/>
          </w:tcPr>
          <w:p w14:paraId="3857449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0.213</w:t>
            </w:r>
          </w:p>
        </w:tc>
        <w:tc>
          <w:tcPr>
            <w:tcW w:w="352" w:type="pct"/>
            <w:shd w:val="clear" w:color="auto" w:fill="00B0F0"/>
            <w:vAlign w:val="center"/>
            <w:hideMark/>
          </w:tcPr>
          <w:p w14:paraId="06EE5AC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0.227</w:t>
            </w:r>
          </w:p>
        </w:tc>
        <w:tc>
          <w:tcPr>
            <w:tcW w:w="270" w:type="pct"/>
            <w:vAlign w:val="center"/>
            <w:hideMark/>
          </w:tcPr>
          <w:p w14:paraId="011E221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w:t>
            </w:r>
          </w:p>
        </w:tc>
        <w:tc>
          <w:tcPr>
            <w:tcW w:w="280" w:type="pct"/>
            <w:shd w:val="clear" w:color="auto" w:fill="92D050"/>
            <w:vAlign w:val="center"/>
            <w:hideMark/>
          </w:tcPr>
          <w:p w14:paraId="7C0DDDD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.401**</w:t>
            </w:r>
          </w:p>
        </w:tc>
        <w:tc>
          <w:tcPr>
            <w:tcW w:w="298" w:type="pct"/>
            <w:vAlign w:val="center"/>
            <w:hideMark/>
          </w:tcPr>
          <w:p w14:paraId="3B0437A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0.077</w:t>
            </w:r>
          </w:p>
        </w:tc>
        <w:tc>
          <w:tcPr>
            <w:tcW w:w="323" w:type="pct"/>
            <w:vAlign w:val="center"/>
            <w:hideMark/>
          </w:tcPr>
          <w:p w14:paraId="2BD7F00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0.124</w:t>
            </w:r>
          </w:p>
        </w:tc>
        <w:tc>
          <w:tcPr>
            <w:tcW w:w="334" w:type="pct"/>
            <w:shd w:val="clear" w:color="auto" w:fill="92D050"/>
            <w:vAlign w:val="center"/>
            <w:hideMark/>
          </w:tcPr>
          <w:p w14:paraId="1620787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.405**</w:t>
            </w:r>
          </w:p>
        </w:tc>
        <w:tc>
          <w:tcPr>
            <w:tcW w:w="275" w:type="pct"/>
            <w:shd w:val="clear" w:color="auto" w:fill="92D050"/>
            <w:vAlign w:val="center"/>
            <w:hideMark/>
          </w:tcPr>
          <w:p w14:paraId="76BA35F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.520**</w:t>
            </w:r>
          </w:p>
        </w:tc>
        <w:tc>
          <w:tcPr>
            <w:tcW w:w="275" w:type="pct"/>
            <w:shd w:val="clear" w:color="auto" w:fill="92D050"/>
            <w:vAlign w:val="center"/>
            <w:hideMark/>
          </w:tcPr>
          <w:p w14:paraId="60B5ECB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.403**</w:t>
            </w:r>
          </w:p>
        </w:tc>
        <w:tc>
          <w:tcPr>
            <w:tcW w:w="275" w:type="pct"/>
            <w:shd w:val="clear" w:color="auto" w:fill="92D050"/>
            <w:vAlign w:val="center"/>
            <w:hideMark/>
          </w:tcPr>
          <w:p w14:paraId="3E4655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.402**</w:t>
            </w:r>
          </w:p>
        </w:tc>
        <w:tc>
          <w:tcPr>
            <w:tcW w:w="275" w:type="pct"/>
            <w:vAlign w:val="center"/>
            <w:hideMark/>
          </w:tcPr>
          <w:p w14:paraId="2B3B007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0.007</w:t>
            </w:r>
          </w:p>
        </w:tc>
        <w:tc>
          <w:tcPr>
            <w:tcW w:w="275" w:type="pct"/>
            <w:vAlign w:val="center"/>
            <w:hideMark/>
          </w:tcPr>
          <w:p w14:paraId="118D960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7FC202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50E3248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77D61CC" w14:textId="77777777" w:rsidTr="00A93231">
        <w:trPr>
          <w:trHeight w:val="33"/>
        </w:trPr>
        <w:tc>
          <w:tcPr>
            <w:tcW w:w="383" w:type="pct"/>
            <w:vAlign w:val="center"/>
            <w:hideMark/>
          </w:tcPr>
          <w:p w14:paraId="6BDA5D0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ECEC</w:t>
            </w:r>
          </w:p>
        </w:tc>
        <w:tc>
          <w:tcPr>
            <w:tcW w:w="299" w:type="pct"/>
            <w:shd w:val="clear" w:color="auto" w:fill="92D050"/>
            <w:vAlign w:val="center"/>
            <w:hideMark/>
          </w:tcPr>
          <w:p w14:paraId="332F5FC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.450**</w:t>
            </w:r>
          </w:p>
        </w:tc>
        <w:tc>
          <w:tcPr>
            <w:tcW w:w="309" w:type="pct"/>
            <w:shd w:val="clear" w:color="auto" w:fill="92D050"/>
            <w:vAlign w:val="center"/>
            <w:hideMark/>
          </w:tcPr>
          <w:p w14:paraId="3B7B5DB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.481**</w:t>
            </w:r>
          </w:p>
        </w:tc>
        <w:tc>
          <w:tcPr>
            <w:tcW w:w="327" w:type="pct"/>
            <w:vAlign w:val="center"/>
            <w:hideMark/>
          </w:tcPr>
          <w:p w14:paraId="06C632C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0.182</w:t>
            </w:r>
          </w:p>
        </w:tc>
        <w:tc>
          <w:tcPr>
            <w:tcW w:w="352" w:type="pct"/>
            <w:vAlign w:val="center"/>
            <w:hideMark/>
          </w:tcPr>
          <w:p w14:paraId="7C97EB1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0.168</w:t>
            </w:r>
          </w:p>
        </w:tc>
        <w:tc>
          <w:tcPr>
            <w:tcW w:w="270" w:type="pct"/>
            <w:vAlign w:val="center"/>
            <w:hideMark/>
          </w:tcPr>
          <w:p w14:paraId="6B21CA0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0.104</w:t>
            </w:r>
          </w:p>
        </w:tc>
        <w:tc>
          <w:tcPr>
            <w:tcW w:w="280" w:type="pct"/>
            <w:shd w:val="clear" w:color="auto" w:fill="00B0F0"/>
            <w:vAlign w:val="center"/>
            <w:hideMark/>
          </w:tcPr>
          <w:p w14:paraId="0A50939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.377**</w:t>
            </w:r>
          </w:p>
        </w:tc>
        <w:tc>
          <w:tcPr>
            <w:tcW w:w="298" w:type="pct"/>
            <w:vAlign w:val="center"/>
            <w:hideMark/>
          </w:tcPr>
          <w:p w14:paraId="503BA78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0.102</w:t>
            </w:r>
          </w:p>
        </w:tc>
        <w:tc>
          <w:tcPr>
            <w:tcW w:w="323" w:type="pct"/>
            <w:vAlign w:val="center"/>
            <w:hideMark/>
          </w:tcPr>
          <w:p w14:paraId="1B95E5E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0.097</w:t>
            </w:r>
          </w:p>
        </w:tc>
        <w:tc>
          <w:tcPr>
            <w:tcW w:w="334" w:type="pct"/>
            <w:shd w:val="clear" w:color="auto" w:fill="00B0F0"/>
            <w:vAlign w:val="center"/>
            <w:hideMark/>
          </w:tcPr>
          <w:p w14:paraId="60A22AF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.347*</w:t>
            </w:r>
          </w:p>
        </w:tc>
        <w:tc>
          <w:tcPr>
            <w:tcW w:w="275" w:type="pct"/>
            <w:shd w:val="clear" w:color="auto" w:fill="92D050"/>
            <w:vAlign w:val="center"/>
            <w:hideMark/>
          </w:tcPr>
          <w:p w14:paraId="4857CB6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.539**</w:t>
            </w:r>
          </w:p>
        </w:tc>
        <w:tc>
          <w:tcPr>
            <w:tcW w:w="275" w:type="pct"/>
            <w:shd w:val="clear" w:color="auto" w:fill="00B0F0"/>
            <w:vAlign w:val="center"/>
            <w:hideMark/>
          </w:tcPr>
          <w:p w14:paraId="6B222D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.356**</w:t>
            </w:r>
          </w:p>
        </w:tc>
        <w:tc>
          <w:tcPr>
            <w:tcW w:w="275" w:type="pct"/>
            <w:shd w:val="clear" w:color="auto" w:fill="00B0F0"/>
            <w:vAlign w:val="center"/>
            <w:hideMark/>
          </w:tcPr>
          <w:p w14:paraId="192B97C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.364**</w:t>
            </w:r>
          </w:p>
        </w:tc>
        <w:tc>
          <w:tcPr>
            <w:tcW w:w="275" w:type="pct"/>
            <w:shd w:val="clear" w:color="auto" w:fill="00B0F0"/>
            <w:vAlign w:val="center"/>
            <w:hideMark/>
          </w:tcPr>
          <w:p w14:paraId="386B4A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0.262</w:t>
            </w:r>
          </w:p>
        </w:tc>
        <w:tc>
          <w:tcPr>
            <w:tcW w:w="275" w:type="pct"/>
            <w:shd w:val="clear" w:color="auto" w:fill="EE0000"/>
            <w:vAlign w:val="center"/>
            <w:hideMark/>
          </w:tcPr>
          <w:p w14:paraId="0717A3B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.965**</w:t>
            </w:r>
          </w:p>
        </w:tc>
        <w:tc>
          <w:tcPr>
            <w:tcW w:w="275" w:type="pct"/>
            <w:vAlign w:val="center"/>
            <w:hideMark/>
          </w:tcPr>
          <w:p w14:paraId="30F1836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175" w:type="pct"/>
            <w:vAlign w:val="center"/>
            <w:hideMark/>
          </w:tcPr>
          <w:p w14:paraId="3C4B801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3C57186" w14:textId="77777777" w:rsidTr="00A93231">
        <w:trPr>
          <w:trHeight w:val="33"/>
        </w:trPr>
        <w:tc>
          <w:tcPr>
            <w:tcW w:w="383" w:type="pct"/>
            <w:vAlign w:val="center"/>
            <w:hideMark/>
          </w:tcPr>
          <w:p w14:paraId="601DA3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BS</w:t>
            </w:r>
          </w:p>
        </w:tc>
        <w:tc>
          <w:tcPr>
            <w:tcW w:w="299" w:type="pct"/>
            <w:shd w:val="clear" w:color="auto" w:fill="00B0F0"/>
            <w:vAlign w:val="center"/>
            <w:hideMark/>
          </w:tcPr>
          <w:p w14:paraId="6C156D6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0.224</w:t>
            </w:r>
          </w:p>
        </w:tc>
        <w:tc>
          <w:tcPr>
            <w:tcW w:w="309" w:type="pct"/>
            <w:shd w:val="clear" w:color="auto" w:fill="00B0F0"/>
            <w:vAlign w:val="center"/>
            <w:hideMark/>
          </w:tcPr>
          <w:p w14:paraId="0D1268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.309*</w:t>
            </w:r>
          </w:p>
        </w:tc>
        <w:tc>
          <w:tcPr>
            <w:tcW w:w="327" w:type="pct"/>
            <w:shd w:val="clear" w:color="auto" w:fill="00B0F0"/>
            <w:vAlign w:val="center"/>
            <w:hideMark/>
          </w:tcPr>
          <w:p w14:paraId="164581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0.251</w:t>
            </w:r>
          </w:p>
        </w:tc>
        <w:tc>
          <w:tcPr>
            <w:tcW w:w="352" w:type="pct"/>
            <w:shd w:val="clear" w:color="auto" w:fill="00B0F0"/>
            <w:vAlign w:val="center"/>
            <w:hideMark/>
          </w:tcPr>
          <w:p w14:paraId="0387982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.305*</w:t>
            </w:r>
          </w:p>
        </w:tc>
        <w:tc>
          <w:tcPr>
            <w:tcW w:w="270" w:type="pct"/>
            <w:vAlign w:val="center"/>
            <w:hideMark/>
          </w:tcPr>
          <w:p w14:paraId="03E4BDC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0.181</w:t>
            </w:r>
          </w:p>
        </w:tc>
        <w:tc>
          <w:tcPr>
            <w:tcW w:w="280" w:type="pct"/>
            <w:shd w:val="clear" w:color="auto" w:fill="00B0F0"/>
            <w:vAlign w:val="center"/>
            <w:hideMark/>
          </w:tcPr>
          <w:p w14:paraId="79522CB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.325*</w:t>
            </w:r>
          </w:p>
        </w:tc>
        <w:tc>
          <w:tcPr>
            <w:tcW w:w="298" w:type="pct"/>
            <w:vAlign w:val="center"/>
            <w:hideMark/>
          </w:tcPr>
          <w:p w14:paraId="6089B6F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w:t>
            </w:r>
          </w:p>
        </w:tc>
        <w:tc>
          <w:tcPr>
            <w:tcW w:w="323" w:type="pct"/>
            <w:vAlign w:val="center"/>
            <w:hideMark/>
          </w:tcPr>
          <w:p w14:paraId="1E3C86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0.185</w:t>
            </w:r>
          </w:p>
        </w:tc>
        <w:tc>
          <w:tcPr>
            <w:tcW w:w="334" w:type="pct"/>
            <w:shd w:val="clear" w:color="auto" w:fill="92D050"/>
            <w:vAlign w:val="center"/>
            <w:hideMark/>
          </w:tcPr>
          <w:p w14:paraId="12F0AC7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.461**</w:t>
            </w:r>
          </w:p>
        </w:tc>
        <w:tc>
          <w:tcPr>
            <w:tcW w:w="275" w:type="pct"/>
            <w:shd w:val="clear" w:color="auto" w:fill="00B0F0"/>
            <w:vAlign w:val="center"/>
            <w:hideMark/>
          </w:tcPr>
          <w:p w14:paraId="361647F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.324*</w:t>
            </w:r>
          </w:p>
        </w:tc>
        <w:tc>
          <w:tcPr>
            <w:tcW w:w="275" w:type="pct"/>
            <w:shd w:val="clear" w:color="auto" w:fill="92D050"/>
            <w:vAlign w:val="center"/>
            <w:hideMark/>
          </w:tcPr>
          <w:p w14:paraId="0FD2F78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.423**</w:t>
            </w:r>
          </w:p>
        </w:tc>
        <w:tc>
          <w:tcPr>
            <w:tcW w:w="275" w:type="pct"/>
            <w:shd w:val="clear" w:color="auto" w:fill="00B0F0"/>
            <w:vAlign w:val="center"/>
            <w:hideMark/>
          </w:tcPr>
          <w:p w14:paraId="2B6E4C4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.398**</w:t>
            </w:r>
          </w:p>
        </w:tc>
        <w:tc>
          <w:tcPr>
            <w:tcW w:w="275" w:type="pct"/>
            <w:shd w:val="clear" w:color="auto" w:fill="92D050"/>
            <w:vAlign w:val="center"/>
            <w:hideMark/>
          </w:tcPr>
          <w:p w14:paraId="417245D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-.496**</w:t>
            </w:r>
          </w:p>
        </w:tc>
        <w:tc>
          <w:tcPr>
            <w:tcW w:w="275" w:type="pct"/>
            <w:shd w:val="clear" w:color="auto" w:fill="FFC000"/>
            <w:vAlign w:val="center"/>
            <w:hideMark/>
          </w:tcPr>
          <w:p w14:paraId="57EF475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.778**</w:t>
            </w:r>
          </w:p>
        </w:tc>
        <w:tc>
          <w:tcPr>
            <w:tcW w:w="275" w:type="pct"/>
            <w:shd w:val="clear" w:color="auto" w:fill="FFC000"/>
            <w:vAlign w:val="center"/>
            <w:hideMark/>
          </w:tcPr>
          <w:p w14:paraId="118FB6F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.616**</w:t>
            </w:r>
          </w:p>
        </w:tc>
        <w:tc>
          <w:tcPr>
            <w:tcW w:w="175" w:type="pct"/>
            <w:vAlign w:val="center"/>
            <w:hideMark/>
          </w:tcPr>
          <w:p w14:paraId="516AA84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r>
    </w:tbl>
    <w:tbl>
      <w:tblPr>
        <w:tblW w:w="7645" w:type="dxa"/>
        <w:tblLook w:val="04A0" w:firstRow="1" w:lastRow="0" w:firstColumn="1" w:lastColumn="0" w:noHBand="0" w:noVBand="1"/>
      </w:tblPr>
      <w:tblGrid>
        <w:gridCol w:w="1358"/>
        <w:gridCol w:w="6287"/>
      </w:tblGrid>
      <w:tr w:rsidR="004A2D64" w:rsidRPr="00484717" w14:paraId="447BEC92" w14:textId="77777777" w:rsidTr="00A824B2">
        <w:trPr>
          <w:trHeight w:val="254"/>
        </w:trPr>
        <w:tc>
          <w:tcPr>
            <w:tcW w:w="1358" w:type="dxa"/>
            <w:tcBorders>
              <w:top w:val="single" w:sz="4" w:space="0" w:color="auto"/>
              <w:left w:val="single" w:sz="4" w:space="0" w:color="auto"/>
              <w:bottom w:val="single" w:sz="4" w:space="0" w:color="auto"/>
              <w:right w:val="single" w:sz="4" w:space="0" w:color="auto"/>
            </w:tcBorders>
            <w:noWrap/>
            <w:vAlign w:val="center"/>
            <w:hideMark/>
          </w:tcPr>
          <w:p w14:paraId="48A0E617" w14:textId="77777777" w:rsidR="004A2D64" w:rsidRPr="00484717" w:rsidRDefault="004A2D64"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LEGEND</w:t>
            </w:r>
          </w:p>
        </w:tc>
        <w:tc>
          <w:tcPr>
            <w:tcW w:w="6287" w:type="dxa"/>
            <w:tcBorders>
              <w:top w:val="single" w:sz="4" w:space="0" w:color="auto"/>
              <w:left w:val="nil"/>
              <w:bottom w:val="single" w:sz="4" w:space="0" w:color="auto"/>
              <w:right w:val="single" w:sz="4" w:space="0" w:color="auto"/>
            </w:tcBorders>
            <w:noWrap/>
            <w:vAlign w:val="center"/>
            <w:hideMark/>
          </w:tcPr>
          <w:p w14:paraId="5FA7D3F9" w14:textId="77777777" w:rsidR="004A2D64" w:rsidRPr="00484717" w:rsidRDefault="004A2D64"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w:t>
            </w:r>
          </w:p>
        </w:tc>
      </w:tr>
      <w:tr w:rsidR="004A2D64" w:rsidRPr="00484717" w14:paraId="2A41BBE5" w14:textId="77777777" w:rsidTr="00A824B2">
        <w:trPr>
          <w:trHeight w:val="254"/>
        </w:trPr>
        <w:tc>
          <w:tcPr>
            <w:tcW w:w="1358" w:type="dxa"/>
            <w:tcBorders>
              <w:top w:val="nil"/>
              <w:left w:val="single" w:sz="4" w:space="0" w:color="auto"/>
              <w:bottom w:val="single" w:sz="4" w:space="0" w:color="auto"/>
              <w:right w:val="single" w:sz="4" w:space="0" w:color="auto"/>
            </w:tcBorders>
            <w:shd w:val="clear" w:color="000000" w:fill="FF0000"/>
            <w:noWrap/>
            <w:vAlign w:val="center"/>
            <w:hideMark/>
          </w:tcPr>
          <w:p w14:paraId="612F7334"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74638DBF"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xml:space="preserve">Very strong correlations:  0.80 to 1.00 (positive) and −1.00 to −0.80 (negative) </w:t>
            </w:r>
          </w:p>
        </w:tc>
      </w:tr>
      <w:tr w:rsidR="004A2D64" w:rsidRPr="00484717" w14:paraId="43F570E4"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FFC000"/>
            <w:noWrap/>
            <w:vAlign w:val="center"/>
            <w:hideMark/>
          </w:tcPr>
          <w:p w14:paraId="36D1FC0F"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30BFAA4F"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Strong correlations:  0.60 to 0.79 (positive) and −0.79 to −0.60 (negative)</w:t>
            </w:r>
          </w:p>
        </w:tc>
      </w:tr>
      <w:tr w:rsidR="004A2D64" w:rsidRPr="00484717" w14:paraId="02A363D7"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92D050"/>
            <w:noWrap/>
            <w:vAlign w:val="center"/>
            <w:hideMark/>
          </w:tcPr>
          <w:p w14:paraId="39F8ACA7"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140443A2"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Moderate correlations: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to 0.59 (positive) and −0.59 to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(negative).</w:t>
            </w:r>
          </w:p>
        </w:tc>
      </w:tr>
      <w:tr w:rsidR="004A2D64" w:rsidRPr="00484717" w14:paraId="21C4EB54"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00B0F0"/>
            <w:noWrap/>
            <w:vAlign w:val="bottom"/>
            <w:hideMark/>
          </w:tcPr>
          <w:p w14:paraId="5139D53E"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32B696D3"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Weak correlations: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to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(positive) and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to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(negative).</w:t>
            </w:r>
          </w:p>
        </w:tc>
      </w:tr>
    </w:tbl>
    <w:p w14:paraId="1A84C4B8" w14:textId="77777777" w:rsidR="004A2D64" w:rsidRDefault="004A2D64" w:rsidP="00967156">
      <w:pPr>
        <w:spacing w:after="0" w:line="240" w:lineRule="auto"/>
        <w:jc w:val="both"/>
        <w:rPr>
          <w:rFonts w:ascii="Times New Roman" w:hAnsi="Times New Roman" w:cs="Times New Roman"/>
          <w:b/>
          <w:bCs/>
          <w:sz w:val="20"/>
          <w:szCs w:val="20"/>
        </w:rPr>
      </w:pPr>
    </w:p>
    <w:p w14:paraId="727B7A18" w14:textId="77777777" w:rsidR="004F6F63" w:rsidRPr="0087045E" w:rsidRDefault="00967156" w:rsidP="00967156">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b/>
          <w:bCs/>
          <w:color w:val="000000"/>
          <w:sz w:val="20"/>
          <w:szCs w:val="20"/>
        </w:rPr>
        <w:t>Key:</w:t>
      </w:r>
      <w:r w:rsidRPr="0087045E">
        <w:rPr>
          <w:rFonts w:ascii="Times New Roman" w:hAnsi="Times New Roman" w:cs="Times New Roman"/>
          <w:color w:val="000000"/>
          <w:sz w:val="20"/>
          <w:szCs w:val="20"/>
        </w:rPr>
        <w:t xml:space="preserve"> ** Correlation is significant at the 0.01 level (2-tailed); * Correlation is significant at the 0.05 level (2-tailed). </w:t>
      </w:r>
      <w:r w:rsidR="004F6F63" w:rsidRPr="0087045E">
        <w:rPr>
          <w:rFonts w:ascii="Times New Roman" w:hAnsi="Times New Roman" w:cs="Times New Roman"/>
          <w:color w:val="000000"/>
          <w:sz w:val="20"/>
          <w:szCs w:val="20"/>
        </w:rPr>
        <w:t>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w:t>
      </w:r>
      <w:r w:rsidR="004F6F63" w:rsidRPr="0087045E">
        <w:rPr>
          <w:rFonts w:ascii="Times New Roman" w:hAnsi="Times New Roman" w:cs="Times New Roman"/>
          <w:color w:val="000000"/>
          <w:sz w:val="20"/>
          <w:szCs w:val="20"/>
        </w:rPr>
        <w:t>P = phosphorus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-K</w:t>
      </w:r>
      <w:r w:rsidR="004F6F63" w:rsidRPr="0087045E">
        <w:rPr>
          <w:rFonts w:ascii="Times New Roman" w:hAnsi="Times New Roman" w:cs="Times New Roman"/>
          <w:color w:val="000000"/>
          <w:sz w:val="20"/>
          <w:szCs w:val="20"/>
        </w:rPr>
        <w:t xml:space="preserve"> = potassium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-Fe</w:t>
      </w:r>
      <w:r w:rsidR="004F6F63" w:rsidRPr="0087045E">
        <w:rPr>
          <w:rFonts w:ascii="Times New Roman" w:hAnsi="Times New Roman" w:cs="Times New Roman"/>
          <w:color w:val="000000"/>
          <w:sz w:val="20"/>
          <w:szCs w:val="20"/>
        </w:rPr>
        <w:t xml:space="preserve"> = iron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-Mn</w:t>
      </w:r>
      <w:r w:rsidR="004F6F63" w:rsidRPr="0087045E">
        <w:rPr>
          <w:rFonts w:ascii="Times New Roman" w:hAnsi="Times New Roman" w:cs="Times New Roman"/>
          <w:color w:val="000000"/>
          <w:sz w:val="20"/>
          <w:szCs w:val="20"/>
        </w:rPr>
        <w:t xml:space="preserve"> = manganese extracted using calcium chloride;</w:t>
      </w:r>
      <w:r w:rsidR="0049151F">
        <w:rPr>
          <w:rFonts w:ascii="Times New Roman" w:hAnsi="Times New Roman" w:cs="Times New Roman"/>
          <w:color w:val="000000"/>
          <w:sz w:val="20"/>
          <w:szCs w:val="20"/>
        </w:rPr>
        <w:t xml:space="preserve"> </w:t>
      </w:r>
      <w:r w:rsidR="00302C31" w:rsidRPr="0087045E">
        <w:rPr>
          <w:rFonts w:ascii="Times New Roman" w:hAnsi="Times New Roman" w:cs="Times New Roman"/>
          <w:color w:val="000000"/>
          <w:sz w:val="20"/>
          <w:szCs w:val="20"/>
        </w:rPr>
        <w:t>ASI-</w:t>
      </w:r>
      <w:r w:rsidR="004F6F63" w:rsidRPr="0087045E">
        <w:rPr>
          <w:rFonts w:ascii="Times New Roman" w:hAnsi="Times New Roman" w:cs="Times New Roman"/>
          <w:color w:val="000000"/>
          <w:sz w:val="20"/>
          <w:szCs w:val="20"/>
        </w:rPr>
        <w:t xml:space="preserve">P = phosphorus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w:t>
      </w:r>
      <w:r w:rsidR="00302C31" w:rsidRPr="0087045E">
        <w:rPr>
          <w:rFonts w:ascii="Times New Roman" w:hAnsi="Times New Roman" w:cs="Times New Roman"/>
          <w:color w:val="000000"/>
          <w:sz w:val="20"/>
          <w:szCs w:val="20"/>
        </w:rPr>
        <w:t xml:space="preserve"> ASI-K</w:t>
      </w:r>
      <w:r w:rsidR="004F6F63" w:rsidRPr="0087045E">
        <w:rPr>
          <w:rFonts w:ascii="Times New Roman" w:hAnsi="Times New Roman" w:cs="Times New Roman"/>
          <w:color w:val="000000"/>
          <w:sz w:val="20"/>
          <w:szCs w:val="20"/>
        </w:rPr>
        <w:t xml:space="preserve"> = potassium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w:t>
      </w:r>
      <w:r w:rsidR="00302C31" w:rsidRPr="0087045E">
        <w:rPr>
          <w:rFonts w:ascii="Times New Roman" w:hAnsi="Times New Roman" w:cs="Times New Roman"/>
          <w:color w:val="000000"/>
          <w:sz w:val="20"/>
          <w:szCs w:val="20"/>
        </w:rPr>
        <w:t xml:space="preserve"> ASI-Fe</w:t>
      </w:r>
      <w:r w:rsidR="004F6F63" w:rsidRPr="0087045E">
        <w:rPr>
          <w:rFonts w:ascii="Times New Roman" w:hAnsi="Times New Roman" w:cs="Times New Roman"/>
          <w:color w:val="000000"/>
          <w:sz w:val="20"/>
          <w:szCs w:val="20"/>
        </w:rPr>
        <w:t xml:space="preserve"> = iron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w:t>
      </w:r>
      <w:r w:rsidR="00302C31" w:rsidRPr="0087045E">
        <w:rPr>
          <w:rFonts w:ascii="Times New Roman" w:hAnsi="Times New Roman" w:cs="Times New Roman"/>
          <w:color w:val="000000"/>
          <w:sz w:val="20"/>
          <w:szCs w:val="20"/>
        </w:rPr>
        <w:t xml:space="preserve"> ASI-Mn</w:t>
      </w:r>
      <w:r w:rsidR="004F6F63" w:rsidRPr="0087045E">
        <w:rPr>
          <w:rFonts w:ascii="Times New Roman" w:hAnsi="Times New Roman" w:cs="Times New Roman"/>
          <w:color w:val="000000"/>
          <w:sz w:val="20"/>
          <w:szCs w:val="20"/>
        </w:rPr>
        <w:t xml:space="preserve"> = manganese extracted using </w:t>
      </w:r>
      <w:proofErr w:type="spellStart"/>
      <w:r w:rsidR="004F6F63" w:rsidRPr="0087045E">
        <w:rPr>
          <w:rFonts w:ascii="Times New Roman" w:hAnsi="Times New Roman" w:cs="Times New Roman"/>
          <w:color w:val="000000"/>
          <w:sz w:val="20"/>
          <w:szCs w:val="20"/>
        </w:rPr>
        <w:t>Agro</w:t>
      </w:r>
      <w:proofErr w:type="spellEnd"/>
      <w:r w:rsidR="004F6F63" w:rsidRPr="0087045E">
        <w:rPr>
          <w:rFonts w:ascii="Times New Roman" w:hAnsi="Times New Roman" w:cs="Times New Roman"/>
          <w:color w:val="000000"/>
          <w:sz w:val="20"/>
          <w:szCs w:val="20"/>
        </w:rPr>
        <w:t>-Services International (ASI) universal extractant;pH_H</w:t>
      </w:r>
      <w:r w:rsidR="004F6F63" w:rsidRPr="002F6D8B">
        <w:rPr>
          <w:rFonts w:ascii="Times New Roman" w:hAnsi="Times New Roman" w:cs="Times New Roman"/>
          <w:color w:val="000000"/>
          <w:sz w:val="20"/>
          <w:szCs w:val="20"/>
          <w:vertAlign w:val="subscript"/>
        </w:rPr>
        <w:t>2</w:t>
      </w:r>
      <w:r w:rsidR="004F6F63" w:rsidRPr="0087045E">
        <w:rPr>
          <w:rFonts w:ascii="Times New Roman" w:hAnsi="Times New Roman" w:cs="Times New Roman"/>
          <w:color w:val="000000"/>
          <w:sz w:val="20"/>
          <w:szCs w:val="20"/>
        </w:rPr>
        <w:t>O = soil pH in water;</w:t>
      </w:r>
      <w:r w:rsidR="0049151F">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EC = electrical conductivity;</w:t>
      </w:r>
      <w:r w:rsidR="0049151F">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 xml:space="preserve">OC = organic </w:t>
      </w:r>
      <w:proofErr w:type="spellStart"/>
      <w:r w:rsidR="004F6F63" w:rsidRPr="0087045E">
        <w:rPr>
          <w:rFonts w:ascii="Times New Roman" w:hAnsi="Times New Roman" w:cs="Times New Roman"/>
          <w:color w:val="000000"/>
          <w:sz w:val="20"/>
          <w:szCs w:val="20"/>
        </w:rPr>
        <w:t>carbon;TN</w:t>
      </w:r>
      <w:proofErr w:type="spellEnd"/>
      <w:r w:rsidR="004F6F63" w:rsidRPr="0087045E">
        <w:rPr>
          <w:rFonts w:ascii="Times New Roman" w:hAnsi="Times New Roman" w:cs="Times New Roman"/>
          <w:color w:val="000000"/>
          <w:sz w:val="20"/>
          <w:szCs w:val="20"/>
        </w:rPr>
        <w:t xml:space="preserve"> = total nitrogen;</w:t>
      </w:r>
      <w:r w:rsidR="0049151F">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EA = exchangeable acidity;</w:t>
      </w:r>
      <w:r w:rsidR="0049151F">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TEB = total exchangeable bases;</w:t>
      </w:r>
      <w:r w:rsidR="0049151F">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ECEC = effective cation exchange capacity;</w:t>
      </w:r>
      <w:r w:rsidR="0049151F">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BS = base saturation.</w:t>
      </w:r>
    </w:p>
    <w:p w14:paraId="0607CDDA" w14:textId="77777777" w:rsidR="00B11832" w:rsidRPr="0087045E" w:rsidRDefault="00B11832" w:rsidP="00074F26">
      <w:pPr>
        <w:spacing w:after="0" w:line="240" w:lineRule="auto"/>
        <w:jc w:val="both"/>
        <w:rPr>
          <w:rFonts w:ascii="Times New Roman" w:hAnsi="Times New Roman" w:cs="Times New Roman"/>
          <w:color w:val="000000"/>
          <w:sz w:val="20"/>
          <w:szCs w:val="20"/>
        </w:rPr>
      </w:pPr>
    </w:p>
    <w:p w14:paraId="7470E3A8" w14:textId="77777777" w:rsidR="00B11832" w:rsidRPr="0087045E" w:rsidRDefault="00B11832" w:rsidP="00074F26">
      <w:pPr>
        <w:spacing w:after="0" w:line="240" w:lineRule="auto"/>
        <w:jc w:val="both"/>
        <w:rPr>
          <w:rFonts w:ascii="Times New Roman" w:hAnsi="Times New Roman" w:cs="Times New Roman"/>
          <w:color w:val="000000"/>
          <w:sz w:val="20"/>
          <w:szCs w:val="20"/>
        </w:rPr>
      </w:pPr>
    </w:p>
    <w:p w14:paraId="29DA9E77"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In Table </w:t>
      </w:r>
      <w:r w:rsidR="00804CEC">
        <w:rPr>
          <w:rFonts w:ascii="Times New Roman" w:hAnsi="Times New Roman" w:cs="Times New Roman"/>
          <w:color w:val="000000"/>
        </w:rPr>
        <w:t>4</w:t>
      </w:r>
      <w:r w:rsidRPr="0087045E">
        <w:rPr>
          <w:rFonts w:ascii="Times New Roman" w:hAnsi="Times New Roman" w:cs="Times New Roman"/>
          <w:color w:val="000000"/>
        </w:rPr>
        <w:t xml:space="preserve">, electrical conductivity (EC) was observed to have strong </w:t>
      </w:r>
      <w:r w:rsidR="00302C31" w:rsidRPr="0087045E">
        <w:rPr>
          <w:rFonts w:ascii="Times New Roman" w:hAnsi="Times New Roman" w:cs="Times New Roman"/>
          <w:color w:val="000000"/>
        </w:rPr>
        <w:t>positive correlations with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-extractabl</w:t>
      </w:r>
      <w:r w:rsidR="00302C31" w:rsidRPr="0087045E">
        <w:rPr>
          <w:rFonts w:ascii="Times New Roman" w:hAnsi="Times New Roman" w:cs="Times New Roman"/>
          <w:color w:val="000000"/>
        </w:rPr>
        <w:t>e K (r = 0.789, p &lt; 0.01),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P (r = 0.634, p &lt; 0.01), and ASI-extractable K (r = 0.673, p &lt; 0.01). These positive correlations indicated that increases in soluble ionic constituents within the soil samples improved nutrient extractability. EC measures the concentration of dissolved ions </w:t>
      </w:r>
      <w:r w:rsidR="001B507F" w:rsidRPr="0087045E">
        <w:rPr>
          <w:rFonts w:ascii="Times New Roman" w:hAnsi="Times New Roman" w:cs="Times New Roman"/>
          <w:color w:val="000000"/>
        </w:rPr>
        <w:t>within soils</w:t>
      </w:r>
      <w:r w:rsidRPr="0087045E">
        <w:rPr>
          <w:rFonts w:ascii="Times New Roman" w:hAnsi="Times New Roman" w:cs="Times New Roman"/>
          <w:color w:val="000000"/>
        </w:rPr>
        <w:t xml:space="preserve">; higher EC values indicate higher concentrations of soluble nutrient forms. </w:t>
      </w:r>
    </w:p>
    <w:p w14:paraId="42FE0D94"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Organic carbon (OC) showed a very strong positive relationship with total nitrogen (TN), reflecting the close association between soil </w:t>
      </w:r>
      <w:r w:rsidR="00804CEC">
        <w:rPr>
          <w:rFonts w:ascii="Times New Roman" w:hAnsi="Times New Roman" w:cs="Times New Roman"/>
          <w:color w:val="000000"/>
        </w:rPr>
        <w:t>OM</w:t>
      </w:r>
      <w:r w:rsidRPr="0087045E">
        <w:rPr>
          <w:rFonts w:ascii="Times New Roman" w:hAnsi="Times New Roman" w:cs="Times New Roman"/>
          <w:color w:val="000000"/>
        </w:rPr>
        <w:t xml:space="preserve"> accumulation and </w:t>
      </w:r>
      <w:r w:rsidR="00804CEC">
        <w:rPr>
          <w:rFonts w:ascii="Times New Roman" w:hAnsi="Times New Roman" w:cs="Times New Roman"/>
          <w:color w:val="000000"/>
        </w:rPr>
        <w:t>N</w:t>
      </w:r>
      <w:r w:rsidRPr="0087045E">
        <w:rPr>
          <w:rFonts w:ascii="Times New Roman" w:hAnsi="Times New Roman" w:cs="Times New Roman"/>
          <w:color w:val="000000"/>
        </w:rPr>
        <w:t xml:space="preserve"> storage (Table </w:t>
      </w:r>
      <w:r w:rsidR="00804CEC">
        <w:rPr>
          <w:rFonts w:ascii="Times New Roman" w:hAnsi="Times New Roman" w:cs="Times New Roman"/>
          <w:color w:val="000000"/>
        </w:rPr>
        <w:t>4</w:t>
      </w:r>
      <w:r w:rsidRPr="0087045E">
        <w:rPr>
          <w:rFonts w:ascii="Times New Roman" w:hAnsi="Times New Roman" w:cs="Times New Roman"/>
          <w:color w:val="000000"/>
        </w:rPr>
        <w:t xml:space="preserve">). Weak positive correlations were observed between OC and ASI-extractable K (r = 0.380, p &lt; 0.01), implying that soils with higher concentrations of </w:t>
      </w:r>
      <w:r w:rsidR="00804CEC">
        <w:rPr>
          <w:rFonts w:ascii="Times New Roman" w:hAnsi="Times New Roman" w:cs="Times New Roman"/>
          <w:color w:val="000000"/>
        </w:rPr>
        <w:t>OM</w:t>
      </w:r>
      <w:r w:rsidRPr="0087045E">
        <w:rPr>
          <w:rFonts w:ascii="Times New Roman" w:hAnsi="Times New Roman" w:cs="Times New Roman"/>
          <w:color w:val="000000"/>
        </w:rPr>
        <w:t xml:space="preserve"> may have improved nutrient retention and nutrient exchange capacity. On the other hand, very weak relationships we</w:t>
      </w:r>
      <w:r w:rsidR="00302C31" w:rsidRPr="0087045E">
        <w:rPr>
          <w:rFonts w:ascii="Times New Roman" w:hAnsi="Times New Roman" w:cs="Times New Roman"/>
          <w:color w:val="000000"/>
        </w:rPr>
        <w:t>re observed between OC and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micronutrients. </w:t>
      </w:r>
    </w:p>
    <w:p w14:paraId="275BB225" w14:textId="48DBCC15"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lastRenderedPageBreak/>
        <w:t xml:space="preserve">Soil pH had moderate </w:t>
      </w:r>
      <w:r w:rsidR="00302C31" w:rsidRPr="0087045E">
        <w:rPr>
          <w:rFonts w:ascii="Times New Roman" w:hAnsi="Times New Roman" w:cs="Times New Roman"/>
          <w:color w:val="000000"/>
        </w:rPr>
        <w:t>positive correlations with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K (r = 0.427, p &lt; 0.01), ASI-extractable K (r = 0.451, p &lt; 0.01), and total exchangeable bases. This trend is typical for acidic tropical soils, where increasing soil pH reduces exchangeable acidity and improves base saturation and nutrient availability. Exchangeable acidity, on the other hand, was observed to have very weak negative relationships with several of the extractable nutrients, indicating that increased soil acidity reduced nutrient availability as a result of increased fixation and adsorption. </w:t>
      </w:r>
    </w:p>
    <w:p w14:paraId="03CE04F2" w14:textId="77777777" w:rsidR="00A7102A" w:rsidRDefault="006649B1" w:rsidP="00A7102A">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b/>
        <w:t xml:space="preserve">Very strong positive relationships were observed between the effective cation exchange capacity (ECEC) and total exchangeable bases (TEB) (r = 0.965, p &lt; 0.01). This indicated that the exchangeable bases comprised an appreciable proportion of the soil exchange complex. Moderate and weak positive correlations were observed between ECEC and several extractable nutrients. This suggested that soils with greater exchange capacities retained larger quantities of potentially available nutrient ions. </w:t>
      </w:r>
    </w:p>
    <w:p w14:paraId="11A060AE" w14:textId="77777777" w:rsidR="00B11832" w:rsidRPr="0087045E" w:rsidRDefault="006649B1" w:rsidP="00A7102A">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In summary, the correlation analysis demonstrated that nutrient extractability was strongly impacted by soil physicochemical properties, particularly pH, EC, organic carbon, exchange capacity, and particle size distribution. </w:t>
      </w:r>
    </w:p>
    <w:p w14:paraId="50A99F7E" w14:textId="77777777" w:rsidR="006649B1" w:rsidRPr="0087045E" w:rsidRDefault="006649B1" w:rsidP="006649B1">
      <w:pPr>
        <w:spacing w:after="0" w:line="360" w:lineRule="auto"/>
        <w:jc w:val="both"/>
        <w:rPr>
          <w:rFonts w:ascii="Times New Roman" w:hAnsi="Times New Roman" w:cs="Times New Roman"/>
          <w:color w:val="000000"/>
        </w:rPr>
      </w:pPr>
    </w:p>
    <w:p w14:paraId="16588C07" w14:textId="77777777" w:rsidR="009A3EAF" w:rsidRPr="0087045E" w:rsidRDefault="009A3EAF" w:rsidP="009A3EAF">
      <w:pPr>
        <w:spacing w:after="0" w:line="360" w:lineRule="auto"/>
        <w:jc w:val="both"/>
        <w:rPr>
          <w:rFonts w:ascii="Times New Roman" w:hAnsi="Times New Roman" w:cs="Times New Roman"/>
          <w:b/>
          <w:bCs/>
          <w:color w:val="000000"/>
        </w:rPr>
      </w:pPr>
      <w:r w:rsidRPr="0087045E">
        <w:rPr>
          <w:rFonts w:ascii="Times New Roman" w:hAnsi="Times New Roman" w:cs="Times New Roman"/>
          <w:b/>
          <w:bCs/>
          <w:color w:val="000000"/>
        </w:rPr>
        <w:t>6.0 Conclusion</w:t>
      </w:r>
    </w:p>
    <w:p w14:paraId="5E00A78E" w14:textId="77777777" w:rsidR="002C35A3" w:rsidRPr="002C35A3" w:rsidRDefault="002C35A3" w:rsidP="0049151F">
      <w:pPr>
        <w:spacing w:after="0" w:line="360" w:lineRule="auto"/>
        <w:jc w:val="both"/>
        <w:rPr>
          <w:rFonts w:ascii="Times New Roman" w:hAnsi="Times New Roman" w:cs="Times New Roman"/>
          <w:color w:val="000000"/>
        </w:rPr>
      </w:pPr>
      <w:bookmarkStart w:id="0" w:name="_Hlk218868534"/>
      <w:bookmarkStart w:id="1" w:name="_Hlk229240739"/>
      <w:bookmarkStart w:id="2" w:name="_Hlk226454370"/>
      <w:r w:rsidRPr="002C35A3">
        <w:rPr>
          <w:rFonts w:ascii="Times New Roman" w:hAnsi="Times New Roman" w:cs="Times New Roman"/>
          <w:color w:val="000000"/>
        </w:rPr>
        <w:t>This study appraised the effectiveness of two universal extractants (CaCl</w:t>
      </w:r>
      <w:r w:rsidRPr="002C35A3">
        <w:rPr>
          <w:rFonts w:ascii="Times New Roman" w:hAnsi="Times New Roman" w:cs="Times New Roman"/>
          <w:color w:val="000000"/>
          <w:vertAlign w:val="subscript"/>
        </w:rPr>
        <w:t>2</w:t>
      </w:r>
      <w:r w:rsidRPr="002C35A3">
        <w:rPr>
          <w:rFonts w:ascii="Times New Roman" w:hAnsi="Times New Roman" w:cs="Times New Roman"/>
          <w:color w:val="000000"/>
        </w:rPr>
        <w:t> and </w:t>
      </w:r>
      <w:proofErr w:type="spellStart"/>
      <w:r w:rsidRPr="002C35A3">
        <w:rPr>
          <w:rFonts w:ascii="Times New Roman" w:hAnsi="Times New Roman" w:cs="Times New Roman"/>
          <w:color w:val="000000"/>
        </w:rPr>
        <w:t>Agro</w:t>
      </w:r>
      <w:proofErr w:type="spellEnd"/>
      <w:r w:rsidRPr="002C35A3">
        <w:rPr>
          <w:rFonts w:ascii="Times New Roman" w:hAnsi="Times New Roman" w:cs="Times New Roman"/>
          <w:color w:val="000000"/>
        </w:rPr>
        <w:t>-Services International ASI), employed in extracting available P, K, Fe, and Mn from palm oil mill effluent and cassava mill effluent-amended soils. The parent materials for these soils were coastal plain sands, beach ridge sands, and sandstone-shale in Akwa Ibom State, Nigeria. The results indicated wide variation in nutrient extraction ability among the extractants, parent materials, effluent types, and soil sampling depths.  The ASI extractant consistently generated elevated concentrations of P, K, Fe, and Mn compared to CaCl</w:t>
      </w:r>
      <w:r w:rsidRPr="002C35A3">
        <w:rPr>
          <w:rFonts w:ascii="Times New Roman" w:hAnsi="Times New Roman" w:cs="Times New Roman"/>
          <w:color w:val="000000"/>
          <w:vertAlign w:val="subscript"/>
        </w:rPr>
        <w:t>2</w:t>
      </w:r>
      <w:r w:rsidRPr="002C35A3">
        <w:rPr>
          <w:rFonts w:ascii="Times New Roman" w:hAnsi="Times New Roman" w:cs="Times New Roman"/>
          <w:color w:val="000000"/>
        </w:rPr>
        <w:t>. This indicated its greater efficiency in recovering soluble and weakly adsorbed nutrient fractions in highly weathered tropical soils. The improved performance of the ASI extractant was attributed to its buffered multi-component composition, which enabled nutrient desorption and chelation beyond the readily exchangeable nutrient fractions extracted by CaCl</w:t>
      </w:r>
      <w:r w:rsidRPr="002C35A3">
        <w:rPr>
          <w:rFonts w:ascii="Times New Roman" w:hAnsi="Times New Roman" w:cs="Times New Roman"/>
          <w:color w:val="000000"/>
          <w:vertAlign w:val="subscript"/>
        </w:rPr>
        <w:t>2</w:t>
      </w:r>
      <w:r w:rsidRPr="002C35A3">
        <w:rPr>
          <w:rFonts w:ascii="Times New Roman" w:hAnsi="Times New Roman" w:cs="Times New Roman"/>
          <w:color w:val="000000"/>
        </w:rPr>
        <w:t>. The extractant CaCl</w:t>
      </w:r>
      <w:r w:rsidRPr="002C35A3">
        <w:rPr>
          <w:rFonts w:ascii="Times New Roman" w:hAnsi="Times New Roman" w:cs="Times New Roman"/>
          <w:color w:val="000000"/>
          <w:vertAlign w:val="subscript"/>
        </w:rPr>
        <w:t>2</w:t>
      </w:r>
      <w:r w:rsidRPr="002C35A3">
        <w:rPr>
          <w:rFonts w:ascii="Times New Roman" w:hAnsi="Times New Roman" w:cs="Times New Roman"/>
          <w:color w:val="000000"/>
        </w:rPr>
        <w:t> mostly recovered soluble and exchangeable nutrient forms, leading to lower extraction values.</w:t>
      </w:r>
    </w:p>
    <w:p w14:paraId="5A28E992" w14:textId="77777777" w:rsidR="002C35A3" w:rsidRPr="002C35A3" w:rsidRDefault="002C35A3" w:rsidP="0049151F">
      <w:pPr>
        <w:spacing w:after="0" w:line="360" w:lineRule="auto"/>
        <w:ind w:firstLine="720"/>
        <w:jc w:val="both"/>
        <w:rPr>
          <w:rFonts w:ascii="Times New Roman" w:hAnsi="Times New Roman" w:cs="Times New Roman"/>
          <w:color w:val="000000"/>
        </w:rPr>
      </w:pPr>
      <w:r w:rsidRPr="002C35A3">
        <w:rPr>
          <w:rFonts w:ascii="Times New Roman" w:hAnsi="Times New Roman" w:cs="Times New Roman"/>
          <w:color w:val="000000"/>
        </w:rPr>
        <w:lastRenderedPageBreak/>
        <w:t>The effluent-amended soils had higher concentrations of nutrients in comparison to control soils. This indicated that palm oil and cassava mill effluents contributed substantial amounts of plant nutrients to the soils underlying them. Enrichment of nutrients within these soils was observed to be more pronounced within the 0-20 cm depths. This indicated the occurrence of surface accumulation of effluent-derived nutrients. However, appreciable nutrient concentrations were also observed at the 20-40 cm, indicating that there was vertical movement of nutrients through the soil profile. The variations of effluent-derived nutrients within the diverse parent materials (coastal plain sands, beach ridge sands, and sandstone-shale) also demonstrated the vital role of parent material and their associated physicochemical properties in controlling nutrient retention and extractability. Pearson correlation analysis demonstrated the occurrence of significant interrelationships between extractable nutrients and soil properties. These relationships demonstrated the strong influence of the soil’s chemical environment on nutrient dynamics and extractant performance within acidic tropical soils. These relationships</w:t>
      </w:r>
      <w:r>
        <w:rPr>
          <w:rFonts w:ascii="Times New Roman" w:hAnsi="Times New Roman" w:cs="Times New Roman"/>
          <w:color w:val="000000"/>
        </w:rPr>
        <w:t xml:space="preserve"> also</w:t>
      </w:r>
      <w:r w:rsidRPr="002C35A3">
        <w:rPr>
          <w:rFonts w:ascii="Times New Roman" w:hAnsi="Times New Roman" w:cs="Times New Roman"/>
          <w:color w:val="000000"/>
        </w:rPr>
        <w:t xml:space="preserve"> showed that nutrient availability within effluent-amended soils is impacted by soil physicochemical processes rather than by nutrient concentration alone.</w:t>
      </w:r>
    </w:p>
    <w:p w14:paraId="6E9570F6" w14:textId="4B0D4D80" w:rsidR="002C35A3" w:rsidRPr="002C35A3" w:rsidRDefault="002C35A3" w:rsidP="0049151F">
      <w:pPr>
        <w:spacing w:after="0" w:line="360" w:lineRule="auto"/>
        <w:ind w:firstLine="720"/>
        <w:jc w:val="both"/>
        <w:rPr>
          <w:rFonts w:ascii="Times New Roman" w:hAnsi="Times New Roman" w:cs="Times New Roman"/>
          <w:color w:val="000000"/>
        </w:rPr>
      </w:pPr>
      <w:r w:rsidRPr="002C35A3">
        <w:rPr>
          <w:rFonts w:ascii="Times New Roman" w:hAnsi="Times New Roman" w:cs="Times New Roman"/>
          <w:color w:val="000000"/>
        </w:rPr>
        <w:t>This study evaluated nutrient extraction using calcium chloride (</w:t>
      </w:r>
      <w:proofErr w:type="spellStart"/>
      <w:r w:rsidRPr="002C35A3">
        <w:rPr>
          <w:rFonts w:ascii="Times New Roman" w:hAnsi="Times New Roman" w:cs="Times New Roman"/>
          <w:color w:val="000000"/>
        </w:rPr>
        <w:t>CaCl</w:t>
      </w:r>
      <w:proofErr w:type="spellEnd"/>
      <w:r w:rsidRPr="002C35A3">
        <w:rPr>
          <w:rFonts w:ascii="Times New Roman" w:hAnsi="Times New Roman" w:cs="Times New Roman"/>
          <w:color w:val="000000"/>
        </w:rPr>
        <w:t xml:space="preserve">₂) and the </w:t>
      </w:r>
      <w:proofErr w:type="spellStart"/>
      <w:r w:rsidRPr="002C35A3">
        <w:rPr>
          <w:rFonts w:ascii="Times New Roman" w:hAnsi="Times New Roman" w:cs="Times New Roman"/>
          <w:color w:val="000000"/>
        </w:rPr>
        <w:t>Agro</w:t>
      </w:r>
      <w:proofErr w:type="spellEnd"/>
      <w:r w:rsidRPr="002C35A3">
        <w:rPr>
          <w:rFonts w:ascii="Times New Roman" w:hAnsi="Times New Roman" w:cs="Times New Roman"/>
          <w:color w:val="000000"/>
        </w:rPr>
        <w:t>-Services International (ASI) extractants in effluent-amended soils. Future studies should incorporate comparative assessments with other multi-nutrient extractants such as Mehlich-3 and AB-DTPA to strengthen methodological benchmarking in tropical soils. It is also recommended that field-scale validations be undertaken to link extractable nutrient fractions with plant uptake under varying environmental conditions.</w:t>
      </w:r>
    </w:p>
    <w:p w14:paraId="761B6EEC" w14:textId="77777777" w:rsidR="002C35A3" w:rsidRPr="002C35A3" w:rsidRDefault="002C35A3" w:rsidP="0049151F">
      <w:pPr>
        <w:spacing w:after="0" w:line="360" w:lineRule="auto"/>
        <w:ind w:firstLine="720"/>
        <w:jc w:val="both"/>
        <w:rPr>
          <w:rFonts w:ascii="Times New Roman" w:hAnsi="Times New Roman" w:cs="Times New Roman"/>
          <w:color w:val="000000"/>
        </w:rPr>
      </w:pPr>
      <w:r w:rsidRPr="002C35A3">
        <w:rPr>
          <w:rFonts w:ascii="Times New Roman" w:hAnsi="Times New Roman" w:cs="Times New Roman"/>
          <w:color w:val="000000"/>
        </w:rPr>
        <w:t>Overall, this research has demonstrated that extractant choice is crucial in the assessment of nutrient availability with effluent-affected tropical soils. The higher extraction of ASI extractants indicates that buffered multi-nutrient extractants provide a more comprehensive evaluation of nutrient status within highly weathered acidic soils than dilute salt extractants such as CaCl</w:t>
      </w:r>
      <w:r w:rsidRPr="002C35A3">
        <w:rPr>
          <w:rFonts w:ascii="Times New Roman" w:hAnsi="Times New Roman" w:cs="Times New Roman"/>
          <w:color w:val="000000"/>
          <w:vertAlign w:val="subscript"/>
        </w:rPr>
        <w:t>2</w:t>
      </w:r>
      <w:r w:rsidRPr="002C35A3">
        <w:rPr>
          <w:rFonts w:ascii="Times New Roman" w:hAnsi="Times New Roman" w:cs="Times New Roman"/>
          <w:color w:val="000000"/>
        </w:rPr>
        <w:t>. The research, therefore, contributes important information toward improving soil fertility evaluation and nutrient dynamics within tropical effluent-amended soils.</w:t>
      </w:r>
    </w:p>
    <w:p w14:paraId="157B40C2" w14:textId="77777777" w:rsidR="00FD5BB3" w:rsidRDefault="00FD5BB3" w:rsidP="0049151F">
      <w:pPr>
        <w:jc w:val="both"/>
        <w:rPr>
          <w:rFonts w:ascii="Calibri" w:eastAsia="Calibri" w:hAnsi="Calibri" w:cs="Times New Roman"/>
          <w:highlight w:val="yellow"/>
        </w:rPr>
      </w:pPr>
    </w:p>
    <w:p w14:paraId="3470110B" w14:textId="77777777" w:rsidR="00FD5BB3" w:rsidRPr="00471AC9" w:rsidRDefault="00FD5BB3" w:rsidP="0049151F">
      <w:pPr>
        <w:pStyle w:val="NoSpacing"/>
        <w:jc w:val="both"/>
        <w:rPr>
          <w:rFonts w:ascii="Times New Roman" w:hAnsi="Times New Roman" w:cs="Times New Roman"/>
          <w:b/>
          <w:bCs/>
        </w:rPr>
      </w:pPr>
      <w:bookmarkStart w:id="3" w:name="_Hlk221624953"/>
      <w:r w:rsidRPr="00471AC9">
        <w:rPr>
          <w:rFonts w:ascii="Times New Roman" w:hAnsi="Times New Roman" w:cs="Times New Roman"/>
          <w:b/>
          <w:bCs/>
        </w:rPr>
        <w:t>Disclaimer (Artificial intelligence)</w:t>
      </w:r>
    </w:p>
    <w:p w14:paraId="4A4AA02C" w14:textId="77777777" w:rsidR="00FD5BB3" w:rsidRPr="00471AC9" w:rsidRDefault="00FD5BB3" w:rsidP="0049151F">
      <w:pPr>
        <w:pStyle w:val="NoSpacing"/>
        <w:jc w:val="both"/>
        <w:rPr>
          <w:rFonts w:ascii="Arial" w:hAnsi="Arial" w:cs="Arial"/>
        </w:rPr>
      </w:pPr>
    </w:p>
    <w:p w14:paraId="2BEF9546" w14:textId="77777777" w:rsidR="00FD5BB3" w:rsidRPr="00471AC9" w:rsidRDefault="00FD5BB3" w:rsidP="0049151F">
      <w:pPr>
        <w:pStyle w:val="NoSpacing"/>
        <w:jc w:val="both"/>
        <w:rPr>
          <w:rFonts w:ascii="Times New Roman" w:hAnsi="Times New Roman" w:cs="Times New Roman"/>
        </w:rPr>
      </w:pPr>
      <w:r w:rsidRPr="00471AC9">
        <w:rPr>
          <w:rFonts w:ascii="Times New Roman" w:hAnsi="Times New Roman" w:cs="Times New Roman"/>
        </w:rPr>
        <w:t xml:space="preserve">Author(s) hereby </w:t>
      </w:r>
      <w:proofErr w:type="gramStart"/>
      <w:r w:rsidRPr="00471AC9">
        <w:rPr>
          <w:rFonts w:ascii="Times New Roman" w:hAnsi="Times New Roman" w:cs="Times New Roman"/>
        </w:rPr>
        <w:t>declare</w:t>
      </w:r>
      <w:proofErr w:type="gramEnd"/>
      <w:r w:rsidRPr="00471AC9">
        <w:rPr>
          <w:rFonts w:ascii="Times New Roman" w:hAnsi="Times New Roman" w:cs="Times New Roman"/>
        </w:rPr>
        <w:t xml:space="preserve"> that NO generative AI technologies such as Large Language Models (ChatGPT, COPILOT, etc.) and text-to-image generators have been used during the writing or editing of this manuscript. </w:t>
      </w:r>
      <w:bookmarkEnd w:id="0"/>
    </w:p>
    <w:bookmarkEnd w:id="1"/>
    <w:bookmarkEnd w:id="2"/>
    <w:bookmarkEnd w:id="3"/>
    <w:p w14:paraId="2C0CAEC9" w14:textId="77777777" w:rsidR="00A8546D" w:rsidRPr="00205FA3" w:rsidRDefault="00A8546D" w:rsidP="00A8546D">
      <w:pPr>
        <w:spacing w:after="0" w:line="240" w:lineRule="auto"/>
        <w:rPr>
          <w:rFonts w:ascii="Times New Roman" w:hAnsi="Times New Roman" w:cs="Times New Roman"/>
          <w:b/>
          <w:bCs/>
        </w:rPr>
      </w:pPr>
      <w:r w:rsidRPr="00205FA3">
        <w:rPr>
          <w:rFonts w:ascii="Times New Roman" w:hAnsi="Times New Roman" w:cs="Times New Roman"/>
          <w:b/>
          <w:bCs/>
        </w:rPr>
        <w:lastRenderedPageBreak/>
        <w:t xml:space="preserve">REFERENCES </w:t>
      </w:r>
    </w:p>
    <w:p w14:paraId="7D9A10E2" w14:textId="77777777" w:rsidR="00A8546D" w:rsidRDefault="00A8546D" w:rsidP="00A8546D">
      <w:pPr>
        <w:spacing w:after="0" w:line="240" w:lineRule="auto"/>
        <w:rPr>
          <w:rFonts w:ascii="Times New Roman" w:hAnsi="Times New Roman" w:cs="Times New Roman"/>
        </w:rPr>
      </w:pPr>
    </w:p>
    <w:p w14:paraId="1A86B354"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Afu, S.M., </w:t>
      </w:r>
      <w:proofErr w:type="spellStart"/>
      <w:r w:rsidRPr="00071CB1">
        <w:rPr>
          <w:rFonts w:ascii="Times New Roman" w:hAnsi="Times New Roman" w:cs="Times New Roman"/>
        </w:rPr>
        <w:t>Isong</w:t>
      </w:r>
      <w:proofErr w:type="spellEnd"/>
      <w:r w:rsidRPr="00071CB1">
        <w:rPr>
          <w:rFonts w:ascii="Times New Roman" w:hAnsi="Times New Roman" w:cs="Times New Roman"/>
        </w:rPr>
        <w:t xml:space="preserve">, I.A., Olim, D.M., </w:t>
      </w:r>
      <w:proofErr w:type="spellStart"/>
      <w:r w:rsidRPr="00071CB1">
        <w:rPr>
          <w:rFonts w:ascii="Times New Roman" w:hAnsi="Times New Roman" w:cs="Times New Roman"/>
        </w:rPr>
        <w:t>Oruk</w:t>
      </w:r>
      <w:proofErr w:type="spellEnd"/>
      <w:r w:rsidRPr="00071CB1">
        <w:rPr>
          <w:rFonts w:ascii="Times New Roman" w:hAnsi="Times New Roman" w:cs="Times New Roman"/>
        </w:rPr>
        <w:t>, O.E., Aaron, M.E., Heung, B. and John, K., 2024. The nexus of clay mineralogy and soil fertility under diverse parent materials in two distinct geomorphological settings. </w:t>
      </w:r>
      <w:r w:rsidRPr="00071CB1">
        <w:rPr>
          <w:rFonts w:ascii="Times New Roman" w:hAnsi="Times New Roman" w:cs="Times New Roman"/>
          <w:i/>
          <w:iCs/>
        </w:rPr>
        <w:t>Environmental Earth Sciences</w:t>
      </w:r>
      <w:r w:rsidRPr="00071CB1">
        <w:rPr>
          <w:rFonts w:ascii="Times New Roman" w:hAnsi="Times New Roman" w:cs="Times New Roman"/>
        </w:rPr>
        <w:t>, </w:t>
      </w:r>
      <w:r w:rsidRPr="00071CB1">
        <w:rPr>
          <w:rFonts w:ascii="Times New Roman" w:hAnsi="Times New Roman" w:cs="Times New Roman"/>
          <w:i/>
          <w:iCs/>
        </w:rPr>
        <w:t>83</w:t>
      </w:r>
      <w:r w:rsidRPr="00071CB1">
        <w:rPr>
          <w:rFonts w:ascii="Times New Roman" w:hAnsi="Times New Roman" w:cs="Times New Roman"/>
        </w:rPr>
        <w:t>(23), p.653.</w:t>
      </w:r>
      <w:r w:rsidR="0049151F" w:rsidRPr="00071CB1">
        <w:rPr>
          <w:rFonts w:ascii="Times New Roman" w:hAnsi="Times New Roman" w:cs="Times New Roman"/>
        </w:rPr>
        <w:t xml:space="preserve"> </w:t>
      </w:r>
      <w:hyperlink r:id="rId12" w:history="1">
        <w:r w:rsidRPr="00071CB1">
          <w:rPr>
            <w:rStyle w:val="Hyperlink"/>
            <w:rFonts w:ascii="Times New Roman" w:hAnsi="Times New Roman" w:cs="Times New Roman"/>
          </w:rPr>
          <w:t>https://doi.org/10.1007/s12665-024-11961-z</w:t>
        </w:r>
      </w:hyperlink>
    </w:p>
    <w:p w14:paraId="3C9A4F7E" w14:textId="77777777" w:rsidR="00A8546D" w:rsidRPr="00BD1755" w:rsidRDefault="00A8546D" w:rsidP="00A8546D">
      <w:pPr>
        <w:spacing w:after="0" w:line="240" w:lineRule="auto"/>
        <w:rPr>
          <w:rFonts w:ascii="Times New Roman" w:hAnsi="Times New Roman" w:cs="Times New Roman"/>
        </w:rPr>
      </w:pPr>
    </w:p>
    <w:p w14:paraId="06E87489"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Agegnehu</w:t>
      </w:r>
      <w:proofErr w:type="spellEnd"/>
      <w:r w:rsidRPr="00071CB1">
        <w:rPr>
          <w:rFonts w:ascii="Times New Roman" w:hAnsi="Times New Roman" w:cs="Times New Roman"/>
        </w:rPr>
        <w:t xml:space="preserve">, G. and Amede, T., 2017. Integrated soil fertility and plant nutrient management in tropical </w:t>
      </w:r>
      <w:proofErr w:type="spellStart"/>
      <w:r w:rsidRPr="00071CB1">
        <w:rPr>
          <w:rFonts w:ascii="Times New Roman" w:hAnsi="Times New Roman" w:cs="Times New Roman"/>
        </w:rPr>
        <w:t>agro</w:t>
      </w:r>
      <w:proofErr w:type="spellEnd"/>
      <w:r w:rsidRPr="00071CB1">
        <w:rPr>
          <w:rFonts w:ascii="Times New Roman" w:hAnsi="Times New Roman" w:cs="Times New Roman"/>
        </w:rPr>
        <w:t>-ecosystems: a review. </w:t>
      </w:r>
      <w:r w:rsidRPr="00071CB1">
        <w:rPr>
          <w:rFonts w:ascii="Times New Roman" w:hAnsi="Times New Roman" w:cs="Times New Roman"/>
          <w:i/>
          <w:iCs/>
        </w:rPr>
        <w:t>Pedosphere</w:t>
      </w:r>
      <w:r w:rsidRPr="00071CB1">
        <w:rPr>
          <w:rFonts w:ascii="Times New Roman" w:hAnsi="Times New Roman" w:cs="Times New Roman"/>
        </w:rPr>
        <w:t>, </w:t>
      </w:r>
      <w:r w:rsidRPr="00071CB1">
        <w:rPr>
          <w:rFonts w:ascii="Times New Roman" w:hAnsi="Times New Roman" w:cs="Times New Roman"/>
          <w:i/>
          <w:iCs/>
        </w:rPr>
        <w:t>27</w:t>
      </w:r>
      <w:r w:rsidRPr="00071CB1">
        <w:rPr>
          <w:rFonts w:ascii="Times New Roman" w:hAnsi="Times New Roman" w:cs="Times New Roman"/>
        </w:rPr>
        <w:t>(4), pp.662-680.</w:t>
      </w:r>
      <w:r w:rsidR="0049151F" w:rsidRPr="00071CB1">
        <w:rPr>
          <w:rFonts w:ascii="Times New Roman" w:hAnsi="Times New Roman" w:cs="Times New Roman"/>
        </w:rPr>
        <w:t xml:space="preserve"> </w:t>
      </w:r>
      <w:hyperlink r:id="rId13" w:history="1">
        <w:r w:rsidRPr="00071CB1">
          <w:rPr>
            <w:rStyle w:val="Hyperlink"/>
            <w:rFonts w:ascii="Times New Roman" w:hAnsi="Times New Roman" w:cs="Times New Roman"/>
          </w:rPr>
          <w:t>https://doi.org/10.1016/s1002-0160(17)60382-5</w:t>
        </w:r>
      </w:hyperlink>
    </w:p>
    <w:p w14:paraId="1ECB647E" w14:textId="77777777" w:rsidR="00A8546D" w:rsidRPr="00BD1755" w:rsidRDefault="00A8546D" w:rsidP="00A8546D">
      <w:pPr>
        <w:spacing w:after="0" w:line="240" w:lineRule="auto"/>
        <w:rPr>
          <w:rFonts w:ascii="Times New Roman" w:hAnsi="Times New Roman" w:cs="Times New Roman"/>
        </w:rPr>
      </w:pPr>
    </w:p>
    <w:p w14:paraId="7BDAFC81"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Ajao, A.T., Awe, S., </w:t>
      </w:r>
      <w:proofErr w:type="spellStart"/>
      <w:r w:rsidRPr="00071CB1">
        <w:rPr>
          <w:rFonts w:ascii="Times New Roman" w:hAnsi="Times New Roman" w:cs="Times New Roman"/>
        </w:rPr>
        <w:t>Aborisade</w:t>
      </w:r>
      <w:proofErr w:type="spellEnd"/>
      <w:r w:rsidRPr="00071CB1">
        <w:rPr>
          <w:rFonts w:ascii="Times New Roman" w:hAnsi="Times New Roman" w:cs="Times New Roman"/>
        </w:rPr>
        <w:t>, W.T., Jimoh, F.A. and Ajao, F.J., 2025. Bioremediation of soil contaminated with cassava mill effluents-A structural, functional, and metagenomics approach. </w:t>
      </w:r>
      <w:r w:rsidRPr="00071CB1">
        <w:rPr>
          <w:rFonts w:ascii="Times New Roman" w:hAnsi="Times New Roman" w:cs="Times New Roman"/>
          <w:i/>
          <w:iCs/>
        </w:rPr>
        <w:t>Next Research</w:t>
      </w:r>
      <w:r w:rsidRPr="00071CB1">
        <w:rPr>
          <w:rFonts w:ascii="Times New Roman" w:hAnsi="Times New Roman" w:cs="Times New Roman"/>
        </w:rPr>
        <w:t>, </w:t>
      </w:r>
      <w:r w:rsidRPr="00071CB1">
        <w:rPr>
          <w:rFonts w:ascii="Times New Roman" w:hAnsi="Times New Roman" w:cs="Times New Roman"/>
          <w:i/>
          <w:iCs/>
        </w:rPr>
        <w:t>2</w:t>
      </w:r>
      <w:r w:rsidRPr="00071CB1">
        <w:rPr>
          <w:rFonts w:ascii="Times New Roman" w:hAnsi="Times New Roman" w:cs="Times New Roman"/>
        </w:rPr>
        <w:t>(3), p.100439.</w:t>
      </w:r>
      <w:r w:rsidR="0049151F" w:rsidRPr="00071CB1">
        <w:rPr>
          <w:rFonts w:ascii="Times New Roman" w:hAnsi="Times New Roman" w:cs="Times New Roman"/>
        </w:rPr>
        <w:t xml:space="preserve"> </w:t>
      </w:r>
      <w:hyperlink r:id="rId14" w:history="1">
        <w:r w:rsidRPr="00071CB1">
          <w:rPr>
            <w:rStyle w:val="Hyperlink"/>
            <w:rFonts w:ascii="Times New Roman" w:hAnsi="Times New Roman" w:cs="Times New Roman"/>
          </w:rPr>
          <w:t>https://doi.org/10.1016/j.nexres.2025.100439</w:t>
        </w:r>
      </w:hyperlink>
    </w:p>
    <w:p w14:paraId="1B15CCB0" w14:textId="77777777" w:rsidR="00A8546D" w:rsidRPr="00BD1755" w:rsidRDefault="00A8546D" w:rsidP="00A8546D">
      <w:pPr>
        <w:spacing w:after="0" w:line="240" w:lineRule="auto"/>
        <w:rPr>
          <w:rFonts w:ascii="Times New Roman" w:hAnsi="Times New Roman" w:cs="Times New Roman"/>
        </w:rPr>
      </w:pPr>
    </w:p>
    <w:p w14:paraId="2E5A3E1A" w14:textId="77777777" w:rsidR="00A8546D" w:rsidRDefault="00A8546D" w:rsidP="00071CB1">
      <w:pPr>
        <w:pStyle w:val="ListParagraph"/>
        <w:numPr>
          <w:ilvl w:val="0"/>
          <w:numId w:val="5"/>
        </w:numPr>
        <w:spacing w:after="0" w:line="240" w:lineRule="auto"/>
      </w:pPr>
      <w:r w:rsidRPr="00071CB1">
        <w:rPr>
          <w:rFonts w:ascii="Times New Roman" w:hAnsi="Times New Roman" w:cs="Times New Roman"/>
        </w:rPr>
        <w:t xml:space="preserve">Alejandro, S., </w:t>
      </w:r>
      <w:proofErr w:type="spellStart"/>
      <w:r w:rsidRPr="00071CB1">
        <w:rPr>
          <w:rFonts w:ascii="Times New Roman" w:hAnsi="Times New Roman" w:cs="Times New Roman"/>
        </w:rPr>
        <w:t>Höller</w:t>
      </w:r>
      <w:proofErr w:type="spellEnd"/>
      <w:r w:rsidRPr="00071CB1">
        <w:rPr>
          <w:rFonts w:ascii="Times New Roman" w:hAnsi="Times New Roman" w:cs="Times New Roman"/>
        </w:rPr>
        <w:t>, S., Meier, B. and Peiter, E., 2020. Manganese in plants: from acquisition to subcellular allocation. </w:t>
      </w:r>
      <w:r w:rsidRPr="00071CB1">
        <w:rPr>
          <w:rFonts w:ascii="Times New Roman" w:hAnsi="Times New Roman" w:cs="Times New Roman"/>
          <w:i/>
          <w:iCs/>
        </w:rPr>
        <w:t>Frontiers in plant science</w:t>
      </w:r>
      <w:r w:rsidRPr="00071CB1">
        <w:rPr>
          <w:rFonts w:ascii="Times New Roman" w:hAnsi="Times New Roman" w:cs="Times New Roman"/>
        </w:rPr>
        <w:t>, </w:t>
      </w:r>
      <w:r w:rsidRPr="00071CB1">
        <w:rPr>
          <w:rFonts w:ascii="Times New Roman" w:hAnsi="Times New Roman" w:cs="Times New Roman"/>
          <w:i/>
          <w:iCs/>
        </w:rPr>
        <w:t>11</w:t>
      </w:r>
      <w:r w:rsidRPr="00071CB1">
        <w:rPr>
          <w:rFonts w:ascii="Times New Roman" w:hAnsi="Times New Roman" w:cs="Times New Roman"/>
        </w:rPr>
        <w:t>, p.517877.</w:t>
      </w:r>
      <w:r w:rsidR="0049151F" w:rsidRPr="00071CB1">
        <w:rPr>
          <w:rFonts w:ascii="Times New Roman" w:hAnsi="Times New Roman" w:cs="Times New Roman"/>
        </w:rPr>
        <w:t xml:space="preserve"> </w:t>
      </w:r>
      <w:hyperlink r:id="rId15" w:history="1">
        <w:r w:rsidRPr="00071CB1">
          <w:rPr>
            <w:rStyle w:val="Hyperlink"/>
            <w:rFonts w:ascii="Times New Roman" w:hAnsi="Times New Roman" w:cs="Times New Roman"/>
          </w:rPr>
          <w:t>https://doi.org/10.3389/fpls.2020.00300</w:t>
        </w:r>
      </w:hyperlink>
    </w:p>
    <w:p w14:paraId="570D2DD5" w14:textId="77777777" w:rsidR="005A4401" w:rsidRDefault="005A4401" w:rsidP="00A8546D">
      <w:pPr>
        <w:spacing w:after="0" w:line="240" w:lineRule="auto"/>
      </w:pPr>
    </w:p>
    <w:p w14:paraId="2FA41BAC" w14:textId="77777777" w:rsidR="005A4401" w:rsidRPr="00071CB1" w:rsidRDefault="005A4401"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Alp, V. and </w:t>
      </w:r>
      <w:proofErr w:type="spellStart"/>
      <w:r w:rsidRPr="00071CB1">
        <w:rPr>
          <w:rFonts w:ascii="Times New Roman" w:hAnsi="Times New Roman" w:cs="Times New Roman"/>
        </w:rPr>
        <w:t>Demirkıran</w:t>
      </w:r>
      <w:proofErr w:type="spellEnd"/>
      <w:r w:rsidRPr="00071CB1">
        <w:rPr>
          <w:rFonts w:ascii="Times New Roman" w:hAnsi="Times New Roman" w:cs="Times New Roman"/>
        </w:rPr>
        <w:t xml:space="preserve">, A.R., 2025. Determination of productivity status of agricultural lands in </w:t>
      </w:r>
      <w:proofErr w:type="spellStart"/>
      <w:r w:rsidRPr="00071CB1">
        <w:rPr>
          <w:rFonts w:ascii="Times New Roman" w:hAnsi="Times New Roman" w:cs="Times New Roman"/>
        </w:rPr>
        <w:t>Solhan</w:t>
      </w:r>
      <w:proofErr w:type="spellEnd"/>
      <w:r w:rsidRPr="00071CB1">
        <w:rPr>
          <w:rFonts w:ascii="Times New Roman" w:hAnsi="Times New Roman" w:cs="Times New Roman"/>
        </w:rPr>
        <w:t xml:space="preserve"> District of Bingöl Province. </w:t>
      </w:r>
      <w:r w:rsidRPr="00071CB1">
        <w:rPr>
          <w:rFonts w:ascii="Times New Roman" w:eastAsia="Times New Roman" w:hAnsi="Times New Roman" w:cs="Times New Roman"/>
          <w:i/>
          <w:iCs/>
          <w:color w:val="222222"/>
          <w:kern w:val="0"/>
          <w:shd w:val="clear" w:color="auto" w:fill="FFFFFF"/>
        </w:rPr>
        <w:t>International Journal of Food, Agriculture and Animal Sciences</w:t>
      </w:r>
      <w:r w:rsidRPr="00071CB1">
        <w:rPr>
          <w:rFonts w:ascii="Times New Roman" w:hAnsi="Times New Roman" w:cs="Times New Roman"/>
        </w:rPr>
        <w:t>, </w:t>
      </w:r>
      <w:r w:rsidRPr="00071CB1">
        <w:rPr>
          <w:rFonts w:ascii="Times New Roman" w:hAnsi="Times New Roman" w:cs="Times New Roman"/>
          <w:i/>
          <w:iCs/>
        </w:rPr>
        <w:t>5</w:t>
      </w:r>
      <w:r w:rsidRPr="00071CB1">
        <w:rPr>
          <w:rFonts w:ascii="Times New Roman" w:hAnsi="Times New Roman" w:cs="Times New Roman"/>
        </w:rPr>
        <w:t>(1), pp.22-29.</w:t>
      </w:r>
    </w:p>
    <w:p w14:paraId="45C6606A" w14:textId="77777777" w:rsidR="00A8546D" w:rsidRPr="00BD1755" w:rsidRDefault="00A8546D" w:rsidP="00A8546D">
      <w:pPr>
        <w:spacing w:after="0" w:line="240" w:lineRule="auto"/>
        <w:rPr>
          <w:rFonts w:ascii="Times New Roman" w:hAnsi="Times New Roman" w:cs="Times New Roman"/>
        </w:rPr>
      </w:pPr>
    </w:p>
    <w:p w14:paraId="666D8E8F"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Alva, A.K., 1993. Comparison of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3,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1, ammonium bicarbonate‐DTPA, 1.0 M ammonium acetate, and 0.2 M ammonium chloride for extraction of calcium, magnesium, phosphorus, and potassium for a wide range of soils. </w:t>
      </w:r>
      <w:r w:rsidRPr="00071CB1">
        <w:rPr>
          <w:rFonts w:ascii="Times New Roman" w:hAnsi="Times New Roman" w:cs="Times New Roman"/>
          <w:i/>
          <w:iCs/>
        </w:rPr>
        <w:t>Com</w:t>
      </w:r>
      <w:r w:rsidR="00302C31" w:rsidRPr="00071CB1">
        <w:rPr>
          <w:rFonts w:ascii="Times New Roman" w:hAnsi="Times New Roman" w:cs="Times New Roman"/>
          <w:i/>
          <w:iCs/>
        </w:rPr>
        <w:t xml:space="preserve">munications </w:t>
      </w:r>
      <w:r w:rsidR="00302C31" w:rsidRPr="00071CB1">
        <w:rPr>
          <w:rFonts w:ascii="Times New Roman" w:hAnsi="Times New Roman" w:cs="Times New Roman"/>
          <w:i/>
          <w:iCs/>
          <w:color w:val="000000"/>
        </w:rPr>
        <w:t>in Soil Science and Plant A</w:t>
      </w:r>
      <w:r w:rsidRPr="00071CB1">
        <w:rPr>
          <w:rFonts w:ascii="Times New Roman" w:hAnsi="Times New Roman" w:cs="Times New Roman"/>
          <w:i/>
          <w:iCs/>
          <w:color w:val="000000"/>
        </w:rPr>
        <w:t>nalysis</w:t>
      </w:r>
      <w:r w:rsidRPr="00071CB1">
        <w:rPr>
          <w:rFonts w:ascii="Times New Roman" w:hAnsi="Times New Roman" w:cs="Times New Roman"/>
          <w:color w:val="000000"/>
        </w:rPr>
        <w:t>, </w:t>
      </w:r>
      <w:r w:rsidRPr="00071CB1">
        <w:rPr>
          <w:rFonts w:ascii="Times New Roman" w:hAnsi="Times New Roman" w:cs="Times New Roman"/>
          <w:i/>
          <w:iCs/>
          <w:color w:val="000000"/>
        </w:rPr>
        <w:t>24</w:t>
      </w:r>
      <w:r w:rsidRPr="00071CB1">
        <w:rPr>
          <w:rFonts w:ascii="Times New Roman" w:hAnsi="Times New Roman" w:cs="Times New Roman"/>
          <w:color w:val="000000"/>
        </w:rPr>
        <w:t>(</w:t>
      </w:r>
      <w:r w:rsidRPr="00071CB1">
        <w:rPr>
          <w:rFonts w:ascii="Times New Roman" w:hAnsi="Times New Roman" w:cs="Times New Roman"/>
        </w:rPr>
        <w:t>7-8), pp.603-612.</w:t>
      </w:r>
      <w:r w:rsidR="0049151F" w:rsidRPr="00071CB1">
        <w:rPr>
          <w:rFonts w:ascii="Times New Roman" w:hAnsi="Times New Roman" w:cs="Times New Roman"/>
        </w:rPr>
        <w:t xml:space="preserve"> </w:t>
      </w:r>
      <w:hyperlink r:id="rId16" w:history="1">
        <w:r w:rsidRPr="00071CB1">
          <w:rPr>
            <w:rStyle w:val="Hyperlink"/>
            <w:rFonts w:ascii="Times New Roman" w:hAnsi="Times New Roman" w:cs="Times New Roman"/>
          </w:rPr>
          <w:t>https://doi.org/10.1080/00103629309368826</w:t>
        </w:r>
      </w:hyperlink>
    </w:p>
    <w:p w14:paraId="1402EBCE" w14:textId="77777777" w:rsidR="00A8546D" w:rsidRPr="00BD1755" w:rsidRDefault="00A8546D" w:rsidP="00A8546D">
      <w:pPr>
        <w:spacing w:after="0" w:line="240" w:lineRule="auto"/>
        <w:rPr>
          <w:rFonts w:ascii="Times New Roman" w:hAnsi="Times New Roman" w:cs="Times New Roman"/>
        </w:rPr>
      </w:pPr>
    </w:p>
    <w:p w14:paraId="4F1CE7DF"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Antonangelo</w:t>
      </w:r>
      <w:proofErr w:type="spellEnd"/>
      <w:r w:rsidRPr="00071CB1">
        <w:rPr>
          <w:rFonts w:ascii="Times New Roman" w:hAnsi="Times New Roman" w:cs="Times New Roman"/>
        </w:rPr>
        <w:t>, J.A., Souza, J.L.B., Whitaker, A., Arnall, B. and Zhang, H., 2022. Evaluation of mehlich-3 as a multi-element extractant of micronutrients and sulfur in a soil–ryegrass system amended with varying biochar rates from two feedstocks. </w:t>
      </w:r>
      <w:r w:rsidRPr="00071CB1">
        <w:rPr>
          <w:rFonts w:ascii="Times New Roman" w:hAnsi="Times New Roman" w:cs="Times New Roman"/>
          <w:i/>
          <w:iCs/>
        </w:rPr>
        <w:t>Land</w:t>
      </w:r>
      <w:r w:rsidRPr="00071CB1">
        <w:rPr>
          <w:rFonts w:ascii="Times New Roman" w:hAnsi="Times New Roman" w:cs="Times New Roman"/>
        </w:rPr>
        <w:t>, </w:t>
      </w:r>
      <w:r w:rsidRPr="00071CB1">
        <w:rPr>
          <w:rFonts w:ascii="Times New Roman" w:hAnsi="Times New Roman" w:cs="Times New Roman"/>
          <w:i/>
          <w:iCs/>
        </w:rPr>
        <w:t>11</w:t>
      </w:r>
      <w:r w:rsidRPr="00071CB1">
        <w:rPr>
          <w:rFonts w:ascii="Times New Roman" w:hAnsi="Times New Roman" w:cs="Times New Roman"/>
        </w:rPr>
        <w:t>(11), p.1979.</w:t>
      </w:r>
      <w:r w:rsidR="0049151F" w:rsidRPr="00071CB1">
        <w:rPr>
          <w:rFonts w:ascii="Times New Roman" w:hAnsi="Times New Roman" w:cs="Times New Roman"/>
        </w:rPr>
        <w:t xml:space="preserve"> </w:t>
      </w:r>
      <w:hyperlink r:id="rId17" w:history="1">
        <w:r w:rsidRPr="00071CB1">
          <w:rPr>
            <w:rStyle w:val="Hyperlink"/>
            <w:rFonts w:ascii="Times New Roman" w:hAnsi="Times New Roman" w:cs="Times New Roman"/>
          </w:rPr>
          <w:t>https://doi.org/10.3390/land11111979</w:t>
        </w:r>
      </w:hyperlink>
    </w:p>
    <w:p w14:paraId="22F82C08" w14:textId="77777777" w:rsidR="00A8546D" w:rsidRPr="00BD1755" w:rsidRDefault="00A8546D" w:rsidP="00A8546D">
      <w:pPr>
        <w:spacing w:after="0" w:line="240" w:lineRule="auto"/>
        <w:rPr>
          <w:rFonts w:ascii="Times New Roman" w:hAnsi="Times New Roman" w:cs="Times New Roman"/>
        </w:rPr>
      </w:pPr>
    </w:p>
    <w:p w14:paraId="25BDF677"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Bala, J.D., </w:t>
      </w:r>
      <w:proofErr w:type="spellStart"/>
      <w:r w:rsidRPr="00071CB1">
        <w:rPr>
          <w:rFonts w:ascii="Times New Roman" w:hAnsi="Times New Roman" w:cs="Times New Roman"/>
        </w:rPr>
        <w:t>Lalung</w:t>
      </w:r>
      <w:proofErr w:type="spellEnd"/>
      <w:r w:rsidRPr="00071CB1">
        <w:rPr>
          <w:rFonts w:ascii="Times New Roman" w:hAnsi="Times New Roman" w:cs="Times New Roman"/>
        </w:rPr>
        <w:t>, J. and Ismail, N., 2015. Studies on the reduction of organic load from palm oil mill effluent (POME) by bacterial strains. </w:t>
      </w:r>
      <w:r w:rsidRPr="00071CB1">
        <w:rPr>
          <w:rFonts w:ascii="Times New Roman" w:hAnsi="Times New Roman" w:cs="Times New Roman"/>
          <w:i/>
          <w:iCs/>
        </w:rPr>
        <w:t>International Journal of Recycling of Organic Waste in Agriculture</w:t>
      </w:r>
      <w:r w:rsidRPr="00071CB1">
        <w:rPr>
          <w:rFonts w:ascii="Times New Roman" w:hAnsi="Times New Roman" w:cs="Times New Roman"/>
        </w:rPr>
        <w:t>, </w:t>
      </w:r>
      <w:r w:rsidRPr="00071CB1">
        <w:rPr>
          <w:rFonts w:ascii="Times New Roman" w:hAnsi="Times New Roman" w:cs="Times New Roman"/>
          <w:i/>
          <w:iCs/>
        </w:rPr>
        <w:t>4</w:t>
      </w:r>
      <w:r w:rsidRPr="00071CB1">
        <w:rPr>
          <w:rFonts w:ascii="Times New Roman" w:hAnsi="Times New Roman" w:cs="Times New Roman"/>
        </w:rPr>
        <w:t>(1), pp.1-10.</w:t>
      </w:r>
      <w:r w:rsidR="0049151F" w:rsidRPr="00071CB1">
        <w:rPr>
          <w:rFonts w:ascii="Times New Roman" w:hAnsi="Times New Roman" w:cs="Times New Roman"/>
        </w:rPr>
        <w:t xml:space="preserve"> </w:t>
      </w:r>
      <w:hyperlink r:id="rId18" w:history="1">
        <w:r w:rsidRPr="00071CB1">
          <w:rPr>
            <w:rStyle w:val="Hyperlink"/>
            <w:rFonts w:ascii="Times New Roman" w:hAnsi="Times New Roman" w:cs="Times New Roman"/>
          </w:rPr>
          <w:t>https://doi.org/10.1007/s40093-014-0079-6</w:t>
        </w:r>
      </w:hyperlink>
    </w:p>
    <w:p w14:paraId="03A4F89E" w14:textId="328CCAB7" w:rsidR="00A8546D" w:rsidRPr="00BD1755" w:rsidRDefault="00A8546D" w:rsidP="00071CB1">
      <w:pPr>
        <w:spacing w:after="0" w:line="240" w:lineRule="auto"/>
        <w:ind w:firstLine="60"/>
        <w:rPr>
          <w:rFonts w:ascii="Times New Roman" w:hAnsi="Times New Roman" w:cs="Times New Roman"/>
        </w:rPr>
      </w:pPr>
    </w:p>
    <w:p w14:paraId="6AE28084"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Barrow, N.J. and </w:t>
      </w:r>
      <w:proofErr w:type="spellStart"/>
      <w:r w:rsidRPr="00071CB1">
        <w:rPr>
          <w:rFonts w:ascii="Times New Roman" w:hAnsi="Times New Roman" w:cs="Times New Roman"/>
        </w:rPr>
        <w:t>Hartemink</w:t>
      </w:r>
      <w:proofErr w:type="spellEnd"/>
      <w:r w:rsidRPr="00071CB1">
        <w:rPr>
          <w:rFonts w:ascii="Times New Roman" w:hAnsi="Times New Roman" w:cs="Times New Roman"/>
        </w:rPr>
        <w:t>, A.E., 2023. The effects of pH on nutrient availability depend on both soils and plants. </w:t>
      </w:r>
      <w:r w:rsidRPr="00071CB1">
        <w:rPr>
          <w:rFonts w:ascii="Times New Roman" w:hAnsi="Times New Roman" w:cs="Times New Roman"/>
          <w:i/>
          <w:iCs/>
        </w:rPr>
        <w:t>Plant and Soil</w:t>
      </w:r>
      <w:r w:rsidRPr="00071CB1">
        <w:rPr>
          <w:rFonts w:ascii="Times New Roman" w:hAnsi="Times New Roman" w:cs="Times New Roman"/>
        </w:rPr>
        <w:t>, </w:t>
      </w:r>
      <w:r w:rsidRPr="00071CB1">
        <w:rPr>
          <w:rFonts w:ascii="Times New Roman" w:hAnsi="Times New Roman" w:cs="Times New Roman"/>
          <w:i/>
          <w:iCs/>
        </w:rPr>
        <w:t>487</w:t>
      </w:r>
      <w:r w:rsidRPr="00071CB1">
        <w:rPr>
          <w:rFonts w:ascii="Times New Roman" w:hAnsi="Times New Roman" w:cs="Times New Roman"/>
        </w:rPr>
        <w:t>(1), pp.21-37.</w:t>
      </w:r>
      <w:r w:rsidR="0049151F" w:rsidRPr="00071CB1">
        <w:rPr>
          <w:rFonts w:ascii="Times New Roman" w:hAnsi="Times New Roman" w:cs="Times New Roman"/>
        </w:rPr>
        <w:t xml:space="preserve"> </w:t>
      </w:r>
      <w:hyperlink r:id="rId19" w:history="1">
        <w:r w:rsidRPr="00071CB1">
          <w:rPr>
            <w:rStyle w:val="Hyperlink"/>
            <w:rFonts w:ascii="Times New Roman" w:hAnsi="Times New Roman" w:cs="Times New Roman"/>
          </w:rPr>
          <w:t>https://doi.org/10.1007/s11104-023-05960-5</w:t>
        </w:r>
      </w:hyperlink>
    </w:p>
    <w:p w14:paraId="0E692DDC" w14:textId="77777777" w:rsidR="00A8546D" w:rsidRPr="00BD1755" w:rsidRDefault="00A8546D" w:rsidP="00A8546D">
      <w:pPr>
        <w:spacing w:after="0" w:line="240" w:lineRule="auto"/>
        <w:rPr>
          <w:rFonts w:ascii="Times New Roman" w:hAnsi="Times New Roman" w:cs="Times New Roman"/>
        </w:rPr>
      </w:pPr>
    </w:p>
    <w:p w14:paraId="74110598"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Bechtaoui, N., Rabiu, M.K., </w:t>
      </w:r>
      <w:proofErr w:type="spellStart"/>
      <w:r w:rsidRPr="00071CB1">
        <w:rPr>
          <w:rFonts w:ascii="Times New Roman" w:hAnsi="Times New Roman" w:cs="Times New Roman"/>
        </w:rPr>
        <w:t>Raklami</w:t>
      </w:r>
      <w:proofErr w:type="spellEnd"/>
      <w:r w:rsidRPr="00071CB1">
        <w:rPr>
          <w:rFonts w:ascii="Times New Roman" w:hAnsi="Times New Roman" w:cs="Times New Roman"/>
        </w:rPr>
        <w:t xml:space="preserve">, A., </w:t>
      </w:r>
      <w:proofErr w:type="spellStart"/>
      <w:r w:rsidRPr="00071CB1">
        <w:rPr>
          <w:rFonts w:ascii="Times New Roman" w:hAnsi="Times New Roman" w:cs="Times New Roman"/>
        </w:rPr>
        <w:t>Oufdou</w:t>
      </w:r>
      <w:proofErr w:type="spellEnd"/>
      <w:r w:rsidRPr="00071CB1">
        <w:rPr>
          <w:rFonts w:ascii="Times New Roman" w:hAnsi="Times New Roman" w:cs="Times New Roman"/>
        </w:rPr>
        <w:t>, K., Hafidi, M. and Jemo, M., 2021. Phosphate-dependent regulation of growth and stresses management in plants. </w:t>
      </w:r>
      <w:r w:rsidRPr="00071CB1">
        <w:rPr>
          <w:rFonts w:ascii="Times New Roman" w:hAnsi="Times New Roman" w:cs="Times New Roman"/>
          <w:i/>
          <w:iCs/>
        </w:rPr>
        <w:t>Frontiers in Plant Science</w:t>
      </w:r>
      <w:r w:rsidRPr="00071CB1">
        <w:rPr>
          <w:rFonts w:ascii="Times New Roman" w:hAnsi="Times New Roman" w:cs="Times New Roman"/>
        </w:rPr>
        <w:t>, </w:t>
      </w:r>
      <w:r w:rsidRPr="00071CB1">
        <w:rPr>
          <w:rFonts w:ascii="Times New Roman" w:hAnsi="Times New Roman" w:cs="Times New Roman"/>
          <w:i/>
          <w:iCs/>
        </w:rPr>
        <w:t>12</w:t>
      </w:r>
      <w:r w:rsidRPr="00071CB1">
        <w:rPr>
          <w:rFonts w:ascii="Times New Roman" w:hAnsi="Times New Roman" w:cs="Times New Roman"/>
        </w:rPr>
        <w:t>, p.679916.</w:t>
      </w:r>
      <w:r w:rsidR="0049151F" w:rsidRPr="00071CB1">
        <w:rPr>
          <w:rFonts w:ascii="Times New Roman" w:hAnsi="Times New Roman" w:cs="Times New Roman"/>
        </w:rPr>
        <w:t xml:space="preserve"> </w:t>
      </w:r>
      <w:hyperlink r:id="rId20" w:history="1">
        <w:r w:rsidRPr="00071CB1">
          <w:rPr>
            <w:rStyle w:val="Hyperlink"/>
            <w:rFonts w:ascii="Times New Roman" w:hAnsi="Times New Roman" w:cs="Times New Roman"/>
          </w:rPr>
          <w:t>https://doi.org/10.3389/fpls.2021.679916</w:t>
        </w:r>
      </w:hyperlink>
    </w:p>
    <w:p w14:paraId="4C108CA8" w14:textId="77777777" w:rsidR="00A8546D" w:rsidRPr="00BD1755" w:rsidRDefault="00A8546D" w:rsidP="00A8546D">
      <w:pPr>
        <w:spacing w:after="0" w:line="240" w:lineRule="auto"/>
        <w:rPr>
          <w:rFonts w:ascii="Times New Roman" w:hAnsi="Times New Roman" w:cs="Times New Roman"/>
        </w:rPr>
      </w:pPr>
    </w:p>
    <w:p w14:paraId="31F0ED5D"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lastRenderedPageBreak/>
        <w:t>Bindraban</w:t>
      </w:r>
      <w:proofErr w:type="spellEnd"/>
      <w:r w:rsidRPr="00071CB1">
        <w:rPr>
          <w:rFonts w:ascii="Times New Roman" w:hAnsi="Times New Roman" w:cs="Times New Roman"/>
        </w:rPr>
        <w:t xml:space="preserve">, P.S., </w:t>
      </w:r>
      <w:proofErr w:type="spellStart"/>
      <w:r w:rsidRPr="00071CB1">
        <w:rPr>
          <w:rFonts w:ascii="Times New Roman" w:hAnsi="Times New Roman" w:cs="Times New Roman"/>
        </w:rPr>
        <w:t>Dimkpa</w:t>
      </w:r>
      <w:proofErr w:type="spellEnd"/>
      <w:r w:rsidRPr="00071CB1">
        <w:rPr>
          <w:rFonts w:ascii="Times New Roman" w:hAnsi="Times New Roman" w:cs="Times New Roman"/>
        </w:rPr>
        <w:t>, C.O. and Pandey, R., 2020. Exploring phosphorus fertilizers and fertilization strategies for improved human and environmental health. </w:t>
      </w:r>
      <w:r w:rsidRPr="00071CB1">
        <w:rPr>
          <w:rFonts w:ascii="Times New Roman" w:hAnsi="Times New Roman" w:cs="Times New Roman"/>
          <w:i/>
          <w:iCs/>
        </w:rPr>
        <w:t>Biology and Fertility of Soils</w:t>
      </w:r>
      <w:r w:rsidRPr="00071CB1">
        <w:rPr>
          <w:rFonts w:ascii="Times New Roman" w:hAnsi="Times New Roman" w:cs="Times New Roman"/>
        </w:rPr>
        <w:t>, </w:t>
      </w:r>
      <w:r w:rsidRPr="00071CB1">
        <w:rPr>
          <w:rFonts w:ascii="Times New Roman" w:hAnsi="Times New Roman" w:cs="Times New Roman"/>
          <w:i/>
          <w:iCs/>
        </w:rPr>
        <w:t>56</w:t>
      </w:r>
      <w:r w:rsidRPr="00071CB1">
        <w:rPr>
          <w:rFonts w:ascii="Times New Roman" w:hAnsi="Times New Roman" w:cs="Times New Roman"/>
        </w:rPr>
        <w:t>(3), pp.299-317.</w:t>
      </w:r>
      <w:r w:rsidR="0049151F" w:rsidRPr="00071CB1">
        <w:rPr>
          <w:rFonts w:ascii="Times New Roman" w:hAnsi="Times New Roman" w:cs="Times New Roman"/>
        </w:rPr>
        <w:t xml:space="preserve"> </w:t>
      </w:r>
      <w:hyperlink r:id="rId21" w:history="1">
        <w:r w:rsidRPr="00071CB1">
          <w:rPr>
            <w:rStyle w:val="Hyperlink"/>
            <w:rFonts w:ascii="Times New Roman" w:hAnsi="Times New Roman" w:cs="Times New Roman"/>
          </w:rPr>
          <w:t>https://doi.org/10.1007/s00374-019-01430-2</w:t>
        </w:r>
      </w:hyperlink>
    </w:p>
    <w:p w14:paraId="02CEC495" w14:textId="77777777" w:rsidR="00B57E99" w:rsidRDefault="00B57E99" w:rsidP="00A8546D">
      <w:pPr>
        <w:spacing w:after="0" w:line="240" w:lineRule="auto"/>
        <w:rPr>
          <w:rFonts w:ascii="Times New Roman" w:hAnsi="Times New Roman" w:cs="Times New Roman"/>
        </w:rPr>
      </w:pPr>
    </w:p>
    <w:p w14:paraId="515839A8" w14:textId="77777777" w:rsidR="00B57E99" w:rsidRPr="00071CB1" w:rsidRDefault="00B57E99" w:rsidP="00071CB1">
      <w:pPr>
        <w:pStyle w:val="ListParagraph"/>
        <w:numPr>
          <w:ilvl w:val="0"/>
          <w:numId w:val="5"/>
        </w:numPr>
        <w:spacing w:after="0" w:line="240" w:lineRule="auto"/>
        <w:jc w:val="both"/>
        <w:rPr>
          <w:rFonts w:ascii="Times New Roman" w:hAnsi="Times New Roman" w:cs="Times New Roman"/>
        </w:rPr>
      </w:pPr>
      <w:r w:rsidRPr="00071CB1">
        <w:rPr>
          <w:rFonts w:ascii="Times New Roman" w:hAnsi="Times New Roman" w:cs="Times New Roman"/>
        </w:rPr>
        <w:t>Bremner, J.M. 1996 Nitrogen-Total. In: Methods of Soil Analysis. Part 3, Chemical Method, SSSA, ASA, Madison, 1085-1122.</w:t>
      </w:r>
      <w:hyperlink r:id="rId22" w:history="1">
        <w:r w:rsidRPr="00071CB1">
          <w:rPr>
            <w:rStyle w:val="Hyperlink"/>
            <w:rFonts w:ascii="Times New Roman" w:hAnsi="Times New Roman" w:cs="Times New Roman"/>
          </w:rPr>
          <w:t>https://doi.org/10.2136/sssabookser5.3.c37</w:t>
        </w:r>
      </w:hyperlink>
    </w:p>
    <w:p w14:paraId="40A8BE58" w14:textId="77777777" w:rsidR="00A8546D" w:rsidRPr="00BD1755" w:rsidRDefault="00A8546D" w:rsidP="00A8546D">
      <w:pPr>
        <w:spacing w:after="0" w:line="240" w:lineRule="auto"/>
        <w:rPr>
          <w:rFonts w:ascii="Times New Roman" w:hAnsi="Times New Roman" w:cs="Times New Roman"/>
        </w:rPr>
      </w:pPr>
    </w:p>
    <w:p w14:paraId="249B1E6C"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da Silva, L.J.R., da Silva Sandim, A., da Silva, A.P.R., Deus, A.C.F., </w:t>
      </w:r>
      <w:proofErr w:type="spellStart"/>
      <w:r w:rsidRPr="00071CB1">
        <w:rPr>
          <w:rFonts w:ascii="Times New Roman" w:hAnsi="Times New Roman" w:cs="Times New Roman"/>
        </w:rPr>
        <w:t>Antonangelo</w:t>
      </w:r>
      <w:proofErr w:type="spellEnd"/>
      <w:r w:rsidRPr="00071CB1">
        <w:rPr>
          <w:rFonts w:ascii="Times New Roman" w:hAnsi="Times New Roman" w:cs="Times New Roman"/>
        </w:rPr>
        <w:t xml:space="preserve">, J.A. and </w:t>
      </w:r>
      <w:proofErr w:type="spellStart"/>
      <w:r w:rsidRPr="00071CB1">
        <w:rPr>
          <w:rFonts w:ascii="Times New Roman" w:hAnsi="Times New Roman" w:cs="Times New Roman"/>
        </w:rPr>
        <w:t>Büll</w:t>
      </w:r>
      <w:proofErr w:type="spellEnd"/>
      <w:r w:rsidRPr="00071CB1">
        <w:rPr>
          <w:rFonts w:ascii="Times New Roman" w:hAnsi="Times New Roman" w:cs="Times New Roman"/>
        </w:rPr>
        <w:t>, L.T., 2024. Evaluating the agronomic efficiency of alternative phosphorus sources applied in Brazilian tropical soils. </w:t>
      </w:r>
      <w:r w:rsidRPr="00071CB1">
        <w:rPr>
          <w:rFonts w:ascii="Times New Roman" w:hAnsi="Times New Roman" w:cs="Times New Roman"/>
          <w:i/>
          <w:iCs/>
        </w:rPr>
        <w:t>Scientific Reports</w:t>
      </w:r>
      <w:r w:rsidRPr="00071CB1">
        <w:rPr>
          <w:rFonts w:ascii="Times New Roman" w:hAnsi="Times New Roman" w:cs="Times New Roman"/>
        </w:rPr>
        <w:t>, </w:t>
      </w:r>
      <w:r w:rsidRPr="00071CB1">
        <w:rPr>
          <w:rFonts w:ascii="Times New Roman" w:hAnsi="Times New Roman" w:cs="Times New Roman"/>
          <w:i/>
          <w:iCs/>
        </w:rPr>
        <w:t>14</w:t>
      </w:r>
      <w:r w:rsidRPr="00071CB1">
        <w:rPr>
          <w:rFonts w:ascii="Times New Roman" w:hAnsi="Times New Roman" w:cs="Times New Roman"/>
        </w:rPr>
        <w:t>(1), p.8526.</w:t>
      </w:r>
      <w:r w:rsidR="0049151F" w:rsidRPr="00071CB1">
        <w:rPr>
          <w:rFonts w:ascii="Times New Roman" w:hAnsi="Times New Roman" w:cs="Times New Roman"/>
        </w:rPr>
        <w:t xml:space="preserve"> </w:t>
      </w:r>
      <w:hyperlink r:id="rId23" w:history="1">
        <w:r w:rsidRPr="00071CB1">
          <w:rPr>
            <w:rStyle w:val="Hyperlink"/>
            <w:rFonts w:ascii="Times New Roman" w:hAnsi="Times New Roman" w:cs="Times New Roman"/>
          </w:rPr>
          <w:t>https://doi.org/10.1038/s41598-024-58911-0</w:t>
        </w:r>
      </w:hyperlink>
    </w:p>
    <w:p w14:paraId="6DEAD0A6" w14:textId="77777777" w:rsidR="00A8546D" w:rsidRPr="00BD1755" w:rsidRDefault="00A8546D" w:rsidP="00A8546D">
      <w:pPr>
        <w:spacing w:after="0" w:line="240" w:lineRule="auto"/>
        <w:rPr>
          <w:rFonts w:ascii="Times New Roman" w:hAnsi="Times New Roman" w:cs="Times New Roman"/>
        </w:rPr>
      </w:pPr>
    </w:p>
    <w:p w14:paraId="64537214" w14:textId="77777777" w:rsidR="00A8546D" w:rsidRDefault="00A8546D" w:rsidP="00071CB1">
      <w:pPr>
        <w:pStyle w:val="ListParagraph"/>
        <w:numPr>
          <w:ilvl w:val="0"/>
          <w:numId w:val="5"/>
        </w:numPr>
        <w:spacing w:after="0" w:line="240" w:lineRule="auto"/>
      </w:pPr>
      <w:r w:rsidRPr="00071CB1">
        <w:rPr>
          <w:rFonts w:ascii="Times New Roman" w:hAnsi="Times New Roman" w:cs="Times New Roman"/>
        </w:rPr>
        <w:t xml:space="preserve">dos Santos Moura, A., de Medeiros, E.V., da Silva Oliveira, J.E., da Franca, R.F., Lira, A.D., Martins Filho, A.P. and Badji, C.A., 2018. Does cassava wastewater with a short incubation time affect soil organic carbon, microbial community and </w:t>
      </w:r>
      <w:r w:rsidRPr="00071CB1">
        <w:rPr>
          <w:rFonts w:ascii="Times New Roman" w:hAnsi="Times New Roman" w:cs="Times New Roman"/>
          <w:color w:val="000000"/>
        </w:rPr>
        <w:t>enzymatic activities?</w:t>
      </w:r>
      <w:r w:rsidR="0049151F" w:rsidRPr="00071CB1">
        <w:rPr>
          <w:rFonts w:ascii="Times New Roman" w:hAnsi="Times New Roman" w:cs="Times New Roman"/>
          <w:color w:val="000000"/>
        </w:rPr>
        <w:t xml:space="preserve"> </w:t>
      </w:r>
      <w:r w:rsidRPr="00071CB1">
        <w:rPr>
          <w:rFonts w:ascii="Times New Roman" w:hAnsi="Times New Roman" w:cs="Times New Roman"/>
          <w:i/>
          <w:iCs/>
          <w:color w:val="000000"/>
        </w:rPr>
        <w:t>Catena</w:t>
      </w:r>
      <w:r w:rsidRPr="00071CB1">
        <w:rPr>
          <w:rFonts w:ascii="Times New Roman" w:hAnsi="Times New Roman" w:cs="Times New Roman"/>
          <w:color w:val="000000"/>
        </w:rPr>
        <w:t>, </w:t>
      </w:r>
      <w:r w:rsidRPr="00071CB1">
        <w:rPr>
          <w:rFonts w:ascii="Times New Roman" w:hAnsi="Times New Roman" w:cs="Times New Roman"/>
          <w:i/>
          <w:iCs/>
          <w:color w:val="000000"/>
        </w:rPr>
        <w:t>163</w:t>
      </w:r>
      <w:r w:rsidRPr="00071CB1">
        <w:rPr>
          <w:rFonts w:ascii="Times New Roman" w:hAnsi="Times New Roman" w:cs="Times New Roman"/>
          <w:color w:val="000000"/>
        </w:rPr>
        <w:t>, pp.354</w:t>
      </w:r>
      <w:r w:rsidRPr="00071CB1">
        <w:rPr>
          <w:rFonts w:ascii="Times New Roman" w:hAnsi="Times New Roman" w:cs="Times New Roman"/>
        </w:rPr>
        <w:t>-360.</w:t>
      </w:r>
      <w:r w:rsidR="0049151F" w:rsidRPr="00071CB1">
        <w:rPr>
          <w:rFonts w:ascii="Times New Roman" w:hAnsi="Times New Roman" w:cs="Times New Roman"/>
        </w:rPr>
        <w:t xml:space="preserve"> </w:t>
      </w:r>
      <w:hyperlink r:id="rId24" w:history="1">
        <w:r w:rsidRPr="00071CB1">
          <w:rPr>
            <w:rStyle w:val="Hyperlink"/>
            <w:rFonts w:ascii="Times New Roman" w:hAnsi="Times New Roman" w:cs="Times New Roman"/>
          </w:rPr>
          <w:t>https://doi.org/10.1016/j.catena.2018.01.001</w:t>
        </w:r>
      </w:hyperlink>
    </w:p>
    <w:p w14:paraId="704C5A2E" w14:textId="77777777" w:rsidR="00FA0C1D" w:rsidRDefault="00FA0C1D" w:rsidP="009E05EE">
      <w:pPr>
        <w:spacing w:after="0" w:line="240" w:lineRule="auto"/>
        <w:rPr>
          <w:rFonts w:ascii="Times New Roman" w:hAnsi="Times New Roman" w:cs="Times New Roman"/>
          <w:lang w:val="en-GB"/>
        </w:rPr>
      </w:pPr>
    </w:p>
    <w:p w14:paraId="3C2C8CA6" w14:textId="77777777" w:rsidR="00FA0C1D" w:rsidRPr="00071CB1" w:rsidRDefault="00FA0C1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Ekanem, K.R., George, N.J., Ekanem, A.M., Udosen, N.I. and Thomas, J.E., 2025. </w:t>
      </w:r>
      <w:proofErr w:type="spellStart"/>
      <w:r w:rsidRPr="00071CB1">
        <w:rPr>
          <w:rFonts w:ascii="Times New Roman" w:hAnsi="Times New Roman" w:cs="Times New Roman"/>
        </w:rPr>
        <w:t>Georesistivity</w:t>
      </w:r>
      <w:proofErr w:type="spellEnd"/>
      <w:r w:rsidRPr="00071CB1">
        <w:rPr>
          <w:rFonts w:ascii="Times New Roman" w:hAnsi="Times New Roman" w:cs="Times New Roman"/>
        </w:rPr>
        <w:t xml:space="preserve"> assessment of lithological and hydrodynamic factors in groundwater sanitation of </w:t>
      </w:r>
      <w:proofErr w:type="gramStart"/>
      <w:r w:rsidRPr="00071CB1">
        <w:rPr>
          <w:rFonts w:ascii="Times New Roman" w:hAnsi="Times New Roman" w:cs="Times New Roman"/>
        </w:rPr>
        <w:t>Akwa Ibom river</w:t>
      </w:r>
      <w:proofErr w:type="gramEnd"/>
      <w:r w:rsidRPr="00071CB1">
        <w:rPr>
          <w:rFonts w:ascii="Times New Roman" w:hAnsi="Times New Roman" w:cs="Times New Roman"/>
        </w:rPr>
        <w:t xml:space="preserve"> channel aquifer system. </w:t>
      </w:r>
      <w:r w:rsidRPr="00071CB1">
        <w:rPr>
          <w:rFonts w:ascii="Times New Roman" w:hAnsi="Times New Roman" w:cs="Times New Roman"/>
          <w:i/>
          <w:iCs/>
        </w:rPr>
        <w:t xml:space="preserve">Geosystems and </w:t>
      </w:r>
      <w:proofErr w:type="spellStart"/>
      <w:r w:rsidRPr="00071CB1">
        <w:rPr>
          <w:rFonts w:ascii="Times New Roman" w:hAnsi="Times New Roman" w:cs="Times New Roman"/>
          <w:i/>
          <w:iCs/>
        </w:rPr>
        <w:t>Geoenvironment</w:t>
      </w:r>
      <w:proofErr w:type="spellEnd"/>
      <w:r w:rsidRPr="00071CB1">
        <w:rPr>
          <w:rFonts w:ascii="Times New Roman" w:hAnsi="Times New Roman" w:cs="Times New Roman"/>
        </w:rPr>
        <w:t>, </w:t>
      </w:r>
      <w:r w:rsidRPr="00071CB1">
        <w:rPr>
          <w:rFonts w:ascii="Times New Roman" w:hAnsi="Times New Roman" w:cs="Times New Roman"/>
          <w:i/>
          <w:iCs/>
        </w:rPr>
        <w:t>4</w:t>
      </w:r>
      <w:r w:rsidRPr="00071CB1">
        <w:rPr>
          <w:rFonts w:ascii="Times New Roman" w:hAnsi="Times New Roman" w:cs="Times New Roman"/>
        </w:rPr>
        <w:t>(3), p.100411.</w:t>
      </w:r>
      <w:hyperlink r:id="rId25" w:tgtFrame="_blank" w:tooltip="Persistent link using digital object identifier" w:history="1">
        <w:r w:rsidRPr="00071CB1">
          <w:rPr>
            <w:rStyle w:val="Hyperlink"/>
            <w:rFonts w:ascii="Times New Roman" w:hAnsi="Times New Roman" w:cs="Times New Roman"/>
          </w:rPr>
          <w:t>https://doi.org/10.1016/j.geogeo.2025.100411</w:t>
        </w:r>
      </w:hyperlink>
    </w:p>
    <w:p w14:paraId="141C928D" w14:textId="77777777" w:rsidR="00DC2E7A" w:rsidRDefault="00DC2E7A" w:rsidP="009E05EE">
      <w:pPr>
        <w:spacing w:after="0" w:line="240" w:lineRule="auto"/>
        <w:rPr>
          <w:rFonts w:ascii="Times New Roman" w:hAnsi="Times New Roman" w:cs="Times New Roman"/>
        </w:rPr>
      </w:pPr>
    </w:p>
    <w:p w14:paraId="272EE153" w14:textId="791D0980" w:rsidR="00DC2E7A" w:rsidRPr="00071CB1" w:rsidRDefault="00DC2E7A" w:rsidP="00071CB1">
      <w:pPr>
        <w:pStyle w:val="ListParagraph"/>
        <w:numPr>
          <w:ilvl w:val="0"/>
          <w:numId w:val="5"/>
        </w:numPr>
        <w:spacing w:after="0" w:line="240" w:lineRule="auto"/>
        <w:rPr>
          <w:rFonts w:ascii="Times New Roman" w:hAnsi="Times New Roman" w:cs="Times New Roman"/>
          <w:lang w:val="en-GB"/>
        </w:rPr>
      </w:pPr>
      <w:r w:rsidRPr="00071CB1">
        <w:rPr>
          <w:rFonts w:ascii="Times New Roman" w:hAnsi="Times New Roman" w:cs="Times New Roman"/>
          <w:lang w:val="en-GB"/>
        </w:rPr>
        <w:t>Ekanem, A.M. and Udosen, N.I., 2023. Hydrogeochemical–geophysical investigations of</w:t>
      </w:r>
    </w:p>
    <w:p w14:paraId="4C86E62C" w14:textId="77777777" w:rsidR="00DC2E7A" w:rsidRPr="00071CB1" w:rsidRDefault="00DC2E7A" w:rsidP="00071CB1">
      <w:pPr>
        <w:pStyle w:val="ListParagraph"/>
        <w:numPr>
          <w:ilvl w:val="0"/>
          <w:numId w:val="5"/>
        </w:numPr>
        <w:spacing w:after="0" w:line="240" w:lineRule="auto"/>
        <w:rPr>
          <w:rFonts w:ascii="Times New Roman" w:hAnsi="Times New Roman" w:cs="Times New Roman"/>
          <w:lang w:val="en-GB"/>
        </w:rPr>
      </w:pPr>
      <w:r w:rsidRPr="00071CB1">
        <w:rPr>
          <w:rFonts w:ascii="Times New Roman" w:hAnsi="Times New Roman" w:cs="Times New Roman"/>
          <w:lang w:val="en-GB"/>
        </w:rPr>
        <w:t xml:space="preserve">groundwater quality and susceptibility potential in Ikot </w:t>
      </w:r>
      <w:proofErr w:type="spellStart"/>
      <w:r w:rsidRPr="00071CB1">
        <w:rPr>
          <w:rFonts w:ascii="Times New Roman" w:hAnsi="Times New Roman" w:cs="Times New Roman"/>
          <w:lang w:val="en-GB"/>
        </w:rPr>
        <w:t>Ekpene</w:t>
      </w:r>
      <w:proofErr w:type="spellEnd"/>
      <w:r w:rsidRPr="00071CB1">
        <w:rPr>
          <w:rFonts w:ascii="Times New Roman" w:hAnsi="Times New Roman" w:cs="Times New Roman"/>
          <w:lang w:val="en-GB"/>
        </w:rPr>
        <w:t xml:space="preserve">–Obot Akara Local Government Areas, Southern Nigeria. </w:t>
      </w:r>
      <w:r w:rsidRPr="00071CB1">
        <w:rPr>
          <w:rFonts w:ascii="Times New Roman" w:hAnsi="Times New Roman" w:cs="Times New Roman"/>
          <w:i/>
          <w:iCs/>
          <w:lang w:val="en-GB"/>
        </w:rPr>
        <w:t>Water Practice &amp; Technology</w:t>
      </w:r>
      <w:r w:rsidRPr="00071CB1">
        <w:rPr>
          <w:rFonts w:ascii="Times New Roman" w:hAnsi="Times New Roman" w:cs="Times New Roman"/>
          <w:b/>
          <w:bCs/>
          <w:i/>
          <w:iCs/>
          <w:lang w:val="en-GB"/>
        </w:rPr>
        <w:t>,</w:t>
      </w:r>
      <w:r w:rsidRPr="00071CB1">
        <w:rPr>
          <w:rFonts w:ascii="Times New Roman" w:hAnsi="Times New Roman" w:cs="Times New Roman"/>
          <w:i/>
          <w:iCs/>
          <w:lang w:val="en-GB"/>
        </w:rPr>
        <w:t>18</w:t>
      </w:r>
      <w:r w:rsidRPr="00071CB1">
        <w:rPr>
          <w:rFonts w:ascii="Times New Roman" w:hAnsi="Times New Roman" w:cs="Times New Roman"/>
          <w:lang w:val="en-GB"/>
        </w:rPr>
        <w:t xml:space="preserve">(11), pp.2675-2704. </w:t>
      </w:r>
      <w:hyperlink r:id="rId26" w:history="1">
        <w:r w:rsidRPr="00071CB1">
          <w:rPr>
            <w:rStyle w:val="Hyperlink"/>
            <w:rFonts w:ascii="Times New Roman" w:hAnsi="Times New Roman" w:cs="Times New Roman"/>
            <w:lang w:val="en-GB"/>
          </w:rPr>
          <w:t>https://doi.org/10.2166/wpt.2023.187</w:t>
        </w:r>
      </w:hyperlink>
    </w:p>
    <w:p w14:paraId="590F95D3" w14:textId="77777777" w:rsidR="00DC2E7A" w:rsidRPr="009E05EE" w:rsidRDefault="00DC2E7A" w:rsidP="009E05EE">
      <w:pPr>
        <w:spacing w:after="0" w:line="240" w:lineRule="auto"/>
        <w:rPr>
          <w:rFonts w:ascii="Times New Roman" w:hAnsi="Times New Roman" w:cs="Times New Roman"/>
          <w:lang w:val="en-GB"/>
        </w:rPr>
      </w:pPr>
    </w:p>
    <w:p w14:paraId="45F39A51"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Fujii, K., Shibata, M., Kitajima, K., </w:t>
      </w:r>
      <w:proofErr w:type="spellStart"/>
      <w:r w:rsidRPr="00071CB1">
        <w:rPr>
          <w:rFonts w:ascii="Times New Roman" w:hAnsi="Times New Roman" w:cs="Times New Roman"/>
        </w:rPr>
        <w:t>Ichie</w:t>
      </w:r>
      <w:proofErr w:type="spellEnd"/>
      <w:r w:rsidRPr="00071CB1">
        <w:rPr>
          <w:rFonts w:ascii="Times New Roman" w:hAnsi="Times New Roman" w:cs="Times New Roman"/>
        </w:rPr>
        <w:t>, T., Kitayama, K. and Turner, B.L., 2018. Plant–soil interactions maintain biodiversity and functions of tropical forest ecosystems. </w:t>
      </w:r>
      <w:r w:rsidRPr="00071CB1">
        <w:rPr>
          <w:rFonts w:ascii="Times New Roman" w:hAnsi="Times New Roman" w:cs="Times New Roman"/>
          <w:i/>
          <w:iCs/>
        </w:rPr>
        <w:t>Ecological Research</w:t>
      </w:r>
      <w:r w:rsidRPr="00071CB1">
        <w:rPr>
          <w:rFonts w:ascii="Times New Roman" w:hAnsi="Times New Roman" w:cs="Times New Roman"/>
        </w:rPr>
        <w:t>, </w:t>
      </w:r>
      <w:r w:rsidRPr="00071CB1">
        <w:rPr>
          <w:rFonts w:ascii="Times New Roman" w:hAnsi="Times New Roman" w:cs="Times New Roman"/>
          <w:i/>
          <w:iCs/>
        </w:rPr>
        <w:t>33</w:t>
      </w:r>
      <w:r w:rsidRPr="00071CB1">
        <w:rPr>
          <w:rFonts w:ascii="Times New Roman" w:hAnsi="Times New Roman" w:cs="Times New Roman"/>
        </w:rPr>
        <w:t>(1), pp.149-160.</w:t>
      </w:r>
      <w:r w:rsidR="0049151F" w:rsidRPr="00071CB1">
        <w:rPr>
          <w:rFonts w:ascii="Times New Roman" w:hAnsi="Times New Roman" w:cs="Times New Roman"/>
        </w:rPr>
        <w:t xml:space="preserve"> </w:t>
      </w:r>
      <w:hyperlink r:id="rId27" w:history="1">
        <w:r w:rsidRPr="00071CB1">
          <w:rPr>
            <w:rStyle w:val="Hyperlink"/>
            <w:rFonts w:ascii="Times New Roman" w:hAnsi="Times New Roman" w:cs="Times New Roman"/>
          </w:rPr>
          <w:t>https://doi.org/10.1007/s11284-017-1511-y</w:t>
        </w:r>
      </w:hyperlink>
    </w:p>
    <w:p w14:paraId="2D73E706" w14:textId="77777777" w:rsidR="00A8546D" w:rsidRPr="00BD1755" w:rsidRDefault="00A8546D" w:rsidP="00A8546D">
      <w:pPr>
        <w:spacing w:after="0" w:line="240" w:lineRule="auto"/>
        <w:rPr>
          <w:rFonts w:ascii="Times New Roman" w:hAnsi="Times New Roman" w:cs="Times New Roman"/>
        </w:rPr>
      </w:pPr>
    </w:p>
    <w:p w14:paraId="5272A39A"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Gransee, A. and </w:t>
      </w:r>
      <w:proofErr w:type="spellStart"/>
      <w:r w:rsidRPr="00071CB1">
        <w:rPr>
          <w:rFonts w:ascii="Times New Roman" w:hAnsi="Times New Roman" w:cs="Times New Roman"/>
        </w:rPr>
        <w:t>Führs</w:t>
      </w:r>
      <w:proofErr w:type="spellEnd"/>
      <w:r w:rsidRPr="00071CB1">
        <w:rPr>
          <w:rFonts w:ascii="Times New Roman" w:hAnsi="Times New Roman" w:cs="Times New Roman"/>
        </w:rPr>
        <w:t>, H., 2013. Magnesium mobility in soils as a challenge for soil and plant analysis, magnesium fertilization and root uptake under adverse growth conditions. </w:t>
      </w:r>
      <w:r w:rsidRPr="00071CB1">
        <w:rPr>
          <w:rFonts w:ascii="Times New Roman" w:hAnsi="Times New Roman" w:cs="Times New Roman"/>
          <w:i/>
          <w:iCs/>
        </w:rPr>
        <w:t>Plant and Soil</w:t>
      </w:r>
      <w:r w:rsidRPr="00071CB1">
        <w:rPr>
          <w:rFonts w:ascii="Times New Roman" w:hAnsi="Times New Roman" w:cs="Times New Roman"/>
        </w:rPr>
        <w:t>, </w:t>
      </w:r>
      <w:r w:rsidRPr="00071CB1">
        <w:rPr>
          <w:rFonts w:ascii="Times New Roman" w:hAnsi="Times New Roman" w:cs="Times New Roman"/>
          <w:i/>
          <w:iCs/>
        </w:rPr>
        <w:t>368</w:t>
      </w:r>
      <w:r w:rsidRPr="00071CB1">
        <w:rPr>
          <w:rFonts w:ascii="Times New Roman" w:hAnsi="Times New Roman" w:cs="Times New Roman"/>
        </w:rPr>
        <w:t>(1), pp.5-21.</w:t>
      </w:r>
      <w:r w:rsidR="0049151F" w:rsidRPr="00071CB1">
        <w:rPr>
          <w:rFonts w:ascii="Times New Roman" w:hAnsi="Times New Roman" w:cs="Times New Roman"/>
        </w:rPr>
        <w:t xml:space="preserve"> </w:t>
      </w:r>
      <w:hyperlink r:id="rId28" w:history="1">
        <w:r w:rsidRPr="00071CB1">
          <w:rPr>
            <w:rStyle w:val="Hyperlink"/>
            <w:rFonts w:ascii="Times New Roman" w:hAnsi="Times New Roman" w:cs="Times New Roman"/>
          </w:rPr>
          <w:t>https://doi.org/10.1007/s11104-012-1567-y</w:t>
        </w:r>
      </w:hyperlink>
    </w:p>
    <w:p w14:paraId="12FB1D4B" w14:textId="77777777" w:rsidR="00A8546D" w:rsidRPr="00BD1755" w:rsidRDefault="00A8546D" w:rsidP="00A8546D">
      <w:pPr>
        <w:spacing w:after="0" w:line="240" w:lineRule="auto"/>
        <w:rPr>
          <w:rFonts w:ascii="Times New Roman" w:hAnsi="Times New Roman" w:cs="Times New Roman"/>
        </w:rPr>
      </w:pPr>
    </w:p>
    <w:p w14:paraId="469F91A0"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Gu, Z., Feng, K., Li, Y. and Li, Q., 2022. Microbial characteristics of the leachate contaminated soil of an informal landfill site. </w:t>
      </w:r>
      <w:r w:rsidRPr="00071CB1">
        <w:rPr>
          <w:rFonts w:ascii="Times New Roman" w:hAnsi="Times New Roman" w:cs="Times New Roman"/>
          <w:i/>
          <w:iCs/>
        </w:rPr>
        <w:t>Chemosphere</w:t>
      </w:r>
      <w:r w:rsidRPr="00071CB1">
        <w:rPr>
          <w:rFonts w:ascii="Times New Roman" w:hAnsi="Times New Roman" w:cs="Times New Roman"/>
        </w:rPr>
        <w:t>, </w:t>
      </w:r>
      <w:r w:rsidRPr="00071CB1">
        <w:rPr>
          <w:rFonts w:ascii="Times New Roman" w:hAnsi="Times New Roman" w:cs="Times New Roman"/>
          <w:i/>
          <w:iCs/>
        </w:rPr>
        <w:t>287</w:t>
      </w:r>
      <w:r w:rsidRPr="00071CB1">
        <w:rPr>
          <w:rFonts w:ascii="Times New Roman" w:hAnsi="Times New Roman" w:cs="Times New Roman"/>
        </w:rPr>
        <w:t>, p.132155</w:t>
      </w:r>
      <w:r w:rsidRPr="00071CB1">
        <w:rPr>
          <w:rFonts w:ascii="Times New Roman" w:hAnsi="Times New Roman" w:cs="Times New Roman"/>
          <w:color w:val="FF0000"/>
        </w:rPr>
        <w:t>.</w:t>
      </w:r>
      <w:r w:rsidR="0049151F" w:rsidRPr="00071CB1">
        <w:rPr>
          <w:rFonts w:ascii="Times New Roman" w:hAnsi="Times New Roman" w:cs="Times New Roman"/>
          <w:color w:val="FF0000"/>
        </w:rPr>
        <w:t xml:space="preserve"> </w:t>
      </w:r>
      <w:hyperlink r:id="rId29" w:history="1">
        <w:r w:rsidRPr="00071CB1">
          <w:rPr>
            <w:rStyle w:val="Hyperlink"/>
            <w:rFonts w:ascii="Times New Roman" w:hAnsi="Times New Roman" w:cs="Times New Roman"/>
          </w:rPr>
          <w:t>https://doi.org/10.1016/j.chemosphere.2021.132155</w:t>
        </w:r>
      </w:hyperlink>
    </w:p>
    <w:p w14:paraId="72A2769F" w14:textId="77777777" w:rsidR="008979CA" w:rsidRDefault="008979CA" w:rsidP="00A8546D">
      <w:pPr>
        <w:spacing w:after="0" w:line="240" w:lineRule="auto"/>
        <w:rPr>
          <w:rFonts w:ascii="Times New Roman" w:hAnsi="Times New Roman" w:cs="Times New Roman"/>
        </w:rPr>
      </w:pPr>
    </w:p>
    <w:p w14:paraId="5DADA73F"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Gürbüz, M.A., 2025. Identificatio</w:t>
      </w:r>
      <w:r w:rsidR="00B85DD7" w:rsidRPr="00071CB1">
        <w:rPr>
          <w:rFonts w:ascii="Times New Roman" w:hAnsi="Times New Roman" w:cs="Times New Roman"/>
        </w:rPr>
        <w:t xml:space="preserve">n of multiple extraction methods to be used in extraction of macro and micronutrients of neutral and alkaline soils by a multi-criteria decision-making technique </w:t>
      </w:r>
      <w:r w:rsidRPr="00071CB1">
        <w:rPr>
          <w:rFonts w:ascii="Times New Roman" w:hAnsi="Times New Roman" w:cs="Times New Roman"/>
        </w:rPr>
        <w:t>(TOPSIS). </w:t>
      </w:r>
      <w:r w:rsidRPr="00071CB1">
        <w:rPr>
          <w:rFonts w:ascii="Times New Roman" w:hAnsi="Times New Roman" w:cs="Times New Roman"/>
          <w:i/>
          <w:iCs/>
        </w:rPr>
        <w:t>Journal of Soil Science and Plant Nutrition</w:t>
      </w:r>
      <w:r w:rsidRPr="00071CB1">
        <w:rPr>
          <w:rFonts w:ascii="Times New Roman" w:hAnsi="Times New Roman" w:cs="Times New Roman"/>
        </w:rPr>
        <w:t>, </w:t>
      </w:r>
      <w:r w:rsidRPr="00071CB1">
        <w:rPr>
          <w:rFonts w:ascii="Times New Roman" w:hAnsi="Times New Roman" w:cs="Times New Roman"/>
          <w:i/>
          <w:iCs/>
        </w:rPr>
        <w:t>25</w:t>
      </w:r>
      <w:r w:rsidRPr="00071CB1">
        <w:rPr>
          <w:rFonts w:ascii="Times New Roman" w:hAnsi="Times New Roman" w:cs="Times New Roman"/>
        </w:rPr>
        <w:t>(2), pp.4669-4686.</w:t>
      </w:r>
      <w:r w:rsidR="0049151F" w:rsidRPr="00071CB1">
        <w:rPr>
          <w:rFonts w:ascii="Times New Roman" w:hAnsi="Times New Roman" w:cs="Times New Roman"/>
        </w:rPr>
        <w:t xml:space="preserve"> </w:t>
      </w:r>
      <w:hyperlink r:id="rId30" w:history="1">
        <w:r w:rsidRPr="00071CB1">
          <w:rPr>
            <w:rStyle w:val="Hyperlink"/>
            <w:rFonts w:ascii="Times New Roman" w:hAnsi="Times New Roman" w:cs="Times New Roman"/>
          </w:rPr>
          <w:t>https://doi.org/10.1007/s42729-025-02422-y</w:t>
        </w:r>
      </w:hyperlink>
    </w:p>
    <w:p w14:paraId="69F614E5" w14:textId="77777777" w:rsidR="00A8546D" w:rsidRPr="00BD1755" w:rsidRDefault="00A8546D" w:rsidP="00A8546D">
      <w:pPr>
        <w:spacing w:after="0" w:line="240" w:lineRule="auto"/>
        <w:rPr>
          <w:rFonts w:ascii="Times New Roman" w:hAnsi="Times New Roman" w:cs="Times New Roman"/>
        </w:rPr>
      </w:pPr>
    </w:p>
    <w:p w14:paraId="208C7C72"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lastRenderedPageBreak/>
        <w:t xml:space="preserve">Hafsi, C., </w:t>
      </w:r>
      <w:proofErr w:type="spellStart"/>
      <w:r w:rsidRPr="00071CB1">
        <w:rPr>
          <w:rFonts w:ascii="Times New Roman" w:hAnsi="Times New Roman" w:cs="Times New Roman"/>
        </w:rPr>
        <w:t>Debez</w:t>
      </w:r>
      <w:proofErr w:type="spellEnd"/>
      <w:r w:rsidRPr="00071CB1">
        <w:rPr>
          <w:rFonts w:ascii="Times New Roman" w:hAnsi="Times New Roman" w:cs="Times New Roman"/>
        </w:rPr>
        <w:t xml:space="preserve">, A. and </w:t>
      </w:r>
      <w:proofErr w:type="spellStart"/>
      <w:r w:rsidRPr="00071CB1">
        <w:rPr>
          <w:rFonts w:ascii="Times New Roman" w:hAnsi="Times New Roman" w:cs="Times New Roman"/>
        </w:rPr>
        <w:t>Abdelly</w:t>
      </w:r>
      <w:proofErr w:type="spellEnd"/>
      <w:r w:rsidRPr="00071CB1">
        <w:rPr>
          <w:rFonts w:ascii="Times New Roman" w:hAnsi="Times New Roman" w:cs="Times New Roman"/>
        </w:rPr>
        <w:t>, C., 2014. Potassium deficiency in plants: effects and signaling cascades. </w:t>
      </w:r>
      <w:r w:rsidR="00302C31" w:rsidRPr="00071CB1">
        <w:rPr>
          <w:rFonts w:ascii="Times New Roman" w:hAnsi="Times New Roman" w:cs="Times New Roman"/>
          <w:i/>
          <w:iCs/>
          <w:color w:val="000000"/>
        </w:rPr>
        <w:t xml:space="preserve">Acta </w:t>
      </w:r>
      <w:proofErr w:type="spellStart"/>
      <w:r w:rsidR="00302C31" w:rsidRPr="00071CB1">
        <w:rPr>
          <w:rFonts w:ascii="Times New Roman" w:hAnsi="Times New Roman" w:cs="Times New Roman"/>
          <w:i/>
          <w:iCs/>
          <w:color w:val="000000"/>
        </w:rPr>
        <w:t>Physiologiae</w:t>
      </w:r>
      <w:proofErr w:type="spellEnd"/>
      <w:r w:rsidR="00302C31" w:rsidRPr="00071CB1">
        <w:rPr>
          <w:rFonts w:ascii="Times New Roman" w:hAnsi="Times New Roman" w:cs="Times New Roman"/>
          <w:i/>
          <w:iCs/>
          <w:color w:val="000000"/>
        </w:rPr>
        <w:t xml:space="preserve"> P</w:t>
      </w:r>
      <w:r w:rsidRPr="00071CB1">
        <w:rPr>
          <w:rFonts w:ascii="Times New Roman" w:hAnsi="Times New Roman" w:cs="Times New Roman"/>
          <w:i/>
          <w:iCs/>
          <w:color w:val="000000"/>
        </w:rPr>
        <w:t>lantarum</w:t>
      </w:r>
      <w:r w:rsidRPr="00071CB1">
        <w:rPr>
          <w:rFonts w:ascii="Times New Roman" w:hAnsi="Times New Roman" w:cs="Times New Roman"/>
          <w:color w:val="000000"/>
        </w:rPr>
        <w:t>, </w:t>
      </w:r>
      <w:r w:rsidRPr="00071CB1">
        <w:rPr>
          <w:rFonts w:ascii="Times New Roman" w:hAnsi="Times New Roman" w:cs="Times New Roman"/>
          <w:i/>
          <w:iCs/>
          <w:color w:val="000000"/>
        </w:rPr>
        <w:t>36</w:t>
      </w:r>
      <w:r w:rsidRPr="00071CB1">
        <w:rPr>
          <w:rFonts w:ascii="Times New Roman" w:hAnsi="Times New Roman" w:cs="Times New Roman"/>
          <w:color w:val="000000"/>
        </w:rPr>
        <w:t>(5), pp.1055</w:t>
      </w:r>
      <w:r w:rsidRPr="00071CB1">
        <w:rPr>
          <w:rFonts w:ascii="Times New Roman" w:hAnsi="Times New Roman" w:cs="Times New Roman"/>
        </w:rPr>
        <w:t>-1070.</w:t>
      </w:r>
      <w:r w:rsidR="0049151F" w:rsidRPr="00071CB1">
        <w:rPr>
          <w:rFonts w:ascii="Times New Roman" w:hAnsi="Times New Roman" w:cs="Times New Roman"/>
        </w:rPr>
        <w:t xml:space="preserve"> </w:t>
      </w:r>
      <w:hyperlink r:id="rId31" w:history="1">
        <w:r w:rsidRPr="00071CB1">
          <w:rPr>
            <w:rStyle w:val="Hyperlink"/>
            <w:rFonts w:ascii="Times New Roman" w:hAnsi="Times New Roman" w:cs="Times New Roman"/>
          </w:rPr>
          <w:t>https://doi.org/10.1007/s11738-014-1491-2</w:t>
        </w:r>
      </w:hyperlink>
    </w:p>
    <w:p w14:paraId="488EE06E" w14:textId="77777777" w:rsidR="00A8546D" w:rsidRPr="00BD1755" w:rsidRDefault="00A8546D" w:rsidP="00A8546D">
      <w:pPr>
        <w:spacing w:after="0" w:line="240" w:lineRule="auto"/>
        <w:rPr>
          <w:rFonts w:ascii="Times New Roman" w:hAnsi="Times New Roman" w:cs="Times New Roman"/>
        </w:rPr>
      </w:pPr>
    </w:p>
    <w:p w14:paraId="2C44AC96"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Haider, I., Ali, M.A., Sanaullah, M., Ahmed, N., Hussain, S., Shakeel, M.T., Naqvi, S.A.H., Dar, J.S., Moustafa, M. and </w:t>
      </w:r>
      <w:proofErr w:type="spellStart"/>
      <w:r w:rsidRPr="00071CB1">
        <w:rPr>
          <w:rFonts w:ascii="Times New Roman" w:hAnsi="Times New Roman" w:cs="Times New Roman"/>
        </w:rPr>
        <w:t>Alshaharni</w:t>
      </w:r>
      <w:proofErr w:type="spellEnd"/>
      <w:r w:rsidRPr="00071CB1">
        <w:rPr>
          <w:rFonts w:ascii="Times New Roman" w:hAnsi="Times New Roman" w:cs="Times New Roman"/>
        </w:rPr>
        <w:t>, M.O., 2023. Unlocking the secrets of soil microbes: How decades-long contamination and heavy metals accumulation from sewage water and industrial effluents shape soil biological health. </w:t>
      </w:r>
      <w:r w:rsidRPr="00071CB1">
        <w:rPr>
          <w:rFonts w:ascii="Times New Roman" w:hAnsi="Times New Roman" w:cs="Times New Roman"/>
          <w:i/>
          <w:iCs/>
        </w:rPr>
        <w:t>Chemosphere</w:t>
      </w:r>
      <w:r w:rsidRPr="00071CB1">
        <w:rPr>
          <w:rFonts w:ascii="Times New Roman" w:hAnsi="Times New Roman" w:cs="Times New Roman"/>
        </w:rPr>
        <w:t>, </w:t>
      </w:r>
      <w:r w:rsidRPr="00071CB1">
        <w:rPr>
          <w:rFonts w:ascii="Times New Roman" w:hAnsi="Times New Roman" w:cs="Times New Roman"/>
          <w:i/>
          <w:iCs/>
        </w:rPr>
        <w:t>342</w:t>
      </w:r>
      <w:r w:rsidRPr="00071CB1">
        <w:rPr>
          <w:rFonts w:ascii="Times New Roman" w:hAnsi="Times New Roman" w:cs="Times New Roman"/>
        </w:rPr>
        <w:t>, p.140193.</w:t>
      </w:r>
      <w:r w:rsidR="0049151F" w:rsidRPr="00071CB1">
        <w:rPr>
          <w:rFonts w:ascii="Times New Roman" w:hAnsi="Times New Roman" w:cs="Times New Roman"/>
        </w:rPr>
        <w:t xml:space="preserve"> </w:t>
      </w:r>
      <w:hyperlink r:id="rId32" w:history="1">
        <w:r w:rsidRPr="00071CB1">
          <w:rPr>
            <w:rStyle w:val="Hyperlink"/>
            <w:rFonts w:ascii="Times New Roman" w:hAnsi="Times New Roman" w:cs="Times New Roman"/>
          </w:rPr>
          <w:t>https://doi.org/10.1016/j.chemosphere.2023.140193</w:t>
        </w:r>
      </w:hyperlink>
    </w:p>
    <w:p w14:paraId="619DBB0D" w14:textId="77777777" w:rsidR="00A8546D" w:rsidRDefault="00A8546D" w:rsidP="00A8546D">
      <w:pPr>
        <w:spacing w:after="0" w:line="240" w:lineRule="auto"/>
        <w:rPr>
          <w:rFonts w:ascii="Times New Roman" w:hAnsi="Times New Roman" w:cs="Times New Roman"/>
        </w:rPr>
      </w:pPr>
    </w:p>
    <w:p w14:paraId="7B1DC347" w14:textId="77777777" w:rsidR="00A8546D" w:rsidRDefault="00A8546D" w:rsidP="00071CB1">
      <w:pPr>
        <w:pStyle w:val="ListParagraph"/>
        <w:numPr>
          <w:ilvl w:val="0"/>
          <w:numId w:val="5"/>
        </w:numPr>
        <w:spacing w:after="0" w:line="240" w:lineRule="auto"/>
      </w:pPr>
      <w:r w:rsidRPr="00071CB1">
        <w:rPr>
          <w:rFonts w:ascii="Times New Roman" w:hAnsi="Times New Roman" w:cs="Times New Roman"/>
        </w:rPr>
        <w:t>Hasan, M.M., Hasan, M.M., Teixeira da Silva, J.A. and Li, X., 2016. Regulation of phosphorus uptake and utilization: transitioning from current knowledge to practical strategies. </w:t>
      </w:r>
      <w:r w:rsidR="00302C31" w:rsidRPr="00071CB1">
        <w:rPr>
          <w:rFonts w:ascii="Times New Roman" w:hAnsi="Times New Roman" w:cs="Times New Roman"/>
          <w:i/>
          <w:iCs/>
        </w:rPr>
        <w:t>Cellular &amp;</w:t>
      </w:r>
      <w:r w:rsidR="00302C31" w:rsidRPr="00071CB1">
        <w:rPr>
          <w:rFonts w:ascii="Times New Roman" w:hAnsi="Times New Roman" w:cs="Times New Roman"/>
          <w:i/>
          <w:iCs/>
          <w:color w:val="000000"/>
        </w:rPr>
        <w:t>M</w:t>
      </w:r>
      <w:r w:rsidRPr="00071CB1">
        <w:rPr>
          <w:rFonts w:ascii="Times New Roman" w:hAnsi="Times New Roman" w:cs="Times New Roman"/>
          <w:i/>
          <w:iCs/>
          <w:color w:val="000000"/>
        </w:rPr>
        <w:t>ol</w:t>
      </w:r>
      <w:r w:rsidR="00302C31" w:rsidRPr="00071CB1">
        <w:rPr>
          <w:rFonts w:ascii="Times New Roman" w:hAnsi="Times New Roman" w:cs="Times New Roman"/>
          <w:i/>
          <w:iCs/>
          <w:color w:val="000000"/>
        </w:rPr>
        <w:t>ecular Biology L</w:t>
      </w:r>
      <w:r w:rsidRPr="00071CB1">
        <w:rPr>
          <w:rFonts w:ascii="Times New Roman" w:hAnsi="Times New Roman" w:cs="Times New Roman"/>
          <w:i/>
          <w:iCs/>
          <w:color w:val="000000"/>
        </w:rPr>
        <w:t>etters</w:t>
      </w:r>
      <w:r w:rsidRPr="00071CB1">
        <w:rPr>
          <w:rFonts w:ascii="Times New Roman" w:hAnsi="Times New Roman" w:cs="Times New Roman"/>
          <w:color w:val="000000"/>
        </w:rPr>
        <w:t>, </w:t>
      </w:r>
      <w:r w:rsidRPr="00071CB1">
        <w:rPr>
          <w:rFonts w:ascii="Times New Roman" w:hAnsi="Times New Roman" w:cs="Times New Roman"/>
          <w:i/>
          <w:iCs/>
          <w:color w:val="000000"/>
        </w:rPr>
        <w:t>21</w:t>
      </w:r>
      <w:r w:rsidRPr="00071CB1">
        <w:rPr>
          <w:rFonts w:ascii="Times New Roman" w:hAnsi="Times New Roman" w:cs="Times New Roman"/>
          <w:color w:val="000000"/>
        </w:rPr>
        <w:t>(1</w:t>
      </w:r>
      <w:r w:rsidRPr="00071CB1">
        <w:rPr>
          <w:rFonts w:ascii="Times New Roman" w:hAnsi="Times New Roman" w:cs="Times New Roman"/>
        </w:rPr>
        <w:t>), p.7.</w:t>
      </w:r>
      <w:hyperlink r:id="rId33" w:history="1">
        <w:r w:rsidRPr="00071CB1">
          <w:rPr>
            <w:rStyle w:val="Hyperlink"/>
            <w:rFonts w:ascii="Times New Roman" w:hAnsi="Times New Roman" w:cs="Times New Roman"/>
          </w:rPr>
          <w:t>https://doi.org/10.1186/s11658-016-0008-y</w:t>
        </w:r>
      </w:hyperlink>
    </w:p>
    <w:p w14:paraId="3FD967AA" w14:textId="77777777" w:rsidR="008979CA" w:rsidRDefault="008979CA" w:rsidP="00A8546D">
      <w:pPr>
        <w:spacing w:after="0" w:line="240" w:lineRule="auto"/>
      </w:pPr>
    </w:p>
    <w:p w14:paraId="126ABBC1" w14:textId="77777777" w:rsidR="008979CA" w:rsidRPr="00071CB1" w:rsidRDefault="008979CA" w:rsidP="00071CB1">
      <w:pPr>
        <w:pStyle w:val="ListParagraph"/>
        <w:numPr>
          <w:ilvl w:val="0"/>
          <w:numId w:val="5"/>
        </w:numPr>
        <w:spacing w:after="0" w:line="240" w:lineRule="auto"/>
        <w:jc w:val="both"/>
        <w:rPr>
          <w:rFonts w:ascii="Times New Roman" w:hAnsi="Times New Roman" w:cs="Times New Roman"/>
        </w:rPr>
      </w:pPr>
      <w:r w:rsidRPr="00071CB1">
        <w:rPr>
          <w:rFonts w:ascii="Times New Roman" w:hAnsi="Times New Roman" w:cs="Times New Roman"/>
          <w:color w:val="000000" w:themeColor="text1"/>
        </w:rPr>
        <w:t xml:space="preserve">He, D. X., Bai, Y. L., Lu, S. K., &amp; Tian, S. (2011). Effects of fresh soil samples and modified ASI extractant on soil available nutrient determination. </w:t>
      </w:r>
      <w:r w:rsidRPr="00071CB1">
        <w:rPr>
          <w:rFonts w:ascii="Times New Roman" w:hAnsi="Times New Roman" w:cs="Times New Roman"/>
          <w:i/>
          <w:color w:val="000000" w:themeColor="text1"/>
        </w:rPr>
        <w:t>Journal of Plant Nutrition and Fertilizers</w:t>
      </w:r>
      <w:r w:rsidRPr="00071CB1">
        <w:rPr>
          <w:rFonts w:ascii="Times New Roman" w:hAnsi="Times New Roman" w:cs="Times New Roman"/>
          <w:color w:val="000000" w:themeColor="text1"/>
        </w:rPr>
        <w:t>, 17(2), 486–493</w:t>
      </w:r>
      <w:r w:rsidRPr="00071CB1">
        <w:rPr>
          <w:rFonts w:ascii="Times New Roman" w:hAnsi="Times New Roman" w:cs="Times New Roman"/>
          <w:color w:val="0070C0"/>
        </w:rPr>
        <w:t>.</w:t>
      </w:r>
      <w:hyperlink r:id="rId34" w:history="1">
        <w:r w:rsidRPr="00071CB1">
          <w:rPr>
            <w:rStyle w:val="Hyperlink"/>
            <w:rFonts w:ascii="Times New Roman" w:hAnsi="Times New Roman" w:cs="Times New Roman"/>
          </w:rPr>
          <w:t>https://doi.org/10.11674/zwyf.2011.0257</w:t>
        </w:r>
      </w:hyperlink>
    </w:p>
    <w:p w14:paraId="23B18A2C" w14:textId="77777777" w:rsidR="00A8546D" w:rsidRPr="00BD1755" w:rsidRDefault="00A8546D" w:rsidP="00A8546D">
      <w:pPr>
        <w:spacing w:after="0" w:line="240" w:lineRule="auto"/>
        <w:rPr>
          <w:rFonts w:ascii="Times New Roman" w:hAnsi="Times New Roman" w:cs="Times New Roman"/>
        </w:rPr>
      </w:pPr>
    </w:p>
    <w:p w14:paraId="6D0E7028"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Hemwall</w:t>
      </w:r>
      <w:proofErr w:type="spellEnd"/>
      <w:r w:rsidRPr="00071CB1">
        <w:rPr>
          <w:rFonts w:ascii="Times New Roman" w:hAnsi="Times New Roman" w:cs="Times New Roman"/>
        </w:rPr>
        <w:t>, J.B., 1957. The fixation of phosphorus by soils. </w:t>
      </w:r>
      <w:r w:rsidRPr="00071CB1">
        <w:rPr>
          <w:rFonts w:ascii="Times New Roman" w:hAnsi="Times New Roman" w:cs="Times New Roman"/>
          <w:i/>
          <w:iCs/>
        </w:rPr>
        <w:t>Advances in Agronomy</w:t>
      </w:r>
      <w:r w:rsidRPr="00071CB1">
        <w:rPr>
          <w:rFonts w:ascii="Times New Roman" w:hAnsi="Times New Roman" w:cs="Times New Roman"/>
        </w:rPr>
        <w:t>, </w:t>
      </w:r>
      <w:r w:rsidRPr="00071CB1">
        <w:rPr>
          <w:rFonts w:ascii="Times New Roman" w:hAnsi="Times New Roman" w:cs="Times New Roman"/>
          <w:i/>
          <w:iCs/>
        </w:rPr>
        <w:t>9</w:t>
      </w:r>
      <w:r w:rsidRPr="00071CB1">
        <w:rPr>
          <w:rFonts w:ascii="Times New Roman" w:hAnsi="Times New Roman" w:cs="Times New Roman"/>
        </w:rPr>
        <w:t>, pp.95-112.</w:t>
      </w:r>
      <w:r w:rsidR="0049151F" w:rsidRPr="00071CB1">
        <w:rPr>
          <w:rFonts w:ascii="Times New Roman" w:hAnsi="Times New Roman" w:cs="Times New Roman"/>
        </w:rPr>
        <w:t xml:space="preserve"> </w:t>
      </w:r>
      <w:hyperlink r:id="rId35" w:history="1">
        <w:r w:rsidRPr="00071CB1">
          <w:rPr>
            <w:rStyle w:val="Hyperlink"/>
            <w:rFonts w:ascii="Times New Roman" w:hAnsi="Times New Roman" w:cs="Times New Roman"/>
          </w:rPr>
          <w:t>https://doi.org/10.1016/s0065-2113(08)60110-8</w:t>
        </w:r>
      </w:hyperlink>
    </w:p>
    <w:p w14:paraId="5DF194E2" w14:textId="77777777" w:rsidR="00A8546D" w:rsidRPr="00BD1755" w:rsidRDefault="00A8546D" w:rsidP="00A8546D">
      <w:pPr>
        <w:spacing w:after="0" w:line="240" w:lineRule="auto"/>
        <w:rPr>
          <w:rFonts w:ascii="Times New Roman" w:hAnsi="Times New Roman" w:cs="Times New Roman"/>
        </w:rPr>
      </w:pPr>
    </w:p>
    <w:p w14:paraId="17E980BD" w14:textId="77777777" w:rsidR="00A8546D" w:rsidRDefault="00A8546D" w:rsidP="00071CB1">
      <w:pPr>
        <w:pStyle w:val="ListParagraph"/>
        <w:numPr>
          <w:ilvl w:val="0"/>
          <w:numId w:val="5"/>
        </w:numPr>
        <w:spacing w:after="0" w:line="240" w:lineRule="auto"/>
      </w:pPr>
      <w:proofErr w:type="spellStart"/>
      <w:r w:rsidRPr="00071CB1">
        <w:rPr>
          <w:rFonts w:ascii="Times New Roman" w:hAnsi="Times New Roman" w:cs="Times New Roman"/>
        </w:rPr>
        <w:t>Hermansah</w:t>
      </w:r>
      <w:proofErr w:type="spellEnd"/>
      <w:r w:rsidRPr="00071CB1">
        <w:rPr>
          <w:rFonts w:ascii="Times New Roman" w:hAnsi="Times New Roman" w:cs="Times New Roman"/>
        </w:rPr>
        <w:t xml:space="preserve">, H., </w:t>
      </w:r>
      <w:proofErr w:type="spellStart"/>
      <w:r w:rsidRPr="00071CB1">
        <w:rPr>
          <w:rFonts w:ascii="Times New Roman" w:hAnsi="Times New Roman" w:cs="Times New Roman"/>
        </w:rPr>
        <w:t>Ermadani</w:t>
      </w:r>
      <w:proofErr w:type="spellEnd"/>
      <w:r w:rsidRPr="00071CB1">
        <w:rPr>
          <w:rFonts w:ascii="Times New Roman" w:hAnsi="Times New Roman" w:cs="Times New Roman"/>
        </w:rPr>
        <w:t xml:space="preserve">, E., </w:t>
      </w:r>
      <w:proofErr w:type="spellStart"/>
      <w:r w:rsidRPr="00071CB1">
        <w:rPr>
          <w:rFonts w:ascii="Times New Roman" w:hAnsi="Times New Roman" w:cs="Times New Roman"/>
        </w:rPr>
        <w:t>Syarif</w:t>
      </w:r>
      <w:proofErr w:type="spellEnd"/>
      <w:r w:rsidRPr="00071CB1">
        <w:rPr>
          <w:rFonts w:ascii="Times New Roman" w:hAnsi="Times New Roman" w:cs="Times New Roman"/>
        </w:rPr>
        <w:t xml:space="preserve">, A. and </w:t>
      </w:r>
      <w:proofErr w:type="spellStart"/>
      <w:r w:rsidRPr="00071CB1">
        <w:rPr>
          <w:rFonts w:ascii="Times New Roman" w:hAnsi="Times New Roman" w:cs="Times New Roman"/>
        </w:rPr>
        <w:t>Rusman</w:t>
      </w:r>
      <w:proofErr w:type="spellEnd"/>
      <w:r w:rsidRPr="00071CB1">
        <w:rPr>
          <w:rFonts w:ascii="Times New Roman" w:hAnsi="Times New Roman" w:cs="Times New Roman"/>
        </w:rPr>
        <w:t xml:space="preserve">, B., 2017. </w:t>
      </w:r>
      <w:r w:rsidRPr="00071CB1">
        <w:rPr>
          <w:rFonts w:ascii="Times New Roman" w:hAnsi="Times New Roman" w:cs="Times New Roman"/>
          <w:color w:val="000000" w:themeColor="text1"/>
        </w:rPr>
        <w:t xml:space="preserve">Optimizing </w:t>
      </w:r>
      <w:r w:rsidR="00B85DD7" w:rsidRPr="00071CB1">
        <w:rPr>
          <w:rFonts w:ascii="Times New Roman" w:hAnsi="Times New Roman" w:cs="Times New Roman"/>
          <w:color w:val="000000" w:themeColor="text1"/>
        </w:rPr>
        <w:t xml:space="preserve">utilization of palm oil mill effluent and its influences on nutrient availability and soil organic matter on </w:t>
      </w:r>
      <w:proofErr w:type="spellStart"/>
      <w:r w:rsidR="00B85DD7" w:rsidRPr="00071CB1">
        <w:rPr>
          <w:rFonts w:ascii="Times New Roman" w:hAnsi="Times New Roman" w:cs="Times New Roman"/>
          <w:color w:val="000000" w:themeColor="text1"/>
        </w:rPr>
        <w:t>ultisols</w:t>
      </w:r>
      <w:proofErr w:type="spellEnd"/>
      <w:r w:rsidRPr="00071CB1">
        <w:rPr>
          <w:rFonts w:ascii="Times New Roman" w:hAnsi="Times New Roman" w:cs="Times New Roman"/>
          <w:color w:val="000000" w:themeColor="text1"/>
        </w:rPr>
        <w:t>. </w:t>
      </w:r>
      <w:r w:rsidRPr="00071CB1">
        <w:rPr>
          <w:rFonts w:ascii="Times New Roman" w:hAnsi="Times New Roman" w:cs="Times New Roman"/>
          <w:i/>
          <w:iCs/>
          <w:color w:val="000000" w:themeColor="text1"/>
        </w:rPr>
        <w:t xml:space="preserve">International Journal on Advanced Science, Engineering and Information </w:t>
      </w:r>
      <w:r w:rsidRPr="00071CB1">
        <w:rPr>
          <w:rFonts w:ascii="Times New Roman" w:hAnsi="Times New Roman" w:cs="Times New Roman"/>
          <w:i/>
          <w:iCs/>
        </w:rPr>
        <w:t>Technology</w:t>
      </w:r>
      <w:r w:rsidRPr="00071CB1">
        <w:rPr>
          <w:rFonts w:ascii="Times New Roman" w:hAnsi="Times New Roman" w:cs="Times New Roman"/>
        </w:rPr>
        <w:t>, </w:t>
      </w:r>
      <w:r w:rsidRPr="00071CB1">
        <w:rPr>
          <w:rFonts w:ascii="Times New Roman" w:hAnsi="Times New Roman" w:cs="Times New Roman"/>
          <w:i/>
          <w:iCs/>
        </w:rPr>
        <w:t>7</w:t>
      </w:r>
      <w:r w:rsidRPr="00071CB1">
        <w:rPr>
          <w:rFonts w:ascii="Times New Roman" w:hAnsi="Times New Roman" w:cs="Times New Roman"/>
        </w:rPr>
        <w:t>(1), pp.257-262.</w:t>
      </w:r>
      <w:r w:rsidR="0049151F" w:rsidRPr="00071CB1">
        <w:rPr>
          <w:rFonts w:ascii="Times New Roman" w:hAnsi="Times New Roman" w:cs="Times New Roman"/>
        </w:rPr>
        <w:t xml:space="preserve"> </w:t>
      </w:r>
      <w:hyperlink r:id="rId36" w:history="1">
        <w:r w:rsidRPr="00071CB1">
          <w:rPr>
            <w:rStyle w:val="Hyperlink"/>
            <w:rFonts w:ascii="Times New Roman" w:hAnsi="Times New Roman" w:cs="Times New Roman"/>
          </w:rPr>
          <w:t>https://doi.org/10.18517/ijaseit.7.1.1675</w:t>
        </w:r>
      </w:hyperlink>
    </w:p>
    <w:p w14:paraId="73FC95F1" w14:textId="77777777" w:rsidR="00290CF4" w:rsidRDefault="00290CF4" w:rsidP="00A8546D">
      <w:pPr>
        <w:spacing w:after="0" w:line="240" w:lineRule="auto"/>
      </w:pPr>
    </w:p>
    <w:p w14:paraId="3C114319" w14:textId="77777777" w:rsidR="00290CF4" w:rsidRPr="00071CB1" w:rsidRDefault="00290CF4" w:rsidP="00071CB1">
      <w:pPr>
        <w:pStyle w:val="ListParagraph"/>
        <w:numPr>
          <w:ilvl w:val="0"/>
          <w:numId w:val="5"/>
        </w:numPr>
        <w:spacing w:after="0" w:line="240" w:lineRule="auto"/>
        <w:jc w:val="both"/>
        <w:rPr>
          <w:rFonts w:ascii="Times New Roman" w:hAnsi="Times New Roman" w:cs="Times New Roman"/>
        </w:rPr>
      </w:pPr>
      <w:proofErr w:type="spellStart"/>
      <w:r w:rsidRPr="00071CB1">
        <w:rPr>
          <w:rFonts w:ascii="Times New Roman" w:hAnsi="Times New Roman" w:cs="Times New Roman"/>
          <w:bCs/>
          <w:color w:val="000000" w:themeColor="text1"/>
        </w:rPr>
        <w:t>Houba</w:t>
      </w:r>
      <w:proofErr w:type="spellEnd"/>
      <w:r w:rsidRPr="00071CB1">
        <w:rPr>
          <w:rFonts w:ascii="Times New Roman" w:hAnsi="Times New Roman" w:cs="Times New Roman"/>
          <w:bCs/>
          <w:color w:val="000000" w:themeColor="text1"/>
        </w:rPr>
        <w:t xml:space="preserve">, V. J. G., </w:t>
      </w:r>
      <w:proofErr w:type="spellStart"/>
      <w:r w:rsidRPr="00071CB1">
        <w:rPr>
          <w:rFonts w:ascii="Times New Roman" w:hAnsi="Times New Roman" w:cs="Times New Roman"/>
          <w:bCs/>
          <w:color w:val="000000" w:themeColor="text1"/>
        </w:rPr>
        <w:t>Temminghoff</w:t>
      </w:r>
      <w:proofErr w:type="spellEnd"/>
      <w:r w:rsidRPr="00071CB1">
        <w:rPr>
          <w:rFonts w:ascii="Times New Roman" w:hAnsi="Times New Roman" w:cs="Times New Roman"/>
          <w:bCs/>
          <w:color w:val="000000" w:themeColor="text1"/>
        </w:rPr>
        <w:t xml:space="preserve">, E. J. M., </w:t>
      </w:r>
      <w:proofErr w:type="spellStart"/>
      <w:r w:rsidRPr="00071CB1">
        <w:rPr>
          <w:rFonts w:ascii="Times New Roman" w:hAnsi="Times New Roman" w:cs="Times New Roman"/>
          <w:bCs/>
          <w:color w:val="000000" w:themeColor="text1"/>
        </w:rPr>
        <w:t>Gaikhorst</w:t>
      </w:r>
      <w:proofErr w:type="spellEnd"/>
      <w:r w:rsidRPr="00071CB1">
        <w:rPr>
          <w:rFonts w:ascii="Times New Roman" w:hAnsi="Times New Roman" w:cs="Times New Roman"/>
          <w:bCs/>
          <w:color w:val="000000" w:themeColor="text1"/>
        </w:rPr>
        <w:t xml:space="preserve">, G. A., &amp; Van Vark, W. (2000). Soil analysis procedures using 0.01 M calcium chloride as extraction reagent. </w:t>
      </w:r>
      <w:r w:rsidRPr="00071CB1">
        <w:rPr>
          <w:rFonts w:ascii="Times New Roman" w:hAnsi="Times New Roman" w:cs="Times New Roman"/>
          <w:bCs/>
          <w:i/>
          <w:color w:val="000000" w:themeColor="text1"/>
        </w:rPr>
        <w:t>Communications in Soil Science and Plant Analysis,</w:t>
      </w:r>
      <w:r w:rsidRPr="00071CB1">
        <w:rPr>
          <w:rFonts w:ascii="Times New Roman" w:hAnsi="Times New Roman" w:cs="Times New Roman"/>
          <w:bCs/>
          <w:color w:val="000000" w:themeColor="text1"/>
        </w:rPr>
        <w:t xml:space="preserve"> 31(9–10), 1299–1396</w:t>
      </w:r>
      <w:r w:rsidRPr="00071CB1">
        <w:rPr>
          <w:rFonts w:ascii="Times New Roman" w:hAnsi="Times New Roman" w:cs="Times New Roman"/>
          <w:b/>
          <w:color w:val="0070C0"/>
        </w:rPr>
        <w:t>.</w:t>
      </w:r>
      <w:r w:rsidR="0049151F" w:rsidRPr="00071CB1">
        <w:rPr>
          <w:rFonts w:ascii="Times New Roman" w:hAnsi="Times New Roman" w:cs="Times New Roman"/>
          <w:b/>
          <w:color w:val="0070C0"/>
        </w:rPr>
        <w:t xml:space="preserve"> </w:t>
      </w:r>
      <w:hyperlink r:id="rId37" w:history="1">
        <w:r w:rsidRPr="00071CB1">
          <w:rPr>
            <w:rStyle w:val="Hyperlink"/>
            <w:rFonts w:ascii="Times New Roman" w:hAnsi="Times New Roman" w:cs="Times New Roman"/>
          </w:rPr>
          <w:t>https://doi.org/10.1080/00103620009370514</w:t>
        </w:r>
      </w:hyperlink>
    </w:p>
    <w:p w14:paraId="7D47FC5B" w14:textId="77777777" w:rsidR="00290CF4" w:rsidRDefault="00290CF4" w:rsidP="00A8546D">
      <w:pPr>
        <w:spacing w:after="0" w:line="240" w:lineRule="auto"/>
        <w:rPr>
          <w:rFonts w:ascii="Times New Roman" w:hAnsi="Times New Roman" w:cs="Times New Roman"/>
        </w:rPr>
      </w:pPr>
    </w:p>
    <w:p w14:paraId="4DA92CF0"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Husson, O., 2013. Redox potential (Eh) and pH as drivers of soil/plant/microorganism systems: a transdisciplinary overview pointing to integrative opportunities for agronomy. </w:t>
      </w:r>
      <w:r w:rsidR="00302C31" w:rsidRPr="00071CB1">
        <w:rPr>
          <w:rFonts w:ascii="Times New Roman" w:hAnsi="Times New Roman" w:cs="Times New Roman"/>
          <w:i/>
          <w:iCs/>
        </w:rPr>
        <w:t xml:space="preserve">Plant and </w:t>
      </w:r>
      <w:r w:rsidR="00302C31" w:rsidRPr="00071CB1">
        <w:rPr>
          <w:rFonts w:ascii="Times New Roman" w:hAnsi="Times New Roman" w:cs="Times New Roman"/>
          <w:i/>
          <w:iCs/>
          <w:color w:val="000000"/>
        </w:rPr>
        <w:t>S</w:t>
      </w:r>
      <w:r w:rsidRPr="00071CB1">
        <w:rPr>
          <w:rFonts w:ascii="Times New Roman" w:hAnsi="Times New Roman" w:cs="Times New Roman"/>
          <w:i/>
          <w:iCs/>
          <w:color w:val="000000"/>
        </w:rPr>
        <w:t>oil</w:t>
      </w:r>
      <w:r w:rsidRPr="00071CB1">
        <w:rPr>
          <w:rFonts w:ascii="Times New Roman" w:hAnsi="Times New Roman" w:cs="Times New Roman"/>
          <w:color w:val="000000"/>
        </w:rPr>
        <w:t>, </w:t>
      </w:r>
      <w:r w:rsidRPr="00071CB1">
        <w:rPr>
          <w:rFonts w:ascii="Times New Roman" w:hAnsi="Times New Roman" w:cs="Times New Roman"/>
          <w:i/>
          <w:iCs/>
          <w:color w:val="000000"/>
        </w:rPr>
        <w:t>362</w:t>
      </w:r>
      <w:r w:rsidRPr="00071CB1">
        <w:rPr>
          <w:rFonts w:ascii="Times New Roman" w:hAnsi="Times New Roman" w:cs="Times New Roman"/>
          <w:color w:val="000000"/>
        </w:rPr>
        <w:t>(1), pp</w:t>
      </w:r>
      <w:r w:rsidRPr="00071CB1">
        <w:rPr>
          <w:rFonts w:ascii="Times New Roman" w:hAnsi="Times New Roman" w:cs="Times New Roman"/>
        </w:rPr>
        <w:t>.389-417.</w:t>
      </w:r>
      <w:r w:rsidR="0049151F" w:rsidRPr="00071CB1">
        <w:rPr>
          <w:rFonts w:ascii="Times New Roman" w:hAnsi="Times New Roman" w:cs="Times New Roman"/>
        </w:rPr>
        <w:t xml:space="preserve"> </w:t>
      </w:r>
      <w:hyperlink r:id="rId38" w:history="1">
        <w:r w:rsidRPr="00071CB1">
          <w:rPr>
            <w:rStyle w:val="Hyperlink"/>
            <w:rFonts w:ascii="Times New Roman" w:hAnsi="Times New Roman" w:cs="Times New Roman"/>
          </w:rPr>
          <w:t>https://doi.org/10.1007/s11104-012-1429-7</w:t>
        </w:r>
      </w:hyperlink>
    </w:p>
    <w:p w14:paraId="6E2DD305" w14:textId="77777777" w:rsidR="00A8546D" w:rsidRPr="00BD1755" w:rsidRDefault="00A8546D" w:rsidP="00A8546D">
      <w:pPr>
        <w:spacing w:after="0" w:line="240" w:lineRule="auto"/>
        <w:rPr>
          <w:rFonts w:ascii="Times New Roman" w:hAnsi="Times New Roman" w:cs="Times New Roman"/>
        </w:rPr>
      </w:pPr>
    </w:p>
    <w:p w14:paraId="6F054CDE"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Iatrou, M., Papadopoulos, A., Papadopoulos, F., </w:t>
      </w:r>
      <w:proofErr w:type="spellStart"/>
      <w:r w:rsidRPr="00071CB1">
        <w:rPr>
          <w:rFonts w:ascii="Times New Roman" w:hAnsi="Times New Roman" w:cs="Times New Roman"/>
        </w:rPr>
        <w:t>Dichala</w:t>
      </w:r>
      <w:proofErr w:type="spellEnd"/>
      <w:r w:rsidRPr="00071CB1">
        <w:rPr>
          <w:rFonts w:ascii="Times New Roman" w:hAnsi="Times New Roman" w:cs="Times New Roman"/>
        </w:rPr>
        <w:t xml:space="preserve">, O., </w:t>
      </w:r>
      <w:proofErr w:type="spellStart"/>
      <w:r w:rsidRPr="00071CB1">
        <w:rPr>
          <w:rFonts w:ascii="Times New Roman" w:hAnsi="Times New Roman" w:cs="Times New Roman"/>
        </w:rPr>
        <w:t>Psoma</w:t>
      </w:r>
      <w:proofErr w:type="spellEnd"/>
      <w:r w:rsidRPr="00071CB1">
        <w:rPr>
          <w:rFonts w:ascii="Times New Roman" w:hAnsi="Times New Roman" w:cs="Times New Roman"/>
        </w:rPr>
        <w:t xml:space="preserve">, P. and </w:t>
      </w:r>
      <w:proofErr w:type="spellStart"/>
      <w:r w:rsidRPr="00071CB1">
        <w:rPr>
          <w:rFonts w:ascii="Times New Roman" w:hAnsi="Times New Roman" w:cs="Times New Roman"/>
        </w:rPr>
        <w:t>Bountla</w:t>
      </w:r>
      <w:proofErr w:type="spellEnd"/>
      <w:r w:rsidRPr="00071CB1">
        <w:rPr>
          <w:rFonts w:ascii="Times New Roman" w:hAnsi="Times New Roman" w:cs="Times New Roman"/>
        </w:rPr>
        <w:t xml:space="preserve">, A., 2015. Determination of soil-available micronutrients using the DTPA and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3 methods for Greek soils having variable amounts of calcium carbonate. </w:t>
      </w:r>
      <w:r w:rsidRPr="00071CB1">
        <w:rPr>
          <w:rFonts w:ascii="Times New Roman" w:hAnsi="Times New Roman" w:cs="Times New Roman"/>
          <w:i/>
          <w:iCs/>
        </w:rPr>
        <w:t>Communications in Soil Science and Plant Analysis</w:t>
      </w:r>
      <w:r w:rsidRPr="00071CB1">
        <w:rPr>
          <w:rFonts w:ascii="Times New Roman" w:hAnsi="Times New Roman" w:cs="Times New Roman"/>
        </w:rPr>
        <w:t>, </w:t>
      </w:r>
      <w:r w:rsidRPr="00071CB1">
        <w:rPr>
          <w:rFonts w:ascii="Times New Roman" w:hAnsi="Times New Roman" w:cs="Times New Roman"/>
          <w:i/>
          <w:iCs/>
        </w:rPr>
        <w:t>46</w:t>
      </w:r>
      <w:r w:rsidRPr="00071CB1">
        <w:rPr>
          <w:rFonts w:ascii="Times New Roman" w:hAnsi="Times New Roman" w:cs="Times New Roman"/>
        </w:rPr>
        <w:t>(15), pp.1905-1912.</w:t>
      </w:r>
      <w:r w:rsidR="0049151F" w:rsidRPr="00071CB1">
        <w:rPr>
          <w:rFonts w:ascii="Times New Roman" w:hAnsi="Times New Roman" w:cs="Times New Roman"/>
        </w:rPr>
        <w:t xml:space="preserve"> </w:t>
      </w:r>
      <w:hyperlink r:id="rId39" w:history="1">
        <w:r w:rsidRPr="00071CB1">
          <w:rPr>
            <w:rStyle w:val="Hyperlink"/>
            <w:rFonts w:ascii="Times New Roman" w:hAnsi="Times New Roman" w:cs="Times New Roman"/>
          </w:rPr>
          <w:t>https://doi.org/10.1080/00103624.2015.1068322</w:t>
        </w:r>
      </w:hyperlink>
    </w:p>
    <w:p w14:paraId="3962C9C6" w14:textId="77777777" w:rsidR="00A8546D" w:rsidRDefault="00A8546D" w:rsidP="00A8546D">
      <w:pPr>
        <w:spacing w:after="0" w:line="240" w:lineRule="auto"/>
        <w:rPr>
          <w:rFonts w:ascii="Times New Roman" w:hAnsi="Times New Roman" w:cs="Times New Roman"/>
        </w:rPr>
      </w:pPr>
    </w:p>
    <w:p w14:paraId="1DE384C7" w14:textId="77777777" w:rsidR="00417272" w:rsidRPr="00071CB1" w:rsidRDefault="00417272"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Idungafa, M. A. 2014. Effects of palm oil and cassava processing effluents on physical, chemical and biological properties of soils derived from three parent materials in Akwa Ibom State, Nigeria. </w:t>
      </w:r>
      <w:proofErr w:type="spellStart"/>
      <w:proofErr w:type="gramStart"/>
      <w:r w:rsidRPr="00071CB1">
        <w:rPr>
          <w:rFonts w:ascii="Times New Roman" w:hAnsi="Times New Roman" w:cs="Times New Roman"/>
        </w:rPr>
        <w:t>Ph.D</w:t>
      </w:r>
      <w:proofErr w:type="spellEnd"/>
      <w:proofErr w:type="gramEnd"/>
      <w:r w:rsidR="0049151F" w:rsidRPr="00071CB1">
        <w:rPr>
          <w:rFonts w:ascii="Times New Roman" w:hAnsi="Times New Roman" w:cs="Times New Roman"/>
        </w:rPr>
        <w:t xml:space="preserve"> </w:t>
      </w:r>
      <w:r w:rsidRPr="00071CB1">
        <w:rPr>
          <w:rFonts w:ascii="Times New Roman" w:hAnsi="Times New Roman" w:cs="Times New Roman"/>
        </w:rPr>
        <w:t>Thesis,</w:t>
      </w:r>
      <w:r w:rsidR="0049151F" w:rsidRPr="00071CB1">
        <w:rPr>
          <w:rFonts w:ascii="Times New Roman" w:hAnsi="Times New Roman" w:cs="Times New Roman"/>
        </w:rPr>
        <w:t xml:space="preserve"> </w:t>
      </w:r>
      <w:r w:rsidRPr="00071CB1">
        <w:rPr>
          <w:rFonts w:ascii="Times New Roman" w:hAnsi="Times New Roman" w:cs="Times New Roman"/>
        </w:rPr>
        <w:t xml:space="preserve">University of </w:t>
      </w:r>
      <w:proofErr w:type="spellStart"/>
      <w:r w:rsidRPr="00071CB1">
        <w:rPr>
          <w:rFonts w:ascii="Times New Roman" w:hAnsi="Times New Roman" w:cs="Times New Roman"/>
        </w:rPr>
        <w:t>Uyo</w:t>
      </w:r>
      <w:proofErr w:type="spellEnd"/>
      <w:r w:rsidRPr="00071CB1">
        <w:rPr>
          <w:rFonts w:ascii="Times New Roman" w:hAnsi="Times New Roman" w:cs="Times New Roman"/>
        </w:rPr>
        <w:t>, Nigeria.</w:t>
      </w:r>
    </w:p>
    <w:p w14:paraId="3C698396" w14:textId="77777777" w:rsidR="00417272" w:rsidRPr="00BD1755" w:rsidRDefault="00417272" w:rsidP="00A8546D">
      <w:pPr>
        <w:spacing w:after="0" w:line="240" w:lineRule="auto"/>
        <w:rPr>
          <w:rFonts w:ascii="Times New Roman" w:hAnsi="Times New Roman" w:cs="Times New Roman"/>
        </w:rPr>
      </w:pPr>
    </w:p>
    <w:p w14:paraId="36E9DB4C"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Igwe, C.A. and Nkemakosi, J.T., 2007. Nutrient element contents and cation exchange capacity in fine fractions of southeastern Nigerian soils in relation to their stability. </w:t>
      </w:r>
      <w:r w:rsidRPr="00071CB1">
        <w:rPr>
          <w:rFonts w:ascii="Times New Roman" w:hAnsi="Times New Roman" w:cs="Times New Roman"/>
          <w:i/>
          <w:iCs/>
        </w:rPr>
        <w:t>Communications in Soil Science and Plant Analysis</w:t>
      </w:r>
      <w:r w:rsidRPr="00071CB1">
        <w:rPr>
          <w:rFonts w:ascii="Times New Roman" w:hAnsi="Times New Roman" w:cs="Times New Roman"/>
        </w:rPr>
        <w:t>, </w:t>
      </w:r>
      <w:r w:rsidRPr="00071CB1">
        <w:rPr>
          <w:rFonts w:ascii="Times New Roman" w:hAnsi="Times New Roman" w:cs="Times New Roman"/>
          <w:i/>
          <w:iCs/>
        </w:rPr>
        <w:t>38</w:t>
      </w:r>
      <w:r w:rsidRPr="00071CB1">
        <w:rPr>
          <w:rFonts w:ascii="Times New Roman" w:hAnsi="Times New Roman" w:cs="Times New Roman"/>
        </w:rPr>
        <w:t>(9-10), pp.1221-1242.</w:t>
      </w:r>
      <w:r w:rsidR="0049151F" w:rsidRPr="00071CB1">
        <w:rPr>
          <w:rFonts w:ascii="Times New Roman" w:hAnsi="Times New Roman" w:cs="Times New Roman"/>
        </w:rPr>
        <w:t xml:space="preserve"> </w:t>
      </w:r>
      <w:hyperlink r:id="rId40" w:history="1">
        <w:r w:rsidRPr="00071CB1">
          <w:rPr>
            <w:rStyle w:val="Hyperlink"/>
            <w:rFonts w:ascii="Times New Roman" w:hAnsi="Times New Roman" w:cs="Times New Roman"/>
          </w:rPr>
          <w:t>https://doi.org/10.1080/00103620701328347</w:t>
        </w:r>
      </w:hyperlink>
    </w:p>
    <w:p w14:paraId="448EC93A" w14:textId="77777777" w:rsidR="00A8546D" w:rsidRPr="00BD1755" w:rsidRDefault="00A8546D" w:rsidP="00A8546D">
      <w:pPr>
        <w:spacing w:after="0" w:line="240" w:lineRule="auto"/>
        <w:rPr>
          <w:rFonts w:ascii="Times New Roman" w:hAnsi="Times New Roman" w:cs="Times New Roman"/>
        </w:rPr>
      </w:pPr>
    </w:p>
    <w:p w14:paraId="34CA8F03"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Imo, E., 2021. Microbial load and biodegradation of palm oil mill effluent (POME) by microorganisms at different stages of discharge. </w:t>
      </w:r>
      <w:r w:rsidRPr="00071CB1">
        <w:rPr>
          <w:rFonts w:ascii="Times New Roman" w:hAnsi="Times New Roman" w:cs="Times New Roman"/>
          <w:i/>
          <w:iCs/>
        </w:rPr>
        <w:t>EQA - International Journal of Environmental Quality,</w:t>
      </w:r>
      <w:r w:rsidRPr="00071CB1">
        <w:rPr>
          <w:rFonts w:ascii="Times New Roman" w:hAnsi="Times New Roman" w:cs="Times New Roman"/>
        </w:rPr>
        <w:t xml:space="preserve"> 44: 9-17 </w:t>
      </w:r>
    </w:p>
    <w:p w14:paraId="59DD30DE" w14:textId="77777777" w:rsidR="00A8546D" w:rsidRPr="00BD1755" w:rsidRDefault="00A8546D" w:rsidP="00A8546D">
      <w:pPr>
        <w:spacing w:after="0" w:line="240" w:lineRule="auto"/>
        <w:rPr>
          <w:rFonts w:ascii="Times New Roman" w:hAnsi="Times New Roman" w:cs="Times New Roman"/>
        </w:rPr>
      </w:pPr>
    </w:p>
    <w:p w14:paraId="15A89921"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Ita, E.R., Aki, E.E., Olim, D.M., </w:t>
      </w:r>
      <w:proofErr w:type="spellStart"/>
      <w:r w:rsidRPr="00071CB1">
        <w:rPr>
          <w:rFonts w:ascii="Times New Roman" w:hAnsi="Times New Roman" w:cs="Times New Roman"/>
        </w:rPr>
        <w:t>Aberagi</w:t>
      </w:r>
      <w:proofErr w:type="spellEnd"/>
      <w:r w:rsidRPr="00071CB1">
        <w:rPr>
          <w:rFonts w:ascii="Times New Roman" w:hAnsi="Times New Roman" w:cs="Times New Roman"/>
        </w:rPr>
        <w:t xml:space="preserve">, F.V. and Umana, I.S., 2025. Characterization and classification of soils developed on coastal plain sands in </w:t>
      </w:r>
      <w:proofErr w:type="spellStart"/>
      <w:r w:rsidRPr="00071CB1">
        <w:rPr>
          <w:rFonts w:ascii="Times New Roman" w:hAnsi="Times New Roman" w:cs="Times New Roman"/>
        </w:rPr>
        <w:t>Oruk</w:t>
      </w:r>
      <w:proofErr w:type="spellEnd"/>
      <w:r w:rsidRPr="00071CB1">
        <w:rPr>
          <w:rFonts w:ascii="Times New Roman" w:hAnsi="Times New Roman" w:cs="Times New Roman"/>
        </w:rPr>
        <w:t>-Anam, Akwa Ibom State. </w:t>
      </w:r>
      <w:r w:rsidRPr="00071CB1">
        <w:rPr>
          <w:rFonts w:ascii="Times New Roman" w:hAnsi="Times New Roman" w:cs="Times New Roman"/>
          <w:i/>
          <w:iCs/>
        </w:rPr>
        <w:t>Journal Of Agriculture, Forestry &amp; Environment</w:t>
      </w:r>
      <w:r w:rsidRPr="00071CB1">
        <w:rPr>
          <w:rFonts w:ascii="Times New Roman" w:hAnsi="Times New Roman" w:cs="Times New Roman"/>
        </w:rPr>
        <w:t>, </w:t>
      </w:r>
      <w:r w:rsidRPr="00071CB1">
        <w:rPr>
          <w:rFonts w:ascii="Times New Roman" w:hAnsi="Times New Roman" w:cs="Times New Roman"/>
          <w:i/>
          <w:iCs/>
        </w:rPr>
        <w:t>9</w:t>
      </w:r>
      <w:r w:rsidRPr="00071CB1">
        <w:rPr>
          <w:rFonts w:ascii="Times New Roman" w:hAnsi="Times New Roman" w:cs="Times New Roman"/>
        </w:rPr>
        <w:t>(1), pp.57-70.</w:t>
      </w:r>
    </w:p>
    <w:p w14:paraId="000750B9" w14:textId="77777777" w:rsidR="00A8546D" w:rsidRPr="00BD1755" w:rsidRDefault="00A8546D" w:rsidP="00A8546D">
      <w:pPr>
        <w:spacing w:after="0" w:line="240" w:lineRule="auto"/>
        <w:rPr>
          <w:rFonts w:ascii="Times New Roman" w:hAnsi="Times New Roman" w:cs="Times New Roman"/>
        </w:rPr>
      </w:pPr>
    </w:p>
    <w:p w14:paraId="33B0727E"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Izah, S.C., Bassey, S.E. and </w:t>
      </w:r>
      <w:proofErr w:type="spellStart"/>
      <w:r w:rsidRPr="00071CB1">
        <w:rPr>
          <w:rFonts w:ascii="Times New Roman" w:hAnsi="Times New Roman" w:cs="Times New Roman"/>
        </w:rPr>
        <w:t>Ohimain</w:t>
      </w:r>
      <w:proofErr w:type="spellEnd"/>
      <w:r w:rsidRPr="00071CB1">
        <w:rPr>
          <w:rFonts w:ascii="Times New Roman" w:hAnsi="Times New Roman" w:cs="Times New Roman"/>
        </w:rPr>
        <w:t xml:space="preserve">, E.I., 2017. Changes in the treatment of some </w:t>
      </w:r>
      <w:proofErr w:type="spellStart"/>
      <w:r w:rsidRPr="00071CB1">
        <w:rPr>
          <w:rFonts w:ascii="Times New Roman" w:hAnsi="Times New Roman" w:cs="Times New Roman"/>
        </w:rPr>
        <w:t>physico</w:t>
      </w:r>
      <w:proofErr w:type="spellEnd"/>
      <w:r w:rsidRPr="00071CB1">
        <w:rPr>
          <w:rFonts w:ascii="Times New Roman" w:hAnsi="Times New Roman" w:cs="Times New Roman"/>
        </w:rPr>
        <w:t>-chemical properties of cassava mill effluents using Saccharomyces cerevisiae. </w:t>
      </w:r>
      <w:r w:rsidRPr="00071CB1">
        <w:rPr>
          <w:rFonts w:ascii="Times New Roman" w:hAnsi="Times New Roman" w:cs="Times New Roman"/>
          <w:i/>
          <w:iCs/>
        </w:rPr>
        <w:t>Toxics</w:t>
      </w:r>
      <w:r w:rsidRPr="00071CB1">
        <w:rPr>
          <w:rFonts w:ascii="Times New Roman" w:hAnsi="Times New Roman" w:cs="Times New Roman"/>
        </w:rPr>
        <w:t>, </w:t>
      </w:r>
      <w:r w:rsidRPr="00071CB1">
        <w:rPr>
          <w:rFonts w:ascii="Times New Roman" w:hAnsi="Times New Roman" w:cs="Times New Roman"/>
          <w:i/>
          <w:iCs/>
        </w:rPr>
        <w:t>5</w:t>
      </w:r>
      <w:r w:rsidRPr="00071CB1">
        <w:rPr>
          <w:rFonts w:ascii="Times New Roman" w:hAnsi="Times New Roman" w:cs="Times New Roman"/>
        </w:rPr>
        <w:t>(4), p.28.</w:t>
      </w:r>
      <w:r w:rsidR="0049151F" w:rsidRPr="00071CB1">
        <w:rPr>
          <w:rFonts w:ascii="Times New Roman" w:hAnsi="Times New Roman" w:cs="Times New Roman"/>
        </w:rPr>
        <w:t xml:space="preserve"> </w:t>
      </w:r>
      <w:hyperlink r:id="rId41" w:history="1">
        <w:r w:rsidRPr="00071CB1">
          <w:rPr>
            <w:rStyle w:val="Hyperlink"/>
            <w:rFonts w:ascii="Times New Roman" w:hAnsi="Times New Roman" w:cs="Times New Roman"/>
          </w:rPr>
          <w:t>https://doi.org/10.3390/toxics5040028</w:t>
        </w:r>
      </w:hyperlink>
    </w:p>
    <w:p w14:paraId="132528D7" w14:textId="77777777" w:rsidR="00A8546D" w:rsidRPr="00BD1755" w:rsidRDefault="00A8546D" w:rsidP="00A8546D">
      <w:pPr>
        <w:spacing w:after="0" w:line="240" w:lineRule="auto"/>
        <w:rPr>
          <w:rFonts w:ascii="Times New Roman" w:hAnsi="Times New Roman" w:cs="Times New Roman"/>
        </w:rPr>
      </w:pPr>
    </w:p>
    <w:p w14:paraId="139C71C9"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Jahiruddin, M., Chambers, B.J., Cresser, M.S. and Livesey, N.T., 1992. Effects of soil properties on the extraction of zinc. </w:t>
      </w:r>
      <w:proofErr w:type="spellStart"/>
      <w:r w:rsidRPr="00071CB1">
        <w:rPr>
          <w:rFonts w:ascii="Times New Roman" w:hAnsi="Times New Roman" w:cs="Times New Roman"/>
          <w:i/>
          <w:iCs/>
        </w:rPr>
        <w:t>Geoderma</w:t>
      </w:r>
      <w:proofErr w:type="spellEnd"/>
      <w:r w:rsidRPr="00071CB1">
        <w:rPr>
          <w:rFonts w:ascii="Times New Roman" w:hAnsi="Times New Roman" w:cs="Times New Roman"/>
        </w:rPr>
        <w:t>, </w:t>
      </w:r>
      <w:r w:rsidRPr="00071CB1">
        <w:rPr>
          <w:rFonts w:ascii="Times New Roman" w:hAnsi="Times New Roman" w:cs="Times New Roman"/>
          <w:i/>
          <w:iCs/>
        </w:rPr>
        <w:t>52</w:t>
      </w:r>
      <w:r w:rsidRPr="00071CB1">
        <w:rPr>
          <w:rFonts w:ascii="Times New Roman" w:hAnsi="Times New Roman" w:cs="Times New Roman"/>
        </w:rPr>
        <w:t>(3-4), pp.199-208.</w:t>
      </w:r>
      <w:r w:rsidR="0049151F" w:rsidRPr="00071CB1">
        <w:rPr>
          <w:rFonts w:ascii="Times New Roman" w:hAnsi="Times New Roman" w:cs="Times New Roman"/>
        </w:rPr>
        <w:t xml:space="preserve"> </w:t>
      </w:r>
      <w:hyperlink r:id="rId42" w:history="1">
        <w:r w:rsidRPr="00071CB1">
          <w:rPr>
            <w:rStyle w:val="Hyperlink"/>
            <w:rFonts w:ascii="Times New Roman" w:hAnsi="Times New Roman" w:cs="Times New Roman"/>
          </w:rPr>
          <w:t>https://doi.org/10.1016/0016-7061(92)90036-7</w:t>
        </w:r>
      </w:hyperlink>
    </w:p>
    <w:p w14:paraId="73C5EFE7" w14:textId="77777777" w:rsidR="00A8546D" w:rsidRPr="00BD1755" w:rsidRDefault="00A8546D" w:rsidP="00A8546D">
      <w:pPr>
        <w:spacing w:after="0" w:line="240" w:lineRule="auto"/>
        <w:rPr>
          <w:rFonts w:ascii="Times New Roman" w:hAnsi="Times New Roman" w:cs="Times New Roman"/>
        </w:rPr>
      </w:pPr>
    </w:p>
    <w:p w14:paraId="0B91607D"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Jalali, M., </w:t>
      </w:r>
      <w:proofErr w:type="spellStart"/>
      <w:r w:rsidRPr="00071CB1">
        <w:rPr>
          <w:rFonts w:ascii="Times New Roman" w:hAnsi="Times New Roman" w:cs="Times New Roman"/>
        </w:rPr>
        <w:t>Beygi</w:t>
      </w:r>
      <w:proofErr w:type="spellEnd"/>
      <w:r w:rsidRPr="00071CB1">
        <w:rPr>
          <w:rFonts w:ascii="Times New Roman" w:hAnsi="Times New Roman" w:cs="Times New Roman"/>
        </w:rPr>
        <w:t>, M., Jalali, M. and Buss, W., 2022. Background levels of DTPA-extractable trace elements in calcareous soils and prediction of trace element availability based on common soil properties. </w:t>
      </w:r>
      <w:r w:rsidRPr="00071CB1">
        <w:rPr>
          <w:rFonts w:ascii="Times New Roman" w:hAnsi="Times New Roman" w:cs="Times New Roman"/>
          <w:i/>
          <w:iCs/>
        </w:rPr>
        <w:t>Journal of Geochemical Exploration</w:t>
      </w:r>
      <w:r w:rsidRPr="00071CB1">
        <w:rPr>
          <w:rFonts w:ascii="Times New Roman" w:hAnsi="Times New Roman" w:cs="Times New Roman"/>
        </w:rPr>
        <w:t>, </w:t>
      </w:r>
      <w:r w:rsidRPr="00071CB1">
        <w:rPr>
          <w:rFonts w:ascii="Times New Roman" w:hAnsi="Times New Roman" w:cs="Times New Roman"/>
          <w:i/>
          <w:iCs/>
        </w:rPr>
        <w:t>241</w:t>
      </w:r>
      <w:r w:rsidRPr="00071CB1">
        <w:rPr>
          <w:rFonts w:ascii="Times New Roman" w:hAnsi="Times New Roman" w:cs="Times New Roman"/>
        </w:rPr>
        <w:t>, p.107073.</w:t>
      </w:r>
      <w:r w:rsidR="0049151F" w:rsidRPr="00071CB1">
        <w:rPr>
          <w:rFonts w:ascii="Times New Roman" w:hAnsi="Times New Roman" w:cs="Times New Roman"/>
        </w:rPr>
        <w:t xml:space="preserve"> </w:t>
      </w:r>
      <w:hyperlink r:id="rId43" w:history="1">
        <w:r w:rsidRPr="00071CB1">
          <w:rPr>
            <w:rStyle w:val="Hyperlink"/>
            <w:rFonts w:ascii="Times New Roman" w:hAnsi="Times New Roman" w:cs="Times New Roman"/>
          </w:rPr>
          <w:t>https://doi.org/10.1016/j.gexplo.2022.107073</w:t>
        </w:r>
      </w:hyperlink>
    </w:p>
    <w:p w14:paraId="632F60B8" w14:textId="77777777" w:rsidR="00A8546D" w:rsidRPr="00BD1755" w:rsidRDefault="00A8546D" w:rsidP="00A8546D">
      <w:pPr>
        <w:spacing w:after="0" w:line="240" w:lineRule="auto"/>
        <w:rPr>
          <w:rFonts w:ascii="Times New Roman" w:hAnsi="Times New Roman" w:cs="Times New Roman"/>
        </w:rPr>
      </w:pPr>
    </w:p>
    <w:p w14:paraId="2B9E4D5C"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Jones Jr, J.B., 1990. Universal soil extractants: their composition and use. </w:t>
      </w:r>
      <w:r w:rsidRPr="00071CB1">
        <w:rPr>
          <w:rFonts w:ascii="Times New Roman" w:hAnsi="Times New Roman" w:cs="Times New Roman"/>
          <w:i/>
          <w:iCs/>
        </w:rPr>
        <w:t>Communications in Soil Science and Plant Analysis</w:t>
      </w:r>
      <w:r w:rsidRPr="00071CB1">
        <w:rPr>
          <w:rFonts w:ascii="Times New Roman" w:hAnsi="Times New Roman" w:cs="Times New Roman"/>
        </w:rPr>
        <w:t>, </w:t>
      </w:r>
      <w:r w:rsidRPr="00071CB1">
        <w:rPr>
          <w:rFonts w:ascii="Times New Roman" w:hAnsi="Times New Roman" w:cs="Times New Roman"/>
          <w:i/>
          <w:iCs/>
        </w:rPr>
        <w:t>21</w:t>
      </w:r>
      <w:r w:rsidRPr="00071CB1">
        <w:rPr>
          <w:rFonts w:ascii="Times New Roman" w:hAnsi="Times New Roman" w:cs="Times New Roman"/>
        </w:rPr>
        <w:t>(13-16), pp.1091-1101.</w:t>
      </w:r>
      <w:r w:rsidR="0049151F" w:rsidRPr="00071CB1">
        <w:rPr>
          <w:rFonts w:ascii="Times New Roman" w:hAnsi="Times New Roman" w:cs="Times New Roman"/>
        </w:rPr>
        <w:t xml:space="preserve"> </w:t>
      </w:r>
      <w:hyperlink r:id="rId44" w:history="1">
        <w:r w:rsidRPr="00071CB1">
          <w:rPr>
            <w:rStyle w:val="Hyperlink"/>
            <w:rFonts w:ascii="Times New Roman" w:hAnsi="Times New Roman" w:cs="Times New Roman"/>
          </w:rPr>
          <w:t>https://doi.org/10.1080/00103629009368292</w:t>
        </w:r>
      </w:hyperlink>
    </w:p>
    <w:p w14:paraId="730A8614" w14:textId="77777777" w:rsidR="00A8546D" w:rsidRPr="00BD1755" w:rsidRDefault="00A8546D" w:rsidP="00A8546D">
      <w:pPr>
        <w:spacing w:after="0" w:line="240" w:lineRule="auto"/>
        <w:rPr>
          <w:rFonts w:ascii="Times New Roman" w:hAnsi="Times New Roman" w:cs="Times New Roman"/>
        </w:rPr>
      </w:pPr>
    </w:p>
    <w:p w14:paraId="75C6AE4A"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Kihara, J., Sileshi, G.W., Nziguheba, G., Kinyua, M., </w:t>
      </w:r>
      <w:proofErr w:type="spellStart"/>
      <w:r w:rsidRPr="00071CB1">
        <w:rPr>
          <w:rFonts w:ascii="Times New Roman" w:hAnsi="Times New Roman" w:cs="Times New Roman"/>
        </w:rPr>
        <w:t>Zingore</w:t>
      </w:r>
      <w:proofErr w:type="spellEnd"/>
      <w:r w:rsidRPr="00071CB1">
        <w:rPr>
          <w:rFonts w:ascii="Times New Roman" w:hAnsi="Times New Roman" w:cs="Times New Roman"/>
        </w:rPr>
        <w:t>, S. and Sommer, R., 2017. Application of secondary nutrients and micronutrients increases crop yields in sub-Saharan Africa. </w:t>
      </w:r>
      <w:r w:rsidRPr="00071CB1">
        <w:rPr>
          <w:rFonts w:ascii="Times New Roman" w:hAnsi="Times New Roman" w:cs="Times New Roman"/>
          <w:i/>
          <w:iCs/>
        </w:rPr>
        <w:t>Agronomy for Sustainable Development</w:t>
      </w:r>
      <w:r w:rsidRPr="00071CB1">
        <w:rPr>
          <w:rFonts w:ascii="Times New Roman" w:hAnsi="Times New Roman" w:cs="Times New Roman"/>
        </w:rPr>
        <w:t>, </w:t>
      </w:r>
      <w:r w:rsidRPr="00071CB1">
        <w:rPr>
          <w:rFonts w:ascii="Times New Roman" w:hAnsi="Times New Roman" w:cs="Times New Roman"/>
          <w:i/>
          <w:iCs/>
        </w:rPr>
        <w:t>37</w:t>
      </w:r>
      <w:r w:rsidRPr="00071CB1">
        <w:rPr>
          <w:rFonts w:ascii="Times New Roman" w:hAnsi="Times New Roman" w:cs="Times New Roman"/>
        </w:rPr>
        <w:t>(4), p.25.</w:t>
      </w:r>
      <w:r w:rsidR="0049151F" w:rsidRPr="00071CB1">
        <w:rPr>
          <w:rFonts w:ascii="Times New Roman" w:hAnsi="Times New Roman" w:cs="Times New Roman"/>
        </w:rPr>
        <w:t xml:space="preserve"> </w:t>
      </w:r>
      <w:hyperlink r:id="rId45" w:history="1">
        <w:r w:rsidRPr="00071CB1">
          <w:rPr>
            <w:rStyle w:val="Hyperlink"/>
            <w:rFonts w:ascii="Times New Roman" w:hAnsi="Times New Roman" w:cs="Times New Roman"/>
          </w:rPr>
          <w:t>https://doi.org/10.1007/s13593-017-0431-0</w:t>
        </w:r>
      </w:hyperlink>
    </w:p>
    <w:p w14:paraId="621944FE" w14:textId="77777777" w:rsidR="00A8546D" w:rsidRPr="00BD1755" w:rsidRDefault="00A8546D" w:rsidP="00A8546D">
      <w:pPr>
        <w:spacing w:after="0" w:line="240" w:lineRule="auto"/>
        <w:rPr>
          <w:rFonts w:ascii="Times New Roman" w:hAnsi="Times New Roman" w:cs="Times New Roman"/>
        </w:rPr>
      </w:pPr>
    </w:p>
    <w:p w14:paraId="7E78A4B4"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color w:val="000000" w:themeColor="text1"/>
        </w:rPr>
        <w:t>Korzeniowska, J., Stanislawska-</w:t>
      </w:r>
      <w:proofErr w:type="spellStart"/>
      <w:r w:rsidRPr="00071CB1">
        <w:rPr>
          <w:rFonts w:ascii="Times New Roman" w:hAnsi="Times New Roman" w:cs="Times New Roman"/>
          <w:color w:val="000000" w:themeColor="text1"/>
        </w:rPr>
        <w:t>Glubiak</w:t>
      </w:r>
      <w:proofErr w:type="spellEnd"/>
      <w:r w:rsidRPr="00071CB1">
        <w:rPr>
          <w:rFonts w:ascii="Times New Roman" w:hAnsi="Times New Roman" w:cs="Times New Roman"/>
          <w:color w:val="000000" w:themeColor="text1"/>
        </w:rPr>
        <w:t>, E. and Lipinski, W., 2025. Determination of</w:t>
      </w:r>
      <w:r w:rsidR="00B85DD7" w:rsidRPr="00071CB1">
        <w:rPr>
          <w:rFonts w:ascii="Times New Roman" w:hAnsi="Times New Roman" w:cs="Times New Roman"/>
          <w:color w:val="000000" w:themeColor="text1"/>
        </w:rPr>
        <w:t xml:space="preserve"> soil micronutrient critical values using </w:t>
      </w:r>
      <w:proofErr w:type="spellStart"/>
      <w:r w:rsidRPr="00071CB1">
        <w:rPr>
          <w:rFonts w:ascii="Times New Roman" w:hAnsi="Times New Roman" w:cs="Times New Roman"/>
          <w:color w:val="000000" w:themeColor="text1"/>
        </w:rPr>
        <w:t>Mehlich</w:t>
      </w:r>
      <w:proofErr w:type="spellEnd"/>
      <w:r w:rsidRPr="00071CB1">
        <w:rPr>
          <w:rFonts w:ascii="Times New Roman" w:hAnsi="Times New Roman" w:cs="Times New Roman"/>
          <w:color w:val="000000" w:themeColor="text1"/>
        </w:rPr>
        <w:t xml:space="preserve"> 3 Extractant for </w:t>
      </w:r>
      <w:r w:rsidR="00B85DD7" w:rsidRPr="00071CB1">
        <w:rPr>
          <w:rFonts w:ascii="Times New Roman" w:hAnsi="Times New Roman" w:cs="Times New Roman"/>
          <w:color w:val="000000" w:themeColor="text1"/>
        </w:rPr>
        <w:t>principal field crops</w:t>
      </w:r>
      <w:r w:rsidR="00B85DD7" w:rsidRPr="00071CB1">
        <w:rPr>
          <w:rFonts w:ascii="Times New Roman" w:hAnsi="Times New Roman" w:cs="Times New Roman"/>
          <w:color w:val="EE0000"/>
        </w:rPr>
        <w:t>. </w:t>
      </w:r>
      <w:r w:rsidRPr="00071CB1">
        <w:rPr>
          <w:rFonts w:ascii="Times New Roman" w:hAnsi="Times New Roman" w:cs="Times New Roman"/>
          <w:i/>
          <w:iCs/>
        </w:rPr>
        <w:t>Agronomy</w:t>
      </w:r>
      <w:r w:rsidRPr="00071CB1">
        <w:rPr>
          <w:rFonts w:ascii="Times New Roman" w:hAnsi="Times New Roman" w:cs="Times New Roman"/>
        </w:rPr>
        <w:t>, </w:t>
      </w:r>
      <w:r w:rsidRPr="00071CB1">
        <w:rPr>
          <w:rFonts w:ascii="Times New Roman" w:hAnsi="Times New Roman" w:cs="Times New Roman"/>
          <w:i/>
          <w:iCs/>
        </w:rPr>
        <w:t>15</w:t>
      </w:r>
      <w:r w:rsidRPr="00071CB1">
        <w:rPr>
          <w:rFonts w:ascii="Times New Roman" w:hAnsi="Times New Roman" w:cs="Times New Roman"/>
        </w:rPr>
        <w:t>(11), p.2661.</w:t>
      </w:r>
      <w:r w:rsidR="0049151F" w:rsidRPr="00071CB1">
        <w:rPr>
          <w:rFonts w:ascii="Times New Roman" w:hAnsi="Times New Roman" w:cs="Times New Roman"/>
        </w:rPr>
        <w:t xml:space="preserve"> </w:t>
      </w:r>
      <w:hyperlink r:id="rId46" w:history="1">
        <w:r w:rsidRPr="00071CB1">
          <w:rPr>
            <w:rStyle w:val="Hyperlink"/>
            <w:rFonts w:ascii="Times New Roman" w:hAnsi="Times New Roman" w:cs="Times New Roman"/>
          </w:rPr>
          <w:t>https://doi.org/10.3390/agronomy15112661</w:t>
        </w:r>
      </w:hyperlink>
    </w:p>
    <w:p w14:paraId="755384D3" w14:textId="77777777" w:rsidR="00A8546D" w:rsidRPr="00BD1755" w:rsidRDefault="00A8546D" w:rsidP="00A8546D">
      <w:pPr>
        <w:spacing w:after="0" w:line="240" w:lineRule="auto"/>
        <w:rPr>
          <w:rFonts w:ascii="Times New Roman" w:hAnsi="Times New Roman" w:cs="Times New Roman"/>
        </w:rPr>
      </w:pPr>
    </w:p>
    <w:p w14:paraId="201B812D"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Li, G., Wu, J., </w:t>
      </w:r>
      <w:proofErr w:type="spellStart"/>
      <w:r w:rsidRPr="00071CB1">
        <w:rPr>
          <w:rFonts w:ascii="Times New Roman" w:hAnsi="Times New Roman" w:cs="Times New Roman"/>
        </w:rPr>
        <w:t>Kronzucker</w:t>
      </w:r>
      <w:proofErr w:type="spellEnd"/>
      <w:r w:rsidRPr="00071CB1">
        <w:rPr>
          <w:rFonts w:ascii="Times New Roman" w:hAnsi="Times New Roman" w:cs="Times New Roman"/>
        </w:rPr>
        <w:t>, H.J., Li, B. and Shi, W., 2024. Physiological and molecular mechanisms of plant-root responses to iron toxicity. </w:t>
      </w:r>
      <w:r w:rsidR="00267426" w:rsidRPr="00071CB1">
        <w:rPr>
          <w:rFonts w:ascii="Times New Roman" w:hAnsi="Times New Roman" w:cs="Times New Roman"/>
          <w:i/>
          <w:iCs/>
        </w:rPr>
        <w:t>Journal of Plant P</w:t>
      </w:r>
      <w:r w:rsidRPr="00071CB1">
        <w:rPr>
          <w:rFonts w:ascii="Times New Roman" w:hAnsi="Times New Roman" w:cs="Times New Roman"/>
          <w:i/>
          <w:iCs/>
        </w:rPr>
        <w:t>hysiology</w:t>
      </w:r>
      <w:r w:rsidRPr="00071CB1">
        <w:rPr>
          <w:rFonts w:ascii="Times New Roman" w:hAnsi="Times New Roman" w:cs="Times New Roman"/>
        </w:rPr>
        <w:t>, </w:t>
      </w:r>
      <w:r w:rsidRPr="00071CB1">
        <w:rPr>
          <w:rFonts w:ascii="Times New Roman" w:hAnsi="Times New Roman" w:cs="Times New Roman"/>
          <w:i/>
          <w:iCs/>
        </w:rPr>
        <w:t>297</w:t>
      </w:r>
      <w:r w:rsidRPr="00071CB1">
        <w:rPr>
          <w:rFonts w:ascii="Times New Roman" w:hAnsi="Times New Roman" w:cs="Times New Roman"/>
        </w:rPr>
        <w:t>, p.154257.</w:t>
      </w:r>
      <w:r w:rsidR="0049151F" w:rsidRPr="00071CB1">
        <w:rPr>
          <w:rFonts w:ascii="Times New Roman" w:hAnsi="Times New Roman" w:cs="Times New Roman"/>
        </w:rPr>
        <w:t xml:space="preserve"> </w:t>
      </w:r>
      <w:hyperlink r:id="rId47" w:history="1">
        <w:r w:rsidRPr="00071CB1">
          <w:rPr>
            <w:rStyle w:val="Hyperlink"/>
            <w:rFonts w:ascii="Times New Roman" w:hAnsi="Times New Roman" w:cs="Times New Roman"/>
          </w:rPr>
          <w:t>https://doi.org/10.1016/j.jplph.2024.154257</w:t>
        </w:r>
      </w:hyperlink>
    </w:p>
    <w:p w14:paraId="5A374BD3" w14:textId="77777777" w:rsidR="00A8546D" w:rsidRPr="00BD1755" w:rsidRDefault="00A8546D" w:rsidP="00A8546D">
      <w:pPr>
        <w:spacing w:after="0" w:line="240" w:lineRule="auto"/>
        <w:rPr>
          <w:rFonts w:ascii="Times New Roman" w:hAnsi="Times New Roman" w:cs="Times New Roman"/>
        </w:rPr>
      </w:pPr>
    </w:p>
    <w:p w14:paraId="1664CB80"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Ma, L., Duan, T. and Hu, J., 2020. Application of a universal soil extractant for determining the available NPK: A case study of crop planting zones in central </w:t>
      </w:r>
      <w:r w:rsidRPr="00071CB1">
        <w:rPr>
          <w:rFonts w:ascii="Times New Roman" w:hAnsi="Times New Roman" w:cs="Times New Roman"/>
        </w:rPr>
        <w:lastRenderedPageBreak/>
        <w:t>China. </w:t>
      </w:r>
      <w:r w:rsidRPr="00071CB1">
        <w:rPr>
          <w:rFonts w:ascii="Times New Roman" w:hAnsi="Times New Roman" w:cs="Times New Roman"/>
          <w:i/>
          <w:iCs/>
        </w:rPr>
        <w:t>Science of the Total Environment</w:t>
      </w:r>
      <w:r w:rsidRPr="00071CB1">
        <w:rPr>
          <w:rFonts w:ascii="Times New Roman" w:hAnsi="Times New Roman" w:cs="Times New Roman"/>
        </w:rPr>
        <w:t>, </w:t>
      </w:r>
      <w:r w:rsidRPr="00071CB1">
        <w:rPr>
          <w:rFonts w:ascii="Times New Roman" w:hAnsi="Times New Roman" w:cs="Times New Roman"/>
          <w:i/>
          <w:iCs/>
        </w:rPr>
        <w:t>704</w:t>
      </w:r>
      <w:r w:rsidRPr="00071CB1">
        <w:rPr>
          <w:rFonts w:ascii="Times New Roman" w:hAnsi="Times New Roman" w:cs="Times New Roman"/>
        </w:rPr>
        <w:t>, p.135253.</w:t>
      </w:r>
      <w:r w:rsidR="0049151F" w:rsidRPr="00071CB1">
        <w:rPr>
          <w:rFonts w:ascii="Times New Roman" w:hAnsi="Times New Roman" w:cs="Times New Roman"/>
        </w:rPr>
        <w:t xml:space="preserve"> </w:t>
      </w:r>
      <w:hyperlink r:id="rId48" w:history="1">
        <w:r w:rsidRPr="00071CB1">
          <w:rPr>
            <w:rStyle w:val="Hyperlink"/>
            <w:rFonts w:ascii="Times New Roman" w:hAnsi="Times New Roman" w:cs="Times New Roman"/>
          </w:rPr>
          <w:t>https://doi.org/10.1016/j.scitotenv.2019.135253</w:t>
        </w:r>
      </w:hyperlink>
    </w:p>
    <w:p w14:paraId="33DFABEB" w14:textId="77777777" w:rsidR="00A8546D" w:rsidRPr="00BD1755" w:rsidRDefault="00A8546D" w:rsidP="00A8546D">
      <w:pPr>
        <w:spacing w:after="0" w:line="240" w:lineRule="auto"/>
        <w:rPr>
          <w:rFonts w:ascii="Times New Roman" w:hAnsi="Times New Roman" w:cs="Times New Roman"/>
        </w:rPr>
      </w:pPr>
    </w:p>
    <w:p w14:paraId="26D3159D"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Magalhaes, J.V., Piñeros, M.A., Maciel, L.S. and </w:t>
      </w:r>
      <w:proofErr w:type="spellStart"/>
      <w:r w:rsidRPr="00071CB1">
        <w:rPr>
          <w:rFonts w:ascii="Times New Roman" w:hAnsi="Times New Roman" w:cs="Times New Roman"/>
        </w:rPr>
        <w:t>Kochian</w:t>
      </w:r>
      <w:proofErr w:type="spellEnd"/>
      <w:r w:rsidRPr="00071CB1">
        <w:rPr>
          <w:rFonts w:ascii="Times New Roman" w:hAnsi="Times New Roman" w:cs="Times New Roman"/>
        </w:rPr>
        <w:t>, L.V., 2018. Emerging pleiotropic mechanisms underlying aluminum resistance and phosphorus acquisition on acidic soils. </w:t>
      </w:r>
      <w:r w:rsidRPr="00071CB1">
        <w:rPr>
          <w:rFonts w:ascii="Times New Roman" w:hAnsi="Times New Roman" w:cs="Times New Roman"/>
          <w:i/>
          <w:iCs/>
        </w:rPr>
        <w:t>Frontiers in Plant Science</w:t>
      </w:r>
      <w:r w:rsidRPr="00071CB1">
        <w:rPr>
          <w:rFonts w:ascii="Times New Roman" w:hAnsi="Times New Roman" w:cs="Times New Roman"/>
        </w:rPr>
        <w:t>, </w:t>
      </w:r>
      <w:r w:rsidRPr="00071CB1">
        <w:rPr>
          <w:rFonts w:ascii="Times New Roman" w:hAnsi="Times New Roman" w:cs="Times New Roman"/>
          <w:iCs/>
        </w:rPr>
        <w:t>9</w:t>
      </w:r>
      <w:r w:rsidRPr="00071CB1">
        <w:rPr>
          <w:rFonts w:ascii="Times New Roman" w:hAnsi="Times New Roman" w:cs="Times New Roman"/>
        </w:rPr>
        <w:t>, p.1420.</w:t>
      </w:r>
      <w:r w:rsidR="0049151F" w:rsidRPr="00071CB1">
        <w:rPr>
          <w:rFonts w:ascii="Times New Roman" w:hAnsi="Times New Roman" w:cs="Times New Roman"/>
        </w:rPr>
        <w:t xml:space="preserve"> </w:t>
      </w:r>
      <w:hyperlink r:id="rId49" w:history="1">
        <w:r w:rsidRPr="00071CB1">
          <w:rPr>
            <w:rStyle w:val="Hyperlink"/>
            <w:rFonts w:ascii="Times New Roman" w:hAnsi="Times New Roman" w:cs="Times New Roman"/>
          </w:rPr>
          <w:t>https://doi.org/10.3389/fpls.2018.01420</w:t>
        </w:r>
      </w:hyperlink>
    </w:p>
    <w:p w14:paraId="0AF0E734" w14:textId="77777777" w:rsidR="00A8546D" w:rsidRPr="00BD1755" w:rsidRDefault="00A8546D" w:rsidP="00A8546D">
      <w:pPr>
        <w:spacing w:after="0" w:line="240" w:lineRule="auto"/>
        <w:rPr>
          <w:rFonts w:ascii="Times New Roman" w:hAnsi="Times New Roman" w:cs="Times New Roman"/>
        </w:rPr>
      </w:pPr>
    </w:p>
    <w:p w14:paraId="56E26E16"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Mehlich, A., 1984.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3 soil test extractant: A modification of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2 extractant. </w:t>
      </w:r>
      <w:r w:rsidRPr="00071CB1">
        <w:rPr>
          <w:rFonts w:ascii="Times New Roman" w:hAnsi="Times New Roman" w:cs="Times New Roman"/>
          <w:i/>
          <w:iCs/>
        </w:rPr>
        <w:t>Communications in soil science and plant analysis</w:t>
      </w:r>
      <w:r w:rsidRPr="00071CB1">
        <w:rPr>
          <w:rFonts w:ascii="Times New Roman" w:hAnsi="Times New Roman" w:cs="Times New Roman"/>
        </w:rPr>
        <w:t>, </w:t>
      </w:r>
      <w:r w:rsidRPr="00071CB1">
        <w:rPr>
          <w:rFonts w:ascii="Times New Roman" w:hAnsi="Times New Roman" w:cs="Times New Roman"/>
          <w:i/>
          <w:iCs/>
        </w:rPr>
        <w:t>15</w:t>
      </w:r>
      <w:r w:rsidRPr="00071CB1">
        <w:rPr>
          <w:rFonts w:ascii="Times New Roman" w:hAnsi="Times New Roman" w:cs="Times New Roman"/>
        </w:rPr>
        <w:t>(12), pp.1409-1416.</w:t>
      </w:r>
      <w:r w:rsidR="0049151F" w:rsidRPr="00071CB1">
        <w:rPr>
          <w:rFonts w:ascii="Times New Roman" w:hAnsi="Times New Roman" w:cs="Times New Roman"/>
        </w:rPr>
        <w:t xml:space="preserve"> </w:t>
      </w:r>
      <w:hyperlink r:id="rId50" w:history="1">
        <w:r w:rsidRPr="00071CB1">
          <w:rPr>
            <w:rStyle w:val="Hyperlink"/>
            <w:rFonts w:ascii="Times New Roman" w:hAnsi="Times New Roman" w:cs="Times New Roman"/>
          </w:rPr>
          <w:t>https://doi.org/10.1080/00103628409367568</w:t>
        </w:r>
      </w:hyperlink>
    </w:p>
    <w:p w14:paraId="47A624AC" w14:textId="77777777" w:rsidR="00A8546D" w:rsidRPr="00BD1755" w:rsidRDefault="00A8546D" w:rsidP="00A8546D">
      <w:pPr>
        <w:spacing w:after="0" w:line="240" w:lineRule="auto"/>
        <w:rPr>
          <w:rFonts w:ascii="Times New Roman" w:hAnsi="Times New Roman" w:cs="Times New Roman"/>
        </w:rPr>
      </w:pPr>
    </w:p>
    <w:p w14:paraId="4BD9BCCA" w14:textId="77777777" w:rsidR="00A8546D" w:rsidRDefault="00A8546D" w:rsidP="00071CB1">
      <w:pPr>
        <w:pStyle w:val="ListParagraph"/>
        <w:numPr>
          <w:ilvl w:val="0"/>
          <w:numId w:val="5"/>
        </w:numPr>
        <w:spacing w:after="0" w:line="240" w:lineRule="auto"/>
      </w:pPr>
      <w:r w:rsidRPr="00071CB1">
        <w:rPr>
          <w:rFonts w:ascii="Times New Roman" w:hAnsi="Times New Roman" w:cs="Times New Roman"/>
        </w:rPr>
        <w:t xml:space="preserve">Mohammad, S., </w:t>
      </w:r>
      <w:proofErr w:type="spellStart"/>
      <w:r w:rsidRPr="00071CB1">
        <w:rPr>
          <w:rFonts w:ascii="Times New Roman" w:hAnsi="Times New Roman" w:cs="Times New Roman"/>
        </w:rPr>
        <w:t>Baidurah</w:t>
      </w:r>
      <w:proofErr w:type="spellEnd"/>
      <w:r w:rsidRPr="00071CB1">
        <w:rPr>
          <w:rFonts w:ascii="Times New Roman" w:hAnsi="Times New Roman" w:cs="Times New Roman"/>
        </w:rPr>
        <w:t>, S., Kobayashi, T., Ismail, N. and Leh, C.P., 2021. Palm oil mill effluent treatment processes—A review. </w:t>
      </w:r>
      <w:r w:rsidRPr="00071CB1">
        <w:rPr>
          <w:rFonts w:ascii="Times New Roman" w:hAnsi="Times New Roman" w:cs="Times New Roman"/>
          <w:i/>
          <w:iCs/>
        </w:rPr>
        <w:t>Processes</w:t>
      </w:r>
      <w:r w:rsidRPr="00071CB1">
        <w:rPr>
          <w:rFonts w:ascii="Times New Roman" w:hAnsi="Times New Roman" w:cs="Times New Roman"/>
        </w:rPr>
        <w:t>, </w:t>
      </w:r>
      <w:r w:rsidRPr="00071CB1">
        <w:rPr>
          <w:rFonts w:ascii="Times New Roman" w:hAnsi="Times New Roman" w:cs="Times New Roman"/>
          <w:i/>
          <w:iCs/>
        </w:rPr>
        <w:t>9</w:t>
      </w:r>
      <w:r w:rsidRPr="00071CB1">
        <w:rPr>
          <w:rFonts w:ascii="Times New Roman" w:hAnsi="Times New Roman" w:cs="Times New Roman"/>
        </w:rPr>
        <w:t>(5), p.739.</w:t>
      </w:r>
      <w:r w:rsidR="0049151F" w:rsidRPr="00071CB1">
        <w:rPr>
          <w:rFonts w:ascii="Times New Roman" w:hAnsi="Times New Roman" w:cs="Times New Roman"/>
        </w:rPr>
        <w:t xml:space="preserve"> </w:t>
      </w:r>
      <w:hyperlink r:id="rId51" w:history="1">
        <w:r w:rsidRPr="00071CB1">
          <w:rPr>
            <w:rStyle w:val="Hyperlink"/>
            <w:rFonts w:ascii="Times New Roman" w:hAnsi="Times New Roman" w:cs="Times New Roman"/>
          </w:rPr>
          <w:t>https://doi.org/10.3390/pr9050739</w:t>
        </w:r>
      </w:hyperlink>
    </w:p>
    <w:p w14:paraId="7B2C7735" w14:textId="77777777" w:rsidR="009E05EE" w:rsidRDefault="009E05EE" w:rsidP="00A8546D">
      <w:pPr>
        <w:spacing w:after="0" w:line="240" w:lineRule="auto"/>
      </w:pPr>
    </w:p>
    <w:p w14:paraId="73E626AF" w14:textId="77777777" w:rsidR="009E05EE" w:rsidRPr="00071CB1" w:rsidRDefault="009E05EE"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Nkpoidet</w:t>
      </w:r>
      <w:proofErr w:type="spellEnd"/>
      <w:r w:rsidRPr="00071CB1">
        <w:rPr>
          <w:rFonts w:ascii="Times New Roman" w:hAnsi="Times New Roman" w:cs="Times New Roman"/>
        </w:rPr>
        <w:t xml:space="preserve">, M. M., Udosen, N. I., and Thomas, J. E. 2025a. </w:t>
      </w:r>
      <w:proofErr w:type="spellStart"/>
      <w:r w:rsidRPr="00071CB1">
        <w:rPr>
          <w:rFonts w:ascii="Times New Roman" w:hAnsi="Times New Roman" w:cs="Times New Roman"/>
        </w:rPr>
        <w:t>Hydrochemical</w:t>
      </w:r>
      <w:proofErr w:type="spellEnd"/>
      <w:r w:rsidRPr="00071CB1">
        <w:rPr>
          <w:rFonts w:ascii="Times New Roman" w:hAnsi="Times New Roman" w:cs="Times New Roman"/>
        </w:rPr>
        <w:t xml:space="preserve"> assessment of groundwater quality using water quality index, irrigation indices, and corrosivity models in a hydrocarbon-impacted coastal aquifer. </w:t>
      </w:r>
      <w:r w:rsidRPr="00071CB1">
        <w:rPr>
          <w:rFonts w:ascii="Times New Roman" w:hAnsi="Times New Roman" w:cs="Times New Roman"/>
          <w:i/>
          <w:iCs/>
        </w:rPr>
        <w:t>Discover Geoscience,3(1),</w:t>
      </w:r>
      <w:r w:rsidRPr="00071CB1">
        <w:rPr>
          <w:rFonts w:ascii="Times New Roman" w:hAnsi="Times New Roman" w:cs="Times New Roman"/>
        </w:rPr>
        <w:t xml:space="preserve"> 111.</w:t>
      </w:r>
      <w:r w:rsidR="0049151F" w:rsidRPr="00071CB1">
        <w:rPr>
          <w:rFonts w:ascii="Times New Roman" w:hAnsi="Times New Roman" w:cs="Times New Roman"/>
        </w:rPr>
        <w:t xml:space="preserve"> </w:t>
      </w:r>
      <w:hyperlink r:id="rId52" w:history="1">
        <w:r w:rsidRPr="00071CB1">
          <w:rPr>
            <w:rStyle w:val="Hyperlink"/>
            <w:rFonts w:ascii="Times New Roman" w:hAnsi="Times New Roman" w:cs="Times New Roman"/>
          </w:rPr>
          <w:t>https://doi.org/10.1007/s44288-025-00220-8</w:t>
        </w:r>
      </w:hyperlink>
    </w:p>
    <w:p w14:paraId="5F670048" w14:textId="77777777" w:rsidR="009E05EE" w:rsidRPr="009E05EE" w:rsidRDefault="009E05EE" w:rsidP="009E05EE">
      <w:pPr>
        <w:spacing w:after="0" w:line="240" w:lineRule="auto"/>
        <w:rPr>
          <w:rFonts w:ascii="Times New Roman" w:hAnsi="Times New Roman" w:cs="Times New Roman"/>
          <w:lang w:val="en-GB"/>
        </w:rPr>
      </w:pPr>
    </w:p>
    <w:p w14:paraId="0D82BBFA" w14:textId="77777777" w:rsidR="009E05EE" w:rsidRPr="00071CB1" w:rsidRDefault="009E05EE" w:rsidP="00071CB1">
      <w:pPr>
        <w:pStyle w:val="ListParagraph"/>
        <w:numPr>
          <w:ilvl w:val="0"/>
          <w:numId w:val="5"/>
        </w:numPr>
        <w:spacing w:after="0" w:line="240" w:lineRule="auto"/>
        <w:rPr>
          <w:rFonts w:ascii="Times New Roman" w:hAnsi="Times New Roman" w:cs="Times New Roman"/>
          <w:lang w:val="en-GB"/>
        </w:rPr>
      </w:pPr>
      <w:proofErr w:type="spellStart"/>
      <w:r w:rsidRPr="00071CB1">
        <w:rPr>
          <w:rFonts w:ascii="Times New Roman" w:hAnsi="Times New Roman" w:cs="Times New Roman"/>
        </w:rPr>
        <w:t>Nkpoidet</w:t>
      </w:r>
      <w:proofErr w:type="spellEnd"/>
      <w:r w:rsidRPr="00071CB1">
        <w:rPr>
          <w:rFonts w:ascii="Times New Roman" w:hAnsi="Times New Roman" w:cs="Times New Roman"/>
        </w:rPr>
        <w:t>, M.M., Udosen, N.I. and Thomas, J.E., 2025b. Hydrodynamic and stratigraphic evaluation of marine saline intrusion into the coastal groundwater systems of a major crude oil production region in Southern Nigeria. </w:t>
      </w:r>
      <w:r w:rsidRPr="00071CB1">
        <w:rPr>
          <w:rFonts w:ascii="Times New Roman" w:hAnsi="Times New Roman" w:cs="Times New Roman"/>
          <w:i/>
          <w:iCs/>
        </w:rPr>
        <w:t>Discover Water</w:t>
      </w:r>
      <w:r w:rsidRPr="00071CB1">
        <w:rPr>
          <w:rFonts w:ascii="Times New Roman" w:hAnsi="Times New Roman" w:cs="Times New Roman"/>
        </w:rPr>
        <w:t>, </w:t>
      </w:r>
      <w:r w:rsidRPr="00071CB1">
        <w:rPr>
          <w:rFonts w:ascii="Times New Roman" w:hAnsi="Times New Roman" w:cs="Times New Roman"/>
          <w:i/>
          <w:iCs/>
        </w:rPr>
        <w:t>5</w:t>
      </w:r>
      <w:r w:rsidRPr="00071CB1">
        <w:rPr>
          <w:rFonts w:ascii="Times New Roman" w:hAnsi="Times New Roman" w:cs="Times New Roman"/>
        </w:rPr>
        <w:t>(1), p.59.</w:t>
      </w:r>
      <w:r w:rsidR="0049151F" w:rsidRPr="00071CB1">
        <w:rPr>
          <w:rFonts w:ascii="Times New Roman" w:hAnsi="Times New Roman" w:cs="Times New Roman"/>
        </w:rPr>
        <w:t xml:space="preserve"> </w:t>
      </w:r>
      <w:hyperlink r:id="rId53" w:history="1">
        <w:r w:rsidRPr="00071CB1">
          <w:rPr>
            <w:rStyle w:val="Hyperlink"/>
            <w:rFonts w:ascii="Times New Roman" w:hAnsi="Times New Roman" w:cs="Times New Roman"/>
            <w:lang w:val="en-GB"/>
          </w:rPr>
          <w:t>https://doi.org/10.1007/s43832-025-00250-w</w:t>
        </w:r>
      </w:hyperlink>
    </w:p>
    <w:p w14:paraId="6B7215EC" w14:textId="77777777" w:rsidR="009E05EE" w:rsidRDefault="009E05EE" w:rsidP="00A8546D">
      <w:pPr>
        <w:spacing w:after="0" w:line="240" w:lineRule="auto"/>
        <w:rPr>
          <w:rFonts w:ascii="Times New Roman" w:hAnsi="Times New Roman" w:cs="Times New Roman"/>
        </w:rPr>
      </w:pPr>
    </w:p>
    <w:p w14:paraId="12BFF01B" w14:textId="77777777" w:rsidR="00B57E99" w:rsidRPr="00071CB1" w:rsidRDefault="00B57E99" w:rsidP="00071CB1">
      <w:pPr>
        <w:pStyle w:val="ListParagraph"/>
        <w:numPr>
          <w:ilvl w:val="0"/>
          <w:numId w:val="5"/>
        </w:numPr>
        <w:spacing w:after="0" w:line="240" w:lineRule="auto"/>
        <w:jc w:val="both"/>
        <w:rPr>
          <w:rFonts w:ascii="Times New Roman" w:hAnsi="Times New Roman" w:cs="Times New Roman"/>
          <w:lang w:val="en-GB"/>
        </w:rPr>
      </w:pPr>
      <w:r w:rsidRPr="00071CB1">
        <w:rPr>
          <w:rFonts w:ascii="Times New Roman" w:hAnsi="Times New Roman" w:cs="Times New Roman"/>
          <w:lang w:val="en-GB"/>
        </w:rPr>
        <w:t xml:space="preserve">Obi, J. C., Udoh I. B., </w:t>
      </w:r>
      <w:proofErr w:type="spellStart"/>
      <w:r w:rsidRPr="00071CB1">
        <w:rPr>
          <w:rFonts w:ascii="Times New Roman" w:hAnsi="Times New Roman" w:cs="Times New Roman"/>
          <w:lang w:val="en-GB"/>
        </w:rPr>
        <w:t>Ugwuegbu</w:t>
      </w:r>
      <w:proofErr w:type="spellEnd"/>
      <w:r w:rsidRPr="00071CB1">
        <w:rPr>
          <w:rFonts w:ascii="Times New Roman" w:hAnsi="Times New Roman" w:cs="Times New Roman"/>
          <w:lang w:val="en-GB"/>
        </w:rPr>
        <w:t xml:space="preserve">, V. I. and </w:t>
      </w:r>
      <w:proofErr w:type="spellStart"/>
      <w:r w:rsidRPr="00071CB1">
        <w:rPr>
          <w:rFonts w:ascii="Times New Roman" w:hAnsi="Times New Roman" w:cs="Times New Roman"/>
          <w:lang w:val="en-GB"/>
        </w:rPr>
        <w:t>Chinkere</w:t>
      </w:r>
      <w:proofErr w:type="spellEnd"/>
      <w:r w:rsidRPr="00071CB1">
        <w:rPr>
          <w:rFonts w:ascii="Times New Roman" w:hAnsi="Times New Roman" w:cs="Times New Roman"/>
          <w:lang w:val="en-GB"/>
        </w:rPr>
        <w:t>, P. A., 2020.</w:t>
      </w:r>
      <w:r w:rsidRPr="00071CB1">
        <w:rPr>
          <w:rFonts w:ascii="Times New Roman" w:hAnsi="Times New Roman" w:cs="Times New Roman"/>
          <w:color w:val="000000" w:themeColor="text1"/>
          <w:lang w:val="en-GB"/>
        </w:rPr>
        <w:t xml:space="preserve"> Slope process and</w:t>
      </w:r>
      <w:r w:rsidR="005A4401" w:rsidRPr="00071CB1">
        <w:rPr>
          <w:rFonts w:ascii="Times New Roman" w:hAnsi="Times New Roman" w:cs="Times New Roman"/>
          <w:color w:val="000000" w:themeColor="text1"/>
          <w:lang w:val="en-GB"/>
        </w:rPr>
        <w:t xml:space="preserve"> pedogenesis of coastal plain sands</w:t>
      </w:r>
      <w:r w:rsidRPr="00071CB1">
        <w:rPr>
          <w:rFonts w:ascii="Times New Roman" w:hAnsi="Times New Roman" w:cs="Times New Roman"/>
          <w:color w:val="000000" w:themeColor="text1"/>
          <w:lang w:val="en-GB"/>
        </w:rPr>
        <w:t xml:space="preserve">. </w:t>
      </w:r>
      <w:r w:rsidRPr="00071CB1">
        <w:rPr>
          <w:rFonts w:ascii="Times New Roman" w:hAnsi="Times New Roman" w:cs="Times New Roman"/>
          <w:i/>
          <w:color w:val="000000" w:themeColor="text1"/>
          <w:lang w:val="en-GB"/>
        </w:rPr>
        <w:t>Journal of Agriculture</w:t>
      </w:r>
      <w:r w:rsidRPr="00071CB1">
        <w:rPr>
          <w:rFonts w:ascii="Times New Roman" w:hAnsi="Times New Roman" w:cs="Times New Roman"/>
          <w:i/>
          <w:lang w:val="en-GB"/>
        </w:rPr>
        <w:t>, Forestry and Fisheries</w:t>
      </w:r>
      <w:r w:rsidRPr="00071CB1">
        <w:rPr>
          <w:rFonts w:ascii="Times New Roman" w:hAnsi="Times New Roman" w:cs="Times New Roman"/>
          <w:lang w:val="en-GB"/>
        </w:rPr>
        <w:t>. Volume 19:1 and 2.</w:t>
      </w:r>
    </w:p>
    <w:p w14:paraId="686AE88A" w14:textId="77777777" w:rsidR="00A8546D" w:rsidRPr="00BD1755" w:rsidRDefault="00A8546D" w:rsidP="00A8546D">
      <w:pPr>
        <w:spacing w:after="0" w:line="240" w:lineRule="auto"/>
        <w:rPr>
          <w:rFonts w:ascii="Times New Roman" w:hAnsi="Times New Roman" w:cs="Times New Roman"/>
        </w:rPr>
      </w:pPr>
    </w:p>
    <w:p w14:paraId="6867E0D4"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Oguike</w:t>
      </w:r>
      <w:proofErr w:type="spellEnd"/>
      <w:r w:rsidRPr="00071CB1">
        <w:rPr>
          <w:rFonts w:ascii="Times New Roman" w:hAnsi="Times New Roman" w:cs="Times New Roman"/>
        </w:rPr>
        <w:t>, P.C. and Utin, U.E., 2018. Comparative assessment of some physical properties and organic matter content of soils derived from different parent materials in Akwa Ibom State, Nigeria. </w:t>
      </w:r>
      <w:r w:rsidRPr="00071CB1">
        <w:rPr>
          <w:rFonts w:ascii="Times New Roman" w:hAnsi="Times New Roman" w:cs="Times New Roman"/>
          <w:i/>
          <w:iCs/>
        </w:rPr>
        <w:t>Journal of Agricultural Science and Environment</w:t>
      </w:r>
      <w:r w:rsidRPr="00071CB1">
        <w:rPr>
          <w:rFonts w:ascii="Times New Roman" w:hAnsi="Times New Roman" w:cs="Times New Roman"/>
        </w:rPr>
        <w:t>, </w:t>
      </w:r>
      <w:r w:rsidRPr="00071CB1">
        <w:rPr>
          <w:rFonts w:ascii="Times New Roman" w:hAnsi="Times New Roman" w:cs="Times New Roman"/>
          <w:i/>
          <w:iCs/>
        </w:rPr>
        <w:t>18</w:t>
      </w:r>
      <w:r w:rsidRPr="00071CB1">
        <w:rPr>
          <w:rFonts w:ascii="Times New Roman" w:hAnsi="Times New Roman" w:cs="Times New Roman"/>
        </w:rPr>
        <w:t>(1), pp.107-125.</w:t>
      </w:r>
      <w:r w:rsidR="0049151F" w:rsidRPr="00071CB1">
        <w:rPr>
          <w:rFonts w:ascii="Times New Roman" w:hAnsi="Times New Roman" w:cs="Times New Roman"/>
        </w:rPr>
        <w:t xml:space="preserve"> </w:t>
      </w:r>
      <w:hyperlink r:id="rId54" w:history="1">
        <w:r w:rsidRPr="00071CB1">
          <w:rPr>
            <w:rStyle w:val="Hyperlink"/>
            <w:rFonts w:ascii="Times New Roman" w:hAnsi="Times New Roman" w:cs="Times New Roman"/>
          </w:rPr>
          <w:t>https://doi.org/10.51406/jagse.v18i1.1917</w:t>
        </w:r>
      </w:hyperlink>
    </w:p>
    <w:p w14:paraId="74291807" w14:textId="77777777" w:rsidR="00A8546D" w:rsidRPr="00BD1755" w:rsidRDefault="00A8546D" w:rsidP="00A8546D">
      <w:pPr>
        <w:spacing w:after="0" w:line="240" w:lineRule="auto"/>
        <w:rPr>
          <w:rFonts w:ascii="Times New Roman" w:hAnsi="Times New Roman" w:cs="Times New Roman"/>
        </w:rPr>
      </w:pPr>
    </w:p>
    <w:p w14:paraId="678BBDC6"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Ojo, A.O., </w:t>
      </w:r>
      <w:proofErr w:type="spellStart"/>
      <w:r w:rsidRPr="00071CB1">
        <w:rPr>
          <w:rFonts w:ascii="Times New Roman" w:hAnsi="Times New Roman" w:cs="Times New Roman"/>
        </w:rPr>
        <w:t>Ogunyinka</w:t>
      </w:r>
      <w:proofErr w:type="spellEnd"/>
      <w:r w:rsidRPr="00071CB1">
        <w:rPr>
          <w:rFonts w:ascii="Times New Roman" w:hAnsi="Times New Roman" w:cs="Times New Roman"/>
        </w:rPr>
        <w:t xml:space="preserve">, O.O., Daramola, O.O. and Olaoye, F.A., 2021. Hydro-chemical and microbial assessments of water resources around cassava mills in a sedimentary formation of </w:t>
      </w:r>
      <w:proofErr w:type="spellStart"/>
      <w:r w:rsidRPr="00071CB1">
        <w:rPr>
          <w:rFonts w:ascii="Times New Roman" w:hAnsi="Times New Roman" w:cs="Times New Roman"/>
        </w:rPr>
        <w:t>Ilaro</w:t>
      </w:r>
      <w:proofErr w:type="spellEnd"/>
      <w:r w:rsidRPr="00071CB1">
        <w:rPr>
          <w:rFonts w:ascii="Times New Roman" w:hAnsi="Times New Roman" w:cs="Times New Roman"/>
        </w:rPr>
        <w:t>, Southwest Nigeria. </w:t>
      </w:r>
      <w:r w:rsidRPr="00071CB1">
        <w:rPr>
          <w:rFonts w:ascii="Times New Roman" w:hAnsi="Times New Roman" w:cs="Times New Roman"/>
          <w:i/>
          <w:iCs/>
        </w:rPr>
        <w:t>Applied Water Science</w:t>
      </w:r>
      <w:r w:rsidRPr="00071CB1">
        <w:rPr>
          <w:rFonts w:ascii="Times New Roman" w:hAnsi="Times New Roman" w:cs="Times New Roman"/>
        </w:rPr>
        <w:t>, </w:t>
      </w:r>
      <w:r w:rsidRPr="00071CB1">
        <w:rPr>
          <w:rFonts w:ascii="Times New Roman" w:hAnsi="Times New Roman" w:cs="Times New Roman"/>
          <w:i/>
          <w:iCs/>
        </w:rPr>
        <w:t>11</w:t>
      </w:r>
      <w:r w:rsidRPr="00071CB1">
        <w:rPr>
          <w:rFonts w:ascii="Times New Roman" w:hAnsi="Times New Roman" w:cs="Times New Roman"/>
        </w:rPr>
        <w:t>(3), p.62.</w:t>
      </w:r>
      <w:hyperlink r:id="rId55" w:history="1">
        <w:r w:rsidRPr="00071CB1">
          <w:rPr>
            <w:rStyle w:val="Hyperlink"/>
            <w:rFonts w:ascii="Times New Roman" w:hAnsi="Times New Roman" w:cs="Times New Roman"/>
          </w:rPr>
          <w:t>https://doi.org/10.1007/s13201-021-01384-7</w:t>
        </w:r>
      </w:hyperlink>
    </w:p>
    <w:p w14:paraId="76FC513C" w14:textId="77777777" w:rsidR="00A8546D" w:rsidRPr="00BD1755" w:rsidRDefault="00A8546D" w:rsidP="00A8546D">
      <w:pPr>
        <w:spacing w:after="0" w:line="240" w:lineRule="auto"/>
        <w:rPr>
          <w:rFonts w:ascii="Times New Roman" w:hAnsi="Times New Roman" w:cs="Times New Roman"/>
        </w:rPr>
      </w:pPr>
    </w:p>
    <w:p w14:paraId="48C551C0"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Olaniyan, S.A., Hussein, J.B., Oke, M.O., Akinwande, B.A., Workneh, T.S., Ayodele, M. and Adeyemi, I.A., 2025. Assessment of the physicochemical characteristics of by-products of cassava processing and their effects on biodiversity. </w:t>
      </w:r>
      <w:r w:rsidRPr="00071CB1">
        <w:rPr>
          <w:rFonts w:ascii="Times New Roman" w:hAnsi="Times New Roman" w:cs="Times New Roman"/>
          <w:i/>
          <w:iCs/>
        </w:rPr>
        <w:t>Environmental Monitoring and Assessment</w:t>
      </w:r>
      <w:r w:rsidRPr="00071CB1">
        <w:rPr>
          <w:rFonts w:ascii="Times New Roman" w:hAnsi="Times New Roman" w:cs="Times New Roman"/>
        </w:rPr>
        <w:t>, </w:t>
      </w:r>
      <w:r w:rsidRPr="00071CB1">
        <w:rPr>
          <w:rFonts w:ascii="Times New Roman" w:hAnsi="Times New Roman" w:cs="Times New Roman"/>
          <w:i/>
          <w:iCs/>
        </w:rPr>
        <w:t>197</w:t>
      </w:r>
      <w:r w:rsidRPr="00071CB1">
        <w:rPr>
          <w:rFonts w:ascii="Times New Roman" w:hAnsi="Times New Roman" w:cs="Times New Roman"/>
        </w:rPr>
        <w:t>(5), p.533.</w:t>
      </w:r>
      <w:r w:rsidR="00B7268D" w:rsidRPr="00071CB1">
        <w:rPr>
          <w:rFonts w:ascii="Times New Roman" w:hAnsi="Times New Roman" w:cs="Times New Roman"/>
        </w:rPr>
        <w:t xml:space="preserve"> </w:t>
      </w:r>
      <w:hyperlink r:id="rId56" w:history="1">
        <w:r w:rsidRPr="00071CB1">
          <w:rPr>
            <w:rStyle w:val="Hyperlink"/>
            <w:rFonts w:ascii="Times New Roman" w:hAnsi="Times New Roman" w:cs="Times New Roman"/>
          </w:rPr>
          <w:t>https://doi.org/10.1007/s10661-025-13951-5</w:t>
        </w:r>
      </w:hyperlink>
    </w:p>
    <w:p w14:paraId="54DDFC67" w14:textId="77777777" w:rsidR="00A8546D" w:rsidRPr="00BD1755" w:rsidRDefault="00A8546D" w:rsidP="00A8546D">
      <w:pPr>
        <w:spacing w:after="0" w:line="240" w:lineRule="auto"/>
        <w:rPr>
          <w:rFonts w:ascii="Times New Roman" w:hAnsi="Times New Roman" w:cs="Times New Roman"/>
        </w:rPr>
      </w:pPr>
    </w:p>
    <w:p w14:paraId="6328EA76"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lastRenderedPageBreak/>
        <w:t>Orr, R., Hocking, R.K., Pattison, A. and Nelson, P.N., 2020. Extraction of metals from mildly acidic tropical soils: Interactions between chelating ligand, pH and soil type. </w:t>
      </w:r>
      <w:r w:rsidRPr="00071CB1">
        <w:rPr>
          <w:rFonts w:ascii="Times New Roman" w:hAnsi="Times New Roman" w:cs="Times New Roman"/>
          <w:i/>
          <w:iCs/>
        </w:rPr>
        <w:t>Chemosphere</w:t>
      </w:r>
      <w:r w:rsidRPr="00071CB1">
        <w:rPr>
          <w:rFonts w:ascii="Times New Roman" w:hAnsi="Times New Roman" w:cs="Times New Roman"/>
        </w:rPr>
        <w:t>, </w:t>
      </w:r>
      <w:r w:rsidRPr="00071CB1">
        <w:rPr>
          <w:rFonts w:ascii="Times New Roman" w:hAnsi="Times New Roman" w:cs="Times New Roman"/>
          <w:i/>
          <w:iCs/>
        </w:rPr>
        <w:t>248</w:t>
      </w:r>
      <w:r w:rsidRPr="00071CB1">
        <w:rPr>
          <w:rFonts w:ascii="Times New Roman" w:hAnsi="Times New Roman" w:cs="Times New Roman"/>
        </w:rPr>
        <w:t>, p.126060.</w:t>
      </w:r>
      <w:r w:rsidR="00B7268D" w:rsidRPr="00071CB1">
        <w:rPr>
          <w:rFonts w:ascii="Times New Roman" w:hAnsi="Times New Roman" w:cs="Times New Roman"/>
        </w:rPr>
        <w:t xml:space="preserve"> </w:t>
      </w:r>
      <w:hyperlink r:id="rId57" w:history="1">
        <w:r w:rsidRPr="00071CB1">
          <w:rPr>
            <w:rStyle w:val="Hyperlink"/>
            <w:rFonts w:ascii="Times New Roman" w:hAnsi="Times New Roman" w:cs="Times New Roman"/>
          </w:rPr>
          <w:t>https://doi.org/10.1016/j.chemosphere.2020.126060</w:t>
        </w:r>
      </w:hyperlink>
    </w:p>
    <w:p w14:paraId="33B7920D" w14:textId="77777777" w:rsidR="00A8546D" w:rsidRPr="00BD1755" w:rsidRDefault="00A8546D" w:rsidP="00A8546D">
      <w:pPr>
        <w:spacing w:after="0" w:line="240" w:lineRule="auto"/>
        <w:rPr>
          <w:rFonts w:ascii="Times New Roman" w:hAnsi="Times New Roman" w:cs="Times New Roman"/>
        </w:rPr>
      </w:pPr>
    </w:p>
    <w:p w14:paraId="246AC6C1"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Oyun, M.B., Adeyemo, A.J., </w:t>
      </w:r>
      <w:proofErr w:type="spellStart"/>
      <w:r w:rsidRPr="00071CB1">
        <w:rPr>
          <w:rFonts w:ascii="Times New Roman" w:hAnsi="Times New Roman" w:cs="Times New Roman"/>
        </w:rPr>
        <w:t>Fasinmirin</w:t>
      </w:r>
      <w:proofErr w:type="spellEnd"/>
      <w:r w:rsidRPr="00071CB1">
        <w:rPr>
          <w:rFonts w:ascii="Times New Roman" w:hAnsi="Times New Roman" w:cs="Times New Roman"/>
        </w:rPr>
        <w:t>, J.T., Jayeoba, O.J., Ayeni, M.J. and Lawal, S.O., 2025. Evaluation of selected soil physicochemical properties for integrated soil fertility management in agricultural communities in Southern and Northern Nigeria. </w:t>
      </w:r>
      <w:r w:rsidRPr="00071CB1">
        <w:rPr>
          <w:rFonts w:ascii="Times New Roman" w:hAnsi="Times New Roman" w:cs="Times New Roman"/>
          <w:i/>
          <w:iCs/>
        </w:rPr>
        <w:t>Discover Applied Sciences</w:t>
      </w:r>
      <w:r w:rsidRPr="00071CB1">
        <w:rPr>
          <w:rFonts w:ascii="Times New Roman" w:hAnsi="Times New Roman" w:cs="Times New Roman"/>
        </w:rPr>
        <w:t>, </w:t>
      </w:r>
      <w:r w:rsidRPr="00071CB1">
        <w:rPr>
          <w:rFonts w:ascii="Times New Roman" w:hAnsi="Times New Roman" w:cs="Times New Roman"/>
          <w:i/>
          <w:iCs/>
        </w:rPr>
        <w:t>7</w:t>
      </w:r>
      <w:r w:rsidRPr="00071CB1">
        <w:rPr>
          <w:rFonts w:ascii="Times New Roman" w:hAnsi="Times New Roman" w:cs="Times New Roman"/>
        </w:rPr>
        <w:t>(10), p.1094.</w:t>
      </w:r>
      <w:r w:rsidR="00B7268D" w:rsidRPr="00071CB1">
        <w:rPr>
          <w:rFonts w:ascii="Times New Roman" w:hAnsi="Times New Roman" w:cs="Times New Roman"/>
        </w:rPr>
        <w:t xml:space="preserve"> </w:t>
      </w:r>
      <w:hyperlink r:id="rId58" w:history="1">
        <w:r w:rsidRPr="00071CB1">
          <w:rPr>
            <w:rStyle w:val="Hyperlink"/>
            <w:rFonts w:ascii="Times New Roman" w:hAnsi="Times New Roman" w:cs="Times New Roman"/>
          </w:rPr>
          <w:t>https://doi.org/10.1007/s42452-025-07389-0</w:t>
        </w:r>
      </w:hyperlink>
    </w:p>
    <w:p w14:paraId="2F579F46" w14:textId="77777777" w:rsidR="00A8546D" w:rsidRPr="00BD1755" w:rsidRDefault="00A8546D" w:rsidP="00A8546D">
      <w:pPr>
        <w:spacing w:after="0" w:line="240" w:lineRule="auto"/>
        <w:rPr>
          <w:rFonts w:ascii="Times New Roman" w:hAnsi="Times New Roman" w:cs="Times New Roman"/>
        </w:rPr>
      </w:pPr>
    </w:p>
    <w:p w14:paraId="4F860D01"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Ragel, P., Raddatz, N., Leidi, E.O., Quintero, F.J. and Pardo, J.M., 2019. Regulation of K+ nutrition in plants. </w:t>
      </w:r>
      <w:r w:rsidRPr="00071CB1">
        <w:rPr>
          <w:rFonts w:ascii="Times New Roman" w:hAnsi="Times New Roman" w:cs="Times New Roman"/>
          <w:i/>
          <w:iCs/>
        </w:rPr>
        <w:t>Frontiers in Plant Science</w:t>
      </w:r>
      <w:r w:rsidRPr="00071CB1">
        <w:rPr>
          <w:rFonts w:ascii="Times New Roman" w:hAnsi="Times New Roman" w:cs="Times New Roman"/>
        </w:rPr>
        <w:t>, </w:t>
      </w:r>
      <w:r w:rsidRPr="00071CB1">
        <w:rPr>
          <w:rFonts w:ascii="Times New Roman" w:hAnsi="Times New Roman" w:cs="Times New Roman"/>
          <w:i/>
          <w:iCs/>
        </w:rPr>
        <w:t>10</w:t>
      </w:r>
      <w:r w:rsidRPr="00071CB1">
        <w:rPr>
          <w:rFonts w:ascii="Times New Roman" w:hAnsi="Times New Roman" w:cs="Times New Roman"/>
        </w:rPr>
        <w:t>, p.281.</w:t>
      </w:r>
      <w:r w:rsidR="00B7268D" w:rsidRPr="00071CB1">
        <w:rPr>
          <w:rFonts w:ascii="Times New Roman" w:hAnsi="Times New Roman" w:cs="Times New Roman"/>
        </w:rPr>
        <w:t xml:space="preserve"> </w:t>
      </w:r>
      <w:hyperlink r:id="rId59" w:history="1">
        <w:r w:rsidRPr="00071CB1">
          <w:rPr>
            <w:rStyle w:val="Hyperlink"/>
            <w:rFonts w:ascii="Times New Roman" w:hAnsi="Times New Roman" w:cs="Times New Roman"/>
          </w:rPr>
          <w:t>https://doi.org/10.3389/fpls.2019.00281</w:t>
        </w:r>
      </w:hyperlink>
    </w:p>
    <w:p w14:paraId="64ADD1A1" w14:textId="3E842DB9" w:rsidR="00A8546D" w:rsidRPr="00BD1755" w:rsidRDefault="00A8546D" w:rsidP="00071CB1">
      <w:pPr>
        <w:spacing w:after="0" w:line="240" w:lineRule="auto"/>
        <w:ind w:firstLine="60"/>
        <w:rPr>
          <w:rFonts w:ascii="Times New Roman" w:hAnsi="Times New Roman" w:cs="Times New Roman"/>
        </w:rPr>
      </w:pPr>
    </w:p>
    <w:p w14:paraId="7B4FE766"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Schmidt, S.B. and Husted, S., 2019. The biochemical properties of manganese in plants. </w:t>
      </w:r>
      <w:r w:rsidRPr="00071CB1">
        <w:rPr>
          <w:rFonts w:ascii="Times New Roman" w:hAnsi="Times New Roman" w:cs="Times New Roman"/>
          <w:i/>
          <w:iCs/>
        </w:rPr>
        <w:t>Plants</w:t>
      </w:r>
      <w:r w:rsidRPr="00071CB1">
        <w:rPr>
          <w:rFonts w:ascii="Times New Roman" w:hAnsi="Times New Roman" w:cs="Times New Roman"/>
        </w:rPr>
        <w:t>, </w:t>
      </w:r>
      <w:r w:rsidRPr="00071CB1">
        <w:rPr>
          <w:rFonts w:ascii="Times New Roman" w:hAnsi="Times New Roman" w:cs="Times New Roman"/>
          <w:i/>
          <w:iCs/>
        </w:rPr>
        <w:t>8</w:t>
      </w:r>
      <w:r w:rsidRPr="00071CB1">
        <w:rPr>
          <w:rFonts w:ascii="Times New Roman" w:hAnsi="Times New Roman" w:cs="Times New Roman"/>
        </w:rPr>
        <w:t>(10), p.381.</w:t>
      </w:r>
      <w:r w:rsidR="00B7268D" w:rsidRPr="00071CB1">
        <w:rPr>
          <w:rFonts w:ascii="Times New Roman" w:hAnsi="Times New Roman" w:cs="Times New Roman"/>
        </w:rPr>
        <w:t xml:space="preserve"> </w:t>
      </w:r>
      <w:hyperlink r:id="rId60" w:history="1">
        <w:r w:rsidRPr="00071CB1">
          <w:rPr>
            <w:rStyle w:val="Hyperlink"/>
            <w:rFonts w:ascii="Times New Roman" w:hAnsi="Times New Roman" w:cs="Times New Roman"/>
          </w:rPr>
          <w:t>https://doi.org/10.3390/plants8100381</w:t>
        </w:r>
      </w:hyperlink>
    </w:p>
    <w:p w14:paraId="436D330F" w14:textId="77777777" w:rsidR="00A8546D" w:rsidRPr="00BD1755" w:rsidRDefault="00A8546D" w:rsidP="00A8546D">
      <w:pPr>
        <w:spacing w:after="0" w:line="240" w:lineRule="auto"/>
        <w:rPr>
          <w:rFonts w:ascii="Times New Roman" w:hAnsi="Times New Roman" w:cs="Times New Roman"/>
        </w:rPr>
      </w:pPr>
    </w:p>
    <w:p w14:paraId="4F4C9BCB"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Sims, J.T., 1989. Comparison of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1 and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3 extractants for P, K, Ca, Mg, Mn, Cu and Zn in Atlantic coastal plain soils. </w:t>
      </w:r>
      <w:r w:rsidRPr="00071CB1">
        <w:rPr>
          <w:rFonts w:ascii="Times New Roman" w:hAnsi="Times New Roman" w:cs="Times New Roman"/>
          <w:i/>
          <w:iCs/>
        </w:rPr>
        <w:t>Communications in Soil Science and Plant Analysis</w:t>
      </w:r>
      <w:r w:rsidRPr="00071CB1">
        <w:rPr>
          <w:rFonts w:ascii="Times New Roman" w:hAnsi="Times New Roman" w:cs="Times New Roman"/>
        </w:rPr>
        <w:t>, </w:t>
      </w:r>
      <w:r w:rsidRPr="00071CB1">
        <w:rPr>
          <w:rFonts w:ascii="Times New Roman" w:hAnsi="Times New Roman" w:cs="Times New Roman"/>
          <w:i/>
          <w:iCs/>
        </w:rPr>
        <w:t>20</w:t>
      </w:r>
      <w:r w:rsidRPr="00071CB1">
        <w:rPr>
          <w:rFonts w:ascii="Times New Roman" w:hAnsi="Times New Roman" w:cs="Times New Roman"/>
        </w:rPr>
        <w:t>(17-18), pp.1707-1726.</w:t>
      </w:r>
      <w:r w:rsidR="00B7268D" w:rsidRPr="00071CB1">
        <w:rPr>
          <w:rFonts w:ascii="Times New Roman" w:hAnsi="Times New Roman" w:cs="Times New Roman"/>
        </w:rPr>
        <w:t xml:space="preserve"> </w:t>
      </w:r>
      <w:hyperlink r:id="rId61" w:history="1">
        <w:r w:rsidRPr="00071CB1">
          <w:rPr>
            <w:rStyle w:val="Hyperlink"/>
            <w:rFonts w:ascii="Times New Roman" w:hAnsi="Times New Roman" w:cs="Times New Roman"/>
          </w:rPr>
          <w:t>https://doi.org/10.1080/00103628909368178</w:t>
        </w:r>
      </w:hyperlink>
    </w:p>
    <w:p w14:paraId="49019050" w14:textId="77777777" w:rsidR="00A8546D" w:rsidRPr="00BD1755" w:rsidRDefault="00A8546D" w:rsidP="00A8546D">
      <w:pPr>
        <w:spacing w:after="0" w:line="240" w:lineRule="auto"/>
        <w:rPr>
          <w:rFonts w:ascii="Times New Roman" w:hAnsi="Times New Roman" w:cs="Times New Roman"/>
        </w:rPr>
      </w:pPr>
    </w:p>
    <w:p w14:paraId="5C0A3789"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Therby</w:t>
      </w:r>
      <w:proofErr w:type="spellEnd"/>
      <w:r w:rsidRPr="00071CB1">
        <w:rPr>
          <w:rFonts w:ascii="Times New Roman" w:hAnsi="Times New Roman" w:cs="Times New Roman"/>
        </w:rPr>
        <w:t xml:space="preserve">-Vale, R., Lacombe, B., Rhee, S.Y., </w:t>
      </w:r>
      <w:proofErr w:type="spellStart"/>
      <w:r w:rsidRPr="00071CB1">
        <w:rPr>
          <w:rFonts w:ascii="Times New Roman" w:hAnsi="Times New Roman" w:cs="Times New Roman"/>
        </w:rPr>
        <w:t>Nussaume</w:t>
      </w:r>
      <w:proofErr w:type="spellEnd"/>
      <w:r w:rsidRPr="00071CB1">
        <w:rPr>
          <w:rFonts w:ascii="Times New Roman" w:hAnsi="Times New Roman" w:cs="Times New Roman"/>
        </w:rPr>
        <w:t xml:space="preserve">, L. and </w:t>
      </w:r>
      <w:proofErr w:type="spellStart"/>
      <w:r w:rsidRPr="00071CB1">
        <w:rPr>
          <w:rFonts w:ascii="Times New Roman" w:hAnsi="Times New Roman" w:cs="Times New Roman"/>
        </w:rPr>
        <w:t>Rouached</w:t>
      </w:r>
      <w:proofErr w:type="spellEnd"/>
      <w:r w:rsidRPr="00071CB1">
        <w:rPr>
          <w:rFonts w:ascii="Times New Roman" w:hAnsi="Times New Roman" w:cs="Times New Roman"/>
        </w:rPr>
        <w:t>, H., 2022. Mineral nutrient signaling controls photosynthesis: focus on iron deficiency-induced chlorosis. </w:t>
      </w:r>
      <w:r w:rsidR="00267426" w:rsidRPr="00071CB1">
        <w:rPr>
          <w:rFonts w:ascii="Times New Roman" w:hAnsi="Times New Roman" w:cs="Times New Roman"/>
          <w:i/>
          <w:iCs/>
        </w:rPr>
        <w:t xml:space="preserve">Trends in </w:t>
      </w:r>
      <w:r w:rsidR="00267426" w:rsidRPr="00071CB1">
        <w:rPr>
          <w:rFonts w:ascii="Times New Roman" w:hAnsi="Times New Roman" w:cs="Times New Roman"/>
          <w:i/>
          <w:iCs/>
          <w:color w:val="000000"/>
        </w:rPr>
        <w:t>Plant S</w:t>
      </w:r>
      <w:r w:rsidRPr="00071CB1">
        <w:rPr>
          <w:rFonts w:ascii="Times New Roman" w:hAnsi="Times New Roman" w:cs="Times New Roman"/>
          <w:i/>
          <w:iCs/>
          <w:color w:val="000000"/>
        </w:rPr>
        <w:t>cience</w:t>
      </w:r>
      <w:r w:rsidRPr="00071CB1">
        <w:rPr>
          <w:rFonts w:ascii="Times New Roman" w:hAnsi="Times New Roman" w:cs="Times New Roman"/>
          <w:color w:val="000000"/>
        </w:rPr>
        <w:t>, </w:t>
      </w:r>
      <w:r w:rsidRPr="00071CB1">
        <w:rPr>
          <w:rFonts w:ascii="Times New Roman" w:hAnsi="Times New Roman" w:cs="Times New Roman"/>
          <w:i/>
          <w:iCs/>
          <w:color w:val="000000"/>
        </w:rPr>
        <w:t>27</w:t>
      </w:r>
      <w:r w:rsidRPr="00071CB1">
        <w:rPr>
          <w:rFonts w:ascii="Times New Roman" w:hAnsi="Times New Roman" w:cs="Times New Roman"/>
        </w:rPr>
        <w:t>(5), pp.502-509.</w:t>
      </w:r>
      <w:r w:rsidR="00B7268D" w:rsidRPr="00071CB1">
        <w:rPr>
          <w:rFonts w:ascii="Times New Roman" w:hAnsi="Times New Roman" w:cs="Times New Roman"/>
        </w:rPr>
        <w:t xml:space="preserve"> </w:t>
      </w:r>
      <w:hyperlink r:id="rId62" w:history="1">
        <w:r w:rsidRPr="00071CB1">
          <w:rPr>
            <w:rStyle w:val="Hyperlink"/>
            <w:rFonts w:ascii="Times New Roman" w:hAnsi="Times New Roman" w:cs="Times New Roman"/>
          </w:rPr>
          <w:t>https://doi.org/10.1016/j.tplants.2021.11.005</w:t>
        </w:r>
      </w:hyperlink>
    </w:p>
    <w:p w14:paraId="0F0160E2" w14:textId="77777777" w:rsidR="00A8546D" w:rsidRPr="00BD1755" w:rsidRDefault="00A8546D" w:rsidP="00A8546D">
      <w:pPr>
        <w:spacing w:after="0" w:line="240" w:lineRule="auto"/>
        <w:rPr>
          <w:rFonts w:ascii="Times New Roman" w:hAnsi="Times New Roman" w:cs="Times New Roman"/>
        </w:rPr>
      </w:pPr>
    </w:p>
    <w:p w14:paraId="42EE76F9"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Tripathi, D.K., Singh, S., Singh, S., Mishra, S., Chauhan, D.K. and Dubey, N.K., 2015. Micronutrients and their diverse role in agricultural crops: advances and future prospective. </w:t>
      </w:r>
      <w:r w:rsidRPr="00071CB1">
        <w:rPr>
          <w:rFonts w:ascii="Times New Roman" w:hAnsi="Times New Roman" w:cs="Times New Roman"/>
          <w:i/>
          <w:iCs/>
        </w:rPr>
        <w:t xml:space="preserve">Acta </w:t>
      </w:r>
      <w:proofErr w:type="spellStart"/>
      <w:r w:rsidRPr="00071CB1">
        <w:rPr>
          <w:rFonts w:ascii="Times New Roman" w:hAnsi="Times New Roman" w:cs="Times New Roman"/>
          <w:i/>
          <w:iCs/>
        </w:rPr>
        <w:t>Physiologiae</w:t>
      </w:r>
      <w:proofErr w:type="spellEnd"/>
      <w:r w:rsidRPr="00071CB1">
        <w:rPr>
          <w:rFonts w:ascii="Times New Roman" w:hAnsi="Times New Roman" w:cs="Times New Roman"/>
          <w:i/>
          <w:iCs/>
        </w:rPr>
        <w:t xml:space="preserve"> Plantarum</w:t>
      </w:r>
      <w:r w:rsidRPr="00071CB1">
        <w:rPr>
          <w:rFonts w:ascii="Times New Roman" w:hAnsi="Times New Roman" w:cs="Times New Roman"/>
        </w:rPr>
        <w:t>, </w:t>
      </w:r>
      <w:r w:rsidRPr="00071CB1">
        <w:rPr>
          <w:rFonts w:ascii="Times New Roman" w:hAnsi="Times New Roman" w:cs="Times New Roman"/>
          <w:i/>
          <w:iCs/>
        </w:rPr>
        <w:t>37</w:t>
      </w:r>
      <w:r w:rsidRPr="00071CB1">
        <w:rPr>
          <w:rFonts w:ascii="Times New Roman" w:hAnsi="Times New Roman" w:cs="Times New Roman"/>
        </w:rPr>
        <w:t>(7), p.139.</w:t>
      </w:r>
      <w:r w:rsidR="00B7268D" w:rsidRPr="00071CB1">
        <w:rPr>
          <w:rFonts w:ascii="Times New Roman" w:hAnsi="Times New Roman" w:cs="Times New Roman"/>
        </w:rPr>
        <w:t xml:space="preserve"> </w:t>
      </w:r>
      <w:hyperlink r:id="rId63" w:history="1">
        <w:r w:rsidRPr="00071CB1">
          <w:rPr>
            <w:rStyle w:val="Hyperlink"/>
            <w:rFonts w:ascii="Times New Roman" w:hAnsi="Times New Roman" w:cs="Times New Roman"/>
          </w:rPr>
          <w:t>https://doi.org/10.1007/s11738-015-1870-3</w:t>
        </w:r>
      </w:hyperlink>
    </w:p>
    <w:p w14:paraId="51570320" w14:textId="77777777" w:rsidR="00A8546D" w:rsidRPr="00BD1755" w:rsidRDefault="00A8546D" w:rsidP="00A8546D">
      <w:pPr>
        <w:spacing w:after="0" w:line="240" w:lineRule="auto"/>
        <w:rPr>
          <w:rFonts w:ascii="Times New Roman" w:hAnsi="Times New Roman" w:cs="Times New Roman"/>
        </w:rPr>
      </w:pPr>
    </w:p>
    <w:p w14:paraId="121FC635"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Tziouvalekas</w:t>
      </w:r>
      <w:proofErr w:type="spellEnd"/>
      <w:r w:rsidRPr="00071CB1">
        <w:rPr>
          <w:rFonts w:ascii="Times New Roman" w:hAnsi="Times New Roman" w:cs="Times New Roman"/>
        </w:rPr>
        <w:t xml:space="preserve">, M., </w:t>
      </w:r>
      <w:proofErr w:type="spellStart"/>
      <w:r w:rsidRPr="00071CB1">
        <w:rPr>
          <w:rFonts w:ascii="Times New Roman" w:hAnsi="Times New Roman" w:cs="Times New Roman"/>
        </w:rPr>
        <w:t>Noulas</w:t>
      </w:r>
      <w:proofErr w:type="spellEnd"/>
      <w:r w:rsidRPr="00071CB1">
        <w:rPr>
          <w:rFonts w:ascii="Times New Roman" w:hAnsi="Times New Roman" w:cs="Times New Roman"/>
        </w:rPr>
        <w:t xml:space="preserve">, C., </w:t>
      </w:r>
      <w:proofErr w:type="spellStart"/>
      <w:r w:rsidRPr="00071CB1">
        <w:rPr>
          <w:rFonts w:ascii="Times New Roman" w:hAnsi="Times New Roman" w:cs="Times New Roman"/>
        </w:rPr>
        <w:t>Thalassinos</w:t>
      </w:r>
      <w:proofErr w:type="spellEnd"/>
      <w:r w:rsidRPr="00071CB1">
        <w:rPr>
          <w:rFonts w:ascii="Times New Roman" w:hAnsi="Times New Roman" w:cs="Times New Roman"/>
        </w:rPr>
        <w:t xml:space="preserve">, G., Shaheen, S.M., </w:t>
      </w:r>
      <w:proofErr w:type="spellStart"/>
      <w:r w:rsidRPr="00071CB1">
        <w:rPr>
          <w:rFonts w:ascii="Times New Roman" w:hAnsi="Times New Roman" w:cs="Times New Roman"/>
        </w:rPr>
        <w:t>Rinklebe</w:t>
      </w:r>
      <w:proofErr w:type="spellEnd"/>
      <w:r w:rsidRPr="00071CB1">
        <w:rPr>
          <w:rFonts w:ascii="Times New Roman" w:hAnsi="Times New Roman" w:cs="Times New Roman"/>
        </w:rPr>
        <w:t xml:space="preserve">, J. and Antoniadis, V., 2024. Temperature-induced changes in </w:t>
      </w:r>
      <w:proofErr w:type="spellStart"/>
      <w:r w:rsidRPr="00071CB1">
        <w:rPr>
          <w:rFonts w:ascii="Times New Roman" w:hAnsi="Times New Roman" w:cs="Times New Roman"/>
        </w:rPr>
        <w:t>dtpa</w:t>
      </w:r>
      <w:proofErr w:type="spellEnd"/>
      <w:r w:rsidRPr="00071CB1">
        <w:rPr>
          <w:rFonts w:ascii="Times New Roman" w:hAnsi="Times New Roman" w:cs="Times New Roman"/>
        </w:rPr>
        <w:t>-extractable trace elements: Predicting the potential impact of climate change on the availability of soil elements. </w:t>
      </w:r>
      <w:r w:rsidRPr="00071CB1">
        <w:rPr>
          <w:rFonts w:ascii="Times New Roman" w:hAnsi="Times New Roman" w:cs="Times New Roman"/>
          <w:i/>
          <w:iCs/>
        </w:rPr>
        <w:t>Chemosphere</w:t>
      </w:r>
      <w:r w:rsidRPr="00071CB1">
        <w:rPr>
          <w:rFonts w:ascii="Times New Roman" w:hAnsi="Times New Roman" w:cs="Times New Roman"/>
        </w:rPr>
        <w:t>, </w:t>
      </w:r>
      <w:r w:rsidRPr="00071CB1">
        <w:rPr>
          <w:rFonts w:ascii="Times New Roman" w:hAnsi="Times New Roman" w:cs="Times New Roman"/>
          <w:i/>
          <w:iCs/>
        </w:rPr>
        <w:t>350</w:t>
      </w:r>
      <w:r w:rsidRPr="00071CB1">
        <w:rPr>
          <w:rFonts w:ascii="Times New Roman" w:hAnsi="Times New Roman" w:cs="Times New Roman"/>
        </w:rPr>
        <w:t>, p.141064.</w:t>
      </w:r>
      <w:r w:rsidR="00F56701" w:rsidRPr="00071CB1">
        <w:rPr>
          <w:rFonts w:ascii="Times New Roman" w:hAnsi="Times New Roman" w:cs="Times New Roman"/>
        </w:rPr>
        <w:t xml:space="preserve"> </w:t>
      </w:r>
      <w:hyperlink r:id="rId64" w:history="1">
        <w:r w:rsidRPr="00071CB1">
          <w:rPr>
            <w:rStyle w:val="Hyperlink"/>
            <w:rFonts w:ascii="Times New Roman" w:hAnsi="Times New Roman" w:cs="Times New Roman"/>
          </w:rPr>
          <w:t>https://doi.org/10.1016/j.chemosphere.2023.141064</w:t>
        </w:r>
      </w:hyperlink>
    </w:p>
    <w:p w14:paraId="6803A216" w14:textId="77777777" w:rsidR="00A8546D" w:rsidRPr="00BD1755" w:rsidRDefault="00A8546D" w:rsidP="00A8546D">
      <w:pPr>
        <w:spacing w:after="0" w:line="240" w:lineRule="auto"/>
        <w:rPr>
          <w:rFonts w:ascii="Times New Roman" w:hAnsi="Times New Roman" w:cs="Times New Roman"/>
        </w:rPr>
      </w:pPr>
    </w:p>
    <w:p w14:paraId="6E6E2717"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Ubani, S.C., Chukwudi, O., </w:t>
      </w:r>
      <w:proofErr w:type="spellStart"/>
      <w:r w:rsidRPr="00071CB1">
        <w:rPr>
          <w:rFonts w:ascii="Times New Roman" w:hAnsi="Times New Roman" w:cs="Times New Roman"/>
        </w:rPr>
        <w:t>Okpashi</w:t>
      </w:r>
      <w:proofErr w:type="spellEnd"/>
      <w:r w:rsidRPr="00071CB1">
        <w:rPr>
          <w:rFonts w:ascii="Times New Roman" w:hAnsi="Times New Roman" w:cs="Times New Roman"/>
        </w:rPr>
        <w:t>, V.E. and Osuji, C.A., 2017. Palm oil mill effluent effect on soil fertility: a longitudinal assessment of Zea mays plant. </w:t>
      </w:r>
      <w:r w:rsidRPr="00071CB1">
        <w:rPr>
          <w:rFonts w:ascii="Times New Roman" w:hAnsi="Times New Roman" w:cs="Times New Roman"/>
          <w:i/>
          <w:iCs/>
        </w:rPr>
        <w:t>EQA-International Journal of Environmental Quality</w:t>
      </w:r>
      <w:r w:rsidRPr="00071CB1">
        <w:rPr>
          <w:rFonts w:ascii="Times New Roman" w:hAnsi="Times New Roman" w:cs="Times New Roman"/>
        </w:rPr>
        <w:t>, </w:t>
      </w:r>
      <w:r w:rsidRPr="00071CB1">
        <w:rPr>
          <w:rFonts w:ascii="Times New Roman" w:hAnsi="Times New Roman" w:cs="Times New Roman"/>
          <w:i/>
          <w:iCs/>
        </w:rPr>
        <w:t>23</w:t>
      </w:r>
      <w:r w:rsidRPr="00071CB1">
        <w:rPr>
          <w:rFonts w:ascii="Times New Roman" w:hAnsi="Times New Roman" w:cs="Times New Roman"/>
        </w:rPr>
        <w:t>, pp.43-53.</w:t>
      </w:r>
    </w:p>
    <w:p w14:paraId="12DE9C49" w14:textId="77777777" w:rsidR="00B57E99" w:rsidRDefault="00B57E99" w:rsidP="00A8546D">
      <w:pPr>
        <w:spacing w:after="0" w:line="240" w:lineRule="auto"/>
        <w:rPr>
          <w:rFonts w:ascii="Times New Roman" w:hAnsi="Times New Roman" w:cs="Times New Roman"/>
        </w:rPr>
      </w:pPr>
    </w:p>
    <w:p w14:paraId="011E6AF9" w14:textId="77777777" w:rsidR="00B57E99" w:rsidRPr="00071CB1" w:rsidRDefault="00B57E99" w:rsidP="00071CB1">
      <w:pPr>
        <w:pStyle w:val="ListParagraph"/>
        <w:numPr>
          <w:ilvl w:val="0"/>
          <w:numId w:val="5"/>
        </w:numPr>
        <w:spacing w:after="0" w:line="240" w:lineRule="auto"/>
        <w:jc w:val="both"/>
        <w:rPr>
          <w:rFonts w:ascii="Times New Roman" w:hAnsi="Times New Roman" w:cs="Times New Roman"/>
        </w:rPr>
      </w:pPr>
      <w:r w:rsidRPr="00071CB1">
        <w:rPr>
          <w:rFonts w:ascii="Times New Roman" w:hAnsi="Times New Roman" w:cs="Times New Roman"/>
        </w:rPr>
        <w:t xml:space="preserve">Udo, E. J., </w:t>
      </w:r>
      <w:proofErr w:type="spellStart"/>
      <w:r w:rsidRPr="00071CB1">
        <w:rPr>
          <w:rFonts w:ascii="Times New Roman" w:hAnsi="Times New Roman" w:cs="Times New Roman"/>
        </w:rPr>
        <w:t>Ibia</w:t>
      </w:r>
      <w:proofErr w:type="spellEnd"/>
      <w:r w:rsidRPr="00071CB1">
        <w:rPr>
          <w:rFonts w:ascii="Times New Roman" w:hAnsi="Times New Roman" w:cs="Times New Roman"/>
        </w:rPr>
        <w:t xml:space="preserve">, T. O. </w:t>
      </w:r>
      <w:proofErr w:type="spellStart"/>
      <w:r w:rsidRPr="00071CB1">
        <w:rPr>
          <w:rFonts w:ascii="Times New Roman" w:hAnsi="Times New Roman" w:cs="Times New Roman"/>
        </w:rPr>
        <w:t>Ogunwale</w:t>
      </w:r>
      <w:proofErr w:type="spellEnd"/>
      <w:r w:rsidRPr="00071CB1">
        <w:rPr>
          <w:rFonts w:ascii="Times New Roman" w:hAnsi="Times New Roman" w:cs="Times New Roman"/>
        </w:rPr>
        <w:t xml:space="preserve">, J. A, Ano, A. O. and </w:t>
      </w:r>
      <w:proofErr w:type="spellStart"/>
      <w:r w:rsidRPr="00071CB1">
        <w:rPr>
          <w:rFonts w:ascii="Times New Roman" w:hAnsi="Times New Roman" w:cs="Times New Roman"/>
        </w:rPr>
        <w:t>Esu</w:t>
      </w:r>
      <w:proofErr w:type="spellEnd"/>
      <w:r w:rsidRPr="00071CB1">
        <w:rPr>
          <w:rFonts w:ascii="Times New Roman" w:hAnsi="Times New Roman" w:cs="Times New Roman"/>
        </w:rPr>
        <w:t xml:space="preserve">, I. E., 2009. Manual of Soil, Plant and Water Analysis. </w:t>
      </w:r>
      <w:r w:rsidRPr="00071CB1">
        <w:rPr>
          <w:rFonts w:ascii="Times New Roman" w:hAnsi="Times New Roman" w:cs="Times New Roman"/>
          <w:i/>
        </w:rPr>
        <w:t xml:space="preserve">Sibon </w:t>
      </w:r>
      <w:proofErr w:type="spellStart"/>
      <w:r w:rsidRPr="00071CB1">
        <w:rPr>
          <w:rFonts w:ascii="Times New Roman" w:hAnsi="Times New Roman" w:cs="Times New Roman"/>
          <w:i/>
        </w:rPr>
        <w:t>BooksLimited</w:t>
      </w:r>
      <w:proofErr w:type="spellEnd"/>
      <w:r w:rsidRPr="00071CB1">
        <w:rPr>
          <w:rFonts w:ascii="Times New Roman" w:hAnsi="Times New Roman" w:cs="Times New Roman"/>
        </w:rPr>
        <w:t>, Lagos.</w:t>
      </w:r>
    </w:p>
    <w:p w14:paraId="06FA8CC1" w14:textId="77777777" w:rsidR="009331CA" w:rsidRDefault="009331CA" w:rsidP="00B57E99">
      <w:pPr>
        <w:spacing w:after="0" w:line="240" w:lineRule="auto"/>
        <w:jc w:val="both"/>
        <w:rPr>
          <w:rFonts w:ascii="Times New Roman" w:hAnsi="Times New Roman" w:cs="Times New Roman"/>
        </w:rPr>
      </w:pPr>
    </w:p>
    <w:p w14:paraId="54F687BA" w14:textId="5B73F14A" w:rsidR="009331CA" w:rsidRPr="00071CB1" w:rsidRDefault="009331CA" w:rsidP="00071CB1">
      <w:pPr>
        <w:pStyle w:val="ListParagraph"/>
        <w:numPr>
          <w:ilvl w:val="0"/>
          <w:numId w:val="5"/>
        </w:numPr>
        <w:spacing w:after="0" w:line="240" w:lineRule="auto"/>
        <w:jc w:val="both"/>
        <w:rPr>
          <w:rFonts w:ascii="Times New Roman" w:hAnsi="Times New Roman" w:cs="Times New Roman"/>
        </w:rPr>
      </w:pPr>
      <w:r w:rsidRPr="00071CB1">
        <w:rPr>
          <w:rFonts w:ascii="Times New Roman" w:hAnsi="Times New Roman" w:cs="Times New Roman"/>
        </w:rPr>
        <w:t xml:space="preserve">Udo, B.U., </w:t>
      </w:r>
      <w:proofErr w:type="spellStart"/>
      <w:r w:rsidRPr="00071CB1">
        <w:rPr>
          <w:rFonts w:ascii="Times New Roman" w:hAnsi="Times New Roman" w:cs="Times New Roman"/>
        </w:rPr>
        <w:t>Ibia</w:t>
      </w:r>
      <w:proofErr w:type="spellEnd"/>
      <w:r w:rsidRPr="00071CB1">
        <w:rPr>
          <w:rFonts w:ascii="Times New Roman" w:hAnsi="Times New Roman" w:cs="Times New Roman"/>
        </w:rPr>
        <w:t xml:space="preserve">, T.O., Akpan, U.S. 2025a. Analysis and characteristics of soils underlying open dumpsites in Akwa Ibom State, Nigeria: their agricultural and environmental </w:t>
      </w:r>
      <w:r w:rsidRPr="00071CB1">
        <w:rPr>
          <w:rFonts w:ascii="Times New Roman" w:hAnsi="Times New Roman" w:cs="Times New Roman"/>
        </w:rPr>
        <w:lastRenderedPageBreak/>
        <w:t>implications. </w:t>
      </w:r>
      <w:r w:rsidRPr="00071CB1">
        <w:rPr>
          <w:rFonts w:ascii="Times New Roman" w:hAnsi="Times New Roman" w:cs="Times New Roman"/>
          <w:i/>
          <w:iCs/>
        </w:rPr>
        <w:t>Asian Soil Research Journal</w:t>
      </w:r>
      <w:r w:rsidRPr="00071CB1">
        <w:rPr>
          <w:rFonts w:ascii="Times New Roman" w:hAnsi="Times New Roman" w:cs="Times New Roman"/>
        </w:rPr>
        <w:t>, </w:t>
      </w:r>
      <w:r w:rsidRPr="00071CB1">
        <w:rPr>
          <w:rFonts w:ascii="Times New Roman" w:hAnsi="Times New Roman" w:cs="Times New Roman"/>
          <w:i/>
          <w:iCs/>
        </w:rPr>
        <w:t>9</w:t>
      </w:r>
      <w:r w:rsidRPr="00071CB1">
        <w:rPr>
          <w:rFonts w:ascii="Times New Roman" w:hAnsi="Times New Roman" w:cs="Times New Roman"/>
        </w:rPr>
        <w:t>(3), pp.90-106.</w:t>
      </w:r>
      <w:r w:rsidR="006942BF" w:rsidRPr="00071CB1">
        <w:rPr>
          <w:rFonts w:ascii="Times New Roman" w:hAnsi="Times New Roman" w:cs="Times New Roman"/>
        </w:rPr>
        <w:t xml:space="preserve"> </w:t>
      </w:r>
      <w:hyperlink r:id="rId65" w:history="1">
        <w:r w:rsidR="006942BF" w:rsidRPr="00071CB1">
          <w:rPr>
            <w:rStyle w:val="Hyperlink"/>
            <w:rFonts w:ascii="Times New Roman" w:eastAsia="Times New Roman" w:hAnsi="Times New Roman" w:cs="Times New Roman"/>
            <w:lang w:bidi="th-TH"/>
          </w:rPr>
          <w:t>https://doi.org/10.9734/asrj/2025/v9i3193</w:t>
        </w:r>
      </w:hyperlink>
      <w:r w:rsidR="006942BF" w:rsidRPr="00071CB1">
        <w:rPr>
          <w:rFonts w:ascii="Times New Roman" w:eastAsia="Times New Roman" w:hAnsi="Times New Roman" w:cs="Times New Roman"/>
          <w:sz w:val="20"/>
          <w:szCs w:val="20"/>
          <w:lang w:bidi="th-TH"/>
        </w:rPr>
        <w:t xml:space="preserve"> </w:t>
      </w:r>
    </w:p>
    <w:p w14:paraId="10C1D815" w14:textId="77777777" w:rsidR="009331CA" w:rsidRDefault="009331CA" w:rsidP="00B57E99">
      <w:pPr>
        <w:spacing w:after="0" w:line="240" w:lineRule="auto"/>
        <w:jc w:val="both"/>
        <w:rPr>
          <w:rFonts w:ascii="Times New Roman" w:hAnsi="Times New Roman" w:cs="Times New Roman"/>
        </w:rPr>
      </w:pPr>
    </w:p>
    <w:p w14:paraId="778B4FD4" w14:textId="77777777" w:rsidR="009331CA" w:rsidRPr="00071CB1" w:rsidRDefault="009331CA" w:rsidP="00071CB1">
      <w:pPr>
        <w:pStyle w:val="ListParagraph"/>
        <w:numPr>
          <w:ilvl w:val="0"/>
          <w:numId w:val="5"/>
        </w:numPr>
        <w:spacing w:after="0" w:line="240" w:lineRule="auto"/>
        <w:jc w:val="both"/>
        <w:rPr>
          <w:rFonts w:ascii="Times New Roman" w:hAnsi="Times New Roman" w:cs="Times New Roman"/>
        </w:rPr>
      </w:pPr>
      <w:bookmarkStart w:id="4" w:name="_Hlk203032563"/>
      <w:r w:rsidRPr="00071CB1">
        <w:rPr>
          <w:rFonts w:ascii="Times New Roman" w:hAnsi="Times New Roman" w:cs="Times New Roman"/>
        </w:rPr>
        <w:t>Udo</w:t>
      </w:r>
      <w:bookmarkEnd w:id="4"/>
      <w:r w:rsidRPr="00071CB1">
        <w:rPr>
          <w:rFonts w:ascii="Times New Roman" w:hAnsi="Times New Roman" w:cs="Times New Roman"/>
        </w:rPr>
        <w:t xml:space="preserve">, B.U., </w:t>
      </w:r>
      <w:proofErr w:type="spellStart"/>
      <w:r w:rsidRPr="00071CB1">
        <w:rPr>
          <w:rFonts w:ascii="Times New Roman" w:hAnsi="Times New Roman" w:cs="Times New Roman"/>
        </w:rPr>
        <w:t>Ibia</w:t>
      </w:r>
      <w:proofErr w:type="spellEnd"/>
      <w:r w:rsidRPr="00071CB1">
        <w:rPr>
          <w:rFonts w:ascii="Times New Roman" w:hAnsi="Times New Roman" w:cs="Times New Roman"/>
        </w:rPr>
        <w:t xml:space="preserve">, T.O., Akpan, U.S. and </w:t>
      </w:r>
      <w:proofErr w:type="spellStart"/>
      <w:r w:rsidRPr="00071CB1">
        <w:rPr>
          <w:rFonts w:ascii="Times New Roman" w:hAnsi="Times New Roman" w:cs="Times New Roman"/>
        </w:rPr>
        <w:t>Udosen</w:t>
      </w:r>
      <w:proofErr w:type="spellEnd"/>
      <w:r w:rsidRPr="00071CB1">
        <w:rPr>
          <w:rFonts w:ascii="Times New Roman" w:hAnsi="Times New Roman" w:cs="Times New Roman"/>
        </w:rPr>
        <w:t xml:space="preserve">, N. I. 2025b. Waste fingerprints in soils: a study of the influence of wastes on the concentrations of selected heavy metals in soils underlying open dumpsites. </w:t>
      </w:r>
      <w:r w:rsidRPr="00071CB1">
        <w:rPr>
          <w:rFonts w:ascii="Times New Roman" w:hAnsi="Times New Roman" w:cs="Times New Roman"/>
          <w:i/>
          <w:iCs/>
        </w:rPr>
        <w:t>Asian Soil Research Journal.9</w:t>
      </w:r>
      <w:r w:rsidRPr="00071CB1">
        <w:rPr>
          <w:rFonts w:ascii="Times New Roman" w:hAnsi="Times New Roman" w:cs="Times New Roman"/>
        </w:rPr>
        <w:t>(3), 200-217.</w:t>
      </w:r>
      <w:r w:rsidR="00F56701" w:rsidRPr="00071CB1">
        <w:rPr>
          <w:rFonts w:ascii="Times New Roman" w:hAnsi="Times New Roman" w:cs="Times New Roman"/>
        </w:rPr>
        <w:t xml:space="preserve"> </w:t>
      </w:r>
      <w:hyperlink r:id="rId66" w:history="1">
        <w:r w:rsidRPr="00071CB1">
          <w:rPr>
            <w:rStyle w:val="Hyperlink"/>
            <w:rFonts w:ascii="Times New Roman" w:hAnsi="Times New Roman" w:cs="Times New Roman"/>
          </w:rPr>
          <w:t>https://doi.org/10.9734/asrj/2025/v9i3201</w:t>
        </w:r>
      </w:hyperlink>
    </w:p>
    <w:p w14:paraId="36826CAE" w14:textId="77777777" w:rsidR="00FA0C1D" w:rsidRDefault="00FA0C1D" w:rsidP="00B57E99">
      <w:pPr>
        <w:spacing w:after="0" w:line="240" w:lineRule="auto"/>
        <w:jc w:val="both"/>
        <w:rPr>
          <w:rFonts w:ascii="Times New Roman" w:hAnsi="Times New Roman" w:cs="Times New Roman"/>
        </w:rPr>
      </w:pPr>
    </w:p>
    <w:p w14:paraId="44902202" w14:textId="77777777" w:rsidR="00FA0C1D" w:rsidRPr="00071CB1" w:rsidRDefault="00FA0C1D" w:rsidP="00071CB1">
      <w:pPr>
        <w:pStyle w:val="ListParagraph"/>
        <w:numPr>
          <w:ilvl w:val="0"/>
          <w:numId w:val="5"/>
        </w:numPr>
        <w:spacing w:after="0" w:line="240" w:lineRule="auto"/>
        <w:jc w:val="both"/>
        <w:rPr>
          <w:rFonts w:ascii="Times New Roman" w:hAnsi="Times New Roman" w:cs="Times New Roman"/>
        </w:rPr>
      </w:pPr>
      <w:r w:rsidRPr="00071CB1">
        <w:rPr>
          <w:rFonts w:ascii="Times New Roman" w:hAnsi="Times New Roman" w:cs="Times New Roman"/>
        </w:rPr>
        <w:t xml:space="preserve">Udo, B. U., </w:t>
      </w:r>
      <w:proofErr w:type="spellStart"/>
      <w:r w:rsidRPr="00071CB1">
        <w:rPr>
          <w:rFonts w:ascii="Times New Roman" w:hAnsi="Times New Roman" w:cs="Times New Roman"/>
        </w:rPr>
        <w:t>Udosen</w:t>
      </w:r>
      <w:proofErr w:type="spellEnd"/>
      <w:r w:rsidRPr="00071CB1">
        <w:rPr>
          <w:rFonts w:ascii="Times New Roman" w:hAnsi="Times New Roman" w:cs="Times New Roman"/>
        </w:rPr>
        <w:t xml:space="preserve">, N. I., and </w:t>
      </w:r>
      <w:proofErr w:type="spellStart"/>
      <w:r w:rsidRPr="00071CB1">
        <w:rPr>
          <w:rFonts w:ascii="Times New Roman" w:hAnsi="Times New Roman" w:cs="Times New Roman"/>
        </w:rPr>
        <w:t>Ibia</w:t>
      </w:r>
      <w:proofErr w:type="spellEnd"/>
      <w:r w:rsidRPr="00071CB1">
        <w:rPr>
          <w:rFonts w:ascii="Times New Roman" w:hAnsi="Times New Roman" w:cs="Times New Roman"/>
        </w:rPr>
        <w:t>, T. O. 2026. Efficiency of different chemical extractants in evaluating heavy metal bioavailability and ecological risk in waste-impacted soils: a comparative study. </w:t>
      </w:r>
      <w:r w:rsidRPr="00071CB1">
        <w:rPr>
          <w:rFonts w:ascii="Times New Roman" w:hAnsi="Times New Roman" w:cs="Times New Roman"/>
          <w:i/>
          <w:iCs/>
        </w:rPr>
        <w:t>Journal of Global Ecology and Environment, 22</w:t>
      </w:r>
      <w:r w:rsidRPr="00071CB1">
        <w:rPr>
          <w:rFonts w:ascii="Times New Roman" w:hAnsi="Times New Roman" w:cs="Times New Roman"/>
        </w:rPr>
        <w:t xml:space="preserve">(2), pp. 1–16. </w:t>
      </w:r>
      <w:hyperlink r:id="rId67" w:history="1">
        <w:r w:rsidRPr="00071CB1">
          <w:rPr>
            <w:rStyle w:val="Hyperlink"/>
            <w:rFonts w:ascii="Times New Roman" w:hAnsi="Times New Roman" w:cs="Times New Roman"/>
          </w:rPr>
          <w:t>https://doi:10.56557/jogee/2026/v22i210381</w:t>
        </w:r>
      </w:hyperlink>
    </w:p>
    <w:p w14:paraId="6875758D" w14:textId="77777777" w:rsidR="00F56701" w:rsidRDefault="00F56701" w:rsidP="005276CF">
      <w:pPr>
        <w:spacing w:after="0" w:line="240" w:lineRule="auto"/>
        <w:rPr>
          <w:rFonts w:ascii="Times New Roman" w:hAnsi="Times New Roman" w:cs="Times New Roman"/>
        </w:rPr>
      </w:pPr>
    </w:p>
    <w:p w14:paraId="7D2B7F5B" w14:textId="77777777" w:rsidR="005276CF" w:rsidRPr="00071CB1" w:rsidRDefault="005276CF"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Udoh, B. T., and </w:t>
      </w:r>
      <w:proofErr w:type="spellStart"/>
      <w:r w:rsidRPr="00071CB1">
        <w:rPr>
          <w:rFonts w:ascii="Times New Roman" w:hAnsi="Times New Roman" w:cs="Times New Roman"/>
        </w:rPr>
        <w:t>Ibia</w:t>
      </w:r>
      <w:proofErr w:type="spellEnd"/>
      <w:r w:rsidRPr="00071CB1">
        <w:rPr>
          <w:rFonts w:ascii="Times New Roman" w:hAnsi="Times New Roman" w:cs="Times New Roman"/>
        </w:rPr>
        <w:t xml:space="preserve">, T. O. 2022. Fertility capability classification for agricultural land use planning in the beach sand area of Akwa Ibom State, Nigeria. </w:t>
      </w:r>
      <w:proofErr w:type="spellStart"/>
      <w:r w:rsidRPr="00071CB1">
        <w:rPr>
          <w:rFonts w:ascii="Times New Roman" w:hAnsi="Times New Roman" w:cs="Times New Roman"/>
          <w:i/>
          <w:iCs/>
        </w:rPr>
        <w:t>Agro</w:t>
      </w:r>
      <w:proofErr w:type="spellEnd"/>
      <w:r w:rsidRPr="00071CB1">
        <w:rPr>
          <w:rFonts w:ascii="Times New Roman" w:hAnsi="Times New Roman" w:cs="Times New Roman"/>
          <w:i/>
          <w:iCs/>
        </w:rPr>
        <w:t>-Science, 21</w:t>
      </w:r>
      <w:r w:rsidRPr="00071CB1">
        <w:rPr>
          <w:rFonts w:ascii="Times New Roman" w:hAnsi="Times New Roman" w:cs="Times New Roman"/>
        </w:rPr>
        <w:t xml:space="preserve">(2), 74–78. </w:t>
      </w:r>
    </w:p>
    <w:p w14:paraId="08C1BDCC" w14:textId="77777777" w:rsidR="005276CF" w:rsidRDefault="005276CF" w:rsidP="00071CB1">
      <w:pPr>
        <w:pStyle w:val="ListParagraph"/>
        <w:numPr>
          <w:ilvl w:val="0"/>
          <w:numId w:val="5"/>
        </w:numPr>
        <w:spacing w:after="0" w:line="240" w:lineRule="auto"/>
      </w:pPr>
      <w:hyperlink r:id="rId68" w:history="1">
        <w:r w:rsidRPr="00071CB1">
          <w:rPr>
            <w:rStyle w:val="Hyperlink"/>
            <w:rFonts w:ascii="Times New Roman" w:hAnsi="Times New Roman" w:cs="Times New Roman"/>
          </w:rPr>
          <w:t>https://doi.org/10.4314/as.v21i2.8</w:t>
        </w:r>
      </w:hyperlink>
    </w:p>
    <w:p w14:paraId="3651EF9E" w14:textId="77777777" w:rsidR="00943B7A" w:rsidRDefault="00943B7A" w:rsidP="005276CF">
      <w:pPr>
        <w:spacing w:after="0" w:line="240" w:lineRule="auto"/>
      </w:pPr>
    </w:p>
    <w:p w14:paraId="5674DB9E" w14:textId="5D4FB90D" w:rsidR="00943B7A" w:rsidRPr="00071CB1" w:rsidRDefault="00943B7A"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Udosen, N.I., George, N.J. and Ekanem, A.M., 2024. Aquifer vulnerability valorization via DRASTIC index-based assessment within litho-facies of a coastal environment. </w:t>
      </w:r>
      <w:r w:rsidRPr="00071CB1">
        <w:rPr>
          <w:rFonts w:ascii="Times New Roman" w:hAnsi="Times New Roman" w:cs="Times New Roman"/>
          <w:i/>
          <w:iCs/>
        </w:rPr>
        <w:t>Results in Earth Sciences</w:t>
      </w:r>
      <w:r w:rsidRPr="00071CB1">
        <w:rPr>
          <w:rFonts w:ascii="Times New Roman" w:hAnsi="Times New Roman" w:cs="Times New Roman"/>
        </w:rPr>
        <w:t>, </w:t>
      </w:r>
      <w:r w:rsidRPr="00071CB1">
        <w:rPr>
          <w:rFonts w:ascii="Times New Roman" w:hAnsi="Times New Roman" w:cs="Times New Roman"/>
          <w:i/>
          <w:iCs/>
        </w:rPr>
        <w:t>2</w:t>
      </w:r>
      <w:r w:rsidRPr="00071CB1">
        <w:rPr>
          <w:rFonts w:ascii="Times New Roman" w:hAnsi="Times New Roman" w:cs="Times New Roman"/>
        </w:rPr>
        <w:t xml:space="preserve">, p.100033. </w:t>
      </w:r>
      <w:hyperlink r:id="rId69" w:tgtFrame="_blank" w:tooltip="Persistent link using digital object identifier" w:history="1">
        <w:r w:rsidRPr="00071CB1">
          <w:rPr>
            <w:rStyle w:val="Hyperlink"/>
            <w:rFonts w:ascii="Times New Roman" w:hAnsi="Times New Roman" w:cs="Times New Roman"/>
          </w:rPr>
          <w:t>https://doi.org/10.1016/j.rines.2024.100033</w:t>
        </w:r>
      </w:hyperlink>
      <w:r w:rsidRPr="00071CB1">
        <w:rPr>
          <w:rFonts w:ascii="Times New Roman" w:hAnsi="Times New Roman" w:cs="Times New Roman"/>
        </w:rPr>
        <w:t xml:space="preserve"> </w:t>
      </w:r>
    </w:p>
    <w:p w14:paraId="0B9AF8C7" w14:textId="77777777" w:rsidR="00A8546D" w:rsidRPr="00BD1755" w:rsidRDefault="00A8546D" w:rsidP="00A8546D">
      <w:pPr>
        <w:spacing w:after="0" w:line="240" w:lineRule="auto"/>
        <w:rPr>
          <w:rFonts w:ascii="Times New Roman" w:hAnsi="Times New Roman" w:cs="Times New Roman"/>
        </w:rPr>
      </w:pPr>
    </w:p>
    <w:p w14:paraId="5346B093"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 xml:space="preserve">Ujang, F.A., Roslan, A.M., Osman, N.A., Norman, A., Idris, J., Farid, M.A.A., Halmi, M.I.E., Gozan, M. and Hassan, M.A., 2021. Removal </w:t>
      </w:r>
      <w:proofErr w:type="spellStart"/>
      <w:r w:rsidRPr="00071CB1">
        <w:rPr>
          <w:rFonts w:ascii="Times New Roman" w:hAnsi="Times New Roman" w:cs="Times New Roman"/>
        </w:rPr>
        <w:t>behaviour</w:t>
      </w:r>
      <w:proofErr w:type="spellEnd"/>
      <w:r w:rsidRPr="00071CB1">
        <w:rPr>
          <w:rFonts w:ascii="Times New Roman" w:hAnsi="Times New Roman" w:cs="Times New Roman"/>
        </w:rPr>
        <w:t xml:space="preserve"> of residual pollutants from biologically treated palm oil mill </w:t>
      </w:r>
      <w:r w:rsidRPr="00071CB1">
        <w:rPr>
          <w:rFonts w:ascii="Times New Roman" w:hAnsi="Times New Roman" w:cs="Times New Roman"/>
          <w:color w:val="000000"/>
        </w:rPr>
        <w:t xml:space="preserve">effluent by </w:t>
      </w:r>
      <w:r w:rsidRPr="00071CB1">
        <w:rPr>
          <w:rFonts w:ascii="Times New Roman" w:hAnsi="Times New Roman" w:cs="Times New Roman"/>
          <w:i/>
          <w:color w:val="000000"/>
        </w:rPr>
        <w:t>Pennisetum purpureum</w:t>
      </w:r>
      <w:r w:rsidRPr="00071CB1">
        <w:rPr>
          <w:rFonts w:ascii="Times New Roman" w:hAnsi="Times New Roman" w:cs="Times New Roman"/>
          <w:color w:val="000000"/>
        </w:rPr>
        <w:t xml:space="preserve"> in constructed</w:t>
      </w:r>
      <w:r w:rsidRPr="00071CB1">
        <w:rPr>
          <w:rFonts w:ascii="Times New Roman" w:hAnsi="Times New Roman" w:cs="Times New Roman"/>
        </w:rPr>
        <w:t xml:space="preserve"> wetland. </w:t>
      </w:r>
      <w:r w:rsidR="005C0EFD" w:rsidRPr="00071CB1">
        <w:rPr>
          <w:rFonts w:ascii="Times New Roman" w:hAnsi="Times New Roman" w:cs="Times New Roman"/>
          <w:i/>
          <w:iCs/>
        </w:rPr>
        <w:t xml:space="preserve">Scientific </w:t>
      </w:r>
      <w:r w:rsidR="005C0EFD" w:rsidRPr="00071CB1">
        <w:rPr>
          <w:rFonts w:ascii="Times New Roman" w:hAnsi="Times New Roman" w:cs="Times New Roman"/>
          <w:i/>
          <w:iCs/>
          <w:color w:val="000000"/>
        </w:rPr>
        <w:t>R</w:t>
      </w:r>
      <w:r w:rsidRPr="00071CB1">
        <w:rPr>
          <w:rFonts w:ascii="Times New Roman" w:hAnsi="Times New Roman" w:cs="Times New Roman"/>
          <w:i/>
          <w:iCs/>
          <w:color w:val="000000"/>
        </w:rPr>
        <w:t>eports</w:t>
      </w:r>
      <w:r w:rsidRPr="00071CB1">
        <w:rPr>
          <w:rFonts w:ascii="Times New Roman" w:hAnsi="Times New Roman" w:cs="Times New Roman"/>
          <w:color w:val="000000"/>
        </w:rPr>
        <w:t>, </w:t>
      </w:r>
      <w:r w:rsidRPr="00071CB1">
        <w:rPr>
          <w:rFonts w:ascii="Times New Roman" w:hAnsi="Times New Roman" w:cs="Times New Roman"/>
          <w:i/>
          <w:iCs/>
          <w:color w:val="000000"/>
        </w:rPr>
        <w:t>11</w:t>
      </w:r>
      <w:r w:rsidRPr="00071CB1">
        <w:rPr>
          <w:rFonts w:ascii="Times New Roman" w:hAnsi="Times New Roman" w:cs="Times New Roman"/>
          <w:color w:val="000000"/>
        </w:rPr>
        <w:t>(1</w:t>
      </w:r>
      <w:r w:rsidRPr="00071CB1">
        <w:rPr>
          <w:rFonts w:ascii="Times New Roman" w:hAnsi="Times New Roman" w:cs="Times New Roman"/>
        </w:rPr>
        <w:t>), p.18257.</w:t>
      </w:r>
      <w:r w:rsidR="00F56701" w:rsidRPr="00071CB1">
        <w:rPr>
          <w:rFonts w:ascii="Times New Roman" w:hAnsi="Times New Roman" w:cs="Times New Roman"/>
        </w:rPr>
        <w:t xml:space="preserve"> </w:t>
      </w:r>
      <w:hyperlink r:id="rId70" w:history="1">
        <w:r w:rsidRPr="00071CB1">
          <w:rPr>
            <w:rStyle w:val="Hyperlink"/>
            <w:rFonts w:ascii="Times New Roman" w:hAnsi="Times New Roman" w:cs="Times New Roman"/>
          </w:rPr>
          <w:t>https://doi.org/10.1038/s41598-021-97789-0</w:t>
        </w:r>
      </w:hyperlink>
    </w:p>
    <w:p w14:paraId="59F0DFC7" w14:textId="77777777" w:rsidR="00A8546D" w:rsidRPr="00BD1755" w:rsidRDefault="00A8546D" w:rsidP="00A8546D">
      <w:pPr>
        <w:spacing w:after="0" w:line="240" w:lineRule="auto"/>
        <w:rPr>
          <w:rFonts w:ascii="Times New Roman" w:hAnsi="Times New Roman" w:cs="Times New Roman"/>
        </w:rPr>
      </w:pPr>
    </w:p>
    <w:p w14:paraId="08C5B01C"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proofErr w:type="spellStart"/>
      <w:r w:rsidRPr="00071CB1">
        <w:rPr>
          <w:rFonts w:ascii="Times New Roman" w:hAnsi="Times New Roman" w:cs="Times New Roman"/>
        </w:rPr>
        <w:t>Uroko</w:t>
      </w:r>
      <w:proofErr w:type="spellEnd"/>
      <w:r w:rsidRPr="00071CB1">
        <w:rPr>
          <w:rFonts w:ascii="Times New Roman" w:hAnsi="Times New Roman" w:cs="Times New Roman"/>
        </w:rPr>
        <w:t xml:space="preserve">, R.I., Aaron, C.F., Uche, M.E., Aguwamba, C. and </w:t>
      </w:r>
      <w:proofErr w:type="spellStart"/>
      <w:r w:rsidRPr="00071CB1">
        <w:rPr>
          <w:rFonts w:ascii="Times New Roman" w:hAnsi="Times New Roman" w:cs="Times New Roman"/>
        </w:rPr>
        <w:t>Nweje-Anyalowu</w:t>
      </w:r>
      <w:proofErr w:type="spellEnd"/>
      <w:r w:rsidRPr="00071CB1">
        <w:rPr>
          <w:rFonts w:ascii="Times New Roman" w:hAnsi="Times New Roman" w:cs="Times New Roman"/>
        </w:rPr>
        <w:t xml:space="preserve">, P.C., 2025. </w:t>
      </w:r>
      <w:r w:rsidRPr="00071CB1">
        <w:rPr>
          <w:rFonts w:ascii="Times New Roman" w:hAnsi="Times New Roman" w:cs="Times New Roman"/>
          <w:color w:val="000000" w:themeColor="text1"/>
        </w:rPr>
        <w:t xml:space="preserve">Influence </w:t>
      </w:r>
      <w:r w:rsidR="005A4401" w:rsidRPr="00071CB1">
        <w:rPr>
          <w:rFonts w:ascii="Times New Roman" w:hAnsi="Times New Roman" w:cs="Times New Roman"/>
          <w:color w:val="000000" w:themeColor="text1"/>
        </w:rPr>
        <w:t>of palm oil mill effluents on selected soil physicochemical properties and soil enzyme activities</w:t>
      </w:r>
      <w:r w:rsidRPr="00071CB1">
        <w:rPr>
          <w:rFonts w:ascii="Times New Roman" w:hAnsi="Times New Roman" w:cs="Times New Roman"/>
          <w:color w:val="000000" w:themeColor="text1"/>
        </w:rPr>
        <w:t>. </w:t>
      </w:r>
      <w:r w:rsidRPr="00071CB1">
        <w:rPr>
          <w:rFonts w:ascii="Times New Roman" w:hAnsi="Times New Roman" w:cs="Times New Roman"/>
          <w:i/>
          <w:iCs/>
          <w:color w:val="000000" w:themeColor="text1"/>
        </w:rPr>
        <w:t xml:space="preserve">International Journal of Agriculture </w:t>
      </w:r>
      <w:r w:rsidRPr="00071CB1">
        <w:rPr>
          <w:rFonts w:ascii="Times New Roman" w:hAnsi="Times New Roman" w:cs="Times New Roman"/>
          <w:i/>
          <w:iCs/>
        </w:rPr>
        <w:t>System</w:t>
      </w:r>
      <w:r w:rsidRPr="00071CB1">
        <w:rPr>
          <w:rFonts w:ascii="Times New Roman" w:hAnsi="Times New Roman" w:cs="Times New Roman"/>
        </w:rPr>
        <w:t>, 13(1), pp.41-58.</w:t>
      </w:r>
    </w:p>
    <w:p w14:paraId="2301DB58" w14:textId="77777777" w:rsidR="00A8546D" w:rsidRPr="00BD1755" w:rsidRDefault="00A8546D" w:rsidP="00A8546D">
      <w:pPr>
        <w:spacing w:after="0" w:line="240" w:lineRule="auto"/>
        <w:rPr>
          <w:rFonts w:ascii="Times New Roman" w:hAnsi="Times New Roman" w:cs="Times New Roman"/>
        </w:rPr>
      </w:pPr>
    </w:p>
    <w:p w14:paraId="19488927" w14:textId="77777777" w:rsidR="00A8546D" w:rsidRDefault="00A8546D" w:rsidP="00071CB1">
      <w:pPr>
        <w:pStyle w:val="ListParagraph"/>
        <w:numPr>
          <w:ilvl w:val="0"/>
          <w:numId w:val="5"/>
        </w:numPr>
        <w:spacing w:after="0" w:line="240" w:lineRule="auto"/>
      </w:pPr>
      <w:r w:rsidRPr="00071CB1">
        <w:rPr>
          <w:rFonts w:ascii="Times New Roman" w:hAnsi="Times New Roman" w:cs="Times New Roman"/>
        </w:rPr>
        <w:t xml:space="preserve">Sharma, V., Kaur, J., Dhaliwal, S.S., Singh, V., Kaur, M., Singh, P. and Behera, S.K., 2025. </w:t>
      </w:r>
      <w:r w:rsidRPr="00071CB1">
        <w:rPr>
          <w:rFonts w:ascii="Times New Roman" w:hAnsi="Times New Roman" w:cs="Times New Roman"/>
          <w:color w:val="000000" w:themeColor="text1"/>
        </w:rPr>
        <w:t xml:space="preserve">Suitability </w:t>
      </w:r>
      <w:r w:rsidR="005A4401" w:rsidRPr="00071CB1">
        <w:rPr>
          <w:rFonts w:ascii="Times New Roman" w:hAnsi="Times New Roman" w:cs="Times New Roman"/>
          <w:color w:val="000000" w:themeColor="text1"/>
        </w:rPr>
        <w:t xml:space="preserve">of </w:t>
      </w:r>
      <w:proofErr w:type="spellStart"/>
      <w:r w:rsidR="005A4401" w:rsidRPr="00071CB1">
        <w:rPr>
          <w:rFonts w:ascii="Times New Roman" w:hAnsi="Times New Roman" w:cs="Times New Roman"/>
          <w:color w:val="000000" w:themeColor="text1"/>
        </w:rPr>
        <w:t>multinutrient</w:t>
      </w:r>
      <w:proofErr w:type="spellEnd"/>
      <w:r w:rsidR="005A4401" w:rsidRPr="00071CB1">
        <w:rPr>
          <w:rFonts w:ascii="Times New Roman" w:hAnsi="Times New Roman" w:cs="Times New Roman"/>
          <w:color w:val="000000" w:themeColor="text1"/>
        </w:rPr>
        <w:t xml:space="preserve"> extractant for estimating micronutrients cations in different soil orders of </w:t>
      </w:r>
      <w:r w:rsidRPr="00071CB1">
        <w:rPr>
          <w:rFonts w:ascii="Times New Roman" w:hAnsi="Times New Roman" w:cs="Times New Roman"/>
          <w:color w:val="000000" w:themeColor="text1"/>
        </w:rPr>
        <w:t>Punjab, India. </w:t>
      </w:r>
      <w:r w:rsidRPr="00071CB1">
        <w:rPr>
          <w:rFonts w:ascii="Times New Roman" w:hAnsi="Times New Roman" w:cs="Times New Roman"/>
          <w:i/>
          <w:iCs/>
          <w:color w:val="000000" w:themeColor="text1"/>
        </w:rPr>
        <w:t>Journal of the Indian Society of Soil Science</w:t>
      </w:r>
      <w:r w:rsidRPr="00071CB1">
        <w:rPr>
          <w:rFonts w:ascii="Times New Roman" w:hAnsi="Times New Roman" w:cs="Times New Roman"/>
          <w:color w:val="000000" w:themeColor="text1"/>
        </w:rPr>
        <w:t>, </w:t>
      </w:r>
      <w:r w:rsidRPr="00071CB1">
        <w:rPr>
          <w:rFonts w:ascii="Times New Roman" w:hAnsi="Times New Roman" w:cs="Times New Roman"/>
          <w:i/>
          <w:iCs/>
          <w:color w:val="000000" w:themeColor="text1"/>
        </w:rPr>
        <w:t>73</w:t>
      </w:r>
      <w:r w:rsidRPr="00071CB1">
        <w:rPr>
          <w:rFonts w:ascii="Times New Roman" w:hAnsi="Times New Roman" w:cs="Times New Roman"/>
          <w:color w:val="000000" w:themeColor="text1"/>
        </w:rPr>
        <w:t>(3), pp.292-</w:t>
      </w:r>
      <w:r w:rsidRPr="00071CB1">
        <w:rPr>
          <w:rFonts w:ascii="Times New Roman" w:hAnsi="Times New Roman" w:cs="Times New Roman"/>
        </w:rPr>
        <w:t>302.</w:t>
      </w:r>
      <w:r w:rsidR="00F56701" w:rsidRPr="00071CB1">
        <w:rPr>
          <w:rFonts w:ascii="Times New Roman" w:hAnsi="Times New Roman" w:cs="Times New Roman"/>
        </w:rPr>
        <w:t xml:space="preserve"> </w:t>
      </w:r>
      <w:hyperlink r:id="rId71" w:history="1">
        <w:r w:rsidRPr="00071CB1">
          <w:rPr>
            <w:rStyle w:val="Hyperlink"/>
            <w:rFonts w:ascii="Times New Roman" w:hAnsi="Times New Roman" w:cs="Times New Roman"/>
          </w:rPr>
          <w:t>https://doi.org/10.5958/0974-0228.2025.00036.4</w:t>
        </w:r>
      </w:hyperlink>
    </w:p>
    <w:p w14:paraId="0EC249E7" w14:textId="77777777" w:rsidR="00423D8E" w:rsidRDefault="00423D8E" w:rsidP="00A8546D">
      <w:pPr>
        <w:spacing w:after="0" w:line="240" w:lineRule="auto"/>
      </w:pPr>
    </w:p>
    <w:p w14:paraId="4E99E741" w14:textId="77777777" w:rsidR="00423D8E" w:rsidRPr="00071CB1" w:rsidRDefault="00423D8E" w:rsidP="00071CB1">
      <w:pPr>
        <w:pStyle w:val="ListParagraph"/>
        <w:numPr>
          <w:ilvl w:val="0"/>
          <w:numId w:val="5"/>
        </w:numPr>
        <w:spacing w:after="0" w:line="240" w:lineRule="auto"/>
        <w:jc w:val="both"/>
        <w:rPr>
          <w:rFonts w:ascii="Times New Roman" w:hAnsi="Times New Roman" w:cs="Times New Roman"/>
          <w:bCs/>
        </w:rPr>
      </w:pPr>
      <w:r w:rsidRPr="00071CB1">
        <w:rPr>
          <w:rFonts w:ascii="Times New Roman" w:hAnsi="Times New Roman" w:cs="Times New Roman"/>
          <w:bCs/>
          <w:color w:val="000000" w:themeColor="text1"/>
        </w:rPr>
        <w:t xml:space="preserve">van Erp, P. J., </w:t>
      </w:r>
      <w:proofErr w:type="spellStart"/>
      <w:r w:rsidRPr="00071CB1">
        <w:rPr>
          <w:rFonts w:ascii="Times New Roman" w:hAnsi="Times New Roman" w:cs="Times New Roman"/>
          <w:bCs/>
          <w:color w:val="000000" w:themeColor="text1"/>
        </w:rPr>
        <w:t>Houba</w:t>
      </w:r>
      <w:proofErr w:type="spellEnd"/>
      <w:r w:rsidRPr="00071CB1">
        <w:rPr>
          <w:rFonts w:ascii="Times New Roman" w:hAnsi="Times New Roman" w:cs="Times New Roman"/>
          <w:bCs/>
          <w:color w:val="000000" w:themeColor="text1"/>
        </w:rPr>
        <w:t xml:space="preserve">, V. J. G., and Van Beuslchen, M. L. 1998 One hundredth molar calcium chloride extraction procedure. Part 1: A review of soil chemical, analytical, and plant nutritional aspects. </w:t>
      </w:r>
      <w:r w:rsidRPr="00071CB1">
        <w:rPr>
          <w:rFonts w:ascii="Times New Roman" w:hAnsi="Times New Roman" w:cs="Times New Roman"/>
          <w:bCs/>
          <w:i/>
          <w:color w:val="000000" w:themeColor="text1"/>
        </w:rPr>
        <w:t>Communications in Soil Science and Plant Analysis</w:t>
      </w:r>
      <w:r w:rsidRPr="00071CB1">
        <w:rPr>
          <w:rFonts w:ascii="Times New Roman" w:hAnsi="Times New Roman" w:cs="Times New Roman"/>
          <w:bCs/>
          <w:color w:val="000000" w:themeColor="text1"/>
        </w:rPr>
        <w:t>, 29(11-14): 1603-1623</w:t>
      </w:r>
      <w:r w:rsidR="00F56701" w:rsidRPr="00071CB1">
        <w:rPr>
          <w:rFonts w:ascii="Times New Roman" w:hAnsi="Times New Roman" w:cs="Times New Roman"/>
          <w:bCs/>
          <w:color w:val="000000" w:themeColor="text1"/>
        </w:rPr>
        <w:t xml:space="preserve"> </w:t>
      </w:r>
      <w:hyperlink r:id="rId72" w:history="1">
        <w:r w:rsidRPr="00071CB1">
          <w:rPr>
            <w:rStyle w:val="Hyperlink"/>
            <w:rFonts w:ascii="Times New Roman" w:hAnsi="Times New Roman" w:cs="Times New Roman"/>
            <w:bCs/>
          </w:rPr>
          <w:t>https://doi.oeg/10.1080/00103629809370053</w:t>
        </w:r>
      </w:hyperlink>
    </w:p>
    <w:p w14:paraId="01497545" w14:textId="77777777" w:rsidR="00423D8E" w:rsidRDefault="00423D8E" w:rsidP="00A8546D">
      <w:pPr>
        <w:spacing w:after="0" w:line="240" w:lineRule="auto"/>
        <w:rPr>
          <w:rFonts w:ascii="Times New Roman" w:hAnsi="Times New Roman" w:cs="Times New Roman"/>
        </w:rPr>
      </w:pPr>
    </w:p>
    <w:p w14:paraId="7A248492"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t>van Raij, B., 1994. New diagnostic techniques, universal soil extractants. </w:t>
      </w:r>
      <w:r w:rsidRPr="00071CB1">
        <w:rPr>
          <w:rFonts w:ascii="Times New Roman" w:hAnsi="Times New Roman" w:cs="Times New Roman"/>
          <w:i/>
          <w:iCs/>
        </w:rPr>
        <w:t>Communications in Soil Science and Plant Analysis</w:t>
      </w:r>
      <w:r w:rsidRPr="00071CB1">
        <w:rPr>
          <w:rFonts w:ascii="Times New Roman" w:hAnsi="Times New Roman" w:cs="Times New Roman"/>
        </w:rPr>
        <w:t>, </w:t>
      </w:r>
      <w:r w:rsidRPr="00071CB1">
        <w:rPr>
          <w:rFonts w:ascii="Times New Roman" w:hAnsi="Times New Roman" w:cs="Times New Roman"/>
          <w:i/>
          <w:iCs/>
        </w:rPr>
        <w:t>25</w:t>
      </w:r>
      <w:r w:rsidRPr="00071CB1">
        <w:rPr>
          <w:rFonts w:ascii="Times New Roman" w:hAnsi="Times New Roman" w:cs="Times New Roman"/>
        </w:rPr>
        <w:t>(7-8), pp.799-816.</w:t>
      </w:r>
      <w:r w:rsidR="00F56701" w:rsidRPr="00071CB1">
        <w:rPr>
          <w:rFonts w:ascii="Times New Roman" w:hAnsi="Times New Roman" w:cs="Times New Roman"/>
        </w:rPr>
        <w:t xml:space="preserve"> </w:t>
      </w:r>
      <w:hyperlink r:id="rId73" w:history="1">
        <w:r w:rsidRPr="00071CB1">
          <w:rPr>
            <w:rStyle w:val="Hyperlink"/>
            <w:rFonts w:ascii="Times New Roman" w:hAnsi="Times New Roman" w:cs="Times New Roman"/>
          </w:rPr>
          <w:t>https://doi.org/10.1080/00103629409369081</w:t>
        </w:r>
      </w:hyperlink>
    </w:p>
    <w:p w14:paraId="65FED132" w14:textId="77777777" w:rsidR="00A8546D" w:rsidRPr="00BD1755" w:rsidRDefault="00A8546D" w:rsidP="00A8546D">
      <w:pPr>
        <w:spacing w:after="0" w:line="240" w:lineRule="auto"/>
        <w:rPr>
          <w:rFonts w:ascii="Times New Roman" w:hAnsi="Times New Roman" w:cs="Times New Roman"/>
        </w:rPr>
      </w:pPr>
    </w:p>
    <w:p w14:paraId="7BAC4FCA" w14:textId="77777777" w:rsidR="00A8546D" w:rsidRPr="00071CB1" w:rsidRDefault="00A8546D" w:rsidP="00071CB1">
      <w:pPr>
        <w:pStyle w:val="ListParagraph"/>
        <w:numPr>
          <w:ilvl w:val="0"/>
          <w:numId w:val="5"/>
        </w:numPr>
        <w:spacing w:after="0" w:line="240" w:lineRule="auto"/>
        <w:rPr>
          <w:rFonts w:ascii="Times New Roman" w:hAnsi="Times New Roman" w:cs="Times New Roman"/>
        </w:rPr>
      </w:pPr>
      <w:r w:rsidRPr="00071CB1">
        <w:rPr>
          <w:rFonts w:ascii="Times New Roman" w:hAnsi="Times New Roman" w:cs="Times New Roman"/>
        </w:rPr>
        <w:lastRenderedPageBreak/>
        <w:t xml:space="preserve">Zhu, B. and Alva, A.K., 1993. The chemical forms of Zn and Cu extractable by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1, </w:t>
      </w:r>
      <w:proofErr w:type="spellStart"/>
      <w:r w:rsidRPr="00071CB1">
        <w:rPr>
          <w:rFonts w:ascii="Times New Roman" w:hAnsi="Times New Roman" w:cs="Times New Roman"/>
        </w:rPr>
        <w:t>Mehlich</w:t>
      </w:r>
      <w:proofErr w:type="spellEnd"/>
      <w:r w:rsidRPr="00071CB1">
        <w:rPr>
          <w:rFonts w:ascii="Times New Roman" w:hAnsi="Times New Roman" w:cs="Times New Roman"/>
        </w:rPr>
        <w:t xml:space="preserve"> 3, and ammonium bicarbonate-DTPA extractions. </w:t>
      </w:r>
      <w:r w:rsidRPr="00071CB1">
        <w:rPr>
          <w:rFonts w:ascii="Times New Roman" w:hAnsi="Times New Roman" w:cs="Times New Roman"/>
          <w:i/>
          <w:iCs/>
        </w:rPr>
        <w:t>Soil Science</w:t>
      </w:r>
      <w:r w:rsidRPr="00071CB1">
        <w:rPr>
          <w:rFonts w:ascii="Times New Roman" w:hAnsi="Times New Roman" w:cs="Times New Roman"/>
        </w:rPr>
        <w:t>, </w:t>
      </w:r>
      <w:r w:rsidRPr="00071CB1">
        <w:rPr>
          <w:rFonts w:ascii="Times New Roman" w:hAnsi="Times New Roman" w:cs="Times New Roman"/>
          <w:i/>
          <w:iCs/>
        </w:rPr>
        <w:t>156</w:t>
      </w:r>
      <w:r w:rsidRPr="00071CB1">
        <w:rPr>
          <w:rFonts w:ascii="Times New Roman" w:hAnsi="Times New Roman" w:cs="Times New Roman"/>
        </w:rPr>
        <w:t>(4), pp.251-258.</w:t>
      </w:r>
      <w:r w:rsidR="00F56701" w:rsidRPr="00071CB1">
        <w:rPr>
          <w:rFonts w:ascii="Times New Roman" w:hAnsi="Times New Roman" w:cs="Times New Roman"/>
        </w:rPr>
        <w:t xml:space="preserve"> </w:t>
      </w:r>
      <w:hyperlink r:id="rId74" w:history="1">
        <w:r w:rsidRPr="00071CB1">
          <w:rPr>
            <w:rStyle w:val="Hyperlink"/>
            <w:rFonts w:ascii="Times New Roman" w:hAnsi="Times New Roman" w:cs="Times New Roman"/>
          </w:rPr>
          <w:t>https://doi.org/10.1097/00010694-199310000-00005</w:t>
        </w:r>
      </w:hyperlink>
    </w:p>
    <w:p w14:paraId="1C7DF66A" w14:textId="77777777" w:rsidR="00A8546D" w:rsidRPr="009A3EAF" w:rsidRDefault="00A8546D" w:rsidP="006649B1">
      <w:pPr>
        <w:spacing w:after="0" w:line="360" w:lineRule="auto"/>
        <w:jc w:val="both"/>
        <w:rPr>
          <w:rFonts w:ascii="Times New Roman" w:hAnsi="Times New Roman" w:cs="Times New Roman"/>
        </w:rPr>
      </w:pPr>
    </w:p>
    <w:sectPr w:rsidR="00A8546D" w:rsidRPr="009A3EAF" w:rsidSect="006A36C4">
      <w:headerReference w:type="even" r:id="rId75"/>
      <w:headerReference w:type="default" r:id="rId76"/>
      <w:footerReference w:type="even" r:id="rId77"/>
      <w:footerReference w:type="default" r:id="rId78"/>
      <w:headerReference w:type="first" r:id="rId79"/>
      <w:footerReference w:type="first" r:id="rId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3AA6F" w14:textId="77777777" w:rsidR="000357D2" w:rsidRDefault="000357D2" w:rsidP="00832844">
      <w:pPr>
        <w:spacing w:after="0" w:line="240" w:lineRule="auto"/>
      </w:pPr>
      <w:r>
        <w:separator/>
      </w:r>
    </w:p>
  </w:endnote>
  <w:endnote w:type="continuationSeparator" w:id="0">
    <w:p w14:paraId="4717AB65" w14:textId="77777777" w:rsidR="000357D2" w:rsidRDefault="000357D2" w:rsidP="0083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052">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445776"/>
      <w:docPartObj>
        <w:docPartGallery w:val="Page Numbers (Bottom of Page)"/>
        <w:docPartUnique/>
      </w:docPartObj>
    </w:sdtPr>
    <w:sdtEndPr>
      <w:rPr>
        <w:noProof/>
      </w:rPr>
    </w:sdtEndPr>
    <w:sdtContent>
      <w:p w14:paraId="72CEF34E" w14:textId="77777777" w:rsidR="008979CA" w:rsidRDefault="00A10BED">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0858E110" w14:textId="77777777" w:rsidR="008979CA" w:rsidRDefault="008979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694A" w14:textId="77777777" w:rsidR="008979CA" w:rsidRDefault="008979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43CA" w14:textId="77777777" w:rsidR="008979CA" w:rsidRDefault="00A10BED">
    <w:pPr>
      <w:pStyle w:val="Footer"/>
      <w:jc w:val="center"/>
    </w:pPr>
    <w:r>
      <w:fldChar w:fldCharType="begin"/>
    </w:r>
    <w:r>
      <w:instrText xml:space="preserve"> PAGE   \* MERGEFORMAT </w:instrText>
    </w:r>
    <w:r>
      <w:fldChar w:fldCharType="separate"/>
    </w:r>
    <w:r>
      <w:rPr>
        <w:noProof/>
      </w:rPr>
      <w:t>18</w:t>
    </w:r>
    <w:r>
      <w:rPr>
        <w:noProof/>
      </w:rPr>
      <w:fldChar w:fldCharType="end"/>
    </w:r>
  </w:p>
  <w:p w14:paraId="2BC06A3C" w14:textId="77777777" w:rsidR="008979CA" w:rsidRDefault="008979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2731" w14:textId="77777777" w:rsidR="008979CA" w:rsidRDefault="00897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8702" w14:textId="77777777" w:rsidR="000357D2" w:rsidRDefault="000357D2" w:rsidP="00832844">
      <w:pPr>
        <w:spacing w:after="0" w:line="240" w:lineRule="auto"/>
      </w:pPr>
      <w:r>
        <w:separator/>
      </w:r>
    </w:p>
  </w:footnote>
  <w:footnote w:type="continuationSeparator" w:id="0">
    <w:p w14:paraId="45390FC7" w14:textId="77777777" w:rsidR="000357D2" w:rsidRDefault="000357D2" w:rsidP="00832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92E6" w14:textId="77777777" w:rsidR="008979CA" w:rsidRDefault="00000000">
    <w:pPr>
      <w:pStyle w:val="Header"/>
    </w:pPr>
    <w:r>
      <w:rPr>
        <w:noProof/>
      </w:rPr>
      <w:pict w14:anchorId="28E96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D9DE" w14:textId="77777777" w:rsidR="008979CA" w:rsidRDefault="00000000">
    <w:pPr>
      <w:pStyle w:val="Header"/>
    </w:pPr>
    <w:r>
      <w:rPr>
        <w:noProof/>
      </w:rPr>
      <w:pict w14:anchorId="1C9696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4620" w14:textId="77777777" w:rsidR="008979CA" w:rsidRDefault="00000000">
    <w:pPr>
      <w:pStyle w:val="Header"/>
    </w:pPr>
    <w:r>
      <w:rPr>
        <w:noProof/>
      </w:rPr>
      <w:pict w14:anchorId="581D1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3DE2"/>
    <w:multiLevelType w:val="multilevel"/>
    <w:tmpl w:val="8354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A514F"/>
    <w:multiLevelType w:val="multilevel"/>
    <w:tmpl w:val="01D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567EC"/>
    <w:multiLevelType w:val="multilevel"/>
    <w:tmpl w:val="10F8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8694C"/>
    <w:multiLevelType w:val="multilevel"/>
    <w:tmpl w:val="95B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FF69A9"/>
    <w:multiLevelType w:val="hybridMultilevel"/>
    <w:tmpl w:val="A282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0266308">
    <w:abstractNumId w:val="2"/>
  </w:num>
  <w:num w:numId="2" w16cid:durableId="1171487170">
    <w:abstractNumId w:val="3"/>
  </w:num>
  <w:num w:numId="3" w16cid:durableId="818379613">
    <w:abstractNumId w:val="0"/>
  </w:num>
  <w:num w:numId="4" w16cid:durableId="1666392143">
    <w:abstractNumId w:val="1"/>
  </w:num>
  <w:num w:numId="5" w16cid:durableId="1478497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167"/>
    <w:rsid w:val="00014F1D"/>
    <w:rsid w:val="000357D2"/>
    <w:rsid w:val="00037FD8"/>
    <w:rsid w:val="000632DF"/>
    <w:rsid w:val="00071CB1"/>
    <w:rsid w:val="00074F26"/>
    <w:rsid w:val="00077808"/>
    <w:rsid w:val="000A5F22"/>
    <w:rsid w:val="000B24C5"/>
    <w:rsid w:val="000B4612"/>
    <w:rsid w:val="000C71C3"/>
    <w:rsid w:val="000E237A"/>
    <w:rsid w:val="00107A9A"/>
    <w:rsid w:val="001213BD"/>
    <w:rsid w:val="00132710"/>
    <w:rsid w:val="001448D0"/>
    <w:rsid w:val="00145318"/>
    <w:rsid w:val="00153DE8"/>
    <w:rsid w:val="0016786B"/>
    <w:rsid w:val="0017062C"/>
    <w:rsid w:val="0017772F"/>
    <w:rsid w:val="00181B54"/>
    <w:rsid w:val="00182738"/>
    <w:rsid w:val="00185DF3"/>
    <w:rsid w:val="001B507F"/>
    <w:rsid w:val="001B7C6D"/>
    <w:rsid w:val="001D4B14"/>
    <w:rsid w:val="001D5C09"/>
    <w:rsid w:val="002058AC"/>
    <w:rsid w:val="00205FA3"/>
    <w:rsid w:val="00246BE8"/>
    <w:rsid w:val="00251DA2"/>
    <w:rsid w:val="00257B1B"/>
    <w:rsid w:val="0026076E"/>
    <w:rsid w:val="00261F97"/>
    <w:rsid w:val="00267426"/>
    <w:rsid w:val="002904E6"/>
    <w:rsid w:val="00290CF4"/>
    <w:rsid w:val="00290F6B"/>
    <w:rsid w:val="002974A1"/>
    <w:rsid w:val="002B19C8"/>
    <w:rsid w:val="002C35A3"/>
    <w:rsid w:val="002E33C1"/>
    <w:rsid w:val="002E436E"/>
    <w:rsid w:val="002E5F36"/>
    <w:rsid w:val="002F3741"/>
    <w:rsid w:val="002F6D8B"/>
    <w:rsid w:val="00302C31"/>
    <w:rsid w:val="00345661"/>
    <w:rsid w:val="00354EB0"/>
    <w:rsid w:val="00355E87"/>
    <w:rsid w:val="00363804"/>
    <w:rsid w:val="00374B6B"/>
    <w:rsid w:val="003926BD"/>
    <w:rsid w:val="003A7C07"/>
    <w:rsid w:val="003B0B89"/>
    <w:rsid w:val="003C5CCA"/>
    <w:rsid w:val="003D02E6"/>
    <w:rsid w:val="003F5C28"/>
    <w:rsid w:val="00403D99"/>
    <w:rsid w:val="00412DD5"/>
    <w:rsid w:val="00417272"/>
    <w:rsid w:val="00423D8E"/>
    <w:rsid w:val="0042692A"/>
    <w:rsid w:val="004271A6"/>
    <w:rsid w:val="00450BCD"/>
    <w:rsid w:val="00455326"/>
    <w:rsid w:val="00467C65"/>
    <w:rsid w:val="00471AC9"/>
    <w:rsid w:val="00473404"/>
    <w:rsid w:val="00475E8E"/>
    <w:rsid w:val="00484717"/>
    <w:rsid w:val="00485133"/>
    <w:rsid w:val="004851AA"/>
    <w:rsid w:val="0049151F"/>
    <w:rsid w:val="00493242"/>
    <w:rsid w:val="004A2D64"/>
    <w:rsid w:val="004B6088"/>
    <w:rsid w:val="004B7696"/>
    <w:rsid w:val="004C3C7D"/>
    <w:rsid w:val="004D747C"/>
    <w:rsid w:val="004F6F63"/>
    <w:rsid w:val="00500300"/>
    <w:rsid w:val="00512167"/>
    <w:rsid w:val="00524823"/>
    <w:rsid w:val="005276CF"/>
    <w:rsid w:val="005448D8"/>
    <w:rsid w:val="0055634E"/>
    <w:rsid w:val="00560AB3"/>
    <w:rsid w:val="005619AB"/>
    <w:rsid w:val="00584CB3"/>
    <w:rsid w:val="005A4401"/>
    <w:rsid w:val="005C0EFD"/>
    <w:rsid w:val="005E5F3E"/>
    <w:rsid w:val="005F26DD"/>
    <w:rsid w:val="005F3651"/>
    <w:rsid w:val="00622FAF"/>
    <w:rsid w:val="00632953"/>
    <w:rsid w:val="00634A5A"/>
    <w:rsid w:val="006361EB"/>
    <w:rsid w:val="006437D8"/>
    <w:rsid w:val="00661283"/>
    <w:rsid w:val="0066471C"/>
    <w:rsid w:val="006649B1"/>
    <w:rsid w:val="00667169"/>
    <w:rsid w:val="00675F27"/>
    <w:rsid w:val="006764D9"/>
    <w:rsid w:val="00691098"/>
    <w:rsid w:val="006942BF"/>
    <w:rsid w:val="006A0FB5"/>
    <w:rsid w:val="006A36C4"/>
    <w:rsid w:val="006A6793"/>
    <w:rsid w:val="006B0506"/>
    <w:rsid w:val="006D411F"/>
    <w:rsid w:val="006E402E"/>
    <w:rsid w:val="0070206B"/>
    <w:rsid w:val="007051DC"/>
    <w:rsid w:val="007332AD"/>
    <w:rsid w:val="007433E8"/>
    <w:rsid w:val="007540EE"/>
    <w:rsid w:val="0075797A"/>
    <w:rsid w:val="00771175"/>
    <w:rsid w:val="00780D78"/>
    <w:rsid w:val="007B4274"/>
    <w:rsid w:val="007D289F"/>
    <w:rsid w:val="007D78EF"/>
    <w:rsid w:val="007E09B0"/>
    <w:rsid w:val="007E0DDE"/>
    <w:rsid w:val="007F2ED3"/>
    <w:rsid w:val="007F39AF"/>
    <w:rsid w:val="00804CEC"/>
    <w:rsid w:val="0081339B"/>
    <w:rsid w:val="00817E69"/>
    <w:rsid w:val="00832844"/>
    <w:rsid w:val="00837DBC"/>
    <w:rsid w:val="00855EB0"/>
    <w:rsid w:val="00865400"/>
    <w:rsid w:val="0087045E"/>
    <w:rsid w:val="0087555D"/>
    <w:rsid w:val="008866C1"/>
    <w:rsid w:val="00896DC2"/>
    <w:rsid w:val="008979CA"/>
    <w:rsid w:val="008A45E8"/>
    <w:rsid w:val="008B4C96"/>
    <w:rsid w:val="008D5607"/>
    <w:rsid w:val="008D5708"/>
    <w:rsid w:val="008F79FC"/>
    <w:rsid w:val="009165F7"/>
    <w:rsid w:val="009331CA"/>
    <w:rsid w:val="0094308B"/>
    <w:rsid w:val="00943B7A"/>
    <w:rsid w:val="00957121"/>
    <w:rsid w:val="0096704B"/>
    <w:rsid w:val="00967156"/>
    <w:rsid w:val="0096736F"/>
    <w:rsid w:val="00971221"/>
    <w:rsid w:val="00977601"/>
    <w:rsid w:val="00984564"/>
    <w:rsid w:val="0099213D"/>
    <w:rsid w:val="009A3EAF"/>
    <w:rsid w:val="009B0801"/>
    <w:rsid w:val="009C2ACE"/>
    <w:rsid w:val="009D736D"/>
    <w:rsid w:val="009E05EE"/>
    <w:rsid w:val="009E6C1E"/>
    <w:rsid w:val="009F1624"/>
    <w:rsid w:val="009F1F74"/>
    <w:rsid w:val="00A045F6"/>
    <w:rsid w:val="00A10BED"/>
    <w:rsid w:val="00A151E6"/>
    <w:rsid w:val="00A21EF1"/>
    <w:rsid w:val="00A56DC6"/>
    <w:rsid w:val="00A57646"/>
    <w:rsid w:val="00A6019B"/>
    <w:rsid w:val="00A6176F"/>
    <w:rsid w:val="00A62A4D"/>
    <w:rsid w:val="00A7102A"/>
    <w:rsid w:val="00A824B2"/>
    <w:rsid w:val="00A83D57"/>
    <w:rsid w:val="00A84285"/>
    <w:rsid w:val="00A8546D"/>
    <w:rsid w:val="00A93231"/>
    <w:rsid w:val="00AB787F"/>
    <w:rsid w:val="00AD22DE"/>
    <w:rsid w:val="00AD521C"/>
    <w:rsid w:val="00AD716B"/>
    <w:rsid w:val="00AE6EE5"/>
    <w:rsid w:val="00AF30AF"/>
    <w:rsid w:val="00B11832"/>
    <w:rsid w:val="00B24A26"/>
    <w:rsid w:val="00B429DD"/>
    <w:rsid w:val="00B57E99"/>
    <w:rsid w:val="00B7268D"/>
    <w:rsid w:val="00B8312B"/>
    <w:rsid w:val="00B85DD7"/>
    <w:rsid w:val="00B87262"/>
    <w:rsid w:val="00B930BE"/>
    <w:rsid w:val="00B94604"/>
    <w:rsid w:val="00BB3DCE"/>
    <w:rsid w:val="00BC3D8C"/>
    <w:rsid w:val="00BD2717"/>
    <w:rsid w:val="00C00968"/>
    <w:rsid w:val="00C155B1"/>
    <w:rsid w:val="00C52843"/>
    <w:rsid w:val="00C53EF1"/>
    <w:rsid w:val="00C67977"/>
    <w:rsid w:val="00C82D4D"/>
    <w:rsid w:val="00C967BC"/>
    <w:rsid w:val="00CA035A"/>
    <w:rsid w:val="00CB5A49"/>
    <w:rsid w:val="00CC1A32"/>
    <w:rsid w:val="00CD1B2F"/>
    <w:rsid w:val="00CF3E89"/>
    <w:rsid w:val="00D135FB"/>
    <w:rsid w:val="00D21AC3"/>
    <w:rsid w:val="00D242D4"/>
    <w:rsid w:val="00D7634C"/>
    <w:rsid w:val="00D85C15"/>
    <w:rsid w:val="00DC28C3"/>
    <w:rsid w:val="00DC2E7A"/>
    <w:rsid w:val="00DC58A8"/>
    <w:rsid w:val="00DC66F2"/>
    <w:rsid w:val="00DC6F84"/>
    <w:rsid w:val="00DE16BD"/>
    <w:rsid w:val="00E06CC6"/>
    <w:rsid w:val="00E317EF"/>
    <w:rsid w:val="00E34D69"/>
    <w:rsid w:val="00E35B56"/>
    <w:rsid w:val="00E46044"/>
    <w:rsid w:val="00E47599"/>
    <w:rsid w:val="00E53ED1"/>
    <w:rsid w:val="00E660FE"/>
    <w:rsid w:val="00E733A1"/>
    <w:rsid w:val="00E9772E"/>
    <w:rsid w:val="00EC0D2D"/>
    <w:rsid w:val="00EE69F6"/>
    <w:rsid w:val="00EF43B3"/>
    <w:rsid w:val="00F12739"/>
    <w:rsid w:val="00F1425B"/>
    <w:rsid w:val="00F23760"/>
    <w:rsid w:val="00F26C77"/>
    <w:rsid w:val="00F32328"/>
    <w:rsid w:val="00F56701"/>
    <w:rsid w:val="00F62DEC"/>
    <w:rsid w:val="00F63A94"/>
    <w:rsid w:val="00F9048D"/>
    <w:rsid w:val="00F94544"/>
    <w:rsid w:val="00FA0C1D"/>
    <w:rsid w:val="00FA4CC2"/>
    <w:rsid w:val="00FA710F"/>
    <w:rsid w:val="00FA7A95"/>
    <w:rsid w:val="00FB0FC9"/>
    <w:rsid w:val="00FD5051"/>
    <w:rsid w:val="00FD5BB3"/>
    <w:rsid w:val="00FD7252"/>
    <w:rsid w:val="00FE7ECE"/>
    <w:rsid w:val="00FF166B"/>
    <w:rsid w:val="00FF233E"/>
    <w:rsid w:val="00FF2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3C70D"/>
  <w15:docId w15:val="{F09F87FE-64E6-46FD-8781-7C151043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11F"/>
  </w:style>
  <w:style w:type="paragraph" w:styleId="Heading1">
    <w:name w:val="heading 1"/>
    <w:basedOn w:val="Normal"/>
    <w:next w:val="Normal"/>
    <w:link w:val="Heading1Char"/>
    <w:uiPriority w:val="9"/>
    <w:qFormat/>
    <w:rsid w:val="005121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21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21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21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21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2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2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2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2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1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21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21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21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21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2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167"/>
    <w:rPr>
      <w:rFonts w:eastAsiaTheme="majorEastAsia" w:cstheme="majorBidi"/>
      <w:color w:val="272727" w:themeColor="text1" w:themeTint="D8"/>
    </w:rPr>
  </w:style>
  <w:style w:type="paragraph" w:styleId="Title">
    <w:name w:val="Title"/>
    <w:basedOn w:val="Normal"/>
    <w:next w:val="Normal"/>
    <w:link w:val="TitleChar"/>
    <w:uiPriority w:val="10"/>
    <w:qFormat/>
    <w:rsid w:val="00512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2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167"/>
    <w:pPr>
      <w:spacing w:before="160"/>
      <w:jc w:val="center"/>
    </w:pPr>
    <w:rPr>
      <w:i/>
      <w:iCs/>
      <w:color w:val="404040" w:themeColor="text1" w:themeTint="BF"/>
    </w:rPr>
  </w:style>
  <w:style w:type="character" w:customStyle="1" w:styleId="QuoteChar">
    <w:name w:val="Quote Char"/>
    <w:basedOn w:val="DefaultParagraphFont"/>
    <w:link w:val="Quote"/>
    <w:uiPriority w:val="29"/>
    <w:rsid w:val="00512167"/>
    <w:rPr>
      <w:i/>
      <w:iCs/>
      <w:color w:val="404040" w:themeColor="text1" w:themeTint="BF"/>
    </w:rPr>
  </w:style>
  <w:style w:type="paragraph" w:styleId="ListParagraph">
    <w:name w:val="List Paragraph"/>
    <w:basedOn w:val="Normal"/>
    <w:uiPriority w:val="34"/>
    <w:qFormat/>
    <w:rsid w:val="00512167"/>
    <w:pPr>
      <w:ind w:left="720"/>
      <w:contextualSpacing/>
    </w:pPr>
  </w:style>
  <w:style w:type="character" w:styleId="IntenseEmphasis">
    <w:name w:val="Intense Emphasis"/>
    <w:basedOn w:val="DefaultParagraphFont"/>
    <w:uiPriority w:val="21"/>
    <w:qFormat/>
    <w:rsid w:val="00512167"/>
    <w:rPr>
      <w:i/>
      <w:iCs/>
      <w:color w:val="2F5496" w:themeColor="accent1" w:themeShade="BF"/>
    </w:rPr>
  </w:style>
  <w:style w:type="paragraph" w:styleId="IntenseQuote">
    <w:name w:val="Intense Quote"/>
    <w:basedOn w:val="Normal"/>
    <w:next w:val="Normal"/>
    <w:link w:val="IntenseQuoteChar"/>
    <w:uiPriority w:val="30"/>
    <w:qFormat/>
    <w:rsid w:val="005121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2167"/>
    <w:rPr>
      <w:i/>
      <w:iCs/>
      <w:color w:val="2F5496" w:themeColor="accent1" w:themeShade="BF"/>
    </w:rPr>
  </w:style>
  <w:style w:type="character" w:styleId="IntenseReference">
    <w:name w:val="Intense Reference"/>
    <w:basedOn w:val="DefaultParagraphFont"/>
    <w:uiPriority w:val="32"/>
    <w:qFormat/>
    <w:rsid w:val="00512167"/>
    <w:rPr>
      <w:b/>
      <w:bCs/>
      <w:smallCaps/>
      <w:color w:val="2F5496" w:themeColor="accent1" w:themeShade="BF"/>
      <w:spacing w:val="5"/>
    </w:rPr>
  </w:style>
  <w:style w:type="paragraph" w:styleId="BodyText">
    <w:name w:val="Body Text"/>
    <w:basedOn w:val="Normal"/>
    <w:link w:val="BodyTextChar"/>
    <w:uiPriority w:val="1"/>
    <w:qFormat/>
    <w:rsid w:val="009165F7"/>
    <w:pPr>
      <w:widowControl w:val="0"/>
      <w:autoSpaceDE w:val="0"/>
      <w:autoSpaceDN w:val="0"/>
      <w:spacing w:after="0" w:line="240" w:lineRule="auto"/>
    </w:pPr>
    <w:rPr>
      <w:rFonts w:ascii="P052" w:eastAsia="P052" w:hAnsi="P052" w:cs="P052"/>
      <w:kern w:val="0"/>
      <w:sz w:val="20"/>
      <w:szCs w:val="20"/>
    </w:rPr>
  </w:style>
  <w:style w:type="character" w:customStyle="1" w:styleId="BodyTextChar">
    <w:name w:val="Body Text Char"/>
    <w:basedOn w:val="DefaultParagraphFont"/>
    <w:link w:val="BodyText"/>
    <w:uiPriority w:val="1"/>
    <w:rsid w:val="009165F7"/>
    <w:rPr>
      <w:rFonts w:ascii="P052" w:eastAsia="P052" w:hAnsi="P052" w:cs="P052"/>
      <w:kern w:val="0"/>
      <w:sz w:val="20"/>
      <w:szCs w:val="20"/>
    </w:rPr>
  </w:style>
  <w:style w:type="character" w:styleId="Hyperlink">
    <w:name w:val="Hyperlink"/>
    <w:basedOn w:val="DefaultParagraphFont"/>
    <w:uiPriority w:val="99"/>
    <w:unhideWhenUsed/>
    <w:qFormat/>
    <w:rsid w:val="009165F7"/>
    <w:rPr>
      <w:color w:val="0000FF"/>
      <w:u w:val="single"/>
    </w:rPr>
  </w:style>
  <w:style w:type="paragraph" w:styleId="Header">
    <w:name w:val="header"/>
    <w:basedOn w:val="Normal"/>
    <w:link w:val="HeaderChar"/>
    <w:uiPriority w:val="99"/>
    <w:unhideWhenUsed/>
    <w:rsid w:val="00832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844"/>
  </w:style>
  <w:style w:type="paragraph" w:styleId="Footer">
    <w:name w:val="footer"/>
    <w:basedOn w:val="Normal"/>
    <w:link w:val="FooterChar"/>
    <w:uiPriority w:val="99"/>
    <w:unhideWhenUsed/>
    <w:rsid w:val="00832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844"/>
  </w:style>
  <w:style w:type="table" w:styleId="TableGrid">
    <w:name w:val="Table Grid"/>
    <w:basedOn w:val="TableNormal"/>
    <w:uiPriority w:val="59"/>
    <w:rsid w:val="005619A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2">
    <w:name w:val="xl72"/>
    <w:basedOn w:val="Normal"/>
    <w:rsid w:val="005619A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145318"/>
    <w:rPr>
      <w:sz w:val="16"/>
      <w:szCs w:val="16"/>
    </w:rPr>
  </w:style>
  <w:style w:type="paragraph" w:styleId="CommentText">
    <w:name w:val="annotation text"/>
    <w:basedOn w:val="Normal"/>
    <w:link w:val="CommentTextChar"/>
    <w:uiPriority w:val="99"/>
    <w:semiHidden/>
    <w:unhideWhenUsed/>
    <w:rsid w:val="00145318"/>
    <w:pPr>
      <w:spacing w:line="240" w:lineRule="auto"/>
    </w:pPr>
    <w:rPr>
      <w:sz w:val="20"/>
      <w:szCs w:val="20"/>
    </w:rPr>
  </w:style>
  <w:style w:type="character" w:customStyle="1" w:styleId="CommentTextChar">
    <w:name w:val="Comment Text Char"/>
    <w:basedOn w:val="DefaultParagraphFont"/>
    <w:link w:val="CommentText"/>
    <w:uiPriority w:val="99"/>
    <w:semiHidden/>
    <w:rsid w:val="00145318"/>
    <w:rPr>
      <w:sz w:val="20"/>
      <w:szCs w:val="20"/>
    </w:rPr>
  </w:style>
  <w:style w:type="paragraph" w:styleId="CommentSubject">
    <w:name w:val="annotation subject"/>
    <w:basedOn w:val="CommentText"/>
    <w:next w:val="CommentText"/>
    <w:link w:val="CommentSubjectChar"/>
    <w:uiPriority w:val="99"/>
    <w:semiHidden/>
    <w:unhideWhenUsed/>
    <w:rsid w:val="00145318"/>
    <w:rPr>
      <w:b/>
      <w:bCs/>
    </w:rPr>
  </w:style>
  <w:style w:type="character" w:customStyle="1" w:styleId="CommentSubjectChar">
    <w:name w:val="Comment Subject Char"/>
    <w:basedOn w:val="CommentTextChar"/>
    <w:link w:val="CommentSubject"/>
    <w:uiPriority w:val="99"/>
    <w:semiHidden/>
    <w:rsid w:val="00145318"/>
    <w:rPr>
      <w:b/>
      <w:bCs/>
      <w:sz w:val="20"/>
      <w:szCs w:val="20"/>
    </w:rPr>
  </w:style>
  <w:style w:type="character" w:styleId="LineNumber">
    <w:name w:val="line number"/>
    <w:basedOn w:val="DefaultParagraphFont"/>
    <w:uiPriority w:val="99"/>
    <w:semiHidden/>
    <w:unhideWhenUsed/>
    <w:rsid w:val="00D21AC3"/>
  </w:style>
  <w:style w:type="paragraph" w:styleId="NormalWeb">
    <w:name w:val="Normal (Web)"/>
    <w:basedOn w:val="Normal"/>
    <w:uiPriority w:val="99"/>
    <w:unhideWhenUsed/>
    <w:rsid w:val="00B11832"/>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4F6F63"/>
    <w:rPr>
      <w:b/>
      <w:bCs/>
    </w:rPr>
  </w:style>
  <w:style w:type="table" w:customStyle="1" w:styleId="TableGridLight1">
    <w:name w:val="Table Grid Light1"/>
    <w:basedOn w:val="TableNormal"/>
    <w:uiPriority w:val="40"/>
    <w:rsid w:val="007B42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E3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7EF"/>
    <w:rPr>
      <w:rFonts w:ascii="Tahoma" w:hAnsi="Tahoma" w:cs="Tahoma"/>
      <w:sz w:val="16"/>
      <w:szCs w:val="16"/>
    </w:rPr>
  </w:style>
  <w:style w:type="paragraph" w:styleId="NoSpacing">
    <w:name w:val="No Spacing"/>
    <w:uiPriority w:val="1"/>
    <w:qFormat/>
    <w:rsid w:val="00FD5BB3"/>
    <w:pPr>
      <w:spacing w:after="0" w:line="240" w:lineRule="auto"/>
    </w:pPr>
    <w:rPr>
      <w:kern w:val="0"/>
      <w:sz w:val="22"/>
      <w:szCs w:val="22"/>
      <w:lang w:val="en-GB"/>
    </w:rPr>
  </w:style>
  <w:style w:type="character" w:customStyle="1" w:styleId="UnresolvedMention1">
    <w:name w:val="Unresolved Mention1"/>
    <w:basedOn w:val="DefaultParagraphFont"/>
    <w:uiPriority w:val="99"/>
    <w:semiHidden/>
    <w:unhideWhenUsed/>
    <w:rsid w:val="004271A6"/>
    <w:rPr>
      <w:color w:val="605E5C"/>
      <w:shd w:val="clear" w:color="auto" w:fill="E1DFDD"/>
    </w:rPr>
  </w:style>
  <w:style w:type="character" w:styleId="UnresolvedMention">
    <w:name w:val="Unresolved Mention"/>
    <w:basedOn w:val="DefaultParagraphFont"/>
    <w:uiPriority w:val="99"/>
    <w:semiHidden/>
    <w:unhideWhenUsed/>
    <w:rsid w:val="00943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166/wpt.2023.187" TargetMode="External"/><Relationship Id="rId21" Type="http://schemas.openxmlformats.org/officeDocument/2006/relationships/hyperlink" Target="https://doi.org/10.1007/s00374-019-01430-2" TargetMode="External"/><Relationship Id="rId42" Type="http://schemas.openxmlformats.org/officeDocument/2006/relationships/hyperlink" Target="https://doi.org/10.1016/0016-7061(92)90036-7" TargetMode="External"/><Relationship Id="rId47" Type="http://schemas.openxmlformats.org/officeDocument/2006/relationships/hyperlink" Target="https://doi.org/10.1016/j.jplph.2024.154257" TargetMode="External"/><Relationship Id="rId63" Type="http://schemas.openxmlformats.org/officeDocument/2006/relationships/hyperlink" Target="https://doi.org/10.1007/s11738-015-1870-3" TargetMode="External"/><Relationship Id="rId68" Type="http://schemas.openxmlformats.org/officeDocument/2006/relationships/hyperlink" Target="https://doi.org/10.4314/as.v21i2.8" TargetMode="External"/><Relationship Id="rId16" Type="http://schemas.openxmlformats.org/officeDocument/2006/relationships/hyperlink" Target="https://doi.org/10.1080/00103629309368826" TargetMode="External"/><Relationship Id="rId11" Type="http://schemas.openxmlformats.org/officeDocument/2006/relationships/footer" Target="footer1.xml"/><Relationship Id="rId32" Type="http://schemas.openxmlformats.org/officeDocument/2006/relationships/hyperlink" Target="https://doi.org/10.1016/j.chemosphere.2023.140193" TargetMode="External"/><Relationship Id="rId37" Type="http://schemas.openxmlformats.org/officeDocument/2006/relationships/hyperlink" Target="https://doi.org/10.1080/00103620009370514" TargetMode="External"/><Relationship Id="rId53" Type="http://schemas.openxmlformats.org/officeDocument/2006/relationships/hyperlink" Target="https://doi.org/10.1007/s43832-025-00250-w" TargetMode="External"/><Relationship Id="rId58" Type="http://schemas.openxmlformats.org/officeDocument/2006/relationships/hyperlink" Target="https://doi.org/10.1007/s42452-025-07389-0" TargetMode="External"/><Relationship Id="rId74" Type="http://schemas.openxmlformats.org/officeDocument/2006/relationships/hyperlink" Target="https://doi.org/10.1097/00010694-199310000-00005" TargetMode="External"/><Relationship Id="rId79"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10.1080/00103628909368178" TargetMode="External"/><Relationship Id="rId82" Type="http://schemas.openxmlformats.org/officeDocument/2006/relationships/theme" Target="theme/theme1.xml"/><Relationship Id="rId19" Type="http://schemas.openxmlformats.org/officeDocument/2006/relationships/hyperlink" Target="https://doi.org/10.1007/s11104-023-05960-5" TargetMode="External"/><Relationship Id="rId14" Type="http://schemas.openxmlformats.org/officeDocument/2006/relationships/hyperlink" Target="https://doi.org/10.1016/j.nexres.2025.100439" TargetMode="External"/><Relationship Id="rId22" Type="http://schemas.openxmlformats.org/officeDocument/2006/relationships/hyperlink" Target="https://doi.org/10.2136/sssabookser5.3.c37" TargetMode="External"/><Relationship Id="rId27" Type="http://schemas.openxmlformats.org/officeDocument/2006/relationships/hyperlink" Target="https://doi.org/10.1007/s11284-017-1511-y" TargetMode="External"/><Relationship Id="rId30" Type="http://schemas.openxmlformats.org/officeDocument/2006/relationships/hyperlink" Target="https://doi.org/10.1007/s42729-025-02422-y" TargetMode="External"/><Relationship Id="rId35" Type="http://schemas.openxmlformats.org/officeDocument/2006/relationships/hyperlink" Target="https://doi.org/10.1016/s0065-2113(08)60110-8" TargetMode="External"/><Relationship Id="rId43" Type="http://schemas.openxmlformats.org/officeDocument/2006/relationships/hyperlink" Target="https://doi.org/10.1016/j.gexplo.2022.107073" TargetMode="External"/><Relationship Id="rId48" Type="http://schemas.openxmlformats.org/officeDocument/2006/relationships/hyperlink" Target="https://doi.org/10.1016/j.scitotenv.2019.135253" TargetMode="External"/><Relationship Id="rId56" Type="http://schemas.openxmlformats.org/officeDocument/2006/relationships/hyperlink" Target="https://doi.org/10.1007/s10661-025-13951-5" TargetMode="External"/><Relationship Id="rId64" Type="http://schemas.openxmlformats.org/officeDocument/2006/relationships/hyperlink" Target="https://doi.org/10.1016/j.chemosphere.2023.141064" TargetMode="External"/><Relationship Id="rId69" Type="http://schemas.openxmlformats.org/officeDocument/2006/relationships/hyperlink" Target="https://doi.org/10.1016/j.rines.2024.100033" TargetMode="External"/><Relationship Id="rId77" Type="http://schemas.openxmlformats.org/officeDocument/2006/relationships/footer" Target="footer2.xml"/><Relationship Id="rId8" Type="http://schemas.openxmlformats.org/officeDocument/2006/relationships/chart" Target="charts/chart1.xml"/><Relationship Id="rId51" Type="http://schemas.openxmlformats.org/officeDocument/2006/relationships/hyperlink" Target="https://doi.org/10.3390/pr9050739" TargetMode="External"/><Relationship Id="rId72" Type="http://schemas.openxmlformats.org/officeDocument/2006/relationships/hyperlink" Target="https://doi.oeg/10.1080/00103629809370053" TargetMode="External"/><Relationship Id="rId80"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hyperlink" Target="https://doi.org/10.1007/s12665-024-11961-z" TargetMode="External"/><Relationship Id="rId17" Type="http://schemas.openxmlformats.org/officeDocument/2006/relationships/hyperlink" Target="https://doi.org/10.3390/land11111979" TargetMode="External"/><Relationship Id="rId25" Type="http://schemas.openxmlformats.org/officeDocument/2006/relationships/hyperlink" Target="https://doi.org/10.1016/j.geogeo.2025.100411" TargetMode="External"/><Relationship Id="rId33" Type="http://schemas.openxmlformats.org/officeDocument/2006/relationships/hyperlink" Target="https://doi.org/10.1186/s11658-016-0008-y" TargetMode="External"/><Relationship Id="rId38" Type="http://schemas.openxmlformats.org/officeDocument/2006/relationships/hyperlink" Target="https://doi.org/10.1007/s11104-012-1429-7" TargetMode="External"/><Relationship Id="rId46" Type="http://schemas.openxmlformats.org/officeDocument/2006/relationships/hyperlink" Target="https://doi.org/10.3390/agronomy15112661" TargetMode="External"/><Relationship Id="rId59" Type="http://schemas.openxmlformats.org/officeDocument/2006/relationships/hyperlink" Target="https://doi.org/10.3389/fpls.2019.00281" TargetMode="External"/><Relationship Id="rId67" Type="http://schemas.openxmlformats.org/officeDocument/2006/relationships/hyperlink" Target="https://doi:10.56557/jogee/2026/v22i210381" TargetMode="External"/><Relationship Id="rId20" Type="http://schemas.openxmlformats.org/officeDocument/2006/relationships/hyperlink" Target="https://doi.org/10.3389/fpls.2021.679916" TargetMode="External"/><Relationship Id="rId41" Type="http://schemas.openxmlformats.org/officeDocument/2006/relationships/hyperlink" Target="https://doi.org/10.3390/toxics5040028" TargetMode="External"/><Relationship Id="rId54" Type="http://schemas.openxmlformats.org/officeDocument/2006/relationships/hyperlink" Target="https://doi.org/10.51406/jagse.v18i1.1917" TargetMode="External"/><Relationship Id="rId62" Type="http://schemas.openxmlformats.org/officeDocument/2006/relationships/hyperlink" Target="https://doi.org/10.1016/j.tplants.2021.11.005" TargetMode="External"/><Relationship Id="rId70" Type="http://schemas.openxmlformats.org/officeDocument/2006/relationships/hyperlink" Target="https://doi.org/10.1038/s41598-021-97789-0"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89/fpls.2020.00300" TargetMode="External"/><Relationship Id="rId23" Type="http://schemas.openxmlformats.org/officeDocument/2006/relationships/hyperlink" Target="https://doi.org/10.1038/s41598-024-58911-0" TargetMode="External"/><Relationship Id="rId28" Type="http://schemas.openxmlformats.org/officeDocument/2006/relationships/hyperlink" Target="https://doi.org/10.1007/s11104-012-1567-y" TargetMode="External"/><Relationship Id="rId36" Type="http://schemas.openxmlformats.org/officeDocument/2006/relationships/hyperlink" Target="https://doi.org/10.18517/ijaseit.7.1.1675" TargetMode="External"/><Relationship Id="rId49" Type="http://schemas.openxmlformats.org/officeDocument/2006/relationships/hyperlink" Target="https://doi.org/10.3389/fpls.2018.01420" TargetMode="External"/><Relationship Id="rId57" Type="http://schemas.openxmlformats.org/officeDocument/2006/relationships/hyperlink" Target="https://doi.org/10.1016/j.chemosphere.2020.126060" TargetMode="External"/><Relationship Id="rId10" Type="http://schemas.openxmlformats.org/officeDocument/2006/relationships/chart" Target="charts/chart3.xml"/><Relationship Id="rId31" Type="http://schemas.openxmlformats.org/officeDocument/2006/relationships/hyperlink" Target="https://doi.org/10.1007/s11738-014-1491-2" TargetMode="External"/><Relationship Id="rId44" Type="http://schemas.openxmlformats.org/officeDocument/2006/relationships/hyperlink" Target="https://doi.org/10.1080/00103629009368292" TargetMode="External"/><Relationship Id="rId52" Type="http://schemas.openxmlformats.org/officeDocument/2006/relationships/hyperlink" Target="https://doi.org/10.1007/s44288-025-00220-8" TargetMode="External"/><Relationship Id="rId60" Type="http://schemas.openxmlformats.org/officeDocument/2006/relationships/hyperlink" Target="https://doi.org/10.3390/plants8100381" TargetMode="External"/><Relationship Id="rId65" Type="http://schemas.openxmlformats.org/officeDocument/2006/relationships/hyperlink" Target="https://doi.org/10.9734/asrj/2025/v9i3193" TargetMode="External"/><Relationship Id="rId73" Type="http://schemas.openxmlformats.org/officeDocument/2006/relationships/hyperlink" Target="https://doi.org/10.1080/00103629409369081" TargetMode="External"/><Relationship Id="rId78" Type="http://schemas.openxmlformats.org/officeDocument/2006/relationships/footer" Target="footer3.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3" Type="http://schemas.openxmlformats.org/officeDocument/2006/relationships/hyperlink" Target="https://doi.org/10.1016/s1002-0160(17)60382-5" TargetMode="External"/><Relationship Id="rId18" Type="http://schemas.openxmlformats.org/officeDocument/2006/relationships/hyperlink" Target="https://doi.org/10.1007/s40093-014-0079-6" TargetMode="External"/><Relationship Id="rId39" Type="http://schemas.openxmlformats.org/officeDocument/2006/relationships/hyperlink" Target="https://doi.org/10.1080/00103624.2015.1068322" TargetMode="External"/><Relationship Id="rId34" Type="http://schemas.openxmlformats.org/officeDocument/2006/relationships/hyperlink" Target="https://doi.org/10.11674/zwyf.2011.0257" TargetMode="External"/><Relationship Id="rId50" Type="http://schemas.openxmlformats.org/officeDocument/2006/relationships/hyperlink" Target="https://doi.org/10.1080/00103628409367568" TargetMode="External"/><Relationship Id="rId55" Type="http://schemas.openxmlformats.org/officeDocument/2006/relationships/hyperlink" Target="https://doi.org/10.1007/s13201-021-01384-7" TargetMode="External"/><Relationship Id="rId76"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hyperlink" Target="https://doi.org/10.5958/0974-0228.2025.00036.4" TargetMode="External"/><Relationship Id="rId2" Type="http://schemas.openxmlformats.org/officeDocument/2006/relationships/styles" Target="styles.xml"/><Relationship Id="rId29" Type="http://schemas.openxmlformats.org/officeDocument/2006/relationships/hyperlink" Target="https://doi.org/10.1016/j.chemosphere.2021.132155" TargetMode="External"/><Relationship Id="rId24" Type="http://schemas.openxmlformats.org/officeDocument/2006/relationships/hyperlink" Target="https://doi.org/10.1016/j.catena.2018.01.001" TargetMode="External"/><Relationship Id="rId40" Type="http://schemas.openxmlformats.org/officeDocument/2006/relationships/hyperlink" Target="https://doi.org/10.1080/00103620701328347" TargetMode="External"/><Relationship Id="rId45" Type="http://schemas.openxmlformats.org/officeDocument/2006/relationships/hyperlink" Target="https://doi.org/10.1007/s13593-017-0431-0" TargetMode="External"/><Relationship Id="rId66" Type="http://schemas.openxmlformats.org/officeDocument/2006/relationships/hyperlink" Target="https://doi.org/10.9734/asrj/2025/v9i32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JP%20II%20COLLEGE\AppData\Roaming\Microsoft\Excel\AKAY%20REARRANGED%20DATA%20(version%202).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JP%20II%20COLLEGE\Desktop\THESIS%20ROUGH%20%20TABLES\AKAY%20REARRANGED%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JP%20II%20COLLEGE\AppData\Roaming\Microsoft\Excel\AKAY%20REARRANGED%20DATA%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noFill/>
        <a:ln w="25400">
          <a:noFill/>
        </a:ln>
      </c:spPr>
    </c:sideWall>
    <c:backWall>
      <c:thickness val="0"/>
    </c:backWall>
    <c:plotArea>
      <c:layout>
        <c:manualLayout>
          <c:layoutTarget val="inner"/>
          <c:xMode val="edge"/>
          <c:yMode val="edge"/>
          <c:x val="0.11025037779368493"/>
          <c:y val="2.6250372032611893E-2"/>
          <c:w val="0.86896651554919369"/>
          <c:h val="0.67635840158601179"/>
        </c:manualLayout>
      </c:layout>
      <c:bar3DChart>
        <c:barDir val="col"/>
        <c:grouping val="clustered"/>
        <c:varyColors val="0"/>
        <c:ser>
          <c:idx val="0"/>
          <c:order val="0"/>
          <c:tx>
            <c:strRef>
              <c:f>'UNIVERSAL EXTRC FOR CPS'!$A$46</c:f>
              <c:strCache>
                <c:ptCount val="1"/>
                <c:pt idx="0">
                  <c:v>P</c:v>
                </c:pt>
              </c:strCache>
            </c:strRef>
          </c:tx>
          <c:spPr>
            <a:solidFill>
              <a:srgbClr val="1F77B4"/>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CPS'!$B$46:$M$46</c:f>
              <c:numCache>
                <c:formatCode>General</c:formatCode>
                <c:ptCount val="12"/>
                <c:pt idx="0">
                  <c:v>10.32</c:v>
                </c:pt>
                <c:pt idx="1">
                  <c:v>8.1300000000000008</c:v>
                </c:pt>
                <c:pt idx="2">
                  <c:v>9.2800000000000011</c:v>
                </c:pt>
                <c:pt idx="3">
                  <c:v>9.69</c:v>
                </c:pt>
                <c:pt idx="4">
                  <c:v>4.59</c:v>
                </c:pt>
                <c:pt idx="5">
                  <c:v>4.17</c:v>
                </c:pt>
                <c:pt idx="6">
                  <c:v>111.66999999999999</c:v>
                </c:pt>
                <c:pt idx="7">
                  <c:v>109.44000000000011</c:v>
                </c:pt>
                <c:pt idx="8">
                  <c:v>115.94000000000011</c:v>
                </c:pt>
                <c:pt idx="9">
                  <c:v>109.06</c:v>
                </c:pt>
                <c:pt idx="10">
                  <c:v>117.4</c:v>
                </c:pt>
                <c:pt idx="11">
                  <c:v>112.81</c:v>
                </c:pt>
              </c:numCache>
            </c:numRef>
          </c:val>
          <c:extLst>
            <c:ext xmlns:c16="http://schemas.microsoft.com/office/drawing/2014/chart" uri="{C3380CC4-5D6E-409C-BE32-E72D297353CC}">
              <c16:uniqueId val="{00000000-0388-462C-A989-F87F42A77EC3}"/>
            </c:ext>
          </c:extLst>
        </c:ser>
        <c:ser>
          <c:idx val="1"/>
          <c:order val="1"/>
          <c:tx>
            <c:strRef>
              <c:f>'UNIVERSAL EXTRC FOR CPS'!$A$47</c:f>
              <c:strCache>
                <c:ptCount val="1"/>
                <c:pt idx="0">
                  <c:v>K</c:v>
                </c:pt>
              </c:strCache>
            </c:strRef>
          </c:tx>
          <c:spPr>
            <a:solidFill>
              <a:srgbClr val="FF7F0E"/>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CPS'!$B$47:$M$47</c:f>
              <c:numCache>
                <c:formatCode>General</c:formatCode>
                <c:ptCount val="12"/>
                <c:pt idx="0">
                  <c:v>0.31000000000000044</c:v>
                </c:pt>
                <c:pt idx="1">
                  <c:v>0.21000000000000021</c:v>
                </c:pt>
                <c:pt idx="2">
                  <c:v>0.12000000000000002</c:v>
                </c:pt>
                <c:pt idx="3">
                  <c:v>0.1</c:v>
                </c:pt>
                <c:pt idx="4">
                  <c:v>2.0000000000000014E-2</c:v>
                </c:pt>
                <c:pt idx="5">
                  <c:v>4.0000000000000029E-2</c:v>
                </c:pt>
                <c:pt idx="6">
                  <c:v>0.44000000000000011</c:v>
                </c:pt>
                <c:pt idx="7">
                  <c:v>0.3400000000000003</c:v>
                </c:pt>
                <c:pt idx="8">
                  <c:v>0.27</c:v>
                </c:pt>
                <c:pt idx="9">
                  <c:v>0.16000000000000006</c:v>
                </c:pt>
                <c:pt idx="10">
                  <c:v>0.12000000000000002</c:v>
                </c:pt>
                <c:pt idx="11">
                  <c:v>6.0000000000000032E-2</c:v>
                </c:pt>
              </c:numCache>
            </c:numRef>
          </c:val>
          <c:extLst>
            <c:ext xmlns:c16="http://schemas.microsoft.com/office/drawing/2014/chart" uri="{C3380CC4-5D6E-409C-BE32-E72D297353CC}">
              <c16:uniqueId val="{00000001-0388-462C-A989-F87F42A77EC3}"/>
            </c:ext>
          </c:extLst>
        </c:ser>
        <c:ser>
          <c:idx val="2"/>
          <c:order val="2"/>
          <c:tx>
            <c:strRef>
              <c:f>'UNIVERSAL EXTRC FOR CPS'!$A$48</c:f>
              <c:strCache>
                <c:ptCount val="1"/>
                <c:pt idx="0">
                  <c:v>Mn</c:v>
                </c:pt>
              </c:strCache>
            </c:strRef>
          </c:tx>
          <c:spPr>
            <a:solidFill>
              <a:srgbClr val="2CA02C"/>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CPS'!$B$48:$M$48</c:f>
              <c:numCache>
                <c:formatCode>General</c:formatCode>
                <c:ptCount val="12"/>
                <c:pt idx="0">
                  <c:v>23.87</c:v>
                </c:pt>
                <c:pt idx="1">
                  <c:v>22.03</c:v>
                </c:pt>
                <c:pt idx="2">
                  <c:v>18.86</c:v>
                </c:pt>
                <c:pt idx="3">
                  <c:v>20</c:v>
                </c:pt>
                <c:pt idx="4">
                  <c:v>13.360000000000014</c:v>
                </c:pt>
                <c:pt idx="5">
                  <c:v>14.26</c:v>
                </c:pt>
                <c:pt idx="6">
                  <c:v>56.730000000000011</c:v>
                </c:pt>
                <c:pt idx="7">
                  <c:v>56</c:v>
                </c:pt>
                <c:pt idx="8">
                  <c:v>41.33</c:v>
                </c:pt>
                <c:pt idx="9">
                  <c:v>41.63</c:v>
                </c:pt>
                <c:pt idx="10">
                  <c:v>35.01</c:v>
                </c:pt>
                <c:pt idx="11">
                  <c:v>33.6</c:v>
                </c:pt>
              </c:numCache>
            </c:numRef>
          </c:val>
          <c:extLst>
            <c:ext xmlns:c16="http://schemas.microsoft.com/office/drawing/2014/chart" uri="{C3380CC4-5D6E-409C-BE32-E72D297353CC}">
              <c16:uniqueId val="{00000002-0388-462C-A989-F87F42A77EC3}"/>
            </c:ext>
          </c:extLst>
        </c:ser>
        <c:ser>
          <c:idx val="3"/>
          <c:order val="3"/>
          <c:tx>
            <c:strRef>
              <c:f>'UNIVERSAL EXTRC FOR CPS'!$A$49</c:f>
              <c:strCache>
                <c:ptCount val="1"/>
                <c:pt idx="0">
                  <c:v>Fe</c:v>
                </c:pt>
              </c:strCache>
            </c:strRef>
          </c:tx>
          <c:spPr>
            <a:solidFill>
              <a:srgbClr val="D62728"/>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CPS'!$B$49:$M$49</c:f>
              <c:numCache>
                <c:formatCode>General</c:formatCode>
                <c:ptCount val="12"/>
                <c:pt idx="0">
                  <c:v>3.82</c:v>
                </c:pt>
                <c:pt idx="1">
                  <c:v>3.3299999999999987</c:v>
                </c:pt>
                <c:pt idx="2">
                  <c:v>3.3699999999999997</c:v>
                </c:pt>
                <c:pt idx="3">
                  <c:v>4.22</c:v>
                </c:pt>
                <c:pt idx="4">
                  <c:v>2.16</c:v>
                </c:pt>
                <c:pt idx="5">
                  <c:v>2.3499999999999988</c:v>
                </c:pt>
                <c:pt idx="6">
                  <c:v>10.59</c:v>
                </c:pt>
                <c:pt idx="7">
                  <c:v>9.67</c:v>
                </c:pt>
                <c:pt idx="8">
                  <c:v>11.05</c:v>
                </c:pt>
                <c:pt idx="9">
                  <c:v>11.07</c:v>
                </c:pt>
                <c:pt idx="10">
                  <c:v>6.73</c:v>
                </c:pt>
                <c:pt idx="11">
                  <c:v>7</c:v>
                </c:pt>
              </c:numCache>
            </c:numRef>
          </c:val>
          <c:extLst>
            <c:ext xmlns:c16="http://schemas.microsoft.com/office/drawing/2014/chart" uri="{C3380CC4-5D6E-409C-BE32-E72D297353CC}">
              <c16:uniqueId val="{00000003-0388-462C-A989-F87F42A77EC3}"/>
            </c:ext>
          </c:extLst>
        </c:ser>
        <c:dLbls>
          <c:showLegendKey val="0"/>
          <c:showVal val="0"/>
          <c:showCatName val="0"/>
          <c:showSerName val="0"/>
          <c:showPercent val="0"/>
          <c:showBubbleSize val="0"/>
        </c:dLbls>
        <c:gapWidth val="150"/>
        <c:shape val="cylinder"/>
        <c:axId val="87229952"/>
        <c:axId val="87231872"/>
        <c:axId val="0"/>
      </c:bar3DChart>
      <c:catAx>
        <c:axId val="87229952"/>
        <c:scaling>
          <c:orientation val="minMax"/>
        </c:scaling>
        <c:delete val="0"/>
        <c:axPos val="b"/>
        <c:title>
          <c:tx>
            <c:rich>
              <a:bodyPr/>
              <a:lstStyle/>
              <a:p>
                <a:pPr>
                  <a:defRPr sz="1200"/>
                </a:pPr>
                <a:r>
                  <a:rPr lang="en-US" sz="1200"/>
                  <a:t>Effluents and Universal Extractants for</a:t>
                </a:r>
                <a:r>
                  <a:rPr lang="en-US" sz="1200" baseline="0"/>
                  <a:t> Coastal Plain Sands (CPS)</a:t>
                </a:r>
                <a:endParaRPr lang="en-US" sz="1200"/>
              </a:p>
            </c:rich>
          </c:tx>
          <c:layout>
            <c:manualLayout>
              <c:xMode val="edge"/>
              <c:yMode val="edge"/>
              <c:x val="0.19795355126063788"/>
              <c:y val="0.94155570028679203"/>
            </c:manualLayout>
          </c:layout>
          <c:overlay val="0"/>
        </c:title>
        <c:numFmt formatCode="General" sourceLinked="0"/>
        <c:majorTickMark val="none"/>
        <c:minorTickMark val="none"/>
        <c:tickLblPos val="nextTo"/>
        <c:txPr>
          <a:bodyPr/>
          <a:lstStyle/>
          <a:p>
            <a:pPr>
              <a:defRPr b="1"/>
            </a:pPr>
            <a:endParaRPr lang="en-US"/>
          </a:p>
        </c:txPr>
        <c:crossAx val="87231872"/>
        <c:crosses val="autoZero"/>
        <c:auto val="1"/>
        <c:lblAlgn val="ctr"/>
        <c:lblOffset val="100"/>
        <c:noMultiLvlLbl val="0"/>
      </c:catAx>
      <c:valAx>
        <c:axId val="87231872"/>
        <c:scaling>
          <c:orientation val="minMax"/>
        </c:scaling>
        <c:delete val="0"/>
        <c:axPos val="l"/>
        <c:title>
          <c:tx>
            <c:rich>
              <a:bodyPr/>
              <a:lstStyle/>
              <a:p>
                <a:pPr>
                  <a:defRPr sz="1200"/>
                </a:pPr>
                <a:r>
                  <a:rPr lang="en-US" sz="1200"/>
                  <a:t>Nutrient Contents (cmol/kg)</a:t>
                </a:r>
              </a:p>
            </c:rich>
          </c:tx>
          <c:overlay val="0"/>
        </c:title>
        <c:numFmt formatCode="General" sourceLinked="1"/>
        <c:majorTickMark val="out"/>
        <c:minorTickMark val="none"/>
        <c:tickLblPos val="nextTo"/>
        <c:txPr>
          <a:bodyPr/>
          <a:lstStyle/>
          <a:p>
            <a:pPr>
              <a:defRPr sz="1200" b="1"/>
            </a:pPr>
            <a:endParaRPr lang="en-US"/>
          </a:p>
        </c:txPr>
        <c:crossAx val="87229952"/>
        <c:crosses val="autoZero"/>
        <c:crossBetween val="between"/>
      </c:valAx>
    </c:plotArea>
    <c:legend>
      <c:legendPos val="t"/>
      <c:layout>
        <c:manualLayout>
          <c:xMode val="edge"/>
          <c:yMode val="edge"/>
          <c:x val="0.25977300564702133"/>
          <c:y val="1.8978333069745383E-2"/>
          <c:w val="0.25584614150305451"/>
          <c:h val="6.828236668539478E-2"/>
        </c:manualLayout>
      </c:layout>
      <c:overlay val="0"/>
      <c:txPr>
        <a:bodyPr/>
        <a:lstStyle/>
        <a:p>
          <a:pPr>
            <a:defRPr sz="1400" b="1"/>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94794781087147E-2"/>
          <c:y val="2.4478014322283796E-2"/>
          <c:w val="0.87489702917570189"/>
          <c:h val="0.68597595670911615"/>
        </c:manualLayout>
      </c:layout>
      <c:bar3DChart>
        <c:barDir val="col"/>
        <c:grouping val="clustered"/>
        <c:varyColors val="0"/>
        <c:ser>
          <c:idx val="0"/>
          <c:order val="0"/>
          <c:tx>
            <c:strRef>
              <c:f>'UNI EXTRT FOR BRS'!$A$48</c:f>
              <c:strCache>
                <c:ptCount val="1"/>
                <c:pt idx="0">
                  <c:v>P</c:v>
                </c:pt>
              </c:strCache>
            </c:strRef>
          </c:tx>
          <c:spPr>
            <a:solidFill>
              <a:srgbClr val="1F77B4"/>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BRS'!$B$48:$M$48</c:f>
              <c:numCache>
                <c:formatCode>General</c:formatCode>
                <c:ptCount val="12"/>
                <c:pt idx="0">
                  <c:v>4.6899999999999995</c:v>
                </c:pt>
                <c:pt idx="1">
                  <c:v>3.86</c:v>
                </c:pt>
                <c:pt idx="2">
                  <c:v>5.21</c:v>
                </c:pt>
                <c:pt idx="3">
                  <c:v>3.65</c:v>
                </c:pt>
                <c:pt idx="4">
                  <c:v>3.86</c:v>
                </c:pt>
                <c:pt idx="5">
                  <c:v>6.05</c:v>
                </c:pt>
                <c:pt idx="6">
                  <c:v>107.4</c:v>
                </c:pt>
                <c:pt idx="7">
                  <c:v>110.42</c:v>
                </c:pt>
                <c:pt idx="8">
                  <c:v>106.66999999999999</c:v>
                </c:pt>
                <c:pt idx="9">
                  <c:v>105.1</c:v>
                </c:pt>
                <c:pt idx="10">
                  <c:v>105.64999999999999</c:v>
                </c:pt>
                <c:pt idx="11">
                  <c:v>111.14999999999999</c:v>
                </c:pt>
              </c:numCache>
            </c:numRef>
          </c:val>
          <c:extLst>
            <c:ext xmlns:c16="http://schemas.microsoft.com/office/drawing/2014/chart" uri="{C3380CC4-5D6E-409C-BE32-E72D297353CC}">
              <c16:uniqueId val="{00000000-CB2A-4315-B4DA-BCEDD2B0CFE5}"/>
            </c:ext>
          </c:extLst>
        </c:ser>
        <c:ser>
          <c:idx val="1"/>
          <c:order val="1"/>
          <c:tx>
            <c:strRef>
              <c:f>'UNI EXTRT FOR BRS'!$A$49</c:f>
              <c:strCache>
                <c:ptCount val="1"/>
                <c:pt idx="0">
                  <c:v>K</c:v>
                </c:pt>
              </c:strCache>
            </c:strRef>
          </c:tx>
          <c:spPr>
            <a:solidFill>
              <a:srgbClr val="FF7F0E"/>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BRS'!$B$49:$M$49</c:f>
              <c:numCache>
                <c:formatCode>General</c:formatCode>
                <c:ptCount val="12"/>
                <c:pt idx="0">
                  <c:v>8.0000000000000043E-2</c:v>
                </c:pt>
                <c:pt idx="1">
                  <c:v>6.0000000000000032E-2</c:v>
                </c:pt>
                <c:pt idx="2">
                  <c:v>4.0000000000000022E-2</c:v>
                </c:pt>
                <c:pt idx="3">
                  <c:v>4.0000000000000022E-2</c:v>
                </c:pt>
                <c:pt idx="4">
                  <c:v>2.0000000000000011E-2</c:v>
                </c:pt>
                <c:pt idx="5">
                  <c:v>3.0000000000000002E-2</c:v>
                </c:pt>
                <c:pt idx="6">
                  <c:v>0.1</c:v>
                </c:pt>
                <c:pt idx="7">
                  <c:v>9.0000000000000024E-2</c:v>
                </c:pt>
                <c:pt idx="8">
                  <c:v>8.0000000000000043E-2</c:v>
                </c:pt>
                <c:pt idx="9">
                  <c:v>7.0000000000000021E-2</c:v>
                </c:pt>
                <c:pt idx="10">
                  <c:v>0.05</c:v>
                </c:pt>
                <c:pt idx="11">
                  <c:v>7.0000000000000021E-2</c:v>
                </c:pt>
              </c:numCache>
            </c:numRef>
          </c:val>
          <c:extLst>
            <c:ext xmlns:c16="http://schemas.microsoft.com/office/drawing/2014/chart" uri="{C3380CC4-5D6E-409C-BE32-E72D297353CC}">
              <c16:uniqueId val="{00000001-CB2A-4315-B4DA-BCEDD2B0CFE5}"/>
            </c:ext>
          </c:extLst>
        </c:ser>
        <c:ser>
          <c:idx val="2"/>
          <c:order val="2"/>
          <c:tx>
            <c:strRef>
              <c:f>'UNI EXTRT FOR BRS'!$A$50</c:f>
              <c:strCache>
                <c:ptCount val="1"/>
                <c:pt idx="0">
                  <c:v>Fe</c:v>
                </c:pt>
              </c:strCache>
            </c:strRef>
          </c:tx>
          <c:spPr>
            <a:solidFill>
              <a:srgbClr val="2CA02C"/>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BRS'!$B$50:$M$50</c:f>
              <c:numCache>
                <c:formatCode>General</c:formatCode>
                <c:ptCount val="12"/>
                <c:pt idx="0">
                  <c:v>16.260000000000002</c:v>
                </c:pt>
                <c:pt idx="1">
                  <c:v>17.59</c:v>
                </c:pt>
                <c:pt idx="2">
                  <c:v>16.600000000000001</c:v>
                </c:pt>
                <c:pt idx="3">
                  <c:v>15.33</c:v>
                </c:pt>
                <c:pt idx="4">
                  <c:v>11.83</c:v>
                </c:pt>
                <c:pt idx="5">
                  <c:v>13.14</c:v>
                </c:pt>
                <c:pt idx="6">
                  <c:v>42.790000000000013</c:v>
                </c:pt>
                <c:pt idx="7">
                  <c:v>41</c:v>
                </c:pt>
                <c:pt idx="8">
                  <c:v>59.53</c:v>
                </c:pt>
                <c:pt idx="9">
                  <c:v>54.67</c:v>
                </c:pt>
                <c:pt idx="10">
                  <c:v>44.32</c:v>
                </c:pt>
                <c:pt idx="11">
                  <c:v>44</c:v>
                </c:pt>
              </c:numCache>
            </c:numRef>
          </c:val>
          <c:extLst>
            <c:ext xmlns:c16="http://schemas.microsoft.com/office/drawing/2014/chart" uri="{C3380CC4-5D6E-409C-BE32-E72D297353CC}">
              <c16:uniqueId val="{00000002-CB2A-4315-B4DA-BCEDD2B0CFE5}"/>
            </c:ext>
          </c:extLst>
        </c:ser>
        <c:ser>
          <c:idx val="3"/>
          <c:order val="3"/>
          <c:tx>
            <c:strRef>
              <c:f>'UNI EXTRT FOR BRS'!$A$51</c:f>
              <c:strCache>
                <c:ptCount val="1"/>
                <c:pt idx="0">
                  <c:v>Mn</c:v>
                </c:pt>
              </c:strCache>
            </c:strRef>
          </c:tx>
          <c:spPr>
            <a:solidFill>
              <a:srgbClr val="D62728"/>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BRS'!$B$51:$M$51</c:f>
              <c:numCache>
                <c:formatCode>General</c:formatCode>
                <c:ptCount val="12"/>
                <c:pt idx="0">
                  <c:v>1.9200000000000017</c:v>
                </c:pt>
                <c:pt idx="1">
                  <c:v>2.5499999999999998</c:v>
                </c:pt>
                <c:pt idx="2">
                  <c:v>2.11</c:v>
                </c:pt>
                <c:pt idx="3">
                  <c:v>3</c:v>
                </c:pt>
                <c:pt idx="4">
                  <c:v>1.1599999999999981</c:v>
                </c:pt>
                <c:pt idx="5">
                  <c:v>1.43</c:v>
                </c:pt>
                <c:pt idx="6">
                  <c:v>8.81</c:v>
                </c:pt>
                <c:pt idx="7">
                  <c:v>7.89</c:v>
                </c:pt>
                <c:pt idx="8">
                  <c:v>11.27</c:v>
                </c:pt>
                <c:pt idx="9">
                  <c:v>13</c:v>
                </c:pt>
                <c:pt idx="10">
                  <c:v>9.52</c:v>
                </c:pt>
                <c:pt idx="11">
                  <c:v>8.52</c:v>
                </c:pt>
              </c:numCache>
            </c:numRef>
          </c:val>
          <c:extLst>
            <c:ext xmlns:c16="http://schemas.microsoft.com/office/drawing/2014/chart" uri="{C3380CC4-5D6E-409C-BE32-E72D297353CC}">
              <c16:uniqueId val="{00000003-CB2A-4315-B4DA-BCEDD2B0CFE5}"/>
            </c:ext>
          </c:extLst>
        </c:ser>
        <c:dLbls>
          <c:showLegendKey val="0"/>
          <c:showVal val="0"/>
          <c:showCatName val="0"/>
          <c:showSerName val="0"/>
          <c:showPercent val="0"/>
          <c:showBubbleSize val="0"/>
        </c:dLbls>
        <c:gapWidth val="150"/>
        <c:shape val="cylinder"/>
        <c:axId val="91061632"/>
        <c:axId val="111504384"/>
        <c:axId val="0"/>
      </c:bar3DChart>
      <c:catAx>
        <c:axId val="91061632"/>
        <c:scaling>
          <c:orientation val="minMax"/>
        </c:scaling>
        <c:delete val="0"/>
        <c:axPos val="b"/>
        <c:title>
          <c:tx>
            <c:rich>
              <a:bodyPr/>
              <a:lstStyle/>
              <a:p>
                <a:pPr>
                  <a:defRPr sz="1100"/>
                </a:pPr>
                <a:r>
                  <a:rPr lang="en-US" sz="1200"/>
                  <a:t>Effluents and Universal Extractants for Beach</a:t>
                </a:r>
                <a:r>
                  <a:rPr lang="en-US" sz="1200" baseline="0"/>
                  <a:t> Ridge </a:t>
                </a:r>
                <a:r>
                  <a:rPr lang="en-US" sz="1200"/>
                  <a:t>Sands (BRS)</a:t>
                </a:r>
              </a:p>
            </c:rich>
          </c:tx>
          <c:layout>
            <c:manualLayout>
              <c:xMode val="edge"/>
              <c:yMode val="edge"/>
              <c:x val="0.21594339837955068"/>
              <c:y val="0.93965458021451065"/>
            </c:manualLayout>
          </c:layout>
          <c:overlay val="0"/>
        </c:title>
        <c:numFmt formatCode="General" sourceLinked="0"/>
        <c:majorTickMark val="none"/>
        <c:minorTickMark val="none"/>
        <c:tickLblPos val="nextTo"/>
        <c:txPr>
          <a:bodyPr/>
          <a:lstStyle/>
          <a:p>
            <a:pPr>
              <a:defRPr b="1"/>
            </a:pPr>
            <a:endParaRPr lang="en-US"/>
          </a:p>
        </c:txPr>
        <c:crossAx val="111504384"/>
        <c:crosses val="autoZero"/>
        <c:auto val="1"/>
        <c:lblAlgn val="ctr"/>
        <c:lblOffset val="100"/>
        <c:noMultiLvlLbl val="0"/>
      </c:catAx>
      <c:valAx>
        <c:axId val="111504384"/>
        <c:scaling>
          <c:orientation val="minMax"/>
        </c:scaling>
        <c:delete val="0"/>
        <c:axPos val="l"/>
        <c:title>
          <c:tx>
            <c:rich>
              <a:bodyPr/>
              <a:lstStyle/>
              <a:p>
                <a:pPr>
                  <a:defRPr sz="1200"/>
                </a:pPr>
                <a:r>
                  <a:rPr lang="en-US" sz="1200"/>
                  <a:t>Nutrient Contents (cmol/kg)</a:t>
                </a:r>
              </a:p>
            </c:rich>
          </c:tx>
          <c:overlay val="0"/>
        </c:title>
        <c:numFmt formatCode="General" sourceLinked="1"/>
        <c:majorTickMark val="out"/>
        <c:minorTickMark val="none"/>
        <c:tickLblPos val="nextTo"/>
        <c:txPr>
          <a:bodyPr/>
          <a:lstStyle/>
          <a:p>
            <a:pPr>
              <a:defRPr sz="1200" b="1"/>
            </a:pPr>
            <a:endParaRPr lang="en-US"/>
          </a:p>
        </c:txPr>
        <c:crossAx val="91061632"/>
        <c:crosses val="autoZero"/>
        <c:crossBetween val="between"/>
      </c:valAx>
    </c:plotArea>
    <c:legend>
      <c:legendPos val="t"/>
      <c:layout>
        <c:manualLayout>
          <c:xMode val="edge"/>
          <c:yMode val="edge"/>
          <c:x val="0.24262195300925818"/>
          <c:y val="6.5495417266812897E-3"/>
          <c:w val="0.29221916200968401"/>
          <c:h val="0.14201358238291989"/>
        </c:manualLayout>
      </c:layout>
      <c:overlay val="0"/>
      <c:txPr>
        <a:bodyPr/>
        <a:lstStyle/>
        <a:p>
          <a:pPr>
            <a:defRPr sz="1400" b="1" i="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151894474729121"/>
          <c:y val="3.6966431827600503E-2"/>
          <c:w val="0.86537452049263053"/>
          <c:h val="0.65947792417036977"/>
        </c:manualLayout>
      </c:layout>
      <c:bar3DChart>
        <c:barDir val="col"/>
        <c:grouping val="clustered"/>
        <c:varyColors val="0"/>
        <c:ser>
          <c:idx val="0"/>
          <c:order val="0"/>
          <c:tx>
            <c:strRef>
              <c:f>Sheet3!$A$19</c:f>
              <c:strCache>
                <c:ptCount val="1"/>
                <c:pt idx="0">
                  <c:v>P</c:v>
                </c:pt>
              </c:strCache>
            </c:strRef>
          </c:tx>
          <c:spPr>
            <a:solidFill>
              <a:srgbClr val="1F77B4"/>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Sheet3!$B$19:$M$19</c:f>
              <c:numCache>
                <c:formatCode>General</c:formatCode>
                <c:ptCount val="12"/>
                <c:pt idx="0">
                  <c:v>7.4</c:v>
                </c:pt>
                <c:pt idx="1">
                  <c:v>4.4800000000000004</c:v>
                </c:pt>
                <c:pt idx="2">
                  <c:v>7.3</c:v>
                </c:pt>
                <c:pt idx="3">
                  <c:v>8.23</c:v>
                </c:pt>
                <c:pt idx="4">
                  <c:v>5.1099999999999985</c:v>
                </c:pt>
                <c:pt idx="5">
                  <c:v>4.38</c:v>
                </c:pt>
                <c:pt idx="6">
                  <c:v>111.77</c:v>
                </c:pt>
                <c:pt idx="7">
                  <c:v>112.81</c:v>
                </c:pt>
                <c:pt idx="8">
                  <c:v>111.98</c:v>
                </c:pt>
                <c:pt idx="9">
                  <c:v>113.95</c:v>
                </c:pt>
                <c:pt idx="10">
                  <c:v>138.22999999999999</c:v>
                </c:pt>
                <c:pt idx="11">
                  <c:v>104.16999999999999</c:v>
                </c:pt>
              </c:numCache>
            </c:numRef>
          </c:val>
          <c:extLst>
            <c:ext xmlns:c16="http://schemas.microsoft.com/office/drawing/2014/chart" uri="{C3380CC4-5D6E-409C-BE32-E72D297353CC}">
              <c16:uniqueId val="{00000000-7B06-47D2-B302-10AF41F1CC09}"/>
            </c:ext>
          </c:extLst>
        </c:ser>
        <c:ser>
          <c:idx val="1"/>
          <c:order val="1"/>
          <c:tx>
            <c:strRef>
              <c:f>Sheet3!$A$20</c:f>
              <c:strCache>
                <c:ptCount val="1"/>
                <c:pt idx="0">
                  <c:v>K</c:v>
                </c:pt>
              </c:strCache>
            </c:strRef>
          </c:tx>
          <c:spPr>
            <a:solidFill>
              <a:srgbClr val="FF7F0E"/>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Sheet3!$B$20:$M$20</c:f>
              <c:numCache>
                <c:formatCode>General</c:formatCode>
                <c:ptCount val="12"/>
                <c:pt idx="0">
                  <c:v>9.0000000000000024E-2</c:v>
                </c:pt>
                <c:pt idx="1">
                  <c:v>0.12000000000000002</c:v>
                </c:pt>
                <c:pt idx="2">
                  <c:v>0.1</c:v>
                </c:pt>
                <c:pt idx="3">
                  <c:v>0.1</c:v>
                </c:pt>
                <c:pt idx="4">
                  <c:v>3.0000000000000002E-2</c:v>
                </c:pt>
                <c:pt idx="5">
                  <c:v>4.0000000000000022E-2</c:v>
                </c:pt>
                <c:pt idx="6">
                  <c:v>0.13</c:v>
                </c:pt>
                <c:pt idx="7">
                  <c:v>0.13</c:v>
                </c:pt>
                <c:pt idx="8">
                  <c:v>0.14000000000000001</c:v>
                </c:pt>
                <c:pt idx="9">
                  <c:v>0.14000000000000001</c:v>
                </c:pt>
                <c:pt idx="10">
                  <c:v>7.0000000000000021E-2</c:v>
                </c:pt>
                <c:pt idx="11">
                  <c:v>8.0000000000000043E-2</c:v>
                </c:pt>
              </c:numCache>
            </c:numRef>
          </c:val>
          <c:extLst>
            <c:ext xmlns:c16="http://schemas.microsoft.com/office/drawing/2014/chart" uri="{C3380CC4-5D6E-409C-BE32-E72D297353CC}">
              <c16:uniqueId val="{00000001-7B06-47D2-B302-10AF41F1CC09}"/>
            </c:ext>
          </c:extLst>
        </c:ser>
        <c:ser>
          <c:idx val="2"/>
          <c:order val="2"/>
          <c:tx>
            <c:strRef>
              <c:f>Sheet3!$A$21</c:f>
              <c:strCache>
                <c:ptCount val="1"/>
                <c:pt idx="0">
                  <c:v>Fe</c:v>
                </c:pt>
              </c:strCache>
            </c:strRef>
          </c:tx>
          <c:spPr>
            <a:solidFill>
              <a:srgbClr val="2CA02C"/>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Sheet3!$B$21:$M$21</c:f>
              <c:numCache>
                <c:formatCode>General</c:formatCode>
                <c:ptCount val="12"/>
                <c:pt idx="0">
                  <c:v>4.33</c:v>
                </c:pt>
                <c:pt idx="1">
                  <c:v>4.6599999999999975</c:v>
                </c:pt>
                <c:pt idx="2">
                  <c:v>10.370000000000006</c:v>
                </c:pt>
                <c:pt idx="3">
                  <c:v>11.33</c:v>
                </c:pt>
                <c:pt idx="4">
                  <c:v>6.34</c:v>
                </c:pt>
                <c:pt idx="5">
                  <c:v>6</c:v>
                </c:pt>
                <c:pt idx="6">
                  <c:v>46.45</c:v>
                </c:pt>
                <c:pt idx="7">
                  <c:v>42</c:v>
                </c:pt>
                <c:pt idx="8">
                  <c:v>71.849999999999994</c:v>
                </c:pt>
                <c:pt idx="9">
                  <c:v>65.38</c:v>
                </c:pt>
                <c:pt idx="10">
                  <c:v>33.11</c:v>
                </c:pt>
                <c:pt idx="11">
                  <c:v>38.33</c:v>
                </c:pt>
              </c:numCache>
            </c:numRef>
          </c:val>
          <c:extLst>
            <c:ext xmlns:c16="http://schemas.microsoft.com/office/drawing/2014/chart" uri="{C3380CC4-5D6E-409C-BE32-E72D297353CC}">
              <c16:uniqueId val="{00000002-7B06-47D2-B302-10AF41F1CC09}"/>
            </c:ext>
          </c:extLst>
        </c:ser>
        <c:ser>
          <c:idx val="3"/>
          <c:order val="3"/>
          <c:tx>
            <c:strRef>
              <c:f>Sheet3!$A$22</c:f>
              <c:strCache>
                <c:ptCount val="1"/>
                <c:pt idx="0">
                  <c:v>Mn</c:v>
                </c:pt>
              </c:strCache>
            </c:strRef>
          </c:tx>
          <c:spPr>
            <a:solidFill>
              <a:srgbClr val="D62728"/>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Sheet3!$B$22:$M$22</c:f>
              <c:numCache>
                <c:formatCode>General</c:formatCode>
                <c:ptCount val="12"/>
                <c:pt idx="0">
                  <c:v>1.24</c:v>
                </c:pt>
                <c:pt idx="1">
                  <c:v>1.23</c:v>
                </c:pt>
                <c:pt idx="2">
                  <c:v>1.82</c:v>
                </c:pt>
                <c:pt idx="3">
                  <c:v>2.3699999999999997</c:v>
                </c:pt>
                <c:pt idx="4">
                  <c:v>1.02</c:v>
                </c:pt>
                <c:pt idx="5">
                  <c:v>0.64000000000000101</c:v>
                </c:pt>
                <c:pt idx="6">
                  <c:v>10.02</c:v>
                </c:pt>
                <c:pt idx="7">
                  <c:v>8.7000000000000011</c:v>
                </c:pt>
                <c:pt idx="8">
                  <c:v>13.450000000000006</c:v>
                </c:pt>
                <c:pt idx="9">
                  <c:v>13.33</c:v>
                </c:pt>
                <c:pt idx="10">
                  <c:v>5.8199999999999985</c:v>
                </c:pt>
                <c:pt idx="11">
                  <c:v>5.3599999999999985</c:v>
                </c:pt>
              </c:numCache>
            </c:numRef>
          </c:val>
          <c:extLst>
            <c:ext xmlns:c16="http://schemas.microsoft.com/office/drawing/2014/chart" uri="{C3380CC4-5D6E-409C-BE32-E72D297353CC}">
              <c16:uniqueId val="{00000003-7B06-47D2-B302-10AF41F1CC09}"/>
            </c:ext>
          </c:extLst>
        </c:ser>
        <c:dLbls>
          <c:showLegendKey val="0"/>
          <c:showVal val="0"/>
          <c:showCatName val="0"/>
          <c:showSerName val="0"/>
          <c:showPercent val="0"/>
          <c:showBubbleSize val="0"/>
        </c:dLbls>
        <c:gapWidth val="150"/>
        <c:shape val="box"/>
        <c:axId val="72379392"/>
        <c:axId val="72385664"/>
        <c:axId val="0"/>
      </c:bar3DChart>
      <c:catAx>
        <c:axId val="72379392"/>
        <c:scaling>
          <c:orientation val="minMax"/>
        </c:scaling>
        <c:delete val="0"/>
        <c:axPos val="b"/>
        <c:title>
          <c:tx>
            <c:rich>
              <a:bodyPr/>
              <a:lstStyle/>
              <a:p>
                <a:pPr>
                  <a:defRPr sz="1200"/>
                </a:pPr>
                <a:r>
                  <a:rPr lang="en-US" sz="1200"/>
                  <a:t>Effluents and Universal Extractants for Sandstone</a:t>
                </a:r>
                <a:r>
                  <a:rPr lang="en-US" sz="1200" baseline="0"/>
                  <a:t> Stone </a:t>
                </a:r>
                <a:r>
                  <a:rPr lang="en-US" sz="1200"/>
                  <a:t>Shales</a:t>
                </a:r>
                <a:r>
                  <a:rPr lang="en-US" sz="1200" baseline="0"/>
                  <a:t> </a:t>
                </a:r>
                <a:r>
                  <a:rPr lang="en-US" sz="1200"/>
                  <a:t>(SSS)</a:t>
                </a:r>
              </a:p>
            </c:rich>
          </c:tx>
          <c:layout>
            <c:manualLayout>
              <c:xMode val="edge"/>
              <c:yMode val="edge"/>
              <c:x val="0.19804889033841191"/>
              <c:y val="0.9281494763649607"/>
            </c:manualLayout>
          </c:layout>
          <c:overlay val="0"/>
        </c:title>
        <c:numFmt formatCode="General" sourceLinked="0"/>
        <c:majorTickMark val="none"/>
        <c:minorTickMark val="none"/>
        <c:tickLblPos val="nextTo"/>
        <c:txPr>
          <a:bodyPr/>
          <a:lstStyle/>
          <a:p>
            <a:pPr>
              <a:defRPr b="1"/>
            </a:pPr>
            <a:endParaRPr lang="en-US"/>
          </a:p>
        </c:txPr>
        <c:crossAx val="72385664"/>
        <c:crosses val="autoZero"/>
        <c:auto val="1"/>
        <c:lblAlgn val="ctr"/>
        <c:lblOffset val="100"/>
        <c:noMultiLvlLbl val="0"/>
      </c:catAx>
      <c:valAx>
        <c:axId val="72385664"/>
        <c:scaling>
          <c:orientation val="minMax"/>
        </c:scaling>
        <c:delete val="0"/>
        <c:axPos val="l"/>
        <c:title>
          <c:tx>
            <c:rich>
              <a:bodyPr/>
              <a:lstStyle/>
              <a:p>
                <a:pPr>
                  <a:defRPr sz="1200"/>
                </a:pPr>
                <a:r>
                  <a:rPr lang="en-US" sz="1200"/>
                  <a:t>Nutrient Content (cmol/kg)</a:t>
                </a:r>
              </a:p>
            </c:rich>
          </c:tx>
          <c:layout>
            <c:manualLayout>
              <c:xMode val="edge"/>
              <c:yMode val="edge"/>
              <c:x val="1.7970085470085481E-2"/>
              <c:y val="0.16695019242944395"/>
            </c:manualLayout>
          </c:layout>
          <c:overlay val="0"/>
        </c:title>
        <c:numFmt formatCode="General" sourceLinked="1"/>
        <c:majorTickMark val="out"/>
        <c:minorTickMark val="none"/>
        <c:tickLblPos val="nextTo"/>
        <c:txPr>
          <a:bodyPr/>
          <a:lstStyle/>
          <a:p>
            <a:pPr>
              <a:defRPr sz="1200" b="1"/>
            </a:pPr>
            <a:endParaRPr lang="en-US"/>
          </a:p>
        </c:txPr>
        <c:crossAx val="72379392"/>
        <c:crosses val="autoZero"/>
        <c:crossBetween val="between"/>
      </c:valAx>
    </c:plotArea>
    <c:legend>
      <c:legendPos val="t"/>
      <c:overlay val="0"/>
      <c:txPr>
        <a:bodyPr/>
        <a:lstStyle/>
        <a:p>
          <a:pPr>
            <a:defRPr sz="1400" b="1"/>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30</Pages>
  <Words>10257</Words>
  <Characters>58469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1022</cp:lastModifiedBy>
  <cp:revision>10</cp:revision>
  <dcterms:created xsi:type="dcterms:W3CDTF">2026-06-04T13:52:00Z</dcterms:created>
  <dcterms:modified xsi:type="dcterms:W3CDTF">2026-06-05T08:19:00Z</dcterms:modified>
</cp:coreProperties>
</file>