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DA7B0" w14:textId="77777777" w:rsidR="00F620E5" w:rsidRPr="00D93298" w:rsidRDefault="00000000">
      <w:pPr>
        <w:rPr>
          <w:b/>
          <w:bCs/>
        </w:rPr>
      </w:pPr>
      <w:r w:rsidRPr="00D93298">
        <w:rPr>
          <w:b/>
          <w:bCs/>
        </w:rPr>
        <w:t>PANDEMIC PREPAREDNESS, RESILIENCE, AND RECOVERY IN HEALTH SYSTEMS</w:t>
      </w:r>
    </w:p>
    <w:p w14:paraId="2056F33D" w14:textId="77777777" w:rsidR="00F620E5" w:rsidRDefault="00F620E5"/>
    <w:p w14:paraId="42BE3F01" w14:textId="77777777" w:rsidR="00F620E5" w:rsidRDefault="00F620E5"/>
    <w:p w14:paraId="1783ED05" w14:textId="77777777" w:rsidR="00F620E5" w:rsidRDefault="00F620E5"/>
    <w:p w14:paraId="3B28A29F" w14:textId="77777777" w:rsidR="00F620E5" w:rsidRDefault="00000000">
      <w:r>
        <w:t xml:space="preserve">ABSTRACT </w:t>
      </w:r>
    </w:p>
    <w:p w14:paraId="20F38462" w14:textId="77777777" w:rsidR="00F620E5" w:rsidRDefault="00F620E5"/>
    <w:p w14:paraId="392A562E" w14:textId="3873D222" w:rsidR="00F620E5" w:rsidRDefault="00000000">
      <w:r>
        <w:rPr>
          <w:lang w:val="en-US"/>
        </w:rPr>
        <w:t>Pandemics and public health emergencies expose vulnerabilities in healthcare systems, disrupt other sectors that provide essential services, and exacerbate socioeconomic inequalities among populations. This narrative review assesses components of pandemic preparedness, health system resilience, and strategies of recovery from a global health crisis. Lessons from COVID-19 and other previous pandemics—such as the importance of early warning systems, robust surveillance, adaptive workforce deployment, sustainable supply chains, and strong governance are considered. In addition to preparation for and management of a pandemic, a health system must not only absorb shock to be considered resilient, but also adapt and transform to deal with a crisis. This healthcare transformation can be achieved through adopting digital health information systems, new methods of healthcare financing, and active involvement of local communities. The importance of protecting essential health services, such as immunization, maternal healthcare, and management of patients with chronic diseases, is highlighted. The review also addresses the disproportionate impact of these health crises on vulnerable populations such as people of low socioeconomic status, the elderly, and displaced people. Finally, recommendations are provided on how to strengthen global health security by strengthening primary health care, ensuring equitable distribution of resources, and investing in local manufacturing of health products and in digital health information systems. Building back better in the aftermath of a pandemic will require sustained political will and, most importantly, international solidarity and a fundamental shift from a health crisis reaction model to a model of equity-centered preparedness and proactiveness.</w:t>
      </w:r>
      <w:r w:rsidR="00727501">
        <w:rPr>
          <w:lang w:val="en-US"/>
        </w:rPr>
        <w:t xml:space="preserve"> </w:t>
      </w:r>
      <w:r w:rsidR="00727501" w:rsidRPr="004945CE">
        <w:rPr>
          <w:highlight w:val="yellow"/>
        </w:rPr>
        <w:t>Investment in primary health care, digital health technologies, local manufacturing of health products and emergency preparedness are key to future health security. Strong pandemic preparedness and resilience require sustained political commitment, global solidarity and an equity-oriented proactive approach to protect the world’s population in the face of a health crisis.</w:t>
      </w:r>
    </w:p>
    <w:p w14:paraId="2838ED7E" w14:textId="77777777" w:rsidR="00F620E5" w:rsidRDefault="00F620E5"/>
    <w:p w14:paraId="2AFBB8E4" w14:textId="77777777" w:rsidR="00F620E5" w:rsidRDefault="00000000">
      <w:r>
        <w:t>Keywords: Pandemic preparedness, Health system resilience, Global health security, Health equity, Digital health systems</w:t>
      </w:r>
    </w:p>
    <w:p w14:paraId="15F0CC8F" w14:textId="77777777" w:rsidR="00F620E5" w:rsidRDefault="00F620E5"/>
    <w:p w14:paraId="51E45999" w14:textId="77777777" w:rsidR="00F620E5" w:rsidRDefault="00F620E5"/>
    <w:p w14:paraId="404E1FA5" w14:textId="77777777" w:rsidR="00F620E5" w:rsidRDefault="00000000">
      <w:r>
        <w:rPr>
          <w:lang w:val="en-US"/>
        </w:rPr>
        <w:t>1. INTRODUCTION</w:t>
      </w:r>
    </w:p>
    <w:p w14:paraId="1020C759" w14:textId="77777777" w:rsidR="00F620E5" w:rsidRDefault="00F620E5"/>
    <w:p w14:paraId="548C62F8" w14:textId="1EB78CF2" w:rsidR="00F620E5" w:rsidRDefault="00000000">
      <w:r>
        <w:rPr>
          <w:lang w:val="en-US"/>
        </w:rPr>
        <w:t xml:space="preserve">Pandemics and other public health emergencies have been shown time and again to destabilize societies, overwhelm healthcare systems, and threaten global stability (Sorrell, 2023). A pandemic is the spread of an infectious disease across many different regions, countries and continents, causing a significant amount of morbidity and mortality large enough that it places a strain on healthcare resources and exerts a steep economic toll (Kelly, 2011). Public health emergencies such as infectious disease outbreaks, have significant impact on public health, and as such require a rapid, coordinated multi-level response by governments at the local, national and international levels. Globalization, urbanization, increased travel, climate change and other factors have made the rapid spread of infectious diseases around the world more likely. Countries must develop strategic plans for preparedness and mitigation for the persistent threat of a major pandemic (Silva de Amorim &amp; </w:t>
      </w:r>
      <w:r>
        <w:rPr>
          <w:lang w:val="en-US"/>
        </w:rPr>
        <w:lastRenderedPageBreak/>
        <w:t>Salgueirinho Osório de Andrade Guerra, 2020).</w:t>
      </w:r>
      <w:r w:rsidR="00950823">
        <w:rPr>
          <w:lang w:val="en-US"/>
        </w:rPr>
        <w:t xml:space="preserve">  </w:t>
      </w:r>
      <w:r w:rsidR="00950823" w:rsidRPr="004945CE">
        <w:rPr>
          <w:rFonts w:ascii="Georgia" w:hAnsi="Georgia"/>
          <w:color w:val="1F1F1F"/>
          <w:highlight w:val="yellow"/>
        </w:rPr>
        <w:t>Health systems preparedness requires not only early identification and containment of outbreaks, and maintenance of critical services during crises, but also bolstering of population resilience and ensuring safety of both health personnel and patients. Substantial governance and structural and financial changes are required at multiple levels to ensure that all health systems everywhere are ready for the next pandemic</w:t>
      </w:r>
      <w:r w:rsidR="00950823">
        <w:rPr>
          <w:rFonts w:ascii="Georgia" w:hAnsi="Georgia"/>
          <w:color w:val="1F1F1F"/>
          <w:highlight w:val="yellow"/>
        </w:rPr>
        <w:t xml:space="preserve"> (</w:t>
      </w:r>
      <w:r w:rsidR="00950823" w:rsidRPr="00467DFD">
        <w:rPr>
          <w:color w:val="222222"/>
          <w:sz w:val="20"/>
          <w:szCs w:val="20"/>
          <w:highlight w:val="yellow"/>
          <w:shd w:val="clear" w:color="auto" w:fill="FFFFFF"/>
        </w:rPr>
        <w:t>Meena</w:t>
      </w:r>
      <w:r w:rsidR="00950823">
        <w:rPr>
          <w:color w:val="222222"/>
          <w:sz w:val="20"/>
          <w:szCs w:val="20"/>
          <w:highlight w:val="yellow"/>
          <w:shd w:val="clear" w:color="auto" w:fill="FFFFFF"/>
        </w:rPr>
        <w:t xml:space="preserve"> et al., 2023</w:t>
      </w:r>
      <w:r w:rsidR="00D74986">
        <w:rPr>
          <w:color w:val="222222"/>
          <w:sz w:val="20"/>
          <w:szCs w:val="20"/>
          <w:highlight w:val="yellow"/>
          <w:shd w:val="clear" w:color="auto" w:fill="FFFFFF"/>
        </w:rPr>
        <w:t xml:space="preserve">; </w:t>
      </w:r>
      <w:r w:rsidR="00D74986" w:rsidRPr="00467DFD">
        <w:rPr>
          <w:color w:val="222222"/>
          <w:sz w:val="20"/>
          <w:szCs w:val="20"/>
          <w:highlight w:val="yellow"/>
          <w:shd w:val="clear" w:color="auto" w:fill="FFFFFF"/>
        </w:rPr>
        <w:t>El-</w:t>
      </w:r>
      <w:proofErr w:type="spellStart"/>
      <w:r w:rsidR="00D74986" w:rsidRPr="00467DFD">
        <w:rPr>
          <w:color w:val="222222"/>
          <w:sz w:val="20"/>
          <w:szCs w:val="20"/>
          <w:highlight w:val="yellow"/>
          <w:shd w:val="clear" w:color="auto" w:fill="FFFFFF"/>
        </w:rPr>
        <w:t>Jardali</w:t>
      </w:r>
      <w:proofErr w:type="spellEnd"/>
      <w:r w:rsidR="00D74986">
        <w:rPr>
          <w:color w:val="222222"/>
          <w:sz w:val="20"/>
          <w:szCs w:val="20"/>
          <w:highlight w:val="yellow"/>
          <w:shd w:val="clear" w:color="auto" w:fill="FFFFFF"/>
        </w:rPr>
        <w:t xml:space="preserve"> et al., 2025</w:t>
      </w:r>
      <w:r w:rsidR="00950823">
        <w:rPr>
          <w:rFonts w:ascii="Georgia" w:hAnsi="Georgia"/>
          <w:color w:val="1F1F1F"/>
          <w:highlight w:val="yellow"/>
        </w:rPr>
        <w:t>)</w:t>
      </w:r>
      <w:r w:rsidR="00950823" w:rsidRPr="004945CE">
        <w:rPr>
          <w:rFonts w:ascii="Georgia" w:hAnsi="Georgia"/>
          <w:color w:val="1F1F1F"/>
          <w:highlight w:val="yellow"/>
        </w:rPr>
        <w:t>.</w:t>
      </w:r>
    </w:p>
    <w:p w14:paraId="28BDA26E" w14:textId="77777777" w:rsidR="00F620E5" w:rsidRDefault="00F620E5"/>
    <w:p w14:paraId="0E0D23BD" w14:textId="77777777" w:rsidR="00F620E5" w:rsidRDefault="00000000">
      <w:r>
        <w:rPr>
          <w:lang w:val="en-US"/>
        </w:rPr>
        <w:t>Historical outbreaks have shown the terrible cost of failing to prepare for a major outbreak and having a weak healthcare system. The 1918 Influenza Pandemic was one of the deadliest infectious disease outbreaks in human history, causing millions of deaths and exposing significant limitations in our healthcare system (Short et al., 2018). The SARS outbreak in 2003 was the first global health crisis of the 21st century, spreading rapidly to several countries and exerting a significant economic toll. The 2014-2016 outbreak of Ebola Virus Disease in West Africa exposed critical limitations in outbreak surveillance, community engagement, and response preparedness, including the need for enhanced international collaboration and coordination. The global COVID-19 crisis has further exposed structural vulnerabilities in healthcare delivery, supply chain management, governance, and emergency preparedness and response in both High-income Countries (HICs) and Low- and Middle-Income Countries (LMICs) (Cherry &amp; Krogstad, 2004; Fall, 2019; Liu et al., 2020).</w:t>
      </w:r>
    </w:p>
    <w:p w14:paraId="2920D1F8" w14:textId="77777777" w:rsidR="00F620E5" w:rsidRDefault="00F620E5"/>
    <w:p w14:paraId="6822B8F4" w14:textId="02361DBE" w:rsidR="00DE2DFE" w:rsidRDefault="00DE2DFE" w:rsidP="004945CE">
      <w:pPr>
        <w:pStyle w:val="isselectedend"/>
        <w:jc w:val="both"/>
      </w:pPr>
      <w:r w:rsidRPr="004945CE">
        <w:rPr>
          <w:highlight w:val="yellow"/>
        </w:rPr>
        <w:t xml:space="preserve">These experiences have underscored the critical importance of health system resilience in the face of both acute crises and prolonged disruptions. A resilient health system possesses the capacity to anticipate, prepare for, absorb, adapt to, and recover from a wide range of shocks while maintaining the delivery of essential healthcare services. Such services include, but are not limited to, maternal and child health care, </w:t>
      </w:r>
      <w:proofErr w:type="spellStart"/>
      <w:r w:rsidRPr="004945CE">
        <w:rPr>
          <w:highlight w:val="yellow"/>
        </w:rPr>
        <w:t>immunisation</w:t>
      </w:r>
      <w:proofErr w:type="spellEnd"/>
      <w:r w:rsidRPr="004945CE">
        <w:rPr>
          <w:highlight w:val="yellow"/>
        </w:rPr>
        <w:t xml:space="preserve"> </w:t>
      </w:r>
      <w:proofErr w:type="spellStart"/>
      <w:r w:rsidRPr="004945CE">
        <w:rPr>
          <w:highlight w:val="yellow"/>
        </w:rPr>
        <w:t>programmes</w:t>
      </w:r>
      <w:proofErr w:type="spellEnd"/>
      <w:r w:rsidRPr="004945CE">
        <w:rPr>
          <w:highlight w:val="yellow"/>
        </w:rPr>
        <w:t>, chronic disease management, and emergency medical care. The ability to sustain these core functions during periods of stress is fundamental to safeguarding population health and wellbeing. Conversely, weak and under-resourced health systems are often ill-equipped to respond effectively to crises, resulting in increased morbidity and mortality, interruptions to essential health services, and heightened socioeconomic instability. These challenges may also contribute to excessive workloads and burnout among healthcare workers, further compromising service delivery. Moreover, inadequate system performance during emergencies can erode public trust and confidence in healthcare institutions, thereby undermining the effectiveness of public health interventions and long-term health system sustainability (Haldane et al., 2021).</w:t>
      </w:r>
    </w:p>
    <w:p w14:paraId="58BFE1F5" w14:textId="77777777" w:rsidR="00F620E5" w:rsidRDefault="00F620E5"/>
    <w:p w14:paraId="544C5DBA" w14:textId="77777777" w:rsidR="00F620E5" w:rsidRDefault="00000000">
      <w:r>
        <w:rPr>
          <w:lang w:val="en-US"/>
        </w:rPr>
        <w:t>This review considers general principles of pandemic preparedness, key characteristics of health system resilience, and strategies for health system recovery after a major public health event. It draws lessons from past global outbreaks, and outlines critical health system policies needed to build more robust, adaptable, and equitable health systems to address the next pandemic. Figure 1 outlines the key components of pandemic preparedness, resilience, and recovery.</w:t>
      </w:r>
    </w:p>
    <w:p w14:paraId="10B48DBA" w14:textId="77777777" w:rsidR="00F620E5" w:rsidRDefault="00F620E5"/>
    <w:p w14:paraId="79ADD449" w14:textId="77777777" w:rsidR="00F620E5" w:rsidRDefault="00F620E5"/>
    <w:p w14:paraId="1CB5EBCF" w14:textId="77777777" w:rsidR="00F620E5" w:rsidRDefault="00F620E5"/>
    <w:p w14:paraId="0A241E46" w14:textId="77777777" w:rsidR="00F620E5" w:rsidRDefault="00F620E5"/>
    <w:p w14:paraId="26AA0E24" w14:textId="77777777" w:rsidR="00F620E5" w:rsidRDefault="00F620E5"/>
    <w:p w14:paraId="64ED4315" w14:textId="77777777" w:rsidR="00F620E5" w:rsidRDefault="00F620E5"/>
    <w:p w14:paraId="7D336BD2" w14:textId="77777777" w:rsidR="00F620E5" w:rsidRDefault="00F620E5"/>
    <w:p w14:paraId="38BC4669" w14:textId="77777777" w:rsidR="00F620E5" w:rsidRDefault="00F620E5"/>
    <w:p w14:paraId="29E5EC02" w14:textId="77777777" w:rsidR="00F620E5" w:rsidRDefault="00F620E5"/>
    <w:p w14:paraId="749BD59A" w14:textId="77777777" w:rsidR="00F620E5" w:rsidRDefault="00F620E5"/>
    <w:p w14:paraId="195E5CB9" w14:textId="77777777" w:rsidR="00F620E5" w:rsidRDefault="00F620E5"/>
    <w:p w14:paraId="5417EEB6" w14:textId="77777777" w:rsidR="00F620E5" w:rsidRDefault="00F620E5"/>
    <w:p w14:paraId="352D9D3A" w14:textId="77777777" w:rsidR="00F620E5" w:rsidRDefault="00F620E5"/>
    <w:p w14:paraId="31F57D22" w14:textId="77777777" w:rsidR="00F620E5" w:rsidRDefault="00F620E5"/>
    <w:p w14:paraId="31CE4AA2" w14:textId="77777777" w:rsidR="00F620E5" w:rsidRDefault="00F620E5"/>
    <w:p w14:paraId="5211F50E" w14:textId="77777777" w:rsidR="00F620E5" w:rsidRDefault="00F620E5"/>
    <w:p w14:paraId="15F2E983" w14:textId="77777777" w:rsidR="00F620E5" w:rsidRDefault="00F620E5"/>
    <w:p w14:paraId="22F50EBF" w14:textId="77777777" w:rsidR="00F620E5" w:rsidRDefault="00F620E5"/>
    <w:p w14:paraId="2E438C28" w14:textId="77777777" w:rsidR="00F620E5" w:rsidRDefault="00F620E5"/>
    <w:p w14:paraId="70649B0B" w14:textId="77777777" w:rsidR="00F620E5" w:rsidRDefault="00F620E5"/>
    <w:p w14:paraId="5E9CDDE5" w14:textId="77777777" w:rsidR="00F620E5" w:rsidRDefault="00F620E5"/>
    <w:p w14:paraId="42F97F6B" w14:textId="77777777" w:rsidR="00F620E5" w:rsidRDefault="00000000">
      <w:r>
        <w:t>Figure 1. Components of Pandemic Preparedness, Resilience, and Recovery</w:t>
      </w:r>
    </w:p>
    <w:p w14:paraId="789A14EB" w14:textId="77777777" w:rsidR="00F620E5" w:rsidRDefault="00F620E5"/>
    <w:p w14:paraId="4A216E89" w14:textId="77777777" w:rsidR="00F620E5" w:rsidRDefault="00F620E5"/>
    <w:p w14:paraId="7F9A5EA6" w14:textId="77777777" w:rsidR="00F620E5" w:rsidRDefault="00000000">
      <w:r>
        <w:rPr>
          <w:noProof/>
        </w:rPr>
        <w:lastRenderedPageBreak/>
        <w:drawing>
          <wp:inline distT="0" distB="0" distL="0" distR="0" wp14:anchorId="2D80842D" wp14:editId="365B73E9">
            <wp:extent cx="5943600" cy="6515100"/>
            <wp:effectExtent l="0" t="0" r="0" b="0"/>
            <wp:docPr id="1026"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6" cstate="print"/>
                    <a:srcRect t="43" b="43"/>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14:paraId="602E012F" w14:textId="77777777" w:rsidR="00F620E5" w:rsidRDefault="00F620E5"/>
    <w:p w14:paraId="5FF06414" w14:textId="77777777" w:rsidR="00F620E5" w:rsidRDefault="00F620E5"/>
    <w:p w14:paraId="243C44B6" w14:textId="77777777" w:rsidR="00F620E5" w:rsidRDefault="00000000">
      <w:r>
        <w:rPr>
          <w:lang w:val="en-US"/>
        </w:rPr>
        <w:t>2. FOUNDATIONS OF PANDEMIC PREPAREDNESS</w:t>
      </w:r>
    </w:p>
    <w:p w14:paraId="3724ADBE" w14:textId="77777777" w:rsidR="00F620E5" w:rsidRDefault="00F620E5"/>
    <w:p w14:paraId="152A31A3" w14:textId="77777777" w:rsidR="00F620E5" w:rsidRDefault="00000000">
      <w:r>
        <w:rPr>
          <w:lang w:val="en-US"/>
        </w:rPr>
        <w:t>2.1 Risk Assessment and Early Warning Systems</w:t>
      </w:r>
    </w:p>
    <w:p w14:paraId="0EBEE501" w14:textId="77777777" w:rsidR="00F620E5" w:rsidRDefault="00F620E5"/>
    <w:p w14:paraId="4C63FFF9" w14:textId="77777777" w:rsidR="00F620E5" w:rsidRDefault="00000000">
      <w:r>
        <w:rPr>
          <w:lang w:val="en-US"/>
        </w:rPr>
        <w:t xml:space="preserve">Effective pandemic preparedness starts with robust risk assessment to identify whether a disease could potentially cause a major public health event and strengthening of early warning systems to detect disease outbreak before significant transmission occurs (Kim et al., 2021). A strong surveillance </w:t>
      </w:r>
      <w:r>
        <w:rPr>
          <w:lang w:val="en-US"/>
        </w:rPr>
        <w:lastRenderedPageBreak/>
        <w:t>system serves an important role in identifying unusual disease patterns as well as monitoring trends in disease transmission and providing guidance on public health intervention. Ideally, these systems act in a timely manner to integrate information from a variety of sources including from hospitals, laboratories, as well as community-based health programs, and can also incorporate information from digital reporting platforms. Early detection of cases in disease outbreaks is critical because the longer it takes to identify cases, the more time there is for transmission, potentially increasing the number of cases and deaths (Barata, 2022).</w:t>
      </w:r>
    </w:p>
    <w:p w14:paraId="335FDE88" w14:textId="77777777" w:rsidR="00F620E5" w:rsidRDefault="00F620E5"/>
    <w:p w14:paraId="7FE8D088" w14:textId="77777777" w:rsidR="00F620E5" w:rsidRDefault="00000000">
      <w:r>
        <w:rPr>
          <w:lang w:val="en-US"/>
        </w:rPr>
        <w:t>Advances in genetic sequencing and disease detection have transformed the ways in which health authorities are able to monitor outbreaks of infectious disease. Disease causing pathogens can now be rapidly identified, emerging variants and mutations as well as their transmission pathways tracked like never before (Hasan et al., 2025). The rapid sequencing of the genome of the novel coronavirus that caused COVID-19, for example, allowed health authorities around the world to quickly identify the virus and begin to track its spread. Variants of the virus were also tracked using the same methods, and this informed the development of new vaccines and changes to public health measures to contain their spread. Also important during disease outbreaks is the strengthening of laboratory capacity for case confirmation to ensure evidence-based decision making (Tajudin et al., 2025).</w:t>
      </w:r>
    </w:p>
    <w:p w14:paraId="2194FC67" w14:textId="77777777" w:rsidR="00F620E5" w:rsidRDefault="00F620E5"/>
    <w:p w14:paraId="6BA3ACCB" w14:textId="77777777" w:rsidR="00F620E5" w:rsidRDefault="00000000">
      <w:r>
        <w:rPr>
          <w:lang w:val="en-US"/>
        </w:rPr>
        <w:t>Global reporting systems play important roles in preparedness by enabling rapid collection and spread of information on disease outbreaks through international surveillance systems and digital reporting platforms across countries and regions. Community level disease monitoring also enhances preparedness by facilitating early outbreak detection among local populations, particularly in rural and resource-poor settings where formal surveillance systems may be weak. Community health workers and local leaders play critical roles on the frontlines in disease detection and notification of outbreaks in communities (Janati et al., 2015).</w:t>
      </w:r>
    </w:p>
    <w:p w14:paraId="0128DC7D" w14:textId="77777777" w:rsidR="00F620E5" w:rsidRDefault="00F620E5"/>
    <w:p w14:paraId="179F5AE4" w14:textId="77777777" w:rsidR="00F620E5" w:rsidRDefault="00000000">
      <w:r>
        <w:rPr>
          <w:lang w:val="en-US"/>
        </w:rPr>
        <w:t>2.2 Preparedness Planning</w:t>
      </w:r>
    </w:p>
    <w:p w14:paraId="576E8823" w14:textId="77777777" w:rsidR="00F620E5" w:rsidRDefault="00F620E5"/>
    <w:p w14:paraId="46698B9B" w14:textId="77777777" w:rsidR="00F620E5" w:rsidRDefault="00000000">
      <w:r>
        <w:rPr>
          <w:lang w:val="en-US"/>
        </w:rPr>
        <w:t>A well thought out preparedness plan and effective health infrastructure are critical to minimizing the impact of a future pandemic. A national pandemic preparedness plan serves as a framework that sets out how a country will prepare for and respond to an outbreak which includes coordination mechanisms, communication strategies, resource allocation and response protocols. Importantly, a good plan is flexible and based on current evidence. It should be updated regularly to address new diseases and health issues as they emerge (Czerniewska et al., 2024).</w:t>
      </w:r>
    </w:p>
    <w:p w14:paraId="5A1D9638" w14:textId="77777777" w:rsidR="00F620E5" w:rsidRDefault="00F620E5"/>
    <w:p w14:paraId="3C18C52D" w14:textId="77777777" w:rsidR="00F620E5" w:rsidRDefault="00000000">
      <w:r>
        <w:rPr>
          <w:lang w:val="en-US"/>
        </w:rPr>
        <w:t>Emergency operations centers function as central coordination units during health emergencies promoting rapid decision making by facilitating communication between different actors such as government agencies, health-care providers, laboratories and emergency response teams. The simulation of health emergencies by means of scenario planning also promotes preparedness because through these activities governments and health systems are able to test their capacities for responding to health emergencies, identify weaknesses, and work to improve their intersectoral coordination prior to a real health emergency occurring (Reddin et al., 2021).</w:t>
      </w:r>
    </w:p>
    <w:p w14:paraId="1D51193B" w14:textId="77777777" w:rsidR="00F620E5" w:rsidRDefault="00F620E5"/>
    <w:p w14:paraId="4B41A3A8" w14:textId="77777777" w:rsidR="00F620E5" w:rsidRDefault="00000000">
      <w:r>
        <w:rPr>
          <w:lang w:val="en-US"/>
        </w:rPr>
        <w:t xml:space="preserve">In addition, preparedness also requires keeping a strategic stockpile of essential supplies such as personal protective equipment (PPE), medicines, vaccines, ventilators and laboratory materials. These supplies can run out very quickly when a large number of people fall ill at the same time. Many </w:t>
      </w:r>
      <w:r>
        <w:rPr>
          <w:lang w:val="en-US"/>
        </w:rPr>
        <w:lastRenderedPageBreak/>
        <w:t>of the shortages experienced during the first phases of the COVID-19 pandemic were due to the vulnerabilities in global supply chains. It is therefore critical to have a sustainable procurement strategy and local manufacturing capacity (Coleman et al., 2022).</w:t>
      </w:r>
    </w:p>
    <w:p w14:paraId="303038DA" w14:textId="77777777" w:rsidR="00F620E5" w:rsidRDefault="00F620E5"/>
    <w:p w14:paraId="4501CE59" w14:textId="77777777" w:rsidR="00F620E5" w:rsidRDefault="00000000">
      <w:r>
        <w:rPr>
          <w:lang w:val="en-US"/>
        </w:rPr>
        <w:t>2.3 International Health Regulations and Global Cooperation</w:t>
      </w:r>
    </w:p>
    <w:p w14:paraId="71560D49" w14:textId="77777777" w:rsidR="00F620E5" w:rsidRDefault="00F620E5"/>
    <w:p w14:paraId="0D48AB60" w14:textId="77777777" w:rsidR="00F620E5" w:rsidRDefault="00000000">
      <w:r>
        <w:rPr>
          <w:lang w:val="en-US"/>
        </w:rPr>
        <w:t>Pandemic preparedness and response efforts depend greatly on international health collaboration. The World Health Organization (WHO) plays a particularly important role in this as it provides technical guidance, coordinates efforts in responding to outbreaks, supports surveillance, detection, reporting and response. The International Health Regulations (IHR) form a legally binding framework for health event handling on the global level by laying down the requirements for countries regarding the detection, reporting, verification and containment of public health emergencies of international concern (Jit et al., 2021; Merianos &amp; Peiris, 2005).</w:t>
      </w:r>
    </w:p>
    <w:p w14:paraId="37E32D1C" w14:textId="77777777" w:rsidR="00F620E5" w:rsidRDefault="00F620E5"/>
    <w:p w14:paraId="21465D98" w14:textId="77777777" w:rsidR="00F620E5" w:rsidRDefault="00000000">
      <w:r>
        <w:rPr>
          <w:lang w:val="en-US"/>
        </w:rPr>
        <w:t>Cross-border data sharing to monitor disease spread and implement measures to contain it is key. However, global health response is often challenged by geopolitical tensions, an unequal distribution of resources, misinformation and vaccine nationalism. Recent pandemics revealed significant disparities in the distribution of vaccines and medical supplies to low- and middle-income countries compared to high-income countries exposing severe inequities. Thus, there is an urgent need for greater international health solidarity, transparency and fair access to healthcare resources (Fanning et al., 2021; Shen et al., 2025).</w:t>
      </w:r>
    </w:p>
    <w:p w14:paraId="23816291" w14:textId="77777777" w:rsidR="00F620E5" w:rsidRDefault="00F620E5"/>
    <w:p w14:paraId="35AF200E" w14:textId="77777777" w:rsidR="00F620E5" w:rsidRDefault="00F620E5"/>
    <w:p w14:paraId="1A6D8896" w14:textId="77777777" w:rsidR="00F620E5" w:rsidRDefault="00000000">
      <w:r>
        <w:rPr>
          <w:lang w:val="en-US"/>
        </w:rPr>
        <w:t>3. HEALTH SYSTEM RESILIENCE: CONCEPTS AND DIMENSIONS</w:t>
      </w:r>
    </w:p>
    <w:p w14:paraId="771DB19D" w14:textId="77777777" w:rsidR="00F620E5" w:rsidRDefault="00F620E5"/>
    <w:p w14:paraId="4933CD0B" w14:textId="77777777" w:rsidR="00F620E5" w:rsidRDefault="00000000">
      <w:r>
        <w:rPr>
          <w:lang w:val="en-US"/>
        </w:rPr>
        <w:t>3.1 Defining Health System Resilience</w:t>
      </w:r>
    </w:p>
    <w:p w14:paraId="634E0652" w14:textId="77777777" w:rsidR="00F620E5" w:rsidRDefault="00F620E5"/>
    <w:p w14:paraId="43556423" w14:textId="77777777" w:rsidR="00F620E5" w:rsidRDefault="00000000">
      <w:r>
        <w:rPr>
          <w:lang w:val="en-US"/>
        </w:rPr>
        <w:t>Health system resilience is a term increasingly used in global health after outbreaks of diseases such as COVID-19 and the Ebola Virus Disease. Health system resilience refers to the health system's capacity to prepare for, absorb, withstand and recover from shocks and stresses while at the same time maintaining the provision of essential health services. The system not only needs to be able to respond in an adequate manner to a health crisis, but also to learn from it in order to improve its own preparation for future crises (Haldane et al., 2021; Witter et al., 2023).</w:t>
      </w:r>
    </w:p>
    <w:p w14:paraId="3DEF5F38" w14:textId="77777777" w:rsidR="00F620E5" w:rsidRDefault="00F620E5"/>
    <w:p w14:paraId="2324AC48" w14:textId="77777777" w:rsidR="00F620E5" w:rsidRDefault="00000000">
      <w:r>
        <w:rPr>
          <w:lang w:val="en-US"/>
        </w:rPr>
        <w:t>It should be noted that a health system's robustness is also very important for the health system's resilience, but there are minute differences between the two concepts. While robust health systems are meant to be stable and withstand stresses and shocks during a crisis, a resilient health system is one that is able to cope with a given health system shock and respond in the best possible way by changing and adapting to present realities while continuing to deliver core health services to the population. In the case of a pandemic, the health system needs to be able to respond rapidly, flexibly and effectively as needed, be it reallocating resources, adjusting healthcare structures, changing methods of service delivery, and by experimenting with new strategies. This adaptive capacity is necessary for implementing effective health crisis management and maintaining public confidence in healthcare institutions (Haldane et al., 2021; Witter et al., 2023).</w:t>
      </w:r>
    </w:p>
    <w:p w14:paraId="50F1FDD4" w14:textId="77777777" w:rsidR="00F620E5" w:rsidRDefault="00F620E5"/>
    <w:p w14:paraId="6EA38647" w14:textId="77777777" w:rsidR="00F620E5" w:rsidRDefault="00000000">
      <w:r>
        <w:rPr>
          <w:lang w:val="en-US"/>
        </w:rPr>
        <w:t>3.2 Core Dimensions of Resilience</w:t>
      </w:r>
    </w:p>
    <w:p w14:paraId="126350F3" w14:textId="77777777" w:rsidR="00F620E5" w:rsidRDefault="00F620E5"/>
    <w:p w14:paraId="07253733" w14:textId="77777777" w:rsidR="00F620E5" w:rsidRDefault="00000000">
      <w:r>
        <w:rPr>
          <w:lang w:val="en-US"/>
        </w:rPr>
        <w:t>Several components determine the resilience of a health system. In first place is governance and leadership of the country or region. Their decisions have to be transparent, based on well-coordinated policies and on good communication with the public and healthcare providers. Furthermore, there is a need for a well-trained, adequately motivated and well supplied health workforce. This is because they are usually on the frontlines during pandemics (Ali et al., 2024).</w:t>
      </w:r>
    </w:p>
    <w:p w14:paraId="39C3467E" w14:textId="77777777" w:rsidR="00F620E5" w:rsidRDefault="00F620E5"/>
    <w:p w14:paraId="137414A3" w14:textId="77777777" w:rsidR="00F620E5" w:rsidRDefault="00000000">
      <w:r>
        <w:rPr>
          <w:lang w:val="en-US"/>
        </w:rPr>
        <w:t>Healthcare facilities, such as hospitals, laboratories, and Intensive Care Units, as well as oxygen delivery systems, are also vital to a health system's resilience. Financial mechanisms to manage health emergencies as well as to deliver basic health services and protect the vulnerable from incurring catastrophic expenditure are also critical. Information systems and health technologies that support disease surveillance in real-time, sharing of information, and the making of informed decisions are equally important (Ab Samah, 2018; James et al., 2024).</w:t>
      </w:r>
    </w:p>
    <w:p w14:paraId="674861EB" w14:textId="77777777" w:rsidR="00F620E5" w:rsidRDefault="00F620E5"/>
    <w:p w14:paraId="5EE150C2" w14:textId="77777777" w:rsidR="00F620E5" w:rsidRDefault="00000000">
      <w:r>
        <w:rPr>
          <w:lang w:val="en-US"/>
        </w:rPr>
        <w:t>A resilient supply chain for critical healthcare products such as medicines, vaccines, personal protective equipment (PPE) and diagnostic/medical devices is also critical. The health system needs the community's trust and engagement to ensure that public health measures are adhered to, vaccines are accepted by the community and that strategies for health crises are effective (Barker et al., 2020).</w:t>
      </w:r>
    </w:p>
    <w:p w14:paraId="04E3FAE5" w14:textId="77777777" w:rsidR="00F620E5" w:rsidRDefault="00F620E5"/>
    <w:p w14:paraId="391CE38E" w14:textId="77777777" w:rsidR="00F620E5" w:rsidRDefault="00000000">
      <w:r>
        <w:rPr>
          <w:lang w:val="en-US"/>
        </w:rPr>
        <w:t>3.3 Adaptive Capacity During Crises</w:t>
      </w:r>
    </w:p>
    <w:p w14:paraId="2452998D" w14:textId="77777777" w:rsidR="00F620E5" w:rsidRDefault="00F620E5"/>
    <w:p w14:paraId="0FD97D55" w14:textId="77777777" w:rsidR="00F620E5" w:rsidRDefault="00000000">
      <w:r>
        <w:rPr>
          <w:lang w:val="en-US"/>
        </w:rPr>
        <w:t>A health system's ability to adapt in times of crises is a key characteristic of a resilient health system. Many countries have deployed their health workforce in a flexible manner during pandemics, for example by moving staff to where they are most needed. In addition, governments have been able to rapidly scale up health services, introduce new containment measures, and update clinical guidelines as more evidence became available (Anderson et al., 2020; Haldane et al., 2021; Sundararaman et al., 2021; Witter et al., 2023).</w:t>
      </w:r>
    </w:p>
    <w:p w14:paraId="25A9E7D1" w14:textId="77777777" w:rsidR="00F620E5" w:rsidRDefault="00F620E5"/>
    <w:p w14:paraId="022F10C6" w14:textId="77777777" w:rsidR="00F620E5" w:rsidRDefault="00000000">
      <w:r>
        <w:rPr>
          <w:lang w:val="en-US"/>
        </w:rPr>
        <w:t>Telemedicine, which increased dramatically during the COVID-19 pandemic, helped maintain contact between patients and health services and reduced the risk of infection. New mobile-based diagnostic platforms, health information systems supported by artificial intelligence for disease surveillance, and monitoring solutions that allow real-time tracking of patients' health status all contributed to strengthening various health system's emergency response capabilities (Josiah et al., 2026).</w:t>
      </w:r>
    </w:p>
    <w:p w14:paraId="62A33938" w14:textId="77777777" w:rsidR="00F620E5" w:rsidRDefault="00F620E5"/>
    <w:p w14:paraId="2AD70984" w14:textId="77777777" w:rsidR="00F620E5" w:rsidRDefault="00000000">
      <w:r>
        <w:rPr>
          <w:lang w:val="en-US"/>
        </w:rPr>
        <w:t>3.4 Measuring Resilience</w:t>
      </w:r>
    </w:p>
    <w:p w14:paraId="1694D436" w14:textId="77777777" w:rsidR="00F620E5" w:rsidRDefault="00F620E5"/>
    <w:p w14:paraId="669DEB7D" w14:textId="77777777" w:rsidR="00F620E5" w:rsidRDefault="00000000">
      <w:r>
        <w:rPr>
          <w:lang w:val="en-US"/>
        </w:rPr>
        <w:t>Measuring a health system's resilience is challenging due to its multi-faceted characteristics. There are many indicators and frameworks of assessment of a health systems' resilience, such as service continuity, health workforce capacity, emergency preparedness, mortality outcomes and the health system's adaptability. However, as mentioned, some of these indicators assess tangible aspects of a health system such as infrastructure, whereas some other indicators assess intangible aspects of health systems such as governance quality, institutional learning and public trust (Fleming et al., 2022).</w:t>
      </w:r>
    </w:p>
    <w:p w14:paraId="53600C60" w14:textId="77777777" w:rsidR="00F620E5" w:rsidRDefault="00F620E5"/>
    <w:p w14:paraId="26C7A348" w14:textId="77777777" w:rsidR="00F620E5" w:rsidRDefault="00000000">
      <w:r>
        <w:rPr>
          <w:lang w:val="en-US"/>
        </w:rPr>
        <w:t xml:space="preserve">Furthermore, resilience within a country can differ from region to region and can also differ between sectors of the health system. The development of reliable indicators of a health system's resilience is important for assessing weaknesses in the health system, for guiding health investments and for </w:t>
      </w:r>
      <w:r>
        <w:rPr>
          <w:lang w:val="en-US"/>
        </w:rPr>
        <w:lastRenderedPageBreak/>
        <w:t>improving preparedness for future pandemics (Fleming et al., 2022). Figure 2 illustrates the major dimensions of health system resilience.</w:t>
      </w:r>
    </w:p>
    <w:p w14:paraId="53CFC3EB" w14:textId="77777777" w:rsidR="00F620E5" w:rsidRDefault="00F620E5"/>
    <w:p w14:paraId="649BE224" w14:textId="77777777" w:rsidR="00F620E5" w:rsidRDefault="00000000">
      <w:r>
        <w:t>Figure 2. Dimensions of Health System Resilience</w:t>
      </w:r>
    </w:p>
    <w:p w14:paraId="4B3F5BC4" w14:textId="77777777" w:rsidR="00F620E5" w:rsidRDefault="00000000">
      <w:r>
        <w:rPr>
          <w:noProof/>
        </w:rPr>
        <w:drawing>
          <wp:inline distT="0" distB="0" distL="0" distR="0" wp14:anchorId="6D7A8902" wp14:editId="10E709FD">
            <wp:extent cx="5943600" cy="6515100"/>
            <wp:effectExtent l="0" t="0" r="0" b="0"/>
            <wp:docPr id="1027"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4.jpg"/>
                    <pic:cNvPicPr/>
                  </pic:nvPicPr>
                  <pic:blipFill>
                    <a:blip r:embed="rId7" cstate="print"/>
                    <a:srcRect/>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14:paraId="58B03C21" w14:textId="77777777" w:rsidR="00F620E5" w:rsidRDefault="00F620E5"/>
    <w:p w14:paraId="7BFF943A" w14:textId="77777777" w:rsidR="00F620E5" w:rsidRDefault="00F620E5"/>
    <w:p w14:paraId="16E677E6" w14:textId="77777777" w:rsidR="00F620E5" w:rsidRDefault="00000000">
      <w:r>
        <w:rPr>
          <w:lang w:val="en-US"/>
        </w:rPr>
        <w:t>4. HEALTH WORKFORCE, INFRASTRUCTURE, AND SUPPLY CHAINS</w:t>
      </w:r>
    </w:p>
    <w:p w14:paraId="22926BBA" w14:textId="77777777" w:rsidR="00F620E5" w:rsidRDefault="00F620E5"/>
    <w:p w14:paraId="663B88BF" w14:textId="77777777" w:rsidR="00F620E5" w:rsidRDefault="00000000">
      <w:r>
        <w:rPr>
          <w:lang w:val="en-US"/>
        </w:rPr>
        <w:t>4.1 Health Workforce Preparedness</w:t>
      </w:r>
    </w:p>
    <w:p w14:paraId="14FA00D9" w14:textId="77777777" w:rsidR="00F620E5" w:rsidRDefault="00F620E5"/>
    <w:p w14:paraId="55FF492A" w14:textId="77777777" w:rsidR="00F620E5" w:rsidRDefault="00000000">
      <w:r>
        <w:rPr>
          <w:lang w:val="en-US"/>
        </w:rPr>
        <w:t>A resilient healthcare workforce is fundamental to effective pandemic preparedness and response. Healthcare workers serve as the frontline defense during public health emergencies, yet many health systems face persistent workforce shortages, inadequate staffing, and unequal distribution of skilled personnel. These challenges became particularly evident during the COVID-19 pandemic, when hospitals in many countries experienced overwhelming patient surges that exceeded workforce capacity. Prolonged working hours, exposure to infection, and emotional stress contributed significantly to burnout, fatigue, anxiety, and reduced workforce retention (Lokossou et al., 2022; McNeill, 2022; Mexia et al., 2023).</w:t>
      </w:r>
    </w:p>
    <w:p w14:paraId="3DA6C346" w14:textId="77777777" w:rsidR="00F620E5" w:rsidRDefault="00F620E5"/>
    <w:p w14:paraId="419E274D" w14:textId="77777777" w:rsidR="00F620E5" w:rsidRDefault="00000000">
      <w:r>
        <w:rPr>
          <w:lang w:val="en-US"/>
        </w:rPr>
        <w:t>Preparedness requires continuous training in emergency response, infection prevention and control, outbreak management, and critical care delivery. Simulation exercises and rapid-response training programs help healthcare professionals develop the skills necessary to function effectively during crises. Occupational safety is equally important, including adequate access to personal protective equipment (PPE), vaccination programs, and workplace safety protocols designed to minimize occupational exposure to infectious diseases (Coleman et al., 2022; Czerniewska et al., 2024; Odonkor &amp; Sallar, 2024; Reddin et al., 2021).</w:t>
      </w:r>
    </w:p>
    <w:p w14:paraId="6B568AC3" w14:textId="77777777" w:rsidR="00F620E5" w:rsidRDefault="00F620E5"/>
    <w:p w14:paraId="72165A37" w14:textId="77777777" w:rsidR="00F620E5" w:rsidRDefault="00000000">
      <w:r>
        <w:rPr>
          <w:lang w:val="en-US"/>
        </w:rPr>
        <w:t>Mental health support for healthcare workers has also become increasingly recognized as a critical component of workforce resilience. Psychological counseling services, peer-support systems, and stress management interventions can help reduce burnout and improve long-term workforce sustainability (Anger et al., 2024). Additionally, surge staffing mechanisms such as emergency recruitment, task shifting, reserve workforce systems, and redeployment of healthcare personnel are essential for managing increased healthcare demands during pandemics (Hasan et al., 2023).</w:t>
      </w:r>
    </w:p>
    <w:p w14:paraId="5E8FE817" w14:textId="77777777" w:rsidR="00F620E5" w:rsidRDefault="00F620E5"/>
    <w:p w14:paraId="51C79ACA" w14:textId="77777777" w:rsidR="00F620E5" w:rsidRDefault="00000000">
      <w:r>
        <w:rPr>
          <w:lang w:val="en-US"/>
        </w:rPr>
        <w:t>4.2 Infrastructure Readiness</w:t>
      </w:r>
    </w:p>
    <w:p w14:paraId="718A0874" w14:textId="77777777" w:rsidR="00F620E5" w:rsidRDefault="00F620E5"/>
    <w:p w14:paraId="57733882" w14:textId="77777777" w:rsidR="00F620E5" w:rsidRDefault="00000000">
      <w:r>
        <w:rPr>
          <w:lang w:val="en-US"/>
        </w:rPr>
        <w:t>Healthcare infrastructure plays a major role in determining the ability of health systems to respond effectively to large-scale outbreaks. Adequate intensive care unit (ICU) capacity is critical for managing severe infections and reducing mortality during pandemics. However, many countries, particularly low- and middle-income countries (LMICs), face chronic shortages of ICU beds, ventilators, and trained critical care personnel (Hakim &amp; Haque, 2025).</w:t>
      </w:r>
    </w:p>
    <w:p w14:paraId="7A4BC27E" w14:textId="77777777" w:rsidR="00F620E5" w:rsidRDefault="00F620E5"/>
    <w:p w14:paraId="477151DC" w14:textId="77777777" w:rsidR="00F620E5" w:rsidRDefault="00000000">
      <w:r>
        <w:rPr>
          <w:lang w:val="en-US"/>
        </w:rPr>
        <w:t>Isolation facilities are essential for preventing healthcare-associated transmission and protecting both patients and healthcare workers. During infectious disease outbreaks, rapid expansion of dedicated treatment centers and quarantine facilities can significantly improve containment efforts (Landelle et al., 2013). Oxygen systems also emerged as a crucial component of pandemic response during the COVID-19 crisis, particularly in resource-limited settings where oxygen shortages contributed to preventable deaths (Singh et al., 2025).</w:t>
      </w:r>
    </w:p>
    <w:p w14:paraId="615E48F3" w14:textId="77777777" w:rsidR="00F620E5" w:rsidRDefault="00F620E5"/>
    <w:p w14:paraId="79217EEC" w14:textId="77777777" w:rsidR="00F620E5" w:rsidRDefault="00000000">
      <w:r>
        <w:rPr>
          <w:lang w:val="en-US"/>
        </w:rPr>
        <w:t>Strong laboratory capacity is equally important for timely diagnosis, surveillance, and outbreak monitoring. Investments in laboratory infrastructure, diagnostic technologies, and decentralized testing systems improve the speed and effectiveness of public health responses (Wolford et al., 2023).</w:t>
      </w:r>
    </w:p>
    <w:p w14:paraId="150F0C1D" w14:textId="77777777" w:rsidR="00F620E5" w:rsidRDefault="00F620E5"/>
    <w:p w14:paraId="7D50690E" w14:textId="77777777" w:rsidR="00F620E5" w:rsidRDefault="00000000">
      <w:r>
        <w:rPr>
          <w:lang w:val="en-US"/>
        </w:rPr>
        <w:t>4.3 Supply Chain Resilience</w:t>
      </w:r>
    </w:p>
    <w:p w14:paraId="10DB4AF4" w14:textId="77777777" w:rsidR="00F620E5" w:rsidRDefault="00F620E5"/>
    <w:p w14:paraId="47D738B3" w14:textId="77777777" w:rsidR="00F620E5" w:rsidRDefault="00000000">
      <w:r>
        <w:rPr>
          <w:lang w:val="en-US"/>
        </w:rPr>
        <w:lastRenderedPageBreak/>
        <w:t>The disruption of global supply chains during recent pandemics exposed major vulnerabilities in healthcare procurement systems. Many countries experienced severe shortages of PPE, medications, ventilators, vaccines, and diagnostic materials during the early phases of the COVID-19 pandemic. Heavy dependence on international manufacturing and export restrictions further intensified these shortages (Coleman et al., 2022; Fernandes et al., 2022; Jit et al., 2021).</w:t>
      </w:r>
    </w:p>
    <w:p w14:paraId="26A6FE80" w14:textId="77777777" w:rsidR="00F620E5" w:rsidRDefault="00F620E5"/>
    <w:p w14:paraId="6F7E354F" w14:textId="77777777" w:rsidR="00F620E5" w:rsidRDefault="00000000">
      <w:r>
        <w:rPr>
          <w:lang w:val="en-US"/>
        </w:rPr>
        <w:t>To improve resilience, countries must strengthen strategic reserves of essential medical supplies and diversify procurement systems. Expanding local and regional manufacturing capacity can reduce dependence on global supply chains and improve access to critical healthcare resources during emergencies (Jit et al., 2021).</w:t>
      </w:r>
    </w:p>
    <w:p w14:paraId="57D01C79" w14:textId="77777777" w:rsidR="00F620E5" w:rsidRDefault="00F620E5"/>
    <w:p w14:paraId="65E122B3" w14:textId="77777777" w:rsidR="00F620E5" w:rsidRDefault="00000000">
      <w:r>
        <w:rPr>
          <w:lang w:val="en-US"/>
        </w:rPr>
        <w:t>4.4 Digital Health and Technological Innovation</w:t>
      </w:r>
    </w:p>
    <w:p w14:paraId="08FD1794" w14:textId="77777777" w:rsidR="00F620E5" w:rsidRDefault="00F620E5"/>
    <w:p w14:paraId="707E477A" w14:textId="77777777" w:rsidR="00F620E5" w:rsidRDefault="00000000">
      <w:r>
        <w:rPr>
          <w:lang w:val="en-US"/>
        </w:rPr>
        <w:t>Digital health technologies have become increasingly important in pandemic preparedness and response. Telemedicine expanded rapidly during the COVID-19 pandemic, enabling healthcare delivery while minimizing physical contact and reducing pressure on healthcare facilities (Josiah et al., 2026). Artificial intelligence applications have also supported disease surveillance, predictive modeling, and outbreak forecasting (Kaur &amp; Butt, 2025).</w:t>
      </w:r>
    </w:p>
    <w:p w14:paraId="378914CC" w14:textId="77777777" w:rsidR="00F620E5" w:rsidRDefault="00F620E5"/>
    <w:p w14:paraId="20EFAB28" w14:textId="77777777" w:rsidR="00F620E5" w:rsidRDefault="00000000">
      <w:r>
        <w:rPr>
          <w:lang w:val="en-US"/>
        </w:rPr>
        <w:t>Electronic health records facilitate patient tracking, continuity of care, and data-driven decision-making during health emergencies (Chudasama et al., 2025). Furthermore, data interoperability between healthcare institutions, laboratories, and public health agencies improves information sharing and coordination during outbreaks. Continued investment in digital infrastructure and technological innovation is therefore essential for strengthening health system resilience and improving future pandemic preparedness (Ab Samah, 2018; Fanning et al., 2021; Jit et al., 2021; Josiah et al., 2026; Wolford et al., 2023).</w:t>
      </w:r>
    </w:p>
    <w:p w14:paraId="2585D73A" w14:textId="77777777" w:rsidR="00F620E5" w:rsidRDefault="00F620E5"/>
    <w:p w14:paraId="1A9EA0AB" w14:textId="77777777" w:rsidR="00F620E5" w:rsidRDefault="00000000">
      <w:r>
        <w:t>Table 1: Key Health System Challenges Exposed During COVID-19</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20E5" w14:paraId="257A5E43" w14:textId="77777777">
        <w:tc>
          <w:tcPr>
            <w:tcW w:w="2340" w:type="dxa"/>
            <w:tcMar>
              <w:top w:w="100" w:type="dxa"/>
              <w:left w:w="100" w:type="dxa"/>
              <w:bottom w:w="100" w:type="dxa"/>
              <w:right w:w="100" w:type="dxa"/>
            </w:tcMar>
          </w:tcPr>
          <w:p w14:paraId="5286765E" w14:textId="77777777" w:rsidR="00F620E5" w:rsidRDefault="00000000">
            <w:pPr>
              <w:widowControl w:val="0"/>
              <w:pBdr>
                <w:top w:val="nil"/>
                <w:left w:val="nil"/>
                <w:bottom w:val="nil"/>
                <w:right w:val="nil"/>
                <w:between w:val="nil"/>
              </w:pBdr>
              <w:spacing w:line="240" w:lineRule="auto"/>
              <w:jc w:val="left"/>
            </w:pPr>
            <w:r>
              <w:t>Challenge</w:t>
            </w:r>
          </w:p>
        </w:tc>
        <w:tc>
          <w:tcPr>
            <w:tcW w:w="2340" w:type="dxa"/>
            <w:tcMar>
              <w:top w:w="100" w:type="dxa"/>
              <w:left w:w="100" w:type="dxa"/>
              <w:bottom w:w="100" w:type="dxa"/>
              <w:right w:w="100" w:type="dxa"/>
            </w:tcMar>
          </w:tcPr>
          <w:p w14:paraId="0B77E179" w14:textId="77777777" w:rsidR="00F620E5" w:rsidRDefault="00000000">
            <w:pPr>
              <w:widowControl w:val="0"/>
              <w:pBdr>
                <w:top w:val="nil"/>
                <w:left w:val="nil"/>
                <w:bottom w:val="nil"/>
                <w:right w:val="nil"/>
                <w:between w:val="nil"/>
              </w:pBdr>
              <w:spacing w:line="240" w:lineRule="auto"/>
              <w:jc w:val="left"/>
            </w:pPr>
            <w:r>
              <w:t>Description</w:t>
            </w:r>
          </w:p>
        </w:tc>
        <w:tc>
          <w:tcPr>
            <w:tcW w:w="2340" w:type="dxa"/>
            <w:tcMar>
              <w:top w:w="100" w:type="dxa"/>
              <w:left w:w="100" w:type="dxa"/>
              <w:bottom w:w="100" w:type="dxa"/>
              <w:right w:w="100" w:type="dxa"/>
            </w:tcMar>
          </w:tcPr>
          <w:p w14:paraId="111192F6" w14:textId="77777777" w:rsidR="00F620E5" w:rsidRDefault="00000000">
            <w:pPr>
              <w:widowControl w:val="0"/>
              <w:pBdr>
                <w:top w:val="nil"/>
                <w:left w:val="nil"/>
                <w:bottom w:val="nil"/>
                <w:right w:val="nil"/>
                <w:between w:val="nil"/>
              </w:pBdr>
              <w:spacing w:line="240" w:lineRule="auto"/>
              <w:jc w:val="left"/>
            </w:pPr>
            <w:r>
              <w:t>Impact</w:t>
            </w:r>
          </w:p>
        </w:tc>
        <w:tc>
          <w:tcPr>
            <w:tcW w:w="2340" w:type="dxa"/>
            <w:tcMar>
              <w:top w:w="100" w:type="dxa"/>
              <w:left w:w="100" w:type="dxa"/>
              <w:bottom w:w="100" w:type="dxa"/>
              <w:right w:w="100" w:type="dxa"/>
            </w:tcMar>
          </w:tcPr>
          <w:p w14:paraId="6A3F9D17" w14:textId="77777777" w:rsidR="00F620E5" w:rsidRDefault="00000000">
            <w:pPr>
              <w:widowControl w:val="0"/>
              <w:pBdr>
                <w:top w:val="nil"/>
                <w:left w:val="nil"/>
                <w:bottom w:val="nil"/>
                <w:right w:val="nil"/>
                <w:between w:val="nil"/>
              </w:pBdr>
              <w:spacing w:line="240" w:lineRule="auto"/>
              <w:jc w:val="left"/>
            </w:pPr>
            <w:r>
              <w:t>Mitigation Strategies</w:t>
            </w:r>
          </w:p>
        </w:tc>
      </w:tr>
      <w:tr w:rsidR="00F620E5" w14:paraId="387F2BF9" w14:textId="77777777">
        <w:tc>
          <w:tcPr>
            <w:tcW w:w="2340" w:type="dxa"/>
            <w:tcMar>
              <w:top w:w="100" w:type="dxa"/>
              <w:left w:w="100" w:type="dxa"/>
              <w:bottom w:w="100" w:type="dxa"/>
              <w:right w:w="100" w:type="dxa"/>
            </w:tcMar>
          </w:tcPr>
          <w:p w14:paraId="627F0130" w14:textId="77777777" w:rsidR="00F620E5" w:rsidRDefault="00000000">
            <w:pPr>
              <w:widowControl w:val="0"/>
              <w:pBdr>
                <w:top w:val="nil"/>
                <w:left w:val="nil"/>
                <w:bottom w:val="nil"/>
                <w:right w:val="nil"/>
                <w:between w:val="nil"/>
              </w:pBdr>
              <w:spacing w:line="240" w:lineRule="auto"/>
              <w:jc w:val="left"/>
            </w:pPr>
            <w:r>
              <w:t>Weak Surveillance &amp; Early Warning</w:t>
            </w:r>
          </w:p>
        </w:tc>
        <w:tc>
          <w:tcPr>
            <w:tcW w:w="2340" w:type="dxa"/>
            <w:tcMar>
              <w:top w:w="100" w:type="dxa"/>
              <w:left w:w="100" w:type="dxa"/>
              <w:bottom w:w="100" w:type="dxa"/>
              <w:right w:w="100" w:type="dxa"/>
            </w:tcMar>
          </w:tcPr>
          <w:p w14:paraId="3D5D67E7" w14:textId="77777777" w:rsidR="00F620E5" w:rsidRDefault="00000000">
            <w:pPr>
              <w:widowControl w:val="0"/>
              <w:pBdr>
                <w:top w:val="nil"/>
                <w:left w:val="nil"/>
                <w:bottom w:val="nil"/>
                <w:right w:val="nil"/>
                <w:between w:val="nil"/>
              </w:pBdr>
              <w:spacing w:line="240" w:lineRule="auto"/>
              <w:jc w:val="left"/>
            </w:pPr>
            <w:r>
              <w:t>Delayed detection of cases and variants</w:t>
            </w:r>
          </w:p>
        </w:tc>
        <w:tc>
          <w:tcPr>
            <w:tcW w:w="2340" w:type="dxa"/>
            <w:tcMar>
              <w:top w:w="100" w:type="dxa"/>
              <w:left w:w="100" w:type="dxa"/>
              <w:bottom w:w="100" w:type="dxa"/>
              <w:right w:w="100" w:type="dxa"/>
            </w:tcMar>
          </w:tcPr>
          <w:p w14:paraId="4367DE1D" w14:textId="77777777" w:rsidR="00F620E5" w:rsidRDefault="00000000">
            <w:pPr>
              <w:widowControl w:val="0"/>
              <w:pBdr>
                <w:top w:val="nil"/>
                <w:left w:val="nil"/>
                <w:bottom w:val="nil"/>
                <w:right w:val="nil"/>
                <w:between w:val="nil"/>
              </w:pBdr>
              <w:spacing w:line="240" w:lineRule="auto"/>
              <w:jc w:val="left"/>
            </w:pPr>
            <w:r>
              <w:t>Increased transmission and higher mortality</w:t>
            </w:r>
          </w:p>
        </w:tc>
        <w:tc>
          <w:tcPr>
            <w:tcW w:w="2340" w:type="dxa"/>
            <w:tcMar>
              <w:top w:w="100" w:type="dxa"/>
              <w:left w:w="100" w:type="dxa"/>
              <w:bottom w:w="100" w:type="dxa"/>
              <w:right w:w="100" w:type="dxa"/>
            </w:tcMar>
          </w:tcPr>
          <w:p w14:paraId="02C0C62C" w14:textId="77777777" w:rsidR="00F620E5" w:rsidRDefault="00000000">
            <w:pPr>
              <w:widowControl w:val="0"/>
              <w:pBdr>
                <w:top w:val="nil"/>
                <w:left w:val="nil"/>
                <w:bottom w:val="nil"/>
                <w:right w:val="nil"/>
                <w:between w:val="nil"/>
              </w:pBdr>
              <w:spacing w:line="240" w:lineRule="auto"/>
              <w:jc w:val="left"/>
            </w:pPr>
            <w:r>
              <w:t>Strengthen integrated surveillance, genomic sequencing, and community monitoring</w:t>
            </w:r>
          </w:p>
        </w:tc>
      </w:tr>
      <w:tr w:rsidR="00F620E5" w14:paraId="2D9A6AB6" w14:textId="77777777">
        <w:tc>
          <w:tcPr>
            <w:tcW w:w="2340" w:type="dxa"/>
            <w:tcMar>
              <w:top w:w="100" w:type="dxa"/>
              <w:left w:w="100" w:type="dxa"/>
              <w:bottom w:w="100" w:type="dxa"/>
              <w:right w:w="100" w:type="dxa"/>
            </w:tcMar>
          </w:tcPr>
          <w:p w14:paraId="01C6CCD3" w14:textId="77777777" w:rsidR="00F620E5" w:rsidRDefault="00000000">
            <w:pPr>
              <w:widowControl w:val="0"/>
              <w:pBdr>
                <w:top w:val="nil"/>
                <w:left w:val="nil"/>
                <w:bottom w:val="nil"/>
                <w:right w:val="nil"/>
                <w:between w:val="nil"/>
              </w:pBdr>
              <w:spacing w:line="240" w:lineRule="auto"/>
              <w:jc w:val="left"/>
            </w:pPr>
            <w:r>
              <w:t>Health Workforce Shortages &amp; Burnout</w:t>
            </w:r>
          </w:p>
        </w:tc>
        <w:tc>
          <w:tcPr>
            <w:tcW w:w="2340" w:type="dxa"/>
            <w:tcMar>
              <w:top w:w="100" w:type="dxa"/>
              <w:left w:w="100" w:type="dxa"/>
              <w:bottom w:w="100" w:type="dxa"/>
              <w:right w:w="100" w:type="dxa"/>
            </w:tcMar>
          </w:tcPr>
          <w:p w14:paraId="42AC6B35" w14:textId="77777777" w:rsidR="00F620E5" w:rsidRDefault="00000000">
            <w:pPr>
              <w:widowControl w:val="0"/>
              <w:pBdr>
                <w:top w:val="nil"/>
                <w:left w:val="nil"/>
                <w:bottom w:val="nil"/>
                <w:right w:val="nil"/>
                <w:between w:val="nil"/>
              </w:pBdr>
              <w:spacing w:line="240" w:lineRule="auto"/>
              <w:jc w:val="left"/>
            </w:pPr>
            <w:r>
              <w:t>Overwhelmed staff, fatigue, and mental health strain</w:t>
            </w:r>
          </w:p>
        </w:tc>
        <w:tc>
          <w:tcPr>
            <w:tcW w:w="2340" w:type="dxa"/>
            <w:tcMar>
              <w:top w:w="100" w:type="dxa"/>
              <w:left w:w="100" w:type="dxa"/>
              <w:bottom w:w="100" w:type="dxa"/>
              <w:right w:w="100" w:type="dxa"/>
            </w:tcMar>
          </w:tcPr>
          <w:p w14:paraId="6B999EB4" w14:textId="77777777" w:rsidR="00F620E5" w:rsidRDefault="00000000">
            <w:pPr>
              <w:widowControl w:val="0"/>
              <w:pBdr>
                <w:top w:val="nil"/>
                <w:left w:val="nil"/>
                <w:bottom w:val="nil"/>
                <w:right w:val="nil"/>
                <w:between w:val="nil"/>
              </w:pBdr>
              <w:spacing w:line="240" w:lineRule="auto"/>
              <w:jc w:val="left"/>
            </w:pPr>
            <w:r>
              <w:t>Reduced care quality and workforce attrition</w:t>
            </w:r>
          </w:p>
        </w:tc>
        <w:tc>
          <w:tcPr>
            <w:tcW w:w="2340" w:type="dxa"/>
            <w:tcMar>
              <w:top w:w="100" w:type="dxa"/>
              <w:left w:w="100" w:type="dxa"/>
              <w:bottom w:w="100" w:type="dxa"/>
              <w:right w:w="100" w:type="dxa"/>
            </w:tcMar>
          </w:tcPr>
          <w:p w14:paraId="7F6A570C" w14:textId="77777777" w:rsidR="00F620E5" w:rsidRDefault="00000000">
            <w:pPr>
              <w:widowControl w:val="0"/>
              <w:pBdr>
                <w:top w:val="nil"/>
                <w:left w:val="nil"/>
                <w:bottom w:val="nil"/>
                <w:right w:val="nil"/>
                <w:between w:val="nil"/>
              </w:pBdr>
              <w:spacing w:line="240" w:lineRule="auto"/>
              <w:jc w:val="left"/>
            </w:pPr>
            <w:r>
              <w:t>Continuous training, surge staffing, mental health support, and better working conditions</w:t>
            </w:r>
          </w:p>
        </w:tc>
      </w:tr>
      <w:tr w:rsidR="00F620E5" w14:paraId="54A366E8" w14:textId="77777777">
        <w:tc>
          <w:tcPr>
            <w:tcW w:w="2340" w:type="dxa"/>
            <w:tcMar>
              <w:top w:w="100" w:type="dxa"/>
              <w:left w:w="100" w:type="dxa"/>
              <w:bottom w:w="100" w:type="dxa"/>
              <w:right w:w="100" w:type="dxa"/>
            </w:tcMar>
          </w:tcPr>
          <w:p w14:paraId="17FC8BA1" w14:textId="77777777" w:rsidR="00F620E5" w:rsidRDefault="00000000">
            <w:pPr>
              <w:widowControl w:val="0"/>
              <w:pBdr>
                <w:top w:val="nil"/>
                <w:left w:val="nil"/>
                <w:bottom w:val="nil"/>
                <w:right w:val="nil"/>
                <w:between w:val="nil"/>
              </w:pBdr>
              <w:spacing w:line="240" w:lineRule="auto"/>
              <w:jc w:val="left"/>
            </w:pPr>
            <w:r>
              <w:t>Infrastructure Limitations</w:t>
            </w:r>
          </w:p>
        </w:tc>
        <w:tc>
          <w:tcPr>
            <w:tcW w:w="2340" w:type="dxa"/>
            <w:tcMar>
              <w:top w:w="100" w:type="dxa"/>
              <w:left w:w="100" w:type="dxa"/>
              <w:bottom w:w="100" w:type="dxa"/>
              <w:right w:w="100" w:type="dxa"/>
            </w:tcMar>
          </w:tcPr>
          <w:p w14:paraId="4E856C37" w14:textId="77777777" w:rsidR="00F620E5" w:rsidRDefault="00000000">
            <w:pPr>
              <w:widowControl w:val="0"/>
              <w:pBdr>
                <w:top w:val="nil"/>
                <w:left w:val="nil"/>
                <w:bottom w:val="nil"/>
                <w:right w:val="nil"/>
                <w:between w:val="nil"/>
              </w:pBdr>
              <w:spacing w:line="240" w:lineRule="auto"/>
              <w:jc w:val="left"/>
            </w:pPr>
            <w:r>
              <w:t>Insufficient ICU beds, ventilators, and oxygen</w:t>
            </w:r>
          </w:p>
        </w:tc>
        <w:tc>
          <w:tcPr>
            <w:tcW w:w="2340" w:type="dxa"/>
            <w:tcMar>
              <w:top w:w="100" w:type="dxa"/>
              <w:left w:w="100" w:type="dxa"/>
              <w:bottom w:w="100" w:type="dxa"/>
              <w:right w:w="100" w:type="dxa"/>
            </w:tcMar>
          </w:tcPr>
          <w:p w14:paraId="6F9553D1" w14:textId="77777777" w:rsidR="00F620E5" w:rsidRDefault="00000000">
            <w:pPr>
              <w:widowControl w:val="0"/>
              <w:pBdr>
                <w:top w:val="nil"/>
                <w:left w:val="nil"/>
                <w:bottom w:val="nil"/>
                <w:right w:val="nil"/>
                <w:between w:val="nil"/>
              </w:pBdr>
              <w:spacing w:line="240" w:lineRule="auto"/>
              <w:jc w:val="left"/>
            </w:pPr>
            <w:r>
              <w:t>Higher preventable deaths and system overload</w:t>
            </w:r>
          </w:p>
        </w:tc>
        <w:tc>
          <w:tcPr>
            <w:tcW w:w="2340" w:type="dxa"/>
            <w:tcMar>
              <w:top w:w="100" w:type="dxa"/>
              <w:left w:w="100" w:type="dxa"/>
              <w:bottom w:w="100" w:type="dxa"/>
              <w:right w:w="100" w:type="dxa"/>
            </w:tcMar>
          </w:tcPr>
          <w:p w14:paraId="4EBD70F6" w14:textId="77777777" w:rsidR="00F620E5" w:rsidRDefault="00000000">
            <w:pPr>
              <w:widowControl w:val="0"/>
              <w:pBdr>
                <w:top w:val="nil"/>
                <w:left w:val="nil"/>
                <w:bottom w:val="nil"/>
                <w:right w:val="nil"/>
                <w:between w:val="nil"/>
              </w:pBdr>
              <w:spacing w:line="240" w:lineRule="auto"/>
              <w:jc w:val="left"/>
            </w:pPr>
            <w:r>
              <w:t>Expand ICU capacity, oxygen systems, and isolation facilities</w:t>
            </w:r>
          </w:p>
        </w:tc>
      </w:tr>
      <w:tr w:rsidR="00F620E5" w14:paraId="31DA6172" w14:textId="77777777">
        <w:tc>
          <w:tcPr>
            <w:tcW w:w="2340" w:type="dxa"/>
            <w:tcMar>
              <w:top w:w="100" w:type="dxa"/>
              <w:left w:w="100" w:type="dxa"/>
              <w:bottom w:w="100" w:type="dxa"/>
              <w:right w:w="100" w:type="dxa"/>
            </w:tcMar>
          </w:tcPr>
          <w:p w14:paraId="1BAFAE72" w14:textId="77777777" w:rsidR="00F620E5" w:rsidRDefault="00000000">
            <w:pPr>
              <w:widowControl w:val="0"/>
              <w:pBdr>
                <w:top w:val="nil"/>
                <w:left w:val="nil"/>
                <w:bottom w:val="nil"/>
                <w:right w:val="nil"/>
                <w:between w:val="nil"/>
              </w:pBdr>
              <w:spacing w:line="240" w:lineRule="auto"/>
              <w:jc w:val="left"/>
            </w:pPr>
            <w:r>
              <w:t>Supply Chain Disruptions</w:t>
            </w:r>
          </w:p>
        </w:tc>
        <w:tc>
          <w:tcPr>
            <w:tcW w:w="2340" w:type="dxa"/>
            <w:tcMar>
              <w:top w:w="100" w:type="dxa"/>
              <w:left w:w="100" w:type="dxa"/>
              <w:bottom w:w="100" w:type="dxa"/>
              <w:right w:w="100" w:type="dxa"/>
            </w:tcMar>
          </w:tcPr>
          <w:p w14:paraId="3DC40EED" w14:textId="77777777" w:rsidR="00F620E5" w:rsidRDefault="00000000">
            <w:pPr>
              <w:widowControl w:val="0"/>
              <w:pBdr>
                <w:top w:val="nil"/>
                <w:left w:val="nil"/>
                <w:bottom w:val="nil"/>
                <w:right w:val="nil"/>
                <w:between w:val="nil"/>
              </w:pBdr>
              <w:spacing w:line="240" w:lineRule="auto"/>
              <w:jc w:val="left"/>
            </w:pPr>
            <w:r>
              <w:t>Shortages of PPE, vaccines, and medical supplies</w:t>
            </w:r>
          </w:p>
        </w:tc>
        <w:tc>
          <w:tcPr>
            <w:tcW w:w="2340" w:type="dxa"/>
            <w:tcMar>
              <w:top w:w="100" w:type="dxa"/>
              <w:left w:w="100" w:type="dxa"/>
              <w:bottom w:w="100" w:type="dxa"/>
              <w:right w:w="100" w:type="dxa"/>
            </w:tcMar>
          </w:tcPr>
          <w:p w14:paraId="257D66D4" w14:textId="77777777" w:rsidR="00F620E5" w:rsidRDefault="00000000">
            <w:pPr>
              <w:widowControl w:val="0"/>
              <w:pBdr>
                <w:top w:val="nil"/>
                <w:left w:val="nil"/>
                <w:bottom w:val="nil"/>
                <w:right w:val="nil"/>
                <w:between w:val="nil"/>
              </w:pBdr>
              <w:spacing w:line="240" w:lineRule="auto"/>
              <w:jc w:val="left"/>
            </w:pPr>
            <w:r>
              <w:t>Delayed response and inequitable access</w:t>
            </w:r>
          </w:p>
        </w:tc>
        <w:tc>
          <w:tcPr>
            <w:tcW w:w="2340" w:type="dxa"/>
            <w:tcMar>
              <w:top w:w="100" w:type="dxa"/>
              <w:left w:w="100" w:type="dxa"/>
              <w:bottom w:w="100" w:type="dxa"/>
              <w:right w:w="100" w:type="dxa"/>
            </w:tcMar>
          </w:tcPr>
          <w:p w14:paraId="56DE867E" w14:textId="77777777" w:rsidR="00F620E5" w:rsidRDefault="00000000">
            <w:pPr>
              <w:widowControl w:val="0"/>
              <w:pBdr>
                <w:top w:val="nil"/>
                <w:left w:val="nil"/>
                <w:bottom w:val="nil"/>
                <w:right w:val="nil"/>
                <w:between w:val="nil"/>
              </w:pBdr>
              <w:spacing w:line="240" w:lineRule="auto"/>
              <w:jc w:val="left"/>
            </w:pPr>
            <w:r>
              <w:t xml:space="preserve">Build strategic stockpiles and strengthen </w:t>
            </w:r>
            <w:r>
              <w:lastRenderedPageBreak/>
              <w:t>local/regional manufacturing</w:t>
            </w:r>
          </w:p>
        </w:tc>
      </w:tr>
      <w:tr w:rsidR="00F620E5" w14:paraId="3C4A8AB3" w14:textId="77777777">
        <w:tc>
          <w:tcPr>
            <w:tcW w:w="2340" w:type="dxa"/>
            <w:tcMar>
              <w:top w:w="100" w:type="dxa"/>
              <w:left w:w="100" w:type="dxa"/>
              <w:bottom w:w="100" w:type="dxa"/>
              <w:right w:w="100" w:type="dxa"/>
            </w:tcMar>
          </w:tcPr>
          <w:p w14:paraId="21D92BCE" w14:textId="77777777" w:rsidR="00F620E5" w:rsidRDefault="00000000">
            <w:pPr>
              <w:widowControl w:val="0"/>
              <w:pBdr>
                <w:top w:val="nil"/>
                <w:left w:val="nil"/>
                <w:bottom w:val="nil"/>
                <w:right w:val="nil"/>
                <w:between w:val="nil"/>
              </w:pBdr>
              <w:spacing w:line="240" w:lineRule="auto"/>
              <w:jc w:val="left"/>
            </w:pPr>
            <w:r>
              <w:lastRenderedPageBreak/>
              <w:t>Disruption of Essential Services</w:t>
            </w:r>
          </w:p>
        </w:tc>
        <w:tc>
          <w:tcPr>
            <w:tcW w:w="2340" w:type="dxa"/>
            <w:tcMar>
              <w:top w:w="100" w:type="dxa"/>
              <w:left w:w="100" w:type="dxa"/>
              <w:bottom w:w="100" w:type="dxa"/>
              <w:right w:w="100" w:type="dxa"/>
            </w:tcMar>
          </w:tcPr>
          <w:p w14:paraId="23724C10" w14:textId="77777777" w:rsidR="00F620E5" w:rsidRDefault="00000000">
            <w:pPr>
              <w:widowControl w:val="0"/>
              <w:pBdr>
                <w:top w:val="nil"/>
                <w:left w:val="nil"/>
                <w:bottom w:val="nil"/>
                <w:right w:val="nil"/>
                <w:between w:val="nil"/>
              </w:pBdr>
              <w:spacing w:line="240" w:lineRule="auto"/>
              <w:jc w:val="left"/>
            </w:pPr>
            <w:r>
              <w:t>Interruptions in routine care and immunizations</w:t>
            </w:r>
          </w:p>
        </w:tc>
        <w:tc>
          <w:tcPr>
            <w:tcW w:w="2340" w:type="dxa"/>
            <w:tcMar>
              <w:top w:w="100" w:type="dxa"/>
              <w:left w:w="100" w:type="dxa"/>
              <w:bottom w:w="100" w:type="dxa"/>
              <w:right w:w="100" w:type="dxa"/>
            </w:tcMar>
          </w:tcPr>
          <w:p w14:paraId="72DCCD90" w14:textId="77777777" w:rsidR="00F620E5" w:rsidRDefault="00000000">
            <w:pPr>
              <w:widowControl w:val="0"/>
              <w:pBdr>
                <w:top w:val="nil"/>
                <w:left w:val="nil"/>
                <w:bottom w:val="nil"/>
                <w:right w:val="nil"/>
                <w:between w:val="nil"/>
              </w:pBdr>
              <w:spacing w:line="240" w:lineRule="auto"/>
              <w:jc w:val="left"/>
            </w:pPr>
            <w:r>
              <w:t>Increased morbidity and secondary health crises</w:t>
            </w:r>
          </w:p>
        </w:tc>
        <w:tc>
          <w:tcPr>
            <w:tcW w:w="2340" w:type="dxa"/>
            <w:tcMar>
              <w:top w:w="100" w:type="dxa"/>
              <w:left w:w="100" w:type="dxa"/>
              <w:bottom w:w="100" w:type="dxa"/>
              <w:right w:w="100" w:type="dxa"/>
            </w:tcMar>
          </w:tcPr>
          <w:p w14:paraId="1BC6FFA8" w14:textId="77777777" w:rsidR="00F620E5" w:rsidRDefault="00000000">
            <w:pPr>
              <w:widowControl w:val="0"/>
              <w:pBdr>
                <w:top w:val="nil"/>
                <w:left w:val="nil"/>
                <w:bottom w:val="nil"/>
                <w:right w:val="nil"/>
                <w:between w:val="nil"/>
              </w:pBdr>
              <w:spacing w:line="240" w:lineRule="auto"/>
              <w:jc w:val="left"/>
            </w:pPr>
            <w:r>
              <w:t>Maintain essential services continuity plans and catch-up campaigns</w:t>
            </w:r>
          </w:p>
        </w:tc>
      </w:tr>
      <w:tr w:rsidR="00F620E5" w14:paraId="71A04372" w14:textId="77777777">
        <w:tc>
          <w:tcPr>
            <w:tcW w:w="2340" w:type="dxa"/>
            <w:tcMar>
              <w:top w:w="100" w:type="dxa"/>
              <w:left w:w="100" w:type="dxa"/>
              <w:bottom w:w="100" w:type="dxa"/>
              <w:right w:w="100" w:type="dxa"/>
            </w:tcMar>
          </w:tcPr>
          <w:p w14:paraId="12B7D77C" w14:textId="77777777" w:rsidR="00F620E5" w:rsidRDefault="00000000">
            <w:pPr>
              <w:widowControl w:val="0"/>
              <w:pBdr>
                <w:top w:val="nil"/>
                <w:left w:val="nil"/>
                <w:bottom w:val="nil"/>
                <w:right w:val="nil"/>
                <w:between w:val="nil"/>
              </w:pBdr>
              <w:spacing w:line="240" w:lineRule="auto"/>
              <w:jc w:val="left"/>
            </w:pPr>
            <w:r>
              <w:t>Governance &amp; Coordination Gaps</w:t>
            </w:r>
          </w:p>
        </w:tc>
        <w:tc>
          <w:tcPr>
            <w:tcW w:w="2340" w:type="dxa"/>
            <w:tcMar>
              <w:top w:w="100" w:type="dxa"/>
              <w:left w:w="100" w:type="dxa"/>
              <w:bottom w:w="100" w:type="dxa"/>
              <w:right w:w="100" w:type="dxa"/>
            </w:tcMar>
          </w:tcPr>
          <w:p w14:paraId="31D27D73" w14:textId="77777777" w:rsidR="00F620E5" w:rsidRDefault="00000000">
            <w:pPr>
              <w:widowControl w:val="0"/>
              <w:pBdr>
                <w:top w:val="nil"/>
                <w:left w:val="nil"/>
                <w:bottom w:val="nil"/>
                <w:right w:val="nil"/>
                <w:between w:val="nil"/>
              </w:pBdr>
              <w:spacing w:line="240" w:lineRule="auto"/>
              <w:jc w:val="left"/>
            </w:pPr>
            <w:r>
              <w:t>Poor leadership and inconsistent policies</w:t>
            </w:r>
          </w:p>
        </w:tc>
        <w:tc>
          <w:tcPr>
            <w:tcW w:w="2340" w:type="dxa"/>
            <w:tcMar>
              <w:top w:w="100" w:type="dxa"/>
              <w:left w:w="100" w:type="dxa"/>
              <w:bottom w:w="100" w:type="dxa"/>
              <w:right w:w="100" w:type="dxa"/>
            </w:tcMar>
          </w:tcPr>
          <w:p w14:paraId="7323709A" w14:textId="77777777" w:rsidR="00F620E5" w:rsidRDefault="00000000">
            <w:pPr>
              <w:widowControl w:val="0"/>
              <w:pBdr>
                <w:top w:val="nil"/>
                <w:left w:val="nil"/>
                <w:bottom w:val="nil"/>
                <w:right w:val="nil"/>
                <w:between w:val="nil"/>
              </w:pBdr>
              <w:spacing w:line="240" w:lineRule="auto"/>
              <w:jc w:val="left"/>
            </w:pPr>
            <w:r>
              <w:t>Public confusion and weakened response effectiveness</w:t>
            </w:r>
          </w:p>
        </w:tc>
        <w:tc>
          <w:tcPr>
            <w:tcW w:w="2340" w:type="dxa"/>
            <w:tcMar>
              <w:top w:w="100" w:type="dxa"/>
              <w:left w:w="100" w:type="dxa"/>
              <w:bottom w:w="100" w:type="dxa"/>
              <w:right w:w="100" w:type="dxa"/>
            </w:tcMar>
          </w:tcPr>
          <w:p w14:paraId="31A3BD41" w14:textId="77777777" w:rsidR="00F620E5" w:rsidRDefault="00000000">
            <w:pPr>
              <w:widowControl w:val="0"/>
              <w:pBdr>
                <w:top w:val="nil"/>
                <w:left w:val="nil"/>
                <w:bottom w:val="nil"/>
                <w:right w:val="nil"/>
                <w:between w:val="nil"/>
              </w:pBdr>
              <w:spacing w:line="240" w:lineRule="auto"/>
              <w:jc w:val="left"/>
            </w:pPr>
            <w:r>
              <w:t>Improve crisis leadership, intersectoral coordination, and evidence-based decision-making</w:t>
            </w:r>
          </w:p>
        </w:tc>
      </w:tr>
      <w:tr w:rsidR="00F620E5" w14:paraId="577DA4CC" w14:textId="77777777">
        <w:tc>
          <w:tcPr>
            <w:tcW w:w="2340" w:type="dxa"/>
            <w:tcMar>
              <w:top w:w="100" w:type="dxa"/>
              <w:left w:w="100" w:type="dxa"/>
              <w:bottom w:w="100" w:type="dxa"/>
              <w:right w:w="100" w:type="dxa"/>
            </w:tcMar>
          </w:tcPr>
          <w:p w14:paraId="2C486EA4" w14:textId="77777777" w:rsidR="00F620E5" w:rsidRDefault="00000000">
            <w:pPr>
              <w:widowControl w:val="0"/>
              <w:pBdr>
                <w:top w:val="nil"/>
                <w:left w:val="nil"/>
                <w:bottom w:val="nil"/>
                <w:right w:val="nil"/>
                <w:between w:val="nil"/>
              </w:pBdr>
              <w:spacing w:line="240" w:lineRule="auto"/>
              <w:jc w:val="left"/>
            </w:pPr>
            <w:r>
              <w:t>Inequities &amp; Vulnerable Populations</w:t>
            </w:r>
          </w:p>
        </w:tc>
        <w:tc>
          <w:tcPr>
            <w:tcW w:w="2340" w:type="dxa"/>
            <w:tcMar>
              <w:top w:w="100" w:type="dxa"/>
              <w:left w:w="100" w:type="dxa"/>
              <w:bottom w:w="100" w:type="dxa"/>
              <w:right w:w="100" w:type="dxa"/>
            </w:tcMar>
          </w:tcPr>
          <w:p w14:paraId="71C957BA" w14:textId="77777777" w:rsidR="00F620E5" w:rsidRDefault="00000000">
            <w:pPr>
              <w:widowControl w:val="0"/>
              <w:pBdr>
                <w:top w:val="nil"/>
                <w:left w:val="nil"/>
                <w:bottom w:val="nil"/>
                <w:right w:val="nil"/>
                <w:between w:val="nil"/>
              </w:pBdr>
              <w:spacing w:line="240" w:lineRule="auto"/>
              <w:jc w:val="left"/>
            </w:pPr>
            <w:r>
              <w:t>Disproportionate impact on low-income and rural groups</w:t>
            </w:r>
          </w:p>
        </w:tc>
        <w:tc>
          <w:tcPr>
            <w:tcW w:w="2340" w:type="dxa"/>
            <w:tcMar>
              <w:top w:w="100" w:type="dxa"/>
              <w:left w:w="100" w:type="dxa"/>
              <w:bottom w:w="100" w:type="dxa"/>
              <w:right w:w="100" w:type="dxa"/>
            </w:tcMar>
          </w:tcPr>
          <w:p w14:paraId="543765B8" w14:textId="77777777" w:rsidR="00F620E5" w:rsidRDefault="00000000">
            <w:pPr>
              <w:widowControl w:val="0"/>
              <w:pBdr>
                <w:top w:val="nil"/>
                <w:left w:val="nil"/>
                <w:bottom w:val="nil"/>
                <w:right w:val="nil"/>
                <w:between w:val="nil"/>
              </w:pBdr>
              <w:spacing w:line="240" w:lineRule="auto"/>
              <w:jc w:val="left"/>
            </w:pPr>
            <w:r>
              <w:t>Widened health and social inequalities</w:t>
            </w:r>
          </w:p>
        </w:tc>
        <w:tc>
          <w:tcPr>
            <w:tcW w:w="2340" w:type="dxa"/>
            <w:tcMar>
              <w:top w:w="100" w:type="dxa"/>
              <w:left w:w="100" w:type="dxa"/>
              <w:bottom w:w="100" w:type="dxa"/>
              <w:right w:w="100" w:type="dxa"/>
            </w:tcMar>
          </w:tcPr>
          <w:p w14:paraId="6C461417" w14:textId="77777777" w:rsidR="00F620E5" w:rsidRDefault="00000000">
            <w:pPr>
              <w:widowControl w:val="0"/>
              <w:pBdr>
                <w:top w:val="nil"/>
                <w:left w:val="nil"/>
                <w:bottom w:val="nil"/>
                <w:right w:val="nil"/>
                <w:between w:val="nil"/>
              </w:pBdr>
              <w:spacing w:line="240" w:lineRule="auto"/>
              <w:jc w:val="left"/>
            </w:pPr>
            <w:r>
              <w:t>Targeted interventions and equitable access policies for vulnerable groups</w:t>
            </w:r>
          </w:p>
        </w:tc>
      </w:tr>
      <w:tr w:rsidR="00F620E5" w14:paraId="1996B94E" w14:textId="77777777">
        <w:tc>
          <w:tcPr>
            <w:tcW w:w="2340" w:type="dxa"/>
            <w:tcMar>
              <w:top w:w="100" w:type="dxa"/>
              <w:left w:w="100" w:type="dxa"/>
              <w:bottom w:w="100" w:type="dxa"/>
              <w:right w:w="100" w:type="dxa"/>
            </w:tcMar>
          </w:tcPr>
          <w:p w14:paraId="0A281C6D" w14:textId="77777777" w:rsidR="00F620E5" w:rsidRDefault="00000000">
            <w:pPr>
              <w:widowControl w:val="0"/>
              <w:pBdr>
                <w:top w:val="nil"/>
                <w:left w:val="nil"/>
                <w:bottom w:val="nil"/>
                <w:right w:val="nil"/>
                <w:between w:val="nil"/>
              </w:pBdr>
              <w:spacing w:line="240" w:lineRule="auto"/>
              <w:jc w:val="left"/>
            </w:pPr>
            <w:r>
              <w:t>Limited Digital &amp; Data Systems</w:t>
            </w:r>
          </w:p>
        </w:tc>
        <w:tc>
          <w:tcPr>
            <w:tcW w:w="2340" w:type="dxa"/>
            <w:tcMar>
              <w:top w:w="100" w:type="dxa"/>
              <w:left w:w="100" w:type="dxa"/>
              <w:bottom w:w="100" w:type="dxa"/>
              <w:right w:w="100" w:type="dxa"/>
            </w:tcMar>
          </w:tcPr>
          <w:p w14:paraId="3FD72DCE" w14:textId="77777777" w:rsidR="00F620E5" w:rsidRDefault="00000000">
            <w:pPr>
              <w:widowControl w:val="0"/>
              <w:pBdr>
                <w:top w:val="nil"/>
                <w:left w:val="nil"/>
                <w:bottom w:val="nil"/>
                <w:right w:val="nil"/>
                <w:between w:val="nil"/>
              </w:pBdr>
              <w:spacing w:line="240" w:lineRule="auto"/>
              <w:jc w:val="left"/>
            </w:pPr>
            <w:r>
              <w:t>Slow use of telemedicine and real-time data</w:t>
            </w:r>
          </w:p>
        </w:tc>
        <w:tc>
          <w:tcPr>
            <w:tcW w:w="2340" w:type="dxa"/>
            <w:tcMar>
              <w:top w:w="100" w:type="dxa"/>
              <w:left w:w="100" w:type="dxa"/>
              <w:bottom w:w="100" w:type="dxa"/>
              <w:right w:w="100" w:type="dxa"/>
            </w:tcMar>
          </w:tcPr>
          <w:p w14:paraId="3D05181F" w14:textId="77777777" w:rsidR="00F620E5" w:rsidRDefault="00000000">
            <w:pPr>
              <w:widowControl w:val="0"/>
              <w:pBdr>
                <w:top w:val="nil"/>
                <w:left w:val="nil"/>
                <w:bottom w:val="nil"/>
                <w:right w:val="nil"/>
                <w:between w:val="nil"/>
              </w:pBdr>
              <w:spacing w:line="240" w:lineRule="auto"/>
              <w:jc w:val="left"/>
            </w:pPr>
            <w:r>
              <w:t>Poor coordination and missed innovation opportunities</w:t>
            </w:r>
          </w:p>
        </w:tc>
        <w:tc>
          <w:tcPr>
            <w:tcW w:w="2340" w:type="dxa"/>
            <w:tcMar>
              <w:top w:w="100" w:type="dxa"/>
              <w:left w:w="100" w:type="dxa"/>
              <w:bottom w:w="100" w:type="dxa"/>
              <w:right w:w="100" w:type="dxa"/>
            </w:tcMar>
          </w:tcPr>
          <w:p w14:paraId="077B2067" w14:textId="77777777" w:rsidR="00F620E5" w:rsidRDefault="00000000">
            <w:pPr>
              <w:widowControl w:val="0"/>
              <w:pBdr>
                <w:top w:val="nil"/>
                <w:left w:val="nil"/>
                <w:bottom w:val="nil"/>
                <w:right w:val="nil"/>
                <w:between w:val="nil"/>
              </w:pBdr>
              <w:spacing w:line="240" w:lineRule="auto"/>
              <w:jc w:val="left"/>
            </w:pPr>
            <w:r>
              <w:t>Invest in digital health, telemedicine, and interoperable data systems</w:t>
            </w:r>
          </w:p>
        </w:tc>
      </w:tr>
      <w:tr w:rsidR="00F620E5" w14:paraId="2E931AFC" w14:textId="77777777">
        <w:tc>
          <w:tcPr>
            <w:tcW w:w="2340" w:type="dxa"/>
            <w:tcMar>
              <w:top w:w="100" w:type="dxa"/>
              <w:left w:w="100" w:type="dxa"/>
              <w:bottom w:w="100" w:type="dxa"/>
              <w:right w:w="100" w:type="dxa"/>
            </w:tcMar>
          </w:tcPr>
          <w:p w14:paraId="464FAD6B" w14:textId="77777777" w:rsidR="00F620E5" w:rsidRDefault="00000000">
            <w:pPr>
              <w:widowControl w:val="0"/>
              <w:pBdr>
                <w:top w:val="nil"/>
                <w:left w:val="nil"/>
                <w:bottom w:val="nil"/>
                <w:right w:val="nil"/>
                <w:between w:val="nil"/>
              </w:pBdr>
              <w:spacing w:line="240" w:lineRule="auto"/>
              <w:jc w:val="left"/>
            </w:pPr>
            <w:r>
              <w:t>Erosion of Public Trust</w:t>
            </w:r>
          </w:p>
        </w:tc>
        <w:tc>
          <w:tcPr>
            <w:tcW w:w="2340" w:type="dxa"/>
            <w:tcMar>
              <w:top w:w="100" w:type="dxa"/>
              <w:left w:w="100" w:type="dxa"/>
              <w:bottom w:w="100" w:type="dxa"/>
              <w:right w:w="100" w:type="dxa"/>
            </w:tcMar>
          </w:tcPr>
          <w:p w14:paraId="79BCB1AB" w14:textId="77777777" w:rsidR="00F620E5" w:rsidRDefault="00000000">
            <w:pPr>
              <w:widowControl w:val="0"/>
              <w:pBdr>
                <w:top w:val="nil"/>
                <w:left w:val="nil"/>
                <w:bottom w:val="nil"/>
                <w:right w:val="nil"/>
                <w:between w:val="nil"/>
              </w:pBdr>
              <w:spacing w:line="240" w:lineRule="auto"/>
              <w:jc w:val="left"/>
            </w:pPr>
            <w:r>
              <w:t>Misinformation and poor communication</w:t>
            </w:r>
          </w:p>
        </w:tc>
        <w:tc>
          <w:tcPr>
            <w:tcW w:w="2340" w:type="dxa"/>
            <w:tcMar>
              <w:top w:w="100" w:type="dxa"/>
              <w:left w:w="100" w:type="dxa"/>
              <w:bottom w:w="100" w:type="dxa"/>
              <w:right w:w="100" w:type="dxa"/>
            </w:tcMar>
          </w:tcPr>
          <w:p w14:paraId="56F8D81E" w14:textId="77777777" w:rsidR="00F620E5" w:rsidRDefault="00000000">
            <w:pPr>
              <w:widowControl w:val="0"/>
              <w:pBdr>
                <w:top w:val="nil"/>
                <w:left w:val="nil"/>
                <w:bottom w:val="nil"/>
                <w:right w:val="nil"/>
                <w:between w:val="nil"/>
              </w:pBdr>
              <w:spacing w:line="240" w:lineRule="auto"/>
              <w:jc w:val="left"/>
            </w:pPr>
            <w:r>
              <w:t>Reduced compliance with public health measures</w:t>
            </w:r>
          </w:p>
        </w:tc>
        <w:tc>
          <w:tcPr>
            <w:tcW w:w="2340" w:type="dxa"/>
            <w:tcMar>
              <w:top w:w="100" w:type="dxa"/>
              <w:left w:w="100" w:type="dxa"/>
              <w:bottom w:w="100" w:type="dxa"/>
              <w:right w:w="100" w:type="dxa"/>
            </w:tcMar>
          </w:tcPr>
          <w:p w14:paraId="2387DF6D" w14:textId="77777777" w:rsidR="00F620E5" w:rsidRDefault="00000000">
            <w:pPr>
              <w:widowControl w:val="0"/>
              <w:pBdr>
                <w:top w:val="nil"/>
                <w:left w:val="nil"/>
                <w:bottom w:val="nil"/>
                <w:right w:val="nil"/>
                <w:between w:val="nil"/>
              </w:pBdr>
              <w:spacing w:line="240" w:lineRule="auto"/>
              <w:jc w:val="left"/>
            </w:pPr>
            <w:r>
              <w:t>Transparent communication, community engagement, and proactive misinformation combat</w:t>
            </w:r>
          </w:p>
        </w:tc>
      </w:tr>
    </w:tbl>
    <w:p w14:paraId="5C7F0CD6" w14:textId="77777777" w:rsidR="00F620E5" w:rsidRDefault="00F620E5"/>
    <w:p w14:paraId="111C5F09" w14:textId="77777777" w:rsidR="00F620E5" w:rsidRDefault="00F620E5"/>
    <w:p w14:paraId="0876A853" w14:textId="77777777" w:rsidR="00F620E5" w:rsidRDefault="00F620E5"/>
    <w:p w14:paraId="4B2439A4" w14:textId="77777777" w:rsidR="00F620E5" w:rsidRDefault="00000000">
      <w:r>
        <w:rPr>
          <w:lang w:val="en-US"/>
        </w:rPr>
        <w:t>5. GOVERNANCE, LEADERSHIP, AND HEALTH FINANCING</w:t>
      </w:r>
    </w:p>
    <w:p w14:paraId="47C418FA" w14:textId="77777777" w:rsidR="00F620E5" w:rsidRDefault="00F620E5"/>
    <w:p w14:paraId="48FF04D6" w14:textId="77777777" w:rsidR="00F620E5" w:rsidRDefault="00000000">
      <w:r>
        <w:rPr>
          <w:lang w:val="en-US"/>
        </w:rPr>
        <w:t>5.1 Leadership During Pandemics</w:t>
      </w:r>
    </w:p>
    <w:p w14:paraId="7A6973A9" w14:textId="77777777" w:rsidR="00F620E5" w:rsidRDefault="00F620E5"/>
    <w:p w14:paraId="3A870624" w14:textId="77777777" w:rsidR="00F620E5" w:rsidRDefault="00000000">
      <w:r>
        <w:rPr>
          <w:lang w:val="en-US"/>
        </w:rPr>
        <w:t>Effective governance and strong leadership are essential for successful pandemic preparedness and response. During public health emergencies, governments and health authorities must make rapid decisions under conditions of uncertainty while maintaining public confidence and healthcare system functionality. Crisis communication plays a central role in this process, as timely, accurate, and consistent information helps reduce panic, improve adherence to public health measures, and counter misinformation. Poor communication strategies, conflicting messages, and delayed responses can undermine public trust and weaken outbreak control efforts (Ahern &amp; Loh, 2021; Asamoah &amp; Bigodza, 2025; Czerniewska et al., 2024; Sundararaman et al., 2021).</w:t>
      </w:r>
    </w:p>
    <w:p w14:paraId="690374B5" w14:textId="77777777" w:rsidR="00F620E5" w:rsidRDefault="00F620E5"/>
    <w:p w14:paraId="44A13798" w14:textId="77777777" w:rsidR="00F620E5" w:rsidRDefault="00000000">
      <w:r>
        <w:rPr>
          <w:lang w:val="en-US"/>
        </w:rPr>
        <w:t xml:space="preserve">Evidence-based policymaking is equally critical during pandemics. Decision-makers must rely on scientific evidence, epidemiological data, and expert guidance when implementing interventions such as travel restrictions, vaccination campaigns, quarantine measures, and healthcare resource </w:t>
      </w:r>
      <w:r>
        <w:rPr>
          <w:lang w:val="en-US"/>
        </w:rPr>
        <w:lastRenderedPageBreak/>
        <w:t>allocation. The COVID-19 pandemic demonstrated the importance of adapting policies rapidly as new evidence emerges (Matsuda &amp; Yoshimura, 2023; Sundararaman et al., 2021).</w:t>
      </w:r>
    </w:p>
    <w:p w14:paraId="77DE9503" w14:textId="77777777" w:rsidR="00F620E5" w:rsidRDefault="00F620E5"/>
    <w:p w14:paraId="31078947" w14:textId="77777777" w:rsidR="00F620E5" w:rsidRDefault="00000000">
      <w:r>
        <w:rPr>
          <w:lang w:val="en-US"/>
        </w:rPr>
        <w:t>Pandemic response also requires coordination across multiple sectors, including healthcare, finance, education, transportation, and security. Intersectoral collaboration enhances resource mobilization, emergency logistics, and continuity of essential services (Okello et al., 2025). Transparency and accountability are vital components of governance, as open reporting of cases, mortality data, and response strategies strengthens institutional credibility and public cooperation during crises (Jannah &amp; Sipahutar, 2022).</w:t>
      </w:r>
    </w:p>
    <w:p w14:paraId="092A45EF" w14:textId="77777777" w:rsidR="00F620E5" w:rsidRDefault="00F620E5"/>
    <w:p w14:paraId="35C98CD6" w14:textId="77777777" w:rsidR="00F620E5" w:rsidRDefault="00000000">
      <w:r>
        <w:rPr>
          <w:lang w:val="en-US"/>
        </w:rPr>
        <w:t>5.2 Public Trust and Community Engagement</w:t>
      </w:r>
    </w:p>
    <w:p w14:paraId="102CAB43" w14:textId="77777777" w:rsidR="00F620E5" w:rsidRDefault="00F620E5"/>
    <w:p w14:paraId="1CB2E1B0" w14:textId="77777777" w:rsidR="00F620E5" w:rsidRDefault="00000000">
      <w:r>
        <w:rPr>
          <w:lang w:val="en-US"/>
        </w:rPr>
        <w:t>Public trust is a major determinant of the effectiveness of pandemic response strategies. Communities are more likely to comply with infection prevention measures, vaccination programs, and public health recommendations when they trust government institutions and healthcare authorities. Risk communication should therefore be culturally sensitive, accessible, and tailored to different populations (Jannah &amp; Sipahutar, 2022).</w:t>
      </w:r>
    </w:p>
    <w:p w14:paraId="1588E732" w14:textId="77777777" w:rsidR="00F620E5" w:rsidRDefault="00F620E5"/>
    <w:p w14:paraId="401A1CDD" w14:textId="77777777" w:rsidR="00F620E5" w:rsidRDefault="00000000">
      <w:r>
        <w:rPr>
          <w:lang w:val="en-US"/>
        </w:rPr>
        <w:t>The rapid spread of misinformation and disinformation through social media and digital platforms has become a major challenge during modern pandemics. False information regarding vaccines, treatments, and disease transmission can increase vaccine hesitancy, reduce compliance with preventive measures, and intensify public confusion. Addressing misinformation requires proactive public education campaigns, collaboration with media organizations, and transparent communication from trusted health professionals (Penka et al., 2024).</w:t>
      </w:r>
    </w:p>
    <w:p w14:paraId="44D230DD" w14:textId="77777777" w:rsidR="00F620E5" w:rsidRDefault="00F620E5"/>
    <w:p w14:paraId="4EA95B50" w14:textId="77777777" w:rsidR="00F620E5" w:rsidRDefault="00000000">
      <w:r>
        <w:rPr>
          <w:lang w:val="en-US"/>
        </w:rPr>
        <w:t>Community participation also strengthens pandemic response efforts. Community leaders, religious organizations, civil society groups, and local health workers can support awareness campaigns, surveillance activities, and vaccine outreach programs, particularly in underserved populations (Barker et al., 2020).</w:t>
      </w:r>
    </w:p>
    <w:p w14:paraId="5220DB69" w14:textId="77777777" w:rsidR="00F620E5" w:rsidRDefault="00F620E5"/>
    <w:p w14:paraId="518E32B2" w14:textId="77777777" w:rsidR="00F620E5" w:rsidRDefault="00000000">
      <w:r>
        <w:rPr>
          <w:lang w:val="en-US"/>
        </w:rPr>
        <w:t>5.3 Health Financing and Resource Allocation</w:t>
      </w:r>
    </w:p>
    <w:p w14:paraId="573BB18D" w14:textId="77777777" w:rsidR="00F620E5" w:rsidRDefault="00F620E5"/>
    <w:p w14:paraId="281754BA" w14:textId="77777777" w:rsidR="00F620E5" w:rsidRDefault="00000000">
      <w:r>
        <w:rPr>
          <w:lang w:val="en-US"/>
        </w:rPr>
        <w:t>Sustainable health financing is fundamental to pandemic preparedness and health system resilience. Public health emergencies often require rapid mobilization of financial resources to support testing, treatment, workforce expansion, vaccine procurement, and emergency infrastructure development. Emergency funding mechanisms and contingency financing plans enable governments to respond more effectively during crises (De Foo et al., 2023; James et al., 2024).</w:t>
      </w:r>
    </w:p>
    <w:p w14:paraId="221A29A1" w14:textId="77777777" w:rsidR="00F620E5" w:rsidRDefault="00F620E5"/>
    <w:p w14:paraId="60BBD8F5" w14:textId="77777777" w:rsidR="00F620E5" w:rsidRDefault="00000000">
      <w:r>
        <w:rPr>
          <w:lang w:val="en-US"/>
        </w:rPr>
        <w:t>Universal health coverage (UHC) plays an important role in ensuring equitable access to healthcare services during pandemics. Financial protection mechanisms help reduce catastrophic health expenditures, particularly among vulnerable populations and low-income households. The economic impact of pandemics can be severe, affecting employment, healthcare utilization, and national productivity. Consequently, delayed investment in preparedness frequently results in significantly higher healthcare and economic costs during outbreaks (De Foo et al., 2023; James et al., 2024).</w:t>
      </w:r>
    </w:p>
    <w:p w14:paraId="217F162F" w14:textId="77777777" w:rsidR="00F620E5" w:rsidRDefault="00F620E5"/>
    <w:p w14:paraId="2382C11F" w14:textId="77777777" w:rsidR="00F620E5" w:rsidRDefault="00000000">
      <w:r>
        <w:rPr>
          <w:lang w:val="en-US"/>
        </w:rPr>
        <w:t>5.4 Policy and Ethical Considerations</w:t>
      </w:r>
    </w:p>
    <w:p w14:paraId="6A379701" w14:textId="77777777" w:rsidR="00F620E5" w:rsidRDefault="00F620E5"/>
    <w:p w14:paraId="71A8EBE9" w14:textId="77777777" w:rsidR="00F620E5" w:rsidRDefault="00000000">
      <w:r>
        <w:rPr>
          <w:lang w:val="en-US"/>
        </w:rPr>
        <w:t>Pandemics often create difficult ethical and policy dilemmas for healthcare systems and governments. During periods of resource scarcity, decisions regarding the allocation of ICU beds, ventilators, vaccines, and medications may become necessary. Ethical triage frameworks are designed to guide fair and transparent decision-making while maximizing population health outcomes (Basu, 2021; Wilkinson, 2021).</w:t>
      </w:r>
    </w:p>
    <w:p w14:paraId="786F2EB8" w14:textId="77777777" w:rsidR="00F620E5" w:rsidRDefault="00F620E5"/>
    <w:p w14:paraId="5C604A65" w14:textId="77777777" w:rsidR="00F620E5" w:rsidRDefault="00000000">
      <w:r>
        <w:rPr>
          <w:lang w:val="en-US"/>
        </w:rPr>
        <w:t>Balancing public health measures with individual rights and civil liberties is another major challenge during pandemics. Policies such as lockdowns, mandatory isolation, travel restrictions, and digital surveillance may help control disease transmission but can also raise concerns regarding privacy, freedom of movement, and social equity. Developing ethical, transparent, and rights-based policy approaches is therefore essential for maintaining both effective outbreak control and public trust (Orzechowski et al., 2021). Figure 3 presents the governance framework for pandemic response.</w:t>
      </w:r>
    </w:p>
    <w:p w14:paraId="7512E0C6" w14:textId="77777777" w:rsidR="00F620E5" w:rsidRDefault="00F620E5"/>
    <w:p w14:paraId="70461532" w14:textId="77777777" w:rsidR="00F620E5" w:rsidRDefault="00000000">
      <w:r>
        <w:t>Figure 3. Governance Framework for Pandemic Response</w:t>
      </w:r>
    </w:p>
    <w:p w14:paraId="4BA81660" w14:textId="77777777" w:rsidR="00F620E5" w:rsidRDefault="00000000">
      <w:r>
        <w:rPr>
          <w:noProof/>
        </w:rPr>
        <w:drawing>
          <wp:inline distT="0" distB="0" distL="0" distR="0" wp14:anchorId="0A76F6EB" wp14:editId="10EB5E34">
            <wp:extent cx="5943600" cy="3035300"/>
            <wp:effectExtent l="0" t="0" r="0" b="0"/>
            <wp:docPr id="1028"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jpg"/>
                    <pic:cNvPicPr/>
                  </pic:nvPicPr>
                  <pic:blipFill>
                    <a:blip r:embed="rId8" cstate="print"/>
                    <a:srcRect/>
                    <a:stretch/>
                  </pic:blipFill>
                  <pic:spPr>
                    <a:xfrm>
                      <a:off x="0" y="0"/>
                      <a:ext cx="5943600" cy="3035300"/>
                    </a:xfrm>
                    <a:prstGeom prst="rect">
                      <a:avLst/>
                    </a:prstGeom>
                    <a:ln w="9525" cap="flat" cmpd="sng">
                      <a:solidFill>
                        <a:srgbClr val="000000"/>
                      </a:solidFill>
                      <a:prstDash val="solid"/>
                      <a:round/>
                      <a:headEnd type="none" w="med" len="med"/>
                      <a:tailEnd type="none" w="med" len="med"/>
                    </a:ln>
                  </pic:spPr>
                </pic:pic>
              </a:graphicData>
            </a:graphic>
          </wp:inline>
        </w:drawing>
      </w:r>
    </w:p>
    <w:p w14:paraId="0A6F3A6B" w14:textId="77777777" w:rsidR="00F620E5" w:rsidRDefault="00F620E5"/>
    <w:p w14:paraId="6820D0AB" w14:textId="77777777" w:rsidR="00F620E5" w:rsidRDefault="00F620E5"/>
    <w:p w14:paraId="4DF219FF" w14:textId="77777777" w:rsidR="00F620E5" w:rsidRDefault="00F620E5"/>
    <w:p w14:paraId="5BDC185D" w14:textId="77777777" w:rsidR="00F620E5" w:rsidRDefault="00000000">
      <w:r>
        <w:rPr>
          <w:lang w:val="en-US"/>
        </w:rPr>
        <w:t>6. IMPACT OF PANDEMICS ON ESSENTIAL HEALTH SERVICES AND VULNERABLE POPULATIONS</w:t>
      </w:r>
    </w:p>
    <w:p w14:paraId="259F81A0" w14:textId="77777777" w:rsidR="00F620E5" w:rsidRDefault="00F620E5"/>
    <w:p w14:paraId="733CA8CB" w14:textId="77777777" w:rsidR="00F620E5" w:rsidRDefault="00000000">
      <w:r>
        <w:rPr>
          <w:lang w:val="en-US"/>
        </w:rPr>
        <w:t>6.1 Disruption of Essential Health Services</w:t>
      </w:r>
    </w:p>
    <w:p w14:paraId="7924737F" w14:textId="77777777" w:rsidR="00F620E5" w:rsidRDefault="00F620E5"/>
    <w:p w14:paraId="066FC3CE" w14:textId="77777777" w:rsidR="00F620E5" w:rsidRDefault="00000000">
      <w:r>
        <w:rPr>
          <w:lang w:val="en-US"/>
        </w:rPr>
        <w:t xml:space="preserve">Pandemics place enormous pressure on healthcare systems and frequently disrupt the delivery of essential health services. During large-scale outbreaks, healthcare resources are often redirected toward emergency response activities, resulting in reduced access to routine medical care. The COVID-19 pandemic highlighted the vulnerability of health systems worldwide, as many countries experienced interruptions in maternal and child health services, antenatal care, and reproductive </w:t>
      </w:r>
      <w:r>
        <w:rPr>
          <w:lang w:val="en-US"/>
        </w:rPr>
        <w:lastRenderedPageBreak/>
        <w:t>health programs. Delayed access to these services increased the risk of preventable maternal and neonatal morbidity and mortality, particularly in low-resource settings (Kiarie et al., 2022).</w:t>
      </w:r>
    </w:p>
    <w:p w14:paraId="08B76246" w14:textId="77777777" w:rsidR="00F620E5" w:rsidRDefault="00F620E5"/>
    <w:p w14:paraId="7E41BFE3" w14:textId="77777777" w:rsidR="00F620E5" w:rsidRDefault="00000000">
      <w:r>
        <w:rPr>
          <w:lang w:val="en-US"/>
        </w:rPr>
        <w:t>Immunization programs were also significantly affected during the pandemic due to lockdown measures, supply chain disruptions, and reduced healthcare utilization. Interruptions in vaccination campaigns raised concerns about potential outbreaks of vaccine-preventable diseases such as measles and polio (Abbas &amp; Mogasale, 2021). Similarly, chronic disease management for conditions including diabetes, hypertension, cardiovascular disease, and cancer was disrupted as outpatient visits declined and healthcare facilities prioritized emergency care (Fekadu et al., 2021).</w:t>
      </w:r>
    </w:p>
    <w:p w14:paraId="3B6B6AF7" w14:textId="77777777" w:rsidR="00F620E5" w:rsidRDefault="00F620E5"/>
    <w:p w14:paraId="22F3572E" w14:textId="77777777" w:rsidR="00F620E5" w:rsidRDefault="00000000">
      <w:r>
        <w:rPr>
          <w:lang w:val="en-US"/>
        </w:rPr>
        <w:t>Surgical and emergency services also experienced substantial strain. Many elective surgeries were postponed to preserve hospital capacity, while emergency departments faced overcrowding and workforce shortages. These disruptions contributed to delayed diagnoses, worsening disease outcomes, and increased healthcare backlogs that persisted even after the acute phases of the pandemic (McBride et al., 2020).</w:t>
      </w:r>
    </w:p>
    <w:p w14:paraId="6C644431" w14:textId="77777777" w:rsidR="00F620E5" w:rsidRDefault="00F620E5"/>
    <w:p w14:paraId="5D990CC0" w14:textId="77777777" w:rsidR="00F620E5" w:rsidRDefault="00000000">
      <w:r>
        <w:rPr>
          <w:lang w:val="en-US"/>
        </w:rPr>
        <w:t>6.2 Socioeconomic and Health Inequalities</w:t>
      </w:r>
    </w:p>
    <w:p w14:paraId="538B12D1" w14:textId="77777777" w:rsidR="00F620E5" w:rsidRDefault="00F620E5"/>
    <w:p w14:paraId="195DB970" w14:textId="77777777" w:rsidR="00F620E5" w:rsidRDefault="00000000">
      <w:r>
        <w:rPr>
          <w:lang w:val="en-US"/>
        </w:rPr>
        <w:t>Pandemics often amplify existing social and health inequalities. Low-income populations are disproportionately affected due to limited access to healthcare, overcrowded living conditions, informal employment, and reduced financial protection. Individuals in economically disadvantaged communities may face difficulties adhering to public health measures such as physical distancing and quarantine because of unstable income and inadequate housing conditions (Josephson et al., 2021; Shifa et al., 2022).</w:t>
      </w:r>
    </w:p>
    <w:p w14:paraId="3B9FCB8A" w14:textId="77777777" w:rsidR="00F620E5" w:rsidRDefault="00F620E5"/>
    <w:p w14:paraId="7C503C67" w14:textId="77777777" w:rsidR="00F620E5" w:rsidRDefault="00000000">
      <w:r>
        <w:rPr>
          <w:lang w:val="en-US"/>
        </w:rPr>
        <w:t>Urban-rural disparities further influence pandemic outcomes. Rural populations frequently experience reduced access to healthcare infrastructure, laboratory services, specialist care, and emergency transportation systems. In many low- and middle-income countries (LMICs), healthcare workforce shortages and limited digital connectivity further widen these disparities (Josephson et al., 2021; McNeill, 2022; Shifa et al., 2022).</w:t>
      </w:r>
    </w:p>
    <w:p w14:paraId="2D2A425E" w14:textId="77777777" w:rsidR="00F620E5" w:rsidRDefault="00F620E5"/>
    <w:p w14:paraId="4940C8DE" w14:textId="77777777" w:rsidR="00F620E5" w:rsidRDefault="00000000">
      <w:r>
        <w:rPr>
          <w:lang w:val="en-US"/>
        </w:rPr>
        <w:t>Gender-related impacts are also significant during pandemics. Women often experience increased caregiving responsibilities, higher exposure as frontline healthcare workers, and reduced access to reproductive health services. Additionally, reports of domestic violence and gender-based violence increased in several countries during lockdown periods, reflecting the broader social consequences of public health emergencies (Afrin &amp; Shammi, 2023).</w:t>
      </w:r>
    </w:p>
    <w:p w14:paraId="5566D9BE" w14:textId="77777777" w:rsidR="00F620E5" w:rsidRDefault="00F620E5"/>
    <w:p w14:paraId="65BC39D8" w14:textId="77777777" w:rsidR="00F620E5" w:rsidRDefault="00000000">
      <w:r>
        <w:rPr>
          <w:lang w:val="en-US"/>
        </w:rPr>
        <w:t>6.3 Mental Health Consequences</w:t>
      </w:r>
    </w:p>
    <w:p w14:paraId="0103FBEC" w14:textId="77777777" w:rsidR="00F620E5" w:rsidRDefault="00F620E5"/>
    <w:p w14:paraId="10E44828" w14:textId="77777777" w:rsidR="00F620E5" w:rsidRDefault="00000000">
      <w:r>
        <w:rPr>
          <w:lang w:val="en-US"/>
        </w:rPr>
        <w:t>The psychological impact of pandemics represents a major but often underrecognized public health challenge. Widespread uncertainty, fear of infection, social isolation, bereavement, and economic instability contribute to increased rates of anxiety, depression, stress-related disorders, and substance abuse. Healthcare workers are particularly vulnerable to psychological distress due to prolonged workloads, exposure to critically ill patients, moral injury, and fear of transmitting infection to family members (Smallwood &amp; Willis, 2021; Xiong et al., 2020).</w:t>
      </w:r>
    </w:p>
    <w:p w14:paraId="20B0DB95" w14:textId="77777777" w:rsidR="00F620E5" w:rsidRDefault="00F620E5"/>
    <w:p w14:paraId="3BE4B92F" w14:textId="77777777" w:rsidR="00F620E5" w:rsidRDefault="00000000">
      <w:r>
        <w:rPr>
          <w:lang w:val="en-US"/>
        </w:rPr>
        <w:lastRenderedPageBreak/>
        <w:t>Burnout among healthcare professionals became increasingly prevalent during the COVID-19 pandemic, contributing to workforce attrition and reduced healthcare system capacity. The long-term mental health burden of pandemics may persist well beyond the acute crisis period, emphasizing the need for sustained psychological support services and mental health integration within emergency preparedness planning (Anger et al., 2024; Smallwood &amp; Willis, 2021).</w:t>
      </w:r>
    </w:p>
    <w:p w14:paraId="50A11E4C" w14:textId="77777777" w:rsidR="00F620E5" w:rsidRDefault="00F620E5"/>
    <w:p w14:paraId="50142013" w14:textId="77777777" w:rsidR="00F620E5" w:rsidRDefault="00000000">
      <w:r>
        <w:rPr>
          <w:lang w:val="en-US"/>
        </w:rPr>
        <w:t>6.4 Vulnerable and High-Risk Groups</w:t>
      </w:r>
    </w:p>
    <w:p w14:paraId="2F1F6A45" w14:textId="77777777" w:rsidR="00F620E5" w:rsidRDefault="00F620E5"/>
    <w:p w14:paraId="633CAC16" w14:textId="77777777" w:rsidR="00F620E5" w:rsidRDefault="00000000">
      <w:r>
        <w:rPr>
          <w:lang w:val="en-US"/>
        </w:rPr>
        <w:t>Certain populations experience disproportionately severe outcomes during pandemics due to biological, social, and economic vulnerabilities. Elderly individuals face higher risks of severe disease, hospitalization, and mortality because of age-related comorbidities and weakened immune responses. Refugees, migrants, and displaced persons often live in overcrowded settings with limited sanitation, healthcare access, and social protection, increasing their susceptibility to infectious disease outbreaks (Hassan et al., 2020; Wachtler et al., 2020).</w:t>
      </w:r>
    </w:p>
    <w:p w14:paraId="29A2ABB9" w14:textId="77777777" w:rsidR="00F620E5" w:rsidRDefault="00F620E5"/>
    <w:p w14:paraId="60A2A8FA" w14:textId="77777777" w:rsidR="00F620E5" w:rsidRDefault="00000000">
      <w:r>
        <w:rPr>
          <w:lang w:val="en-US"/>
        </w:rPr>
        <w:t>People with disabilities may encounter barriers to healthcare access, communication challenges, and disruptions in essential support services during emergencies. Similarly, individuals with chronic diseases are at increased risk of severe complications and poorer outcomes during pandemics. Protecting vulnerable populations therefore requires targeted interventions, equitable healthcare policies, and inclusive emergency response strategies that address both medical and social determinants of health (Chaudhry et al., 2020; Hassan et al., 2020; Wachtler et al., 2020).</w:t>
      </w:r>
    </w:p>
    <w:p w14:paraId="5B3977AE" w14:textId="77777777" w:rsidR="00F620E5" w:rsidRDefault="00F620E5"/>
    <w:p w14:paraId="46B12786" w14:textId="77777777" w:rsidR="00F620E5" w:rsidRDefault="00F620E5"/>
    <w:p w14:paraId="15462D4D" w14:textId="77777777" w:rsidR="00F620E5" w:rsidRDefault="00000000">
      <w:r>
        <w:rPr>
          <w:lang w:val="en-US"/>
        </w:rPr>
        <w:t>7. RECOVERY AND HEALTH SYSTEM TRANSFORMATION</w:t>
      </w:r>
    </w:p>
    <w:p w14:paraId="4044B2D9" w14:textId="77777777" w:rsidR="00F620E5" w:rsidRDefault="00F620E5"/>
    <w:p w14:paraId="268DFA70" w14:textId="77777777" w:rsidR="00F620E5" w:rsidRDefault="00000000">
      <w:r>
        <w:rPr>
          <w:lang w:val="en-US"/>
        </w:rPr>
        <w:t>7.1 Post-Pandemic Recovery Strategies</w:t>
      </w:r>
    </w:p>
    <w:p w14:paraId="2FCD58BB" w14:textId="77777777" w:rsidR="00F620E5" w:rsidRDefault="00F620E5"/>
    <w:p w14:paraId="73D1C0B1" w14:textId="77777777" w:rsidR="00F620E5" w:rsidRDefault="00000000">
      <w:r>
        <w:rPr>
          <w:lang w:val="en-US"/>
        </w:rPr>
        <w:t>Recovery from a pandemic involves not only the control of disease transmission but also the rebuilding of health services, the economy, and the trust of the public in health services and their institutions. As part of health recovery, all services that were disrupted by the pandemic need to be put back on track. This applies in particular to all the elective surgical procedures, the management of patients with chronic diseases, maternal health programs, immunization programs, and to all forms of preventive care and health services. This would be very important to reduce the morbidity from the pandemic and also prevent a secondary health crisis (Doubova et al., 2024; Nguyen et al., 2025).</w:t>
      </w:r>
    </w:p>
    <w:p w14:paraId="50DA406F" w14:textId="77777777" w:rsidR="00F620E5" w:rsidRDefault="00F620E5"/>
    <w:p w14:paraId="5FE6BF29" w14:textId="77777777" w:rsidR="00F620E5" w:rsidRDefault="00000000">
      <w:r>
        <w:rPr>
          <w:lang w:val="en-US"/>
        </w:rPr>
        <w:t>Rehabilitating the healthcare workforce and retaining them within the system is crucial. Workers from all levels of healthcare were subjected to long periods of high stress, exposure to increased occupational risks and unusual work, which contributed to burnout, psychological stress and exodus from the sector. Strategies in post-pandemic recovery must focus on mental health support, improved work environment, workforce increase and investment in skills development to ensure future preparedness for any health crises (Anger et al., 2024; Lokossou et al., 2022; Mexia et al., 2023).</w:t>
      </w:r>
    </w:p>
    <w:p w14:paraId="324063C2" w14:textId="77777777" w:rsidR="00F620E5" w:rsidRDefault="00F620E5"/>
    <w:p w14:paraId="6B3FD779" w14:textId="77777777" w:rsidR="00F620E5" w:rsidRDefault="00000000">
      <w:r>
        <w:rPr>
          <w:lang w:val="en-US"/>
        </w:rPr>
        <w:t xml:space="preserve">Health system recovery must include efforts to rebuild public confidence in the healthcare system and in public health institutions. By fostering transparent communication with affected communities and by ensuring community involvement in the accountability of the health system, it is possible to regain the trust of the public that was lost as a result of confusion from misinformation, inconsistent policies, and </w:t>
      </w:r>
      <w:r>
        <w:rPr>
          <w:lang w:val="en-US"/>
        </w:rPr>
        <w:lastRenderedPageBreak/>
        <w:t>closure of healthcare delivery services during the pandemic (Ahern &amp; Loh, 2021; Jannah &amp; Sipahutar, 2022; Penka et al., 2024).</w:t>
      </w:r>
    </w:p>
    <w:p w14:paraId="0B3A4089" w14:textId="77777777" w:rsidR="00F620E5" w:rsidRDefault="00F620E5"/>
    <w:p w14:paraId="54CA79BF" w14:textId="77777777" w:rsidR="00F620E5" w:rsidRDefault="00000000">
      <w:r>
        <w:rPr>
          <w:lang w:val="en-US"/>
        </w:rPr>
        <w:t>7.2 Building Back Better</w:t>
      </w:r>
    </w:p>
    <w:p w14:paraId="76AD7424" w14:textId="77777777" w:rsidR="00F620E5" w:rsidRDefault="00F620E5"/>
    <w:p w14:paraId="774D8E86" w14:textId="77777777" w:rsidR="00F620E5" w:rsidRDefault="00000000">
      <w:r>
        <w:rPr>
          <w:lang w:val="en-US"/>
        </w:rPr>
        <w:t>Building back better in the health sector means more than simply returning to the status quo. It requires a transformation to deliver stronger primary healthcare, improved public health infrastructure, and a health system better able to prevent and detect disease and ensure that vital services such as preventive care, maternal health services, immunization delivery and chronic disease management are maintained during health crises. Reinforcing public health structures and facilities including health laboratories, disease surveillance systems, health emergency operations centers and critical care units is also key to making health systems more resilient against future outbreaks (Bajoulvand et al., 2023; Ojo et al., 2025).</w:t>
      </w:r>
    </w:p>
    <w:p w14:paraId="756197D9" w14:textId="77777777" w:rsidR="00F620E5" w:rsidRDefault="00F620E5"/>
    <w:p w14:paraId="3C0B52B3" w14:textId="77777777" w:rsidR="00F620E5" w:rsidRDefault="00000000">
      <w:r>
        <w:rPr>
          <w:lang w:val="en-US"/>
        </w:rPr>
        <w:t>The rapid growth of digital health solutions during the COVID-19 pandemic and subsequent use of telemedicine, electronic health records and digital disease surveillance have brought new opportunities for increasing efficiency of healthcare services by their promptness in providing for the needs of patients during both regular and emergency situations. Strategies for healthcare recovery should be based on the resilience approach and should be integrated into long-term national health policies and plans (Josiah et al., 2026; Kaur &amp; Butt, 2025).</w:t>
      </w:r>
    </w:p>
    <w:p w14:paraId="1970620A" w14:textId="77777777" w:rsidR="00F620E5" w:rsidRDefault="00F620E5"/>
    <w:p w14:paraId="076DD847" w14:textId="77777777" w:rsidR="00F620E5" w:rsidRDefault="00000000">
      <w:r>
        <w:rPr>
          <w:lang w:val="en-US"/>
        </w:rPr>
        <w:t>7.3 Economic Recovery and Sustainability</w:t>
      </w:r>
    </w:p>
    <w:p w14:paraId="1C0EC994" w14:textId="77777777" w:rsidR="00F620E5" w:rsidRDefault="00F620E5"/>
    <w:p w14:paraId="7E57E590" w14:textId="77777777" w:rsidR="00F620E5" w:rsidRDefault="00000000">
      <w:r>
        <w:rPr>
          <w:lang w:val="en-US"/>
        </w:rPr>
        <w:t>The significant economic consequences of a pandemic usually affect healthcare financing systems, staff employment and productivity. Sustainable health recovery will also require strategies that improve healthcare financing, resource allocation, boost domestic production of vaccines, medicines and medical equipment to reduce reliance on global supply-chains that are susceptible to disruption during pandemics (Fernandes et al., 2022; Gadsden et al., 2022).</w:t>
      </w:r>
    </w:p>
    <w:p w14:paraId="0D0ECB5D" w14:textId="77777777" w:rsidR="00F620E5" w:rsidRDefault="00F620E5"/>
    <w:p w14:paraId="0B9C609E" w14:textId="77777777" w:rsidR="00F620E5" w:rsidRDefault="00000000">
      <w:r>
        <w:rPr>
          <w:lang w:val="en-US"/>
        </w:rPr>
        <w:t>Long-term preparedness for dealing with public health emergencies is far more cost-effective than the cost of a crisis with large health and economic impacts for which a country is not prepared. Therefore, sustained funding for improving public health surveillance and detection, for developing and maintaining a skilled public health workforce, for building public health laboratory capacity, and for stockpiling medications and supplies is critical (Czerniewska et al., 2024; Hasan et al., 2023).</w:t>
      </w:r>
    </w:p>
    <w:p w14:paraId="093338DC" w14:textId="77777777" w:rsidR="00F620E5" w:rsidRDefault="00F620E5"/>
    <w:p w14:paraId="0D1910E3" w14:textId="77777777" w:rsidR="00F620E5" w:rsidRDefault="00000000">
      <w:r>
        <w:rPr>
          <w:lang w:val="en-US"/>
        </w:rPr>
        <w:t>7.4 Lessons Learned from COVID-19</w:t>
      </w:r>
    </w:p>
    <w:p w14:paraId="15A99A73" w14:textId="77777777" w:rsidR="00F620E5" w:rsidRDefault="00F620E5"/>
    <w:p w14:paraId="2696FA48" w14:textId="77777777" w:rsidR="00F620E5" w:rsidRDefault="00000000">
      <w:r>
        <w:rPr>
          <w:lang w:val="en-US"/>
        </w:rPr>
        <w:t>The COVID-19 pandemic provided many important lessons for future health security. Above all, it has highlighted the importance of preparedness over reaction. Countries with well prepared health systems performed better than those that were not. The global community has also seen the importance of solidarity, international collaboration and equitable access to healthcare resources including vaccines and diagnostic tests (Haldane et al., 2021; Jit et al., 2021; Liu et al., 2020; Short et al., 2018; Wilkinson, 2021).</w:t>
      </w:r>
    </w:p>
    <w:p w14:paraId="090C6118" w14:textId="77777777" w:rsidR="00F620E5" w:rsidRDefault="00F620E5"/>
    <w:p w14:paraId="3AF58D64" w14:textId="77777777" w:rsidR="00F620E5" w:rsidRDefault="00000000">
      <w:r>
        <w:rPr>
          <w:lang w:val="en-US"/>
        </w:rPr>
        <w:t xml:space="preserve">One particularly relevant lesson from the pandemic was the importance of timely epidemiology data sharing and information transparency. This informed disease control measures and provided guidance </w:t>
      </w:r>
      <w:r>
        <w:rPr>
          <w:lang w:val="en-US"/>
        </w:rPr>
        <w:lastRenderedPageBreak/>
        <w:t>for health interventions as well as helped in maintaining public trust. The lessons learned during the pandemic helped form the basis of health systems recovery which will help strengthen resilient and equitable health systems to improve preparedness and response to future health emergencies (Ahern &amp; Loh, 2021; Jannah &amp; Sipahutar, 2022; Jit et al., 2021). Figure 4 shows the pathway from pandemic shock to recovery and transformation.</w:t>
      </w:r>
    </w:p>
    <w:p w14:paraId="793E0D97" w14:textId="77777777" w:rsidR="00F620E5" w:rsidRDefault="00F620E5"/>
    <w:p w14:paraId="5C9C5902" w14:textId="77777777" w:rsidR="00F620E5" w:rsidRDefault="00000000">
      <w:r>
        <w:t>Figure 4. Pathway from Pandemic Shock to Health System Recovery</w:t>
      </w:r>
    </w:p>
    <w:p w14:paraId="750F8501" w14:textId="77777777" w:rsidR="00F620E5" w:rsidRDefault="00000000">
      <w:r>
        <w:rPr>
          <w:noProof/>
        </w:rPr>
        <w:drawing>
          <wp:inline distT="0" distB="0" distL="0" distR="0" wp14:anchorId="3089B9A6" wp14:editId="2EA3D718">
            <wp:extent cx="5943600" cy="6515100"/>
            <wp:effectExtent l="0" t="0" r="0" b="0"/>
            <wp:docPr id="1029"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9" cstate="print"/>
                    <a:srcRect/>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14:paraId="6F6E6B0D" w14:textId="77777777" w:rsidR="00F620E5" w:rsidRDefault="00F620E5"/>
    <w:p w14:paraId="7A0DBCF1" w14:textId="77777777" w:rsidR="00F620E5" w:rsidRDefault="00F620E5"/>
    <w:p w14:paraId="7C16670D" w14:textId="77777777" w:rsidR="00F620E5" w:rsidRDefault="00000000">
      <w:r>
        <w:rPr>
          <w:lang w:val="en-US"/>
        </w:rPr>
        <w:lastRenderedPageBreak/>
        <w:t>8. FUTURE DIRECTIONS AND RECOMMENDATIONS</w:t>
      </w:r>
    </w:p>
    <w:p w14:paraId="027C6785" w14:textId="77777777" w:rsidR="00F620E5" w:rsidRDefault="00F620E5"/>
    <w:p w14:paraId="799C0E4A" w14:textId="77777777" w:rsidR="00F620E5" w:rsidRDefault="00000000">
      <w:r>
        <w:rPr>
          <w:lang w:val="en-US"/>
        </w:rPr>
        <w:t>8.1 Strengthening Global Health Security</w:t>
      </w:r>
    </w:p>
    <w:p w14:paraId="72DD16D5" w14:textId="77777777" w:rsidR="00F620E5" w:rsidRDefault="00F620E5"/>
    <w:p w14:paraId="26C1D427" w14:textId="77777777" w:rsidR="00F620E5" w:rsidRDefault="00000000">
      <w:r>
        <w:rPr>
          <w:lang w:val="en-US"/>
        </w:rPr>
        <w:t>Infectious disease outbreaks can spread across borders rapidly. It is therefore crucial that countries and health systems around the world are better prepared to mitigate future pandemics and are able to join forces in the event of an outbreak. Pandemic preparedness and the global health security of all peoples can only be protected through better partnerships between governments, health and research institutions, as well as between private and public sectors, and through the improved sharing of information and resources at all levels (Fanning et al., 2021; Jit et al., 2021).</w:t>
      </w:r>
    </w:p>
    <w:p w14:paraId="74F4AFDC" w14:textId="77777777" w:rsidR="00F620E5" w:rsidRDefault="00F620E5"/>
    <w:p w14:paraId="6A0B8700" w14:textId="77777777" w:rsidR="00F620E5" w:rsidRDefault="00000000">
      <w:r>
        <w:rPr>
          <w:lang w:val="en-US"/>
        </w:rPr>
        <w:t>The development of shared surveillance systems is particularly important for the early detection and monitoring of outbreaks as well as the rapid exchange of information. An integrated global surveillance system for infectious diseases that consists of epidemiological surveillance, genomic surveillance, and digital reporting using various health information platforms can identify emerging diseases and their variants early and promptly. The World Health Organization (WHO) plays a central role in coordinating global surveillance of diseases and supporting countries in dealing with health crises (Fanning et al., 2021; Hasan et al., 2025; Jit et al., 2021; Tajudin et al., 2025).</w:t>
      </w:r>
    </w:p>
    <w:p w14:paraId="57470369" w14:textId="77777777" w:rsidR="00F620E5" w:rsidRDefault="00F620E5"/>
    <w:p w14:paraId="5A5AA903" w14:textId="77777777" w:rsidR="00F620E5" w:rsidRDefault="00000000">
      <w:r>
        <w:rPr>
          <w:lang w:val="en-US"/>
        </w:rPr>
        <w:t>Similarly, a coordinated global distribution of vaccines is required to counter the inequalities that currently affect low- and middle-income countries (LMICs) made more evident by the COVID-19 pandemic. Furthermore, vaccines should be distributed to all populations at risk of serious illness, regardless of the income of their country (Boey et al., 2025).</w:t>
      </w:r>
    </w:p>
    <w:p w14:paraId="6312B812" w14:textId="77777777" w:rsidR="00F620E5" w:rsidRDefault="00F620E5"/>
    <w:p w14:paraId="602C7E87" w14:textId="77777777" w:rsidR="00F620E5" w:rsidRDefault="00000000">
      <w:r>
        <w:rPr>
          <w:lang w:val="en-US"/>
        </w:rPr>
        <w:t>8.2 Advancing Research and Innovation</w:t>
      </w:r>
    </w:p>
    <w:p w14:paraId="25FEE1C7" w14:textId="77777777" w:rsidR="00F620E5" w:rsidRDefault="00F620E5"/>
    <w:p w14:paraId="3E2855E0" w14:textId="77777777" w:rsidR="00F620E5" w:rsidRDefault="00000000">
      <w:r>
        <w:rPr>
          <w:lang w:val="en-US"/>
        </w:rPr>
        <w:t>Innovative technologies and scientific research remain an important tool for facing pandemics. The rapid development of vaccines using new platforms, such as mRNA or vector-based vaccines, was an important lesson from the COVID-19 pandemic, and continued investment in such flexible technologies will be important to prepare for future pandemics (Prieto et al., 2023).</w:t>
      </w:r>
    </w:p>
    <w:p w14:paraId="2C735043" w14:textId="77777777" w:rsidR="00F620E5" w:rsidRDefault="00F620E5"/>
    <w:p w14:paraId="5EDAE4AB" w14:textId="77777777" w:rsidR="00F620E5" w:rsidRDefault="00000000">
      <w:r>
        <w:rPr>
          <w:lang w:val="en-US"/>
        </w:rPr>
        <w:t>Predictive modeling and data analytics tools can also forecast how disease may spread, estimate healthcare needs and inform public health measures on how to contain an outbreak. By leveraging large amounts of data from a variety of sources, including clinical and epidemiological information, AI systems can support outbreak detection and surveillance, contact tracing, resource allocation and early warning systems (Kaur &amp; Butt, 2025).</w:t>
      </w:r>
    </w:p>
    <w:p w14:paraId="0E835528" w14:textId="77777777" w:rsidR="00F620E5" w:rsidRDefault="00F620E5"/>
    <w:p w14:paraId="5F669B9F" w14:textId="77777777" w:rsidR="00F620E5" w:rsidRDefault="00000000">
      <w:r>
        <w:rPr>
          <w:lang w:val="en-US"/>
        </w:rPr>
        <w:t>8.3 Investing in Resilient Primary Healthcare</w:t>
      </w:r>
    </w:p>
    <w:p w14:paraId="7E6D1686" w14:textId="77777777" w:rsidR="00F620E5" w:rsidRDefault="00F620E5"/>
    <w:p w14:paraId="3A0604DF" w14:textId="77777777" w:rsidR="00F620E5" w:rsidRDefault="00000000">
      <w:r>
        <w:rPr>
          <w:lang w:val="en-US"/>
        </w:rPr>
        <w:t>A strong primary healthcare system is crucial for making a health system resilient and for dealing with a pandemic. A community-based primary healthcare system increases access to and improves quality of essential healthcare services for the population. It also enables the early detection and treatment of disease as well as outreach to populations that require public health interventions. Decentralization of health systems increases flexibility of health systems during an outbreak allowing local health facilities to manage outbreaks more efficiently (Bajoulvand et al., 2023; Barker et al., 2020).</w:t>
      </w:r>
    </w:p>
    <w:p w14:paraId="13F5B1F6" w14:textId="77777777" w:rsidR="00F620E5" w:rsidRDefault="00F620E5"/>
    <w:p w14:paraId="53B8E0C4" w14:textId="77777777" w:rsidR="00F620E5" w:rsidRDefault="00000000">
      <w:r>
        <w:rPr>
          <w:lang w:val="en-US"/>
        </w:rPr>
        <w:lastRenderedPageBreak/>
        <w:t>Preventive healthcare should be a priority when designing future strategies for health system preparedness. In addition to investing in vaccine development, implementation, distribution, health education, improved sanitation, healthy nutrition and disease prevention, it is essential to ensure that all individuals have access to quality primary healthcare in order to strengthen health systems and to reduce the impact of future pandemics by decreasing the number of susceptible individuals (Bajoulvand et al., 2023; Boey et al., 2025).</w:t>
      </w:r>
    </w:p>
    <w:p w14:paraId="76939418" w14:textId="77777777" w:rsidR="00F620E5" w:rsidRDefault="00F620E5"/>
    <w:p w14:paraId="16A55535" w14:textId="77777777" w:rsidR="00F620E5" w:rsidRDefault="00000000">
      <w:r>
        <w:t xml:space="preserve">9. CONCLUSION </w:t>
      </w:r>
    </w:p>
    <w:p w14:paraId="5FC288BA" w14:textId="77777777" w:rsidR="00F620E5" w:rsidRDefault="00F620E5"/>
    <w:p w14:paraId="4504236F" w14:textId="77777777" w:rsidR="00F620E5" w:rsidRDefault="00000000">
      <w:r>
        <w:t>Pandemics are a persistent global health threat with the capacity to overwhelm health systems, interfere with essential services and to exacerbate existing social and economic inequalities. By learning from past pandemics including the COVID-19 health crisis, countries can be better prepared to face such health crises if they have a good disease surveillance system in place, a strong health system, an adaptable governance system, health financing that is sustainable, and a protected workforce. International cooperation, accurate information sharing, community involvement and equitable distribution of health resources are important in containing the spread of the disease. Health systems must not only deal with a health crisis but also recover and return to providing essential health services for the vulnerable populations. Investment in primary health care, digital health technologies, local manufacturing of health products and emergency preparedness are key to future health security. Strong pandemic preparedness and resilience require sustained political commitment, global solidarity and an equity-oriented proactive approach to protect the world’s population in the face of a health crisis.</w:t>
      </w:r>
    </w:p>
    <w:p w14:paraId="4AD02753" w14:textId="77777777" w:rsidR="00F620E5" w:rsidRDefault="00F620E5"/>
    <w:p w14:paraId="2E81785D" w14:textId="77777777" w:rsidR="00F620E5" w:rsidRDefault="00F620E5"/>
    <w:p w14:paraId="37F36020" w14:textId="77777777" w:rsidR="00F620E5" w:rsidRDefault="00000000">
      <w:pPr>
        <w:pStyle w:val="NoSpacing"/>
        <w:rPr>
          <w:rFonts w:ascii="Arial" w:hAnsi="Arial" w:cs="Arial"/>
          <w:highlight w:val="yellow"/>
        </w:rPr>
      </w:pPr>
      <w:bookmarkStart w:id="0" w:name="_Hlk221624953"/>
      <w:r>
        <w:rPr>
          <w:rFonts w:ascii="Arial" w:hAnsi="Arial" w:cs="Arial"/>
          <w:highlight w:val="yellow"/>
        </w:rPr>
        <w:t>Disclaimer (Artificial intelligence)</w:t>
      </w:r>
    </w:p>
    <w:p w14:paraId="0EBB8B63" w14:textId="77777777" w:rsidR="00F620E5" w:rsidRDefault="00F620E5">
      <w:pPr>
        <w:pStyle w:val="NoSpacing"/>
        <w:rPr>
          <w:rFonts w:ascii="Arial" w:hAnsi="Arial" w:cs="Arial"/>
          <w:highlight w:val="yellow"/>
        </w:rPr>
      </w:pPr>
    </w:p>
    <w:p w14:paraId="4BDF0DAF" w14:textId="77777777" w:rsidR="00F620E5" w:rsidRDefault="00000000">
      <w:pPr>
        <w:pStyle w:val="NoSpacing"/>
        <w:rPr>
          <w:rFonts w:ascii="Arial" w:hAnsi="Arial" w:cs="Arial"/>
          <w:highlight w:val="yellow"/>
        </w:rPr>
      </w:pPr>
      <w:r>
        <w:rPr>
          <w:rFonts w:ascii="Arial" w:hAnsi="Arial" w:cs="Arial"/>
          <w:highlight w:val="yellow"/>
        </w:rPr>
        <w:t xml:space="preserve">Author(s) hereby </w:t>
      </w:r>
      <w:proofErr w:type="gramStart"/>
      <w:r>
        <w:rPr>
          <w:rFonts w:ascii="Arial" w:hAnsi="Arial" w:cs="Arial"/>
          <w:highlight w:val="yellow"/>
        </w:rPr>
        <w:t>declare</w:t>
      </w:r>
      <w:proofErr w:type="gramEnd"/>
      <w:r>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471CDFAB" w14:textId="77777777" w:rsidR="00F620E5" w:rsidRDefault="00F620E5"/>
    <w:p w14:paraId="39BD8EF2" w14:textId="77777777" w:rsidR="00F620E5" w:rsidRDefault="00F620E5"/>
    <w:p w14:paraId="38219C00" w14:textId="77777777" w:rsidR="00F620E5" w:rsidRDefault="00F620E5"/>
    <w:p w14:paraId="7C6A8DC7" w14:textId="77777777" w:rsidR="00F620E5" w:rsidRDefault="00000000">
      <w:r>
        <w:t xml:space="preserve">REFERENCE </w:t>
      </w:r>
    </w:p>
    <w:p w14:paraId="1ECE0D12" w14:textId="77777777" w:rsidR="00F620E5" w:rsidRDefault="00F620E5"/>
    <w:p w14:paraId="61D83617" w14:textId="77777777" w:rsidR="00F620E5" w:rsidRDefault="00000000">
      <w:r>
        <w:rPr>
          <w:lang w:val="en-US"/>
        </w:rPr>
        <w:t>Abbas, K., &amp; Mogasale, V. (2021). Disruptions to childhood immunisation due to the COVID-19 pandemic. The Lancet, 398(10299), 469–471. https://doi.org/10.1016/S0140-6736(21)01418-5</w:t>
      </w:r>
    </w:p>
    <w:p w14:paraId="3EA0064B" w14:textId="77777777" w:rsidR="00F620E5" w:rsidRDefault="00F620E5"/>
    <w:p w14:paraId="1C1E4157" w14:textId="77777777" w:rsidR="00F620E5" w:rsidRDefault="00000000">
      <w:r>
        <w:rPr>
          <w:lang w:val="en-US"/>
        </w:rPr>
        <w:t>Ab Samah, N. (2018). Resilient health infrastructure: Strengthening hospitals' capacity to respond effectively during disasters and crises. Procedia Engineering, 212, 262–269. https://doi.org/10.1016/j.proeng.2018.01.034</w:t>
      </w:r>
    </w:p>
    <w:p w14:paraId="4FBD7521" w14:textId="77777777" w:rsidR="00F620E5" w:rsidRDefault="00F620E5"/>
    <w:p w14:paraId="32435A9E" w14:textId="77777777" w:rsidR="00F620E5" w:rsidRDefault="00000000">
      <w:r>
        <w:rPr>
          <w:lang w:val="en-US"/>
        </w:rPr>
        <w:t>Afrin, S., &amp; Shammi, M. (2023). A review on the gendered impact of COVID-19 pandemic towards achieving sustainable development goals in Bangladesh: Ecofeminist perspectives on the response to COVID-19 pandemic. Heliyon, 9(3), e14680. https://doi.org/10.1016/j.heliyon.2023.e14680</w:t>
      </w:r>
    </w:p>
    <w:p w14:paraId="5CF81AE4" w14:textId="77777777" w:rsidR="00F620E5" w:rsidRDefault="00F620E5"/>
    <w:p w14:paraId="352C7F36" w14:textId="77777777" w:rsidR="00F620E5" w:rsidRDefault="00000000">
      <w:r>
        <w:rPr>
          <w:lang w:val="en-US"/>
        </w:rPr>
        <w:t>Ahern, S., &amp; Loh, E. (2021). Leadership during the COVID-19 pandemic: Building and sustaining trust in times of uncertainty. BMJ Leader, 5(4), 266–269. https://doi.org/10.1136/leader-2020-000382</w:t>
      </w:r>
    </w:p>
    <w:p w14:paraId="0719010E" w14:textId="77777777" w:rsidR="00F620E5" w:rsidRDefault="00F620E5"/>
    <w:p w14:paraId="654A1FAB" w14:textId="77777777" w:rsidR="00F620E5" w:rsidRDefault="00000000">
      <w:r>
        <w:rPr>
          <w:lang w:val="en-US"/>
        </w:rPr>
        <w:t>Ali, H. M., Ranse, J., Roiko, A., &amp; Desha, C. (2024). Developing a healthcare transformational leadership competency framework for disaster resilience and risk management. International Journal of Disaster Risk Reduction, 113, 104898. https://doi.org/10.1016/j.ijdrr.2024.104898</w:t>
      </w:r>
    </w:p>
    <w:p w14:paraId="67ADDC0E" w14:textId="77777777" w:rsidR="00F620E5" w:rsidRDefault="00F620E5"/>
    <w:p w14:paraId="13DFE55F" w14:textId="77777777" w:rsidR="00F620E5" w:rsidRDefault="00000000">
      <w:r>
        <w:rPr>
          <w:lang w:val="en-US"/>
        </w:rPr>
        <w:t>Anderson, J. E., Ross, A. J., Macrae, C., &amp; Wiig, S. (2020). Defining adaptive capacity in healthcare: A new framework for researching resilient performance. Applied Ergonomics, 87, 103111. https://doi.org/10.1016/j.apergo.2020.103111</w:t>
      </w:r>
    </w:p>
    <w:p w14:paraId="0F6F30A7" w14:textId="77777777" w:rsidR="00F620E5" w:rsidRDefault="00F620E5"/>
    <w:p w14:paraId="37AA208E" w14:textId="77777777" w:rsidR="00F620E5" w:rsidRDefault="00000000">
      <w:r>
        <w:rPr>
          <w:lang w:val="en-US"/>
        </w:rPr>
        <w:t>Anger, W. K., Dimoff, J. K., &amp; Alley, L. (2024). Addressing health care workers' mental health: A systematic review of evidence-based interventions and current resources. American Journal of Public Health, 114(S2), S213–S226. https://doi.org/10.2105/AJPH.2023.307553</w:t>
      </w:r>
    </w:p>
    <w:p w14:paraId="14AFAFAC" w14:textId="77777777" w:rsidR="00F620E5" w:rsidRDefault="00F620E5"/>
    <w:p w14:paraId="32F302EC" w14:textId="77777777" w:rsidR="00F620E5" w:rsidRDefault="00000000">
      <w:r>
        <w:rPr>
          <w:lang w:val="en-US"/>
        </w:rPr>
        <w:t>Asamoah, K., &amp; Bigodza, E. K. (2025). Servant leadership in crisis management: Leadership response in the management of Covid-19 pandemic in Ghana. Social Sciences &amp; Humanities Open, 12, 101763. https://doi.org/10.1016/j.ssaho.2025.101763</w:t>
      </w:r>
    </w:p>
    <w:p w14:paraId="2FC3DC5F" w14:textId="77777777" w:rsidR="00F620E5" w:rsidRDefault="00F620E5"/>
    <w:p w14:paraId="07E9EAAD" w14:textId="77777777" w:rsidR="00F620E5" w:rsidRDefault="00000000">
      <w:r>
        <w:rPr>
          <w:lang w:val="en-US"/>
        </w:rPr>
        <w:t>Bajoulvand, R., Ramezanlou, M., Derakhshani, N., Goharinezhad, S., Gholami, M., Toranjizadeh, F., &amp; Saniee, N. (2023). Strengthening primary health care for effective response to pandemics: A systematic review. Eastern Mediterranean Health Journal, 29(7), 530–539. https://doi.org/10.26719/emhj.23.080</w:t>
      </w:r>
    </w:p>
    <w:p w14:paraId="33DCB13C" w14:textId="77777777" w:rsidR="00F620E5" w:rsidRDefault="00F620E5"/>
    <w:p w14:paraId="34882217" w14:textId="77777777" w:rsidR="00F620E5" w:rsidRDefault="00000000">
      <w:r>
        <w:rPr>
          <w:lang w:val="en-US"/>
        </w:rPr>
        <w:t>Barata, R. B. (2022). Epidemiological surveillance: A brief history and the experiences of the United States and the state of São Paulo. Epidemiologia e Serviços de Saúde, 31(2), e2021115. https://doi.org/10.1590/S2237-962220220002000028</w:t>
      </w:r>
    </w:p>
    <w:p w14:paraId="65909748" w14:textId="77777777" w:rsidR="00F620E5" w:rsidRDefault="00F620E5"/>
    <w:p w14:paraId="77089792" w14:textId="77777777" w:rsidR="00F620E5" w:rsidRDefault="00000000">
      <w:r>
        <w:rPr>
          <w:lang w:val="en-US"/>
        </w:rPr>
        <w:t>Barker, K. M., Ling, E. J., Fallah, M., VanDeBogert, B., Kodl, Y., Macauley, R. J., Viswanath, K., &amp; Kruk, M. E. (2020). Community engagement for health system resilience: Evidence from Liberia's Ebola epidemic. Health Policy and Planning, 35(4), 416–423. https://doi.org/10.1093/heapol/czz174</w:t>
      </w:r>
    </w:p>
    <w:p w14:paraId="1FABA3E4" w14:textId="77777777" w:rsidR="00F620E5" w:rsidRDefault="00F620E5"/>
    <w:p w14:paraId="16BB3261" w14:textId="77777777" w:rsidR="00F620E5" w:rsidRDefault="00000000">
      <w:r>
        <w:rPr>
          <w:lang w:val="en-US"/>
        </w:rPr>
        <w:t>Basu, S. (2021). Approaches to critical care resource allocation and triage during the COVID-19 pandemic: An examination from a developing world perspective. Journal of Medical Ethics and History of Medicine, 14, 5. https://doi.org/10.18502/jmehm.v14i5.6385</w:t>
      </w:r>
    </w:p>
    <w:p w14:paraId="268870D5" w14:textId="77777777" w:rsidR="00F620E5" w:rsidRDefault="00F620E5"/>
    <w:p w14:paraId="5B5D5AB1" w14:textId="77777777" w:rsidR="00F620E5" w:rsidRDefault="00000000">
      <w:r>
        <w:rPr>
          <w:lang w:val="en-US"/>
        </w:rPr>
        <w:t>Boey, L., Baharmand, H., Phillips, R. O., et al. (2025). Developing an intuitive decision support system for equitable vaccine distribution during pandemics. Scientific Reports, 15, 16339. https://doi.org/10.1038/s41598-025-01640-9</w:t>
      </w:r>
    </w:p>
    <w:p w14:paraId="276D24CC" w14:textId="77777777" w:rsidR="00F620E5" w:rsidRDefault="00F620E5"/>
    <w:p w14:paraId="2129808D" w14:textId="77777777" w:rsidR="00F620E5" w:rsidRDefault="00000000">
      <w:r>
        <w:rPr>
          <w:lang w:val="en-US"/>
        </w:rPr>
        <w:t>Chaudhry, R., Dranitsaris, G., Mubashir, T., Bartoszko, J., &amp; Riazi, S. (2020). A country level analysis measuring the impact of government actions, country preparedness and socioeconomic factors on COVID-19 mortality and related health outcomes. EClinicalMedicine, 25, 100464. https://doi.org/10.1016/j.eclinm.2020.100464</w:t>
      </w:r>
    </w:p>
    <w:p w14:paraId="50355DEA" w14:textId="77777777" w:rsidR="00F620E5" w:rsidRDefault="00F620E5"/>
    <w:p w14:paraId="2A60B8CB" w14:textId="77777777" w:rsidR="00F620E5" w:rsidRDefault="00000000">
      <w:r>
        <w:rPr>
          <w:lang w:val="en-US"/>
        </w:rPr>
        <w:t>Cherry, J. D., &amp; Krogstad, P. (2004). SARS: The first pandemic of the 21st century. Pediatric Research, 56(1), 1–5. https://doi.org/10.1203/01.PDR.0000129184.87042.FC</w:t>
      </w:r>
    </w:p>
    <w:p w14:paraId="5B9E14F8" w14:textId="77777777" w:rsidR="00F620E5" w:rsidRDefault="00F620E5"/>
    <w:p w14:paraId="5A974409" w14:textId="77777777" w:rsidR="00F620E5" w:rsidRDefault="00000000">
      <w:r>
        <w:rPr>
          <w:lang w:val="en-US"/>
        </w:rPr>
        <w:lastRenderedPageBreak/>
        <w:t>Chudasama, D. Y., Lamagni, T., Brown, C., &amp; Hope, R. (2025). Electronic health records and their role in the surveillance of infectious disease. Mayo Clinic Proceedings: Digital Health, 4(1), 100307. https://doi.org/10.1016/j.mcpdig.2025.100307</w:t>
      </w:r>
    </w:p>
    <w:p w14:paraId="7819F438" w14:textId="77777777" w:rsidR="00F620E5" w:rsidRDefault="00F620E5"/>
    <w:p w14:paraId="16BAF837" w14:textId="77777777" w:rsidR="00F620E5" w:rsidRDefault="00000000">
      <w:r>
        <w:rPr>
          <w:lang w:val="en-US"/>
        </w:rPr>
        <w:t>Coleman, J. R., Abdelsattar, J. M., Dent, D., &amp; Turner, P. L. (2022). Implications of lack of available personal protective equipment on surgical trainees: Lessons learned from the COVID-19 pandemic. The American Journal of Surgery, 224(6), 1492–1493. https://doi.org/10.1016/j.amjsurg.2022.08.014</w:t>
      </w:r>
    </w:p>
    <w:p w14:paraId="1DD110CD" w14:textId="77777777" w:rsidR="00F620E5" w:rsidRDefault="00F620E5"/>
    <w:p w14:paraId="787E5280" w14:textId="77777777" w:rsidR="00F620E5" w:rsidRDefault="00000000">
      <w:r>
        <w:rPr>
          <w:lang w:val="en-US"/>
        </w:rPr>
        <w:t>Czerniewska, A., Sharkey, A., Portela, A., Drapkin, S., &amp; Mustafa, S. (2024). National COVID-19 preparedness and response plans: A global review from the perspective of services for maternal, newborn, child and adolescent health and older people. BMJ Global Health, 9, e013711. https://doi.org/10.1136/bmjgh-2023-013711</w:t>
      </w:r>
    </w:p>
    <w:p w14:paraId="212FE406" w14:textId="77777777" w:rsidR="00F620E5" w:rsidRDefault="00F620E5"/>
    <w:p w14:paraId="454B86D5" w14:textId="77777777" w:rsidR="00F620E5" w:rsidRDefault="00000000">
      <w:r>
        <w:rPr>
          <w:lang w:val="en-US"/>
        </w:rPr>
        <w:t>De Foo, C., Verma, M., Tan, S. Y., Hamer, J., van der Mark, N., Pholpark, A., Hanvoravongchai, P., Cheh, P. L. J., Marthias, T., Mahendradhata, Y., Putri, L. P., Hafidz, F., Giang, K. B., Khuc, T. H. H., Van Minh, H., Wu, S., Caamal-Olvera, C. G., Orive, G., Wang, H., … Legido-Quigley, H. (2023). Health financing policies during the COVID-19 pandemic and implications for universal health care: A case study of 15 countries. The Lancet Global Health, 11(12), e1964–e1977. https://doi.org/10.1016/S2214-109X(23)00429-1</w:t>
      </w:r>
    </w:p>
    <w:p w14:paraId="7D806C3F" w14:textId="77777777" w:rsidR="00F620E5" w:rsidRDefault="00F620E5"/>
    <w:p w14:paraId="42C5A90B" w14:textId="77777777" w:rsidR="00F620E5" w:rsidRDefault="00000000">
      <w:r>
        <w:rPr>
          <w:lang w:val="en-US"/>
        </w:rPr>
        <w:t>Doubova, S. V., Contreras-Sánchez, S. E., Ascencio-Montiel, I. J., Pérez-Cuevas, R., Flores-Hernández, S., Morales-Carmona, E., et al. (2024). Strengthening essential health services recovery policy after the COVID-19 pandemic: Evidence from the Mexican Institute of Social Security. Archives of Medical Research, 55(4), 103011. https://doi.org/10.1016/j.arcmed.2024.103011</w:t>
      </w:r>
    </w:p>
    <w:p w14:paraId="33F2E416" w14:textId="77777777" w:rsidR="00F620E5" w:rsidRDefault="00F620E5"/>
    <w:p w14:paraId="0824F8B6" w14:textId="77777777" w:rsidR="00F620E5" w:rsidRDefault="00000000">
      <w:r>
        <w:rPr>
          <w:lang w:val="en-US"/>
        </w:rPr>
        <w:t>Fall, I. S. (2019). Ebola virus disease outbreak in Liberia: Application of lessons learnt to disease surveillance and control. Pan African Medical Journal, 33(Suppl 2), 1. https://doi.org/10.11604/pamj.supp.2019.33.2.19074</w:t>
      </w:r>
    </w:p>
    <w:p w14:paraId="0D6613FE" w14:textId="77777777" w:rsidR="00F620E5" w:rsidRDefault="00F620E5"/>
    <w:p w14:paraId="2019C1C1" w14:textId="77777777" w:rsidR="00F620E5" w:rsidRDefault="00000000">
      <w:r>
        <w:rPr>
          <w:lang w:val="en-US"/>
        </w:rPr>
        <w:t>Fanning, J. P., Murthy, S., Obonyo, N. G., Baillie, J. K., Webb, S., Dalton, H. J., &amp; Fraser, J. F. (2021). Global infectious disease research collaborations in crises: Building capacity and inclusivity through cooperation. Globalization and Health, 17(1), 84. https://doi.org/10.1186/s12992-021-00731-2</w:t>
      </w:r>
    </w:p>
    <w:p w14:paraId="172AD1B9" w14:textId="77777777" w:rsidR="00F620E5" w:rsidRDefault="00F620E5"/>
    <w:p w14:paraId="60BC5A0E" w14:textId="77777777" w:rsidR="00F620E5" w:rsidRDefault="00000000">
      <w:r>
        <w:rPr>
          <w:lang w:val="en-US"/>
        </w:rPr>
        <w:t>Fekadu, G., Bekele, F., Tolossa, T., Fetensa, G., Turi, E., Getachew, M., Abdisa, E., Assefa, L., Afeta, M., Demisew, W., Dugassa, D., Diriba, D. C., &amp; Labata, B. G. (2021). Impact of COVID-19 pandemic on chronic diseases care follow-up and current perspectives in low resource settings: A narrative review. International Journal of Physiology, Pathophysiology and Pharmacology, 13(3), 86–93.</w:t>
      </w:r>
    </w:p>
    <w:p w14:paraId="34D7BF9A" w14:textId="77777777" w:rsidR="00F620E5" w:rsidRDefault="00F620E5"/>
    <w:p w14:paraId="53DE3BBB" w14:textId="77777777" w:rsidR="00F620E5" w:rsidRDefault="00000000">
      <w:r>
        <w:rPr>
          <w:lang w:val="en-US"/>
        </w:rPr>
        <w:t>Fernandes, G., Hassan, I., &amp; Sridhar, D. (2022). Building resilient health-care supply chains to manage pandemics in low- and middle-income countries. Bulletin of the World Health Organization, 100(2), 174–176. https://doi.org/10.2471/BLT.21.286783</w:t>
      </w:r>
    </w:p>
    <w:p w14:paraId="0FA64509" w14:textId="77777777" w:rsidR="00F620E5" w:rsidRDefault="00F620E5"/>
    <w:p w14:paraId="78B32469" w14:textId="77777777" w:rsidR="00F620E5" w:rsidRDefault="00000000">
      <w:r>
        <w:rPr>
          <w:lang w:val="en-US"/>
        </w:rPr>
        <w:t>Fleming, P., O'Donoghue, C., Almirall-Sanchez, A., Mockler, D., Keegan, C., Cylus, J., Sagan, A., &amp; Thomas, S. (2022). Metrics and indicators used to assess health system resilience in response to shocks to health systems in high income countries—A systematic review. Health Policy, 126(12), 1195–1205. https://doi.org/10.1016/j.healthpol.2022.10.001</w:t>
      </w:r>
    </w:p>
    <w:p w14:paraId="0B88CE8D" w14:textId="77777777" w:rsidR="00F620E5" w:rsidRDefault="00F620E5"/>
    <w:p w14:paraId="1A68BB2F" w14:textId="77777777" w:rsidR="00F620E5" w:rsidRDefault="00000000">
      <w:r>
        <w:rPr>
          <w:lang w:val="en-US"/>
        </w:rPr>
        <w:t>Gadsden, T., Ford, B., Angell, B., Sumarac, B., de Oliveira Cruz, V., Wang, H., Tsilaajav, T., &amp; Jan, S. (2022). Health financing policy responses to the COVID-19 pandemic: A review of the first stages in the WHO South-East Asia Region. Health Policy and Planning, 37(10), 1317–1327. https://doi.org/10.1093/heapol/czac071</w:t>
      </w:r>
    </w:p>
    <w:p w14:paraId="3EE1CA3F" w14:textId="77777777" w:rsidR="00F620E5" w:rsidRDefault="00F620E5"/>
    <w:p w14:paraId="7718BA5C" w14:textId="77777777" w:rsidR="00F620E5" w:rsidRDefault="00000000">
      <w:r>
        <w:rPr>
          <w:lang w:val="en-US"/>
        </w:rPr>
        <w:t>Hakim, S., &amp; Haque, M. A. (2025). Health system capacity for infectious disease pandemic response in low- and lower-middle-income countries: Insights from national health facility surveys. International Journal of Infectious Diseases, 163, 108281. https://doi.org/10.1016/j.ijid.2025.108281</w:t>
      </w:r>
    </w:p>
    <w:p w14:paraId="0AB255B5" w14:textId="77777777" w:rsidR="00F620E5" w:rsidRDefault="00F620E5"/>
    <w:p w14:paraId="768EC503" w14:textId="77777777" w:rsidR="00F620E5" w:rsidRDefault="00000000">
      <w:r>
        <w:rPr>
          <w:lang w:val="en-US"/>
        </w:rPr>
        <w:t>Haldane, V., De Foo, C., Abdalla, S. M., Jung, A. S., Tan, M., Wu, S., Chua, A., Verma, M., Shrestha, P., Singh, S., Perez, T., Tan, S. M., Bartos, M., Mabuchi, S., Bonk, M., McNab, C., Werner, G. K., Panjabi, R., Nordström, A., &amp; Legido-Quigley, H. (2021). Health systems resilience in managing the COVID-19 pandemic: Lessons from 28 countries. Nature Medicine, 27(6), 964–980. https://doi.org/10.1038/s41591-021-01381-y</w:t>
      </w:r>
    </w:p>
    <w:p w14:paraId="5E28F023" w14:textId="77777777" w:rsidR="00F620E5" w:rsidRDefault="00F620E5"/>
    <w:p w14:paraId="639145DB" w14:textId="77777777" w:rsidR="00F620E5" w:rsidRDefault="00000000">
      <w:r>
        <w:rPr>
          <w:lang w:val="en-US"/>
        </w:rPr>
        <w:t>Hasan, G. M., Mohammad, T., Shamsi, A., Sohal, S. S., &amp; Hassan, M. I. (2025). Applications of genome sequencing in infectious diseases: From pathogen identification to precision medicine. Pharmaceuticals, 18(11), 1687. https://doi.org/10.3390/ph18111687</w:t>
      </w:r>
    </w:p>
    <w:p w14:paraId="5731C5EA" w14:textId="77777777" w:rsidR="00F620E5" w:rsidRDefault="00F620E5"/>
    <w:p w14:paraId="2B82764E" w14:textId="77777777" w:rsidR="00F620E5" w:rsidRDefault="00000000">
      <w:r>
        <w:rPr>
          <w:lang w:val="en-US"/>
        </w:rPr>
        <w:t>Hasan, M. K., Nasrullah, S. M., Quattrocchi, A., Arcos González, P., &amp; Castro-Delgado, R. (2023). Hospital surge capacity preparedness in disasters and emergencies: A systematic review. Public Health, 225, 12–21. https://doi.org/10.1016/j.puhe.2023.09.018</w:t>
      </w:r>
    </w:p>
    <w:p w14:paraId="47014F13" w14:textId="77777777" w:rsidR="00F620E5" w:rsidRDefault="00F620E5"/>
    <w:p w14:paraId="18436359" w14:textId="77777777" w:rsidR="00F620E5" w:rsidRDefault="00000000">
      <w:r>
        <w:rPr>
          <w:lang w:val="en-US"/>
        </w:rPr>
        <w:t>Hassan, Z., Hashim, M. J., &amp; Khan, G. (2020). Population risk factors for COVID-19 deaths in Nigeria at sub-national level. Pan African Medical Journal, 35(Suppl 2), 131. https://doi.org/10.11604/pamj.supp.2020.35.131.25258</w:t>
      </w:r>
    </w:p>
    <w:p w14:paraId="6C46FFD5" w14:textId="77777777" w:rsidR="00F620E5" w:rsidRDefault="00F620E5"/>
    <w:p w14:paraId="7AD1788D" w14:textId="77777777" w:rsidR="00F620E5" w:rsidRDefault="00000000">
      <w:r>
        <w:rPr>
          <w:lang w:val="en-US"/>
        </w:rPr>
        <w:t>James, C., Colombo, F., Morgan, D., &amp; Vammalle, C. (2024). Finance and health dialogue needed to build resilient health systems. Bulletin of the World Health Organization, 102(5), 368–369. https://doi.org/10.2471/BLT.23.291207</w:t>
      </w:r>
    </w:p>
    <w:p w14:paraId="510AA1E6" w14:textId="77777777" w:rsidR="00F620E5" w:rsidRDefault="00F620E5"/>
    <w:p w14:paraId="1FF1C4F4" w14:textId="77777777" w:rsidR="00F620E5" w:rsidRDefault="00000000">
      <w:r>
        <w:rPr>
          <w:lang w:val="en-US"/>
        </w:rPr>
        <w:t>Janati, A., Hosseiny, M., Gouya, M. M., Moradi, G., &amp; Ghaderi, E. (2015). Communicable disease reporting systems in the world: A systematic review article. Iranian Journal of Public Health, 44(11), 1453–1465.</w:t>
      </w:r>
    </w:p>
    <w:p w14:paraId="191D9AA9" w14:textId="77777777" w:rsidR="00F620E5" w:rsidRDefault="00F620E5"/>
    <w:p w14:paraId="1FC30CF4" w14:textId="77777777" w:rsidR="00F620E5" w:rsidRDefault="00000000">
      <w:r>
        <w:rPr>
          <w:lang w:val="en-US"/>
        </w:rPr>
        <w:t>Jannah, L. M., &amp; Sipahutar, M. Y. (2022). Government transparency during the COVID-19 pandemic: Good information governance? KnE Social Sciences, 7(5), 140–152. https://doi.org/10.18502/kss.v7i5.10537</w:t>
      </w:r>
    </w:p>
    <w:p w14:paraId="18D4B207" w14:textId="77777777" w:rsidR="00F620E5" w:rsidRDefault="00F620E5"/>
    <w:p w14:paraId="32BE71AA" w14:textId="77777777" w:rsidR="00F620E5" w:rsidRDefault="00000000">
      <w:r>
        <w:rPr>
          <w:lang w:val="en-US"/>
        </w:rPr>
        <w:t>Jit, M., Ananthakrishnan, A., McKee, M., Wouters, O. J., Beutels, P., &amp; Teerawattananon, Y. (2021). Multi-country collaboration in responding to global infectious disease threats: Lessons for Europe from the COVID-19 pandemic. The Lancet Regional Health – Europe, 9, 100221. https://doi.org/10.1016/j.lanepe.2021.100221</w:t>
      </w:r>
    </w:p>
    <w:p w14:paraId="4F1B464C" w14:textId="77777777" w:rsidR="00F620E5" w:rsidRDefault="00F620E5"/>
    <w:p w14:paraId="6464ACA5" w14:textId="77777777" w:rsidR="00F620E5" w:rsidRDefault="00000000">
      <w:r>
        <w:rPr>
          <w:lang w:val="en-US"/>
        </w:rPr>
        <w:lastRenderedPageBreak/>
        <w:t>Josephson, A., Kilic, T., &amp; Michler, J. D. (2021). Socioeconomic impacts of COVID-19 in low-income countries. Nature Human Behaviour, 5, 557–565. https://doi.org/10.1038/s41562-021-01096-7</w:t>
      </w:r>
    </w:p>
    <w:p w14:paraId="05402A62" w14:textId="77777777" w:rsidR="00F620E5" w:rsidRDefault="00F620E5"/>
    <w:p w14:paraId="09A6AF6C" w14:textId="77777777" w:rsidR="00F620E5" w:rsidRDefault="00000000">
      <w:r>
        <w:rPr>
          <w:lang w:val="en-US"/>
        </w:rPr>
        <w:t>Josiah, P. A., Akanbi, O. O., &amp; Aghaonu, B. C. (2026). Telemedicine and remote proctoring in surgery: Current trends, evidence, and future directions. Epidemiology and Health Data Insights, 2(1), ehdi027. https://doi.org/10.63946/ehdi/17769</w:t>
      </w:r>
    </w:p>
    <w:p w14:paraId="5AA47017" w14:textId="77777777" w:rsidR="00F620E5" w:rsidRDefault="00F620E5"/>
    <w:p w14:paraId="716D027C" w14:textId="77777777" w:rsidR="00F620E5" w:rsidRDefault="00000000">
      <w:r>
        <w:rPr>
          <w:lang w:val="en-US"/>
        </w:rPr>
        <w:t>Kaur, J., &amp; Butt, Z. A. (2025). AI-driven epidemic intelligence: The future of outbreak detection and response. Frontiers in Artificial Intelligence, 8, 1645467. https://doi.org/10.3389/frai.2025.1645467</w:t>
      </w:r>
    </w:p>
    <w:p w14:paraId="7E0550F8" w14:textId="77777777" w:rsidR="00F620E5" w:rsidRDefault="00F620E5"/>
    <w:p w14:paraId="2D003919" w14:textId="77777777" w:rsidR="00F620E5" w:rsidRDefault="00000000">
      <w:r>
        <w:rPr>
          <w:lang w:val="en-US"/>
        </w:rPr>
        <w:t>Kelly, H. (2011). The classical definition of a pandemic is not elusive. Bulletin of the World Health Organization, 89(7), 540–541. https://doi.org/10.2471/BLT.11.088815</w:t>
      </w:r>
    </w:p>
    <w:p w14:paraId="7C9B496C" w14:textId="77777777" w:rsidR="00F620E5" w:rsidRDefault="00F620E5"/>
    <w:p w14:paraId="6C5CB02A" w14:textId="77777777" w:rsidR="00F620E5" w:rsidRDefault="00000000">
      <w:r>
        <w:rPr>
          <w:lang w:val="en-US"/>
        </w:rPr>
        <w:t>Kiarie, H., Temmerman, M., Nyamai, M., Liku, N., Thuo, W., Oramisi, V., Nyaga, L., Karimi, J., Wamalwa, P., Gatheca, G., Mwenda, V., Ombajo, L. A., &amp; Thumbi, S. M. (2022). The COVID-19 pandemic and disruptions to essential health services in Kenya: A retrospective time-series analysis. The Lancet Global Health, 10(9), e1257–e1267. https://doi.org/10.1016/S2214-109X(22)00261-3</w:t>
      </w:r>
    </w:p>
    <w:p w14:paraId="3ADF25E2" w14:textId="77777777" w:rsidR="00F620E5" w:rsidRDefault="00F620E5"/>
    <w:p w14:paraId="1DBD14DD" w14:textId="77777777" w:rsidR="00F620E5" w:rsidRDefault="00000000">
      <w:r>
        <w:rPr>
          <w:lang w:val="en-US"/>
        </w:rPr>
        <w:t>Kim, D. Y., Shinde, S. K., Lone, S., Palem, R. R., &amp; Ghodake, G. S. (2021). COVID-19 pandemic: Public health risk assessment and risk mitigation strategies. Journal of Personalized Medicine, 11(12), 1243. https://doi.org/10.3390/jpm11121243</w:t>
      </w:r>
    </w:p>
    <w:p w14:paraId="79D619E1" w14:textId="77777777" w:rsidR="00F620E5" w:rsidRDefault="00F620E5"/>
    <w:p w14:paraId="25ABC467" w14:textId="77777777" w:rsidR="00F620E5" w:rsidRDefault="00000000">
      <w:r>
        <w:rPr>
          <w:lang w:val="en-US"/>
        </w:rPr>
        <w:t>Landelle, C., Pagani, L., &amp; Harbarth, S. (2013). Is patient isolation the single most important measure to prevent the spread of multidrug-resistant pathogens? Virulence, 4(2), 163–171. https://doi.org/10.4161/viru.22641</w:t>
      </w:r>
    </w:p>
    <w:p w14:paraId="499A5A0A" w14:textId="77777777" w:rsidR="00F620E5" w:rsidRDefault="00F620E5"/>
    <w:p w14:paraId="417D1B6F" w14:textId="77777777" w:rsidR="00F620E5" w:rsidRDefault="00000000">
      <w:r>
        <w:rPr>
          <w:lang w:val="en-US"/>
        </w:rPr>
        <w:t>Liu, Q., Xu, K., Wang, X., &amp; Wang, W. (2020). From SARS to COVID-19: What lessons have we learned? Journal of Infection and Public Health, 13(11), 1611–1618. https://doi.org/10.1016/j.jiph.2020.08.001</w:t>
      </w:r>
    </w:p>
    <w:p w14:paraId="77923714" w14:textId="77777777" w:rsidR="00F620E5" w:rsidRDefault="00F620E5"/>
    <w:p w14:paraId="3F57FE97" w14:textId="77777777" w:rsidR="00F620E5" w:rsidRDefault="00000000">
      <w:r>
        <w:rPr>
          <w:lang w:val="en-US"/>
        </w:rPr>
        <w:t>Lokossou, V., Nyarko, K. M., Kploanyi, E. E., Bandoh, D. A., Nguku, P., Sawadogo, B., Antara, S. N., &amp; Kenu, E. (2022). Workforce capacity assessment for public health emergencies, disaster preparedness and response in the Economic Community of West African States (ECOWAS) region, April – July, 2018. Journal of Interventional Epidemiology and Public Health, 5(2), 3. https://doi.org/10.37432/jieph.2022.5.2.23</w:t>
      </w:r>
    </w:p>
    <w:p w14:paraId="2DCEB84E" w14:textId="77777777" w:rsidR="00F620E5" w:rsidRDefault="00F620E5"/>
    <w:p w14:paraId="6E814CD1" w14:textId="77777777" w:rsidR="00F620E5" w:rsidRDefault="00000000">
      <w:r>
        <w:rPr>
          <w:lang w:val="en-US"/>
        </w:rPr>
        <w:t>Matsuda, S., &amp; Yoshimura, H. (2023). Evidence-based policy making during the coronavirus disease 2019 pandemic: A systematic review. Prehospital and Disaster Medicine, 38(2), 247–251. https://doi.org/10.1017/S1049023X23000216</w:t>
      </w:r>
    </w:p>
    <w:p w14:paraId="716CEEE0" w14:textId="77777777" w:rsidR="00F620E5" w:rsidRDefault="00F620E5"/>
    <w:p w14:paraId="7B14F870" w14:textId="77777777" w:rsidR="00F620E5" w:rsidRDefault="00000000">
      <w:r>
        <w:rPr>
          <w:lang w:val="en-US"/>
        </w:rPr>
        <w:t>McBride, K. E., Brown, K. G. M., Fisher, O. M., Steffens, D., Yeo, D. A., &amp; Koh, C. E. (2020). Impact of the COVID-19 pandemic on surgical services: Early experiences at a nominated COVID-19 centre. ANZ Journal of Surgery, 90(5), 663–665. https://doi.org/10.1111/ans.15900</w:t>
      </w:r>
    </w:p>
    <w:p w14:paraId="6E8BE4A2" w14:textId="77777777" w:rsidR="00F620E5" w:rsidRDefault="00F620E5"/>
    <w:p w14:paraId="07CF161D" w14:textId="77777777" w:rsidR="00F620E5" w:rsidRDefault="00000000">
      <w:r>
        <w:rPr>
          <w:lang w:val="en-US"/>
        </w:rPr>
        <w:t>McNeill, M. (2022). Extraordinary impacts on the healthcare workforce: COVID-19 and aging. Delaware Journal of Public Health, 8(5), 164–167. https://doi.org/10.32481/djph.2022.12.048</w:t>
      </w:r>
    </w:p>
    <w:p w14:paraId="2E90025F" w14:textId="77777777" w:rsidR="00F620E5" w:rsidRDefault="00F620E5"/>
    <w:p w14:paraId="65B7B3F3" w14:textId="77777777" w:rsidR="00F620E5" w:rsidRDefault="00000000">
      <w:r>
        <w:rPr>
          <w:lang w:val="en-US"/>
        </w:rPr>
        <w:t>Merianos, A., &amp; Peiris, M. (2005). International Health Regulations (2005). The Lancet, 366(9493), 1249–1251. https://doi.org/10.1016/S0140-6736(05)67508-3</w:t>
      </w:r>
    </w:p>
    <w:p w14:paraId="537F6F61" w14:textId="77777777" w:rsidR="00F620E5" w:rsidRDefault="00F620E5"/>
    <w:p w14:paraId="5AE0D0FA" w14:textId="77777777" w:rsidR="00F620E5" w:rsidRDefault="00000000">
      <w:r>
        <w:rPr>
          <w:lang w:val="en-US"/>
        </w:rPr>
        <w:t>Mexia, R., Barreto, M., Voutilainen, L., Lindh, E., Kalin-Mänttäri, L., &amp; Connoly, M. (2023). Public health workforce capacities and the challenges for preparedness. Population Medicine, 5(Supplement), A1745. https://doi.org/10.18332/popmed/165164</w:t>
      </w:r>
    </w:p>
    <w:p w14:paraId="7DBDE082" w14:textId="77777777" w:rsidR="00F620E5" w:rsidRDefault="00F620E5"/>
    <w:p w14:paraId="785AC552" w14:textId="77777777" w:rsidR="00F620E5" w:rsidRDefault="00000000">
      <w:r>
        <w:rPr>
          <w:lang w:val="en-US"/>
        </w:rPr>
        <w:t>Nguyen, T., Whaley, C., Simon, K. I., &amp; Cantor, J. (2025). Health care workforce recovery after the end of the COVID-19 emergency. JAMA. Advance online publication. https://doi.org/10.1001/jama.2025.8588</w:t>
      </w:r>
    </w:p>
    <w:p w14:paraId="4D50E2C9" w14:textId="77777777" w:rsidR="00F620E5" w:rsidRDefault="00F620E5"/>
    <w:p w14:paraId="33190692" w14:textId="77777777" w:rsidR="00F620E5" w:rsidRDefault="00000000">
      <w:r>
        <w:rPr>
          <w:lang w:val="en-US"/>
        </w:rPr>
        <w:t>Odonkor, S. T., &amp; Sallar, A. M. (2024). Occupational health and safety knowledge, attitudes and practices among healthcare workers in Accra Ghana. Scientific African, 24, e02130. https://doi.org/10.1016/j.sciaf.2024.e02130</w:t>
      </w:r>
    </w:p>
    <w:p w14:paraId="621DE8CD" w14:textId="77777777" w:rsidR="00F620E5" w:rsidRDefault="00F620E5"/>
    <w:p w14:paraId="3078F18A" w14:textId="77777777" w:rsidR="00F620E5" w:rsidRDefault="00000000">
      <w:r>
        <w:rPr>
          <w:lang w:val="en-US"/>
        </w:rPr>
        <w:t>Ojo, O. E., Abioye, O. F., Joseph, O., &amp; Ipadeola, O. B. (2025). Strengthening health systems to prevent, detect, and respond to future pandemics: An innovative approach to implementing and systematically monitoring and evaluating the National Action Plan for Health Security. Frontiers in Tropical Diseases, 6, 1720278. https://doi.org/10.3389/fitd.2025.1720278</w:t>
      </w:r>
    </w:p>
    <w:p w14:paraId="2AD718A5" w14:textId="77777777" w:rsidR="00F620E5" w:rsidRDefault="00F620E5"/>
    <w:p w14:paraId="18D93FCB" w14:textId="77777777" w:rsidR="00F620E5" w:rsidRDefault="00000000">
      <w:r>
        <w:rPr>
          <w:lang w:val="en-US"/>
        </w:rPr>
        <w:t>Okello, J. S., Ginindza, T., &amp; Odhiambo, J. N. (2025). Multisectoral coordination during the COVID-19 pandemic: Practices, challenges and recommendations for future preparedness—A systematic literature review protocol. BMJ Open, 15(7), e099016. https://doi.org/10.1136/bmjopen-2025-099016</w:t>
      </w:r>
    </w:p>
    <w:p w14:paraId="61711E05" w14:textId="77777777" w:rsidR="00F620E5" w:rsidRDefault="00F620E5"/>
    <w:p w14:paraId="4B998666" w14:textId="77777777" w:rsidR="00F620E5" w:rsidRDefault="00000000">
      <w:r>
        <w:rPr>
          <w:lang w:val="en-US"/>
        </w:rPr>
        <w:t>Orzechowski, M., Schochow, M., &amp; Steger, F. (2021). Balancing public health and civil liberties in times of pandemic. Journal of Public Health Policy, 42(1), 145–153. https://doi.org/10.1057/s41271-020-00266-1</w:t>
      </w:r>
    </w:p>
    <w:p w14:paraId="5BC5D610" w14:textId="77777777" w:rsidR="00F620E5" w:rsidRDefault="00F620E5"/>
    <w:p w14:paraId="4FB209F0" w14:textId="77777777" w:rsidR="00F620E5" w:rsidRDefault="00000000">
      <w:r>
        <w:rPr>
          <w:lang w:val="en-US"/>
        </w:rPr>
        <w:t>Penka, M. B., Tangang, A., Wung, E. A., Kelese, M. T., &amp; Okwen, P. (2024). Addressing infodemic for pandemic preparedness in the digital age: A focus on Middle Africa. Frontiers in Public Health, 12, 1275702. https://doi.org/10.3389/fpubh.2024.1275702</w:t>
      </w:r>
    </w:p>
    <w:p w14:paraId="7C342C21" w14:textId="77777777" w:rsidR="00F620E5" w:rsidRDefault="00F620E5"/>
    <w:p w14:paraId="788DD610" w14:textId="77777777" w:rsidR="00F620E5" w:rsidRDefault="00000000">
      <w:r>
        <w:rPr>
          <w:lang w:val="en-US"/>
        </w:rPr>
        <w:t>Prieto, A., Huang, R., Eusebi, C. A., &amp; Shostak, M. (2023). A brief overview of emerging vaccine technologies for pandemic preparedness. Rand Health Quarterly, 11(1), 6.</w:t>
      </w:r>
    </w:p>
    <w:p w14:paraId="745A0930" w14:textId="77777777" w:rsidR="00F620E5" w:rsidRDefault="00F620E5"/>
    <w:p w14:paraId="3D1F6D80" w14:textId="77777777" w:rsidR="00F620E5" w:rsidRDefault="00000000">
      <w:r>
        <w:rPr>
          <w:lang w:val="en-US"/>
        </w:rPr>
        <w:t>Reddin, K., Bang, H., &amp; Miles, L. (2021). Evaluating simulations as preparation for health crises like CoVID-19: Insights on incorporating simulation exercises for effective response. International Journal of Disaster Risk Reduction, 59, 102245. https://doi.org/10.1016/j.ijdrr.2021.102245</w:t>
      </w:r>
    </w:p>
    <w:p w14:paraId="79B89319" w14:textId="77777777" w:rsidR="00F620E5" w:rsidRDefault="00F620E5"/>
    <w:p w14:paraId="38F030DA" w14:textId="77777777" w:rsidR="00F620E5" w:rsidRDefault="00000000">
      <w:r>
        <w:rPr>
          <w:lang w:val="en-US"/>
        </w:rPr>
        <w:t>Shen, Y., Liu, Y., Krafft, T., &amp; Wang, Q. (2025). Progress and challenges in infectious disease surveillance and early warning. Med, 2(1), 100071. https://doi.org/10.1016/j.medp.2025.100071</w:t>
      </w:r>
    </w:p>
    <w:p w14:paraId="718EDDF4" w14:textId="77777777" w:rsidR="00F620E5" w:rsidRDefault="00F620E5"/>
    <w:p w14:paraId="10E5D3C7" w14:textId="77777777" w:rsidR="00F620E5" w:rsidRDefault="00000000">
      <w:r>
        <w:rPr>
          <w:lang w:val="en-US"/>
        </w:rPr>
        <w:t>Shifa, M., Gordon, D., Leibbrandt, M., &amp; Zhang, M. (2022). Socioeconomic-related inequalities in COVID-19 vulnerability in South Africa. International Journal of Environmental Research and Public Health, 19(17), 10480. https://doi.org/10.3390/ijerph191710480</w:t>
      </w:r>
    </w:p>
    <w:p w14:paraId="5BFA2FC4" w14:textId="77777777" w:rsidR="00F620E5" w:rsidRDefault="00F620E5"/>
    <w:p w14:paraId="28074E11" w14:textId="77777777" w:rsidR="00F620E5" w:rsidRDefault="00000000">
      <w:r>
        <w:rPr>
          <w:lang w:val="en-US"/>
        </w:rPr>
        <w:t>Short, K. R., Kedzierska, K., &amp; van de Sandt, C. E. (2018). Back to the future: Lessons learned from the 1918 influenza pandemic. Frontiers in Cellular and Infection Microbiology, 8, 343. https://doi.org/10.3389/fcimb.2018.00343</w:t>
      </w:r>
    </w:p>
    <w:p w14:paraId="3B4AB02D" w14:textId="77777777" w:rsidR="00F620E5" w:rsidRDefault="00F620E5"/>
    <w:p w14:paraId="3B558B8F" w14:textId="77777777" w:rsidR="00F620E5" w:rsidRDefault="00000000">
      <w:r>
        <w:rPr>
          <w:lang w:val="en-US"/>
        </w:rPr>
        <w:t>Silva de Amorim, W., &amp; Salgueirinho Osório de Andrade Guerra, J. B. (2020). Pandemics, global risks and adaptation: Challenges for a changing world. Research in Globalization, 2, 100023. https://doi.org/10.1016/j.resglo.2020.100023</w:t>
      </w:r>
    </w:p>
    <w:p w14:paraId="5BD7C54A" w14:textId="77777777" w:rsidR="00F620E5" w:rsidRDefault="00F620E5"/>
    <w:p w14:paraId="7FB887A3" w14:textId="77777777" w:rsidR="00F620E5" w:rsidRDefault="00000000">
      <w:r>
        <w:rPr>
          <w:lang w:val="en-US"/>
        </w:rPr>
        <w:t>Singh, M., Dhir, S., Kasar, J., Smith, L., Choudhury, R., &amp; Tondak, N. (2025). Navigating oxygen management challenges amidst COVID-19 pandemic and beyond in India: A modified Total Interpretive Structural Modeling (m-TISM) approach. BMC Health Services Research, 25, 1463. https://doi.org/10.1186/s12913-025-12445-x</w:t>
      </w:r>
    </w:p>
    <w:p w14:paraId="65387DA9" w14:textId="77777777" w:rsidR="00F620E5" w:rsidRDefault="00F620E5"/>
    <w:p w14:paraId="4339A991" w14:textId="77777777" w:rsidR="00F620E5" w:rsidRDefault="00000000">
      <w:r>
        <w:rPr>
          <w:lang w:val="en-US"/>
        </w:rPr>
        <w:t>Smallwood, N., &amp; Willis, K. (2021). Mental health among healthcare workers during the COVID-19 pandemic. Respirology, 26(11), 1016–1017. https://doi.org/10.1111/resp.14143</w:t>
      </w:r>
    </w:p>
    <w:p w14:paraId="162AEC1B" w14:textId="77777777" w:rsidR="00F620E5" w:rsidRDefault="00F620E5"/>
    <w:p w14:paraId="07B085C7" w14:textId="77777777" w:rsidR="00F620E5" w:rsidRDefault="00000000">
      <w:r>
        <w:rPr>
          <w:lang w:val="en-US"/>
        </w:rPr>
        <w:t>Sorrell, E. M. (2023). Pandemics and health security: Risks to global stability. In A. Warren (Ed.), Global security in an age of crisis (pp. 199–219). Edinburgh University Press. https://doi.org/10.3366/edinburgh/9781399501598.003.0012</w:t>
      </w:r>
    </w:p>
    <w:p w14:paraId="1A08DF17" w14:textId="77777777" w:rsidR="00F620E5" w:rsidRDefault="00F620E5"/>
    <w:p w14:paraId="616326E2" w14:textId="77777777" w:rsidR="00F620E5" w:rsidRDefault="00000000">
      <w:r>
        <w:rPr>
          <w:lang w:val="en-US"/>
        </w:rPr>
        <w:t>Sundararaman, T., Muraleedharan, V. R., &amp; Ranjan, A. (2021). Pandemic resilience and health systems preparedness: Lessons from COVID-19 for the twenty-first century. Journal of Social and Economic Development, 23(2), 290–300. https://doi.org/10.1007/s40847-020-00133-x</w:t>
      </w:r>
    </w:p>
    <w:p w14:paraId="33D7886A" w14:textId="77777777" w:rsidR="00F620E5" w:rsidRDefault="00F620E5"/>
    <w:p w14:paraId="6E991BF4" w14:textId="77777777" w:rsidR="00F620E5" w:rsidRDefault="00000000">
      <w:r>
        <w:rPr>
          <w:lang w:val="en-US"/>
        </w:rPr>
        <w:t>Tajudin, N., Wang, S. M., Mohamad, M., Mohd Nawi, S. F. A., &amp; Noorizhab, M. N. F. (2025). Genomic surveillance reveals COVID-19 outbreak clusters in a tertiary center in Malaysia: A cross-sectional study. IJID Regions, 14, 100604. https://doi.org/10.1016/j.ijregi.2025.100604</w:t>
      </w:r>
    </w:p>
    <w:p w14:paraId="02D24A7E" w14:textId="77777777" w:rsidR="00F620E5" w:rsidRDefault="00F620E5"/>
    <w:p w14:paraId="58807826" w14:textId="77777777" w:rsidR="00F620E5" w:rsidRDefault="00000000">
      <w:r>
        <w:rPr>
          <w:lang w:val="en-US"/>
        </w:rPr>
        <w:t>Wachtler, B., Michalski, N., Nowossadeck, E., Diercke, M., Wahrendorf, M., Santos-Hövener, C., et al. (2020). Socioeconomic inequalities and COVID-19 – A review of the current international literature. Journal of Health Monitoring, 5(S7), 3–17. https://doi.org/10.25646/7059</w:t>
      </w:r>
    </w:p>
    <w:p w14:paraId="538E225F" w14:textId="77777777" w:rsidR="00F620E5" w:rsidRDefault="00F620E5"/>
    <w:p w14:paraId="0EC97BD1" w14:textId="77777777" w:rsidR="00F620E5" w:rsidRDefault="00000000">
      <w:r>
        <w:rPr>
          <w:lang w:val="en-US"/>
        </w:rPr>
        <w:t>Wilkinson, D. J. C. (2021). Ethics and evidence: Learning lessons from pandemic triage. The Lancet Respiratory Medicine, 9(4), 328–330. https://doi.org/10.1016/S2213-2600(20)30570-6</w:t>
      </w:r>
    </w:p>
    <w:p w14:paraId="629FCA94" w14:textId="77777777" w:rsidR="00F620E5" w:rsidRDefault="00F620E5"/>
    <w:p w14:paraId="272B7ED0" w14:textId="77777777" w:rsidR="00F620E5" w:rsidRDefault="00000000">
      <w:r>
        <w:rPr>
          <w:lang w:val="en-US"/>
        </w:rPr>
        <w:t>Witter, S., Thomas, S., Topp, S. M., Barasa, E., Chopra, M., Cobos, D., Blanchet, K., Teddy, G., Atun, R., &amp; Ager, A. (2023). Health system resilience: A critical review and reconceptualisation. The Lancet Global Health, 11(9), e1454–e1458. https://doi.org/10.1016/S2214-109X(23)00279-6</w:t>
      </w:r>
    </w:p>
    <w:p w14:paraId="4AACAC62" w14:textId="77777777" w:rsidR="00F620E5" w:rsidRDefault="00F620E5"/>
    <w:p w14:paraId="5D5DF5A1" w14:textId="77777777" w:rsidR="00F620E5" w:rsidRDefault="00000000">
      <w:r>
        <w:rPr>
          <w:lang w:val="en-US"/>
        </w:rPr>
        <w:t>Wolford, T., Sutton, J., &amp; Mangal, C. N. (2023). Laboratory response to pandemic threats: Challenges, needs, and solutions. Health Security, 21(S1), S56–S59. https://doi.org/10.1089/hs.2023.0031</w:t>
      </w:r>
    </w:p>
    <w:p w14:paraId="78A50D02" w14:textId="77777777" w:rsidR="00F620E5" w:rsidRDefault="00F620E5"/>
    <w:p w14:paraId="6EF0F8AA" w14:textId="1673BA31" w:rsidR="00F620E5" w:rsidRDefault="00000000">
      <w:pPr>
        <w:rPr>
          <w:lang w:val="en-US"/>
        </w:rPr>
      </w:pPr>
      <w:r>
        <w:rPr>
          <w:lang w:val="en-US"/>
        </w:rPr>
        <w:t xml:space="preserve">Xiong, J., Lipsitz, O., Nasri, F., Lui, L. M. W., Gill, H., Phan, L., et al. (2020). Impact of COVID-19 pandemic on mental health in the general population: A systematic review. Journal of Affective Disorders, 277, 55–64. </w:t>
      </w:r>
      <w:hyperlink r:id="rId10" w:history="1">
        <w:r w:rsidR="00950823" w:rsidRPr="007B14B6">
          <w:rPr>
            <w:rStyle w:val="Hyperlink"/>
            <w:lang w:val="en-US"/>
          </w:rPr>
          <w:t>https://doi.org/10.1016/j.jad.2020.08.001</w:t>
        </w:r>
      </w:hyperlink>
    </w:p>
    <w:p w14:paraId="51BE71D8" w14:textId="03A86C89" w:rsidR="00950823" w:rsidRDefault="00950823">
      <w:pPr>
        <w:rPr>
          <w:color w:val="222222"/>
          <w:sz w:val="20"/>
          <w:szCs w:val="20"/>
          <w:shd w:val="clear" w:color="auto" w:fill="FFFFFF"/>
        </w:rPr>
      </w:pPr>
      <w:r w:rsidRPr="004945CE">
        <w:rPr>
          <w:color w:val="222222"/>
          <w:sz w:val="20"/>
          <w:szCs w:val="20"/>
          <w:highlight w:val="yellow"/>
          <w:shd w:val="clear" w:color="auto" w:fill="FFFFFF"/>
        </w:rPr>
        <w:lastRenderedPageBreak/>
        <w:t>Meena, P., Abdellatif, D., Tiwari, V., Chatterjee, S., &amp; Luyckx, V. A. (2023, September). Health systems preparedness for infectious disease outbreaks: relevance for nephrology. In </w:t>
      </w:r>
      <w:r w:rsidRPr="004945CE">
        <w:rPr>
          <w:i/>
          <w:iCs/>
          <w:color w:val="222222"/>
          <w:sz w:val="20"/>
          <w:szCs w:val="20"/>
          <w:highlight w:val="yellow"/>
          <w:shd w:val="clear" w:color="auto" w:fill="FFFFFF"/>
        </w:rPr>
        <w:t>Seminars in nephrology</w:t>
      </w:r>
      <w:r w:rsidRPr="004945CE">
        <w:rPr>
          <w:color w:val="222222"/>
          <w:sz w:val="20"/>
          <w:szCs w:val="20"/>
          <w:highlight w:val="yellow"/>
          <w:shd w:val="clear" w:color="auto" w:fill="FFFFFF"/>
        </w:rPr>
        <w:t> (Vol. 43, No. 5, p. 151465). WB Saunders.</w:t>
      </w:r>
    </w:p>
    <w:p w14:paraId="4E524C8F" w14:textId="77777777" w:rsidR="00D74986" w:rsidRDefault="00D74986">
      <w:pPr>
        <w:rPr>
          <w:color w:val="222222"/>
          <w:sz w:val="20"/>
          <w:szCs w:val="20"/>
          <w:shd w:val="clear" w:color="auto" w:fill="FFFFFF"/>
        </w:rPr>
      </w:pPr>
    </w:p>
    <w:p w14:paraId="3AED0DA6" w14:textId="59CFB75A" w:rsidR="00D74986" w:rsidRDefault="00D74986">
      <w:r w:rsidRPr="004945CE">
        <w:rPr>
          <w:color w:val="222222"/>
          <w:sz w:val="20"/>
          <w:szCs w:val="20"/>
          <w:highlight w:val="yellow"/>
          <w:shd w:val="clear" w:color="auto" w:fill="FFFFFF"/>
        </w:rPr>
        <w:t>El-</w:t>
      </w:r>
      <w:proofErr w:type="spellStart"/>
      <w:r w:rsidRPr="004945CE">
        <w:rPr>
          <w:color w:val="222222"/>
          <w:sz w:val="20"/>
          <w:szCs w:val="20"/>
          <w:highlight w:val="yellow"/>
          <w:shd w:val="clear" w:color="auto" w:fill="FFFFFF"/>
        </w:rPr>
        <w:t>Jardali</w:t>
      </w:r>
      <w:proofErr w:type="spellEnd"/>
      <w:r w:rsidRPr="004945CE">
        <w:rPr>
          <w:color w:val="222222"/>
          <w:sz w:val="20"/>
          <w:szCs w:val="20"/>
          <w:highlight w:val="yellow"/>
          <w:shd w:val="clear" w:color="auto" w:fill="FFFFFF"/>
        </w:rPr>
        <w:t>, F., Kanth, P. D., Nguyen, S. N., Varkey, S., Duran, D., Menon, R., ... &amp; Reid, M. (2025). Emergency preparedness and health system resilience assessment tool: development and initial validation. </w:t>
      </w:r>
      <w:r w:rsidRPr="004945CE">
        <w:rPr>
          <w:i/>
          <w:iCs/>
          <w:color w:val="222222"/>
          <w:sz w:val="20"/>
          <w:szCs w:val="20"/>
          <w:highlight w:val="yellow"/>
          <w:shd w:val="clear" w:color="auto" w:fill="FFFFFF"/>
        </w:rPr>
        <w:t>BMJ Global Health</w:t>
      </w:r>
      <w:r w:rsidRPr="004945CE">
        <w:rPr>
          <w:color w:val="222222"/>
          <w:sz w:val="20"/>
          <w:szCs w:val="20"/>
          <w:highlight w:val="yellow"/>
          <w:shd w:val="clear" w:color="auto" w:fill="FFFFFF"/>
        </w:rPr>
        <w:t>, </w:t>
      </w:r>
      <w:r w:rsidRPr="004945CE">
        <w:rPr>
          <w:i/>
          <w:iCs/>
          <w:color w:val="222222"/>
          <w:sz w:val="20"/>
          <w:szCs w:val="20"/>
          <w:highlight w:val="yellow"/>
          <w:shd w:val="clear" w:color="auto" w:fill="FFFFFF"/>
        </w:rPr>
        <w:t>10</w:t>
      </w:r>
      <w:r w:rsidRPr="004945CE">
        <w:rPr>
          <w:color w:val="222222"/>
          <w:sz w:val="20"/>
          <w:szCs w:val="20"/>
          <w:highlight w:val="yellow"/>
          <w:shd w:val="clear" w:color="auto" w:fill="FFFFFF"/>
        </w:rPr>
        <w:t>(8).</w:t>
      </w:r>
    </w:p>
    <w:sectPr w:rsidR="00D74986">
      <w:headerReference w:type="even" r:id="rId11"/>
      <w:headerReference w:type="default" r:id="rId12"/>
      <w:footerReference w:type="even" r:id="rId13"/>
      <w:footerReference w:type="default" r:id="rId14"/>
      <w:head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49CDD" w14:textId="77777777" w:rsidR="00E44768" w:rsidRDefault="00E44768">
      <w:pPr>
        <w:spacing w:line="240" w:lineRule="auto"/>
      </w:pPr>
      <w:r>
        <w:separator/>
      </w:r>
    </w:p>
  </w:endnote>
  <w:endnote w:type="continuationSeparator" w:id="0">
    <w:p w14:paraId="509D8C66" w14:textId="77777777" w:rsidR="00E44768" w:rsidRDefault="00E447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CE679D-465F-4E18-807D-7668B37BCF85}"/>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2" w:fontKey="{93A588B4-416F-4D67-951C-1B0F9263E6C0}"/>
  </w:font>
  <w:font w:name="Cambria">
    <w:panose1 w:val="02040503050406030204"/>
    <w:charset w:val="00"/>
    <w:family w:val="roman"/>
    <w:pitch w:val="variable"/>
    <w:sig w:usb0="E00006FF" w:usb1="420024FF" w:usb2="02000000" w:usb3="00000000" w:csb0="0000019F" w:csb1="00000000"/>
    <w:embedRegular r:id="rId3" w:fontKey="{0ED79B3F-3BA3-4E25-B1C7-D186A4B1F5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2701" w14:textId="77777777" w:rsidR="00F620E5" w:rsidRDefault="00F62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7A552" w14:textId="77777777" w:rsidR="00F620E5" w:rsidRDefault="00F620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E7CE9" w14:textId="77777777" w:rsidR="00E44768" w:rsidRDefault="00E44768">
      <w:pPr>
        <w:spacing w:line="240" w:lineRule="auto"/>
      </w:pPr>
      <w:r>
        <w:separator/>
      </w:r>
    </w:p>
  </w:footnote>
  <w:footnote w:type="continuationSeparator" w:id="0">
    <w:p w14:paraId="2015E91A" w14:textId="77777777" w:rsidR="00E44768" w:rsidRDefault="00E447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E50A" w14:textId="77777777" w:rsidR="00F620E5" w:rsidRDefault="00000000">
    <w:pPr>
      <w:pStyle w:val="Header"/>
    </w:pPr>
    <w:r>
      <w:rPr>
        <w:noProof/>
      </w:rPr>
      <w:pict w14:anchorId="358D9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left:0;text-align:left;margin-left:0;margin-top:0;width:593.85pt;height:65.9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F7A1" w14:textId="77777777" w:rsidR="00F620E5" w:rsidRDefault="00000000">
    <w:pPr>
      <w:pStyle w:val="Header"/>
    </w:pPr>
    <w:r>
      <w:rPr>
        <w:noProof/>
      </w:rPr>
      <w:pict w14:anchorId="147B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left:0;text-align:left;margin-left:0;margin-top:0;width:593.85pt;height:65.9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B967E" w14:textId="77777777" w:rsidR="00F620E5" w:rsidRDefault="00000000">
    <w:pPr>
      <w:pStyle w:val="Header"/>
    </w:pPr>
    <w:r>
      <w:rPr>
        <w:noProof/>
      </w:rPr>
      <w:pict w14:anchorId="723A1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left:0;text-align:left;margin-left:0;margin-top:0;width:593.85pt;height:65.9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G1NDQytzAxtzS1NLNU0lEKTi0uzszPAykwrAUAWi0GdCwAAAA="/>
  </w:docVars>
  <w:rsids>
    <w:rsidRoot w:val="00F620E5"/>
    <w:rsid w:val="00024481"/>
    <w:rsid w:val="00033042"/>
    <w:rsid w:val="000760AE"/>
    <w:rsid w:val="004945CE"/>
    <w:rsid w:val="00570FB2"/>
    <w:rsid w:val="006341AD"/>
    <w:rsid w:val="00727501"/>
    <w:rsid w:val="007C6BE2"/>
    <w:rsid w:val="008F6CF8"/>
    <w:rsid w:val="00950823"/>
    <w:rsid w:val="00C37A03"/>
    <w:rsid w:val="00CE2E16"/>
    <w:rsid w:val="00D74986"/>
    <w:rsid w:val="00D92641"/>
    <w:rsid w:val="00D93298"/>
    <w:rsid w:val="00DE2DFE"/>
    <w:rsid w:val="00E44768"/>
    <w:rsid w:val="00F62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A7C7F"/>
  <w15:docId w15:val="{1118E7B1-4233-4FF8-98D4-A53326651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00" w:after="120"/>
      <w:outlineLvl w:val="0"/>
    </w:pPr>
    <w:rPr>
      <w:sz w:val="40"/>
      <w:szCs w:val="40"/>
    </w:rPr>
  </w:style>
  <w:style w:type="paragraph" w:styleId="Heading2">
    <w:name w:val="heading 2"/>
    <w:basedOn w:val="Normal1"/>
    <w:next w:val="Normal1"/>
    <w:uiPriority w:val="9"/>
    <w:semiHidden/>
    <w:unhideWhenUsed/>
    <w:qFormat/>
    <w:pPr>
      <w:keepNext/>
      <w:keepLines/>
      <w:spacing w:before="360" w:after="120"/>
      <w:outlineLvl w:val="1"/>
    </w:pPr>
    <w:rPr>
      <w:sz w:val="32"/>
      <w:szCs w:val="32"/>
    </w:rPr>
  </w:style>
  <w:style w:type="paragraph" w:styleId="Heading3">
    <w:name w:val="heading 3"/>
    <w:basedOn w:val="Normal1"/>
    <w:next w:val="Normal1"/>
    <w:uiPriority w:val="9"/>
    <w:semiHidden/>
    <w:unhideWhenUsed/>
    <w:qFormat/>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outlineLvl w:val="4"/>
    </w:pPr>
    <w:rPr>
      <w:color w:val="666666"/>
    </w:rPr>
  </w:style>
  <w:style w:type="paragraph" w:styleId="Heading6">
    <w:name w:val="heading 6"/>
    <w:basedOn w:val="Normal1"/>
    <w:next w:val="Normal1"/>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paragraph" w:styleId="NoSpacing">
    <w:name w:val="No Spacing"/>
    <w:uiPriority w:val="1"/>
    <w:qFormat/>
    <w:pPr>
      <w:spacing w:line="240" w:lineRule="auto"/>
    </w:pPr>
    <w:rPr>
      <w:rFonts w:ascii="Calibri" w:eastAsia="Calibri" w:hAnsi="Calibri" w:cs="SimSun"/>
      <w:lang w:eastAsia="en-US"/>
    </w:rPr>
  </w:style>
  <w:style w:type="paragraph" w:styleId="Revision">
    <w:name w:val="Revision"/>
    <w:hidden/>
    <w:uiPriority w:val="99"/>
    <w:semiHidden/>
    <w:rsid w:val="00950823"/>
    <w:pPr>
      <w:spacing w:line="240" w:lineRule="auto"/>
    </w:pPr>
    <w:rPr>
      <w:sz w:val="21"/>
    </w:rPr>
  </w:style>
  <w:style w:type="character" w:styleId="Hyperlink">
    <w:name w:val="Hyperlink"/>
    <w:basedOn w:val="DefaultParagraphFont"/>
    <w:uiPriority w:val="99"/>
    <w:unhideWhenUsed/>
    <w:rsid w:val="00950823"/>
    <w:rPr>
      <w:color w:val="0000FF" w:themeColor="hyperlink"/>
      <w:u w:val="single"/>
    </w:rPr>
  </w:style>
  <w:style w:type="character" w:styleId="UnresolvedMention">
    <w:name w:val="Unresolved Mention"/>
    <w:basedOn w:val="DefaultParagraphFont"/>
    <w:uiPriority w:val="99"/>
    <w:semiHidden/>
    <w:unhideWhenUsed/>
    <w:rsid w:val="00950823"/>
    <w:rPr>
      <w:color w:val="605E5C"/>
      <w:shd w:val="clear" w:color="auto" w:fill="E1DFDD"/>
    </w:rPr>
  </w:style>
  <w:style w:type="paragraph" w:customStyle="1" w:styleId="isselectedend">
    <w:name w:val="isselectedend"/>
    <w:basedOn w:val="Normal"/>
    <w:rsid w:val="00DE2DFE"/>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DE2DFE"/>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doi.org/10.1016/j.jad.2020.08.001"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26</Pages>
  <Words>9772</Words>
  <Characters>55705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PC New 16</cp:lastModifiedBy>
  <cp:revision>47</cp:revision>
  <dcterms:created xsi:type="dcterms:W3CDTF">2026-05-21T07:23:00Z</dcterms:created>
  <dcterms:modified xsi:type="dcterms:W3CDTF">2026-05-30T05:42:00Z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3f306133b639406381e93bae944fbc1b</vt:lpwstr>
  </property>
</Properties>
</file>