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4EB81" w14:textId="77777777" w:rsidR="005C75C3" w:rsidRDefault="00D42813">
      <w:pPr>
        <w:jc w:val="center"/>
        <w:rPr>
          <w:rFonts w:ascii="Times New Roman" w:hAnsi="Times New Roman"/>
          <w:b/>
          <w:bCs/>
          <w:sz w:val="24"/>
          <w:szCs w:val="24"/>
        </w:rPr>
      </w:pPr>
      <w:r>
        <w:rPr>
          <w:rFonts w:ascii="Times New Roman" w:hAnsi="Times New Roman"/>
          <w:b/>
          <w:bCs/>
          <w:sz w:val="24"/>
          <w:szCs w:val="24"/>
        </w:rPr>
        <w:t xml:space="preserve">PHYTOCHEMICAL PROPERTIES AND LIPID LOWERING EFFECTS OF ETHANOL EXTRACT OF </w:t>
      </w:r>
      <w:r>
        <w:rPr>
          <w:rFonts w:ascii="Times New Roman" w:hAnsi="Times New Roman"/>
          <w:b/>
          <w:bCs/>
          <w:i/>
          <w:iCs/>
          <w:sz w:val="24"/>
          <w:szCs w:val="24"/>
        </w:rPr>
        <w:t xml:space="preserve">Pterocarpus santalinoides </w:t>
      </w:r>
      <w:r>
        <w:rPr>
          <w:rFonts w:ascii="Times New Roman" w:hAnsi="Times New Roman"/>
          <w:b/>
          <w:bCs/>
          <w:sz w:val="24"/>
          <w:szCs w:val="24"/>
        </w:rPr>
        <w:t>LEAVES ON MALE ALBINO RATS</w:t>
      </w:r>
    </w:p>
    <w:p w14:paraId="034B83D1" w14:textId="77777777" w:rsidR="005C75C3" w:rsidRDefault="005C75C3">
      <w:pPr>
        <w:spacing w:after="0"/>
        <w:rPr>
          <w:rFonts w:ascii="Times New Roman" w:hAnsi="Times New Roman"/>
          <w:bCs/>
          <w:sz w:val="24"/>
          <w:szCs w:val="24"/>
        </w:rPr>
      </w:pPr>
    </w:p>
    <w:p w14:paraId="030C9523" w14:textId="77777777" w:rsidR="005C75C3" w:rsidRDefault="005C75C3">
      <w:pPr>
        <w:spacing w:after="0"/>
        <w:rPr>
          <w:rFonts w:ascii="Times New Roman" w:hAnsi="Times New Roman"/>
          <w:b/>
          <w:bCs/>
          <w:sz w:val="24"/>
          <w:szCs w:val="24"/>
        </w:rPr>
      </w:pPr>
    </w:p>
    <w:p w14:paraId="14C219A4" w14:textId="77777777" w:rsidR="005C75C3" w:rsidRDefault="00D42813">
      <w:pPr>
        <w:rPr>
          <w:b/>
          <w:bCs/>
          <w:sz w:val="24"/>
          <w:szCs w:val="24"/>
        </w:rPr>
      </w:pPr>
      <w:r>
        <w:rPr>
          <w:b/>
          <w:bCs/>
          <w:sz w:val="24"/>
          <w:szCs w:val="24"/>
        </w:rPr>
        <w:t>Abstract</w:t>
      </w:r>
    </w:p>
    <w:p w14:paraId="755E5C59" w14:textId="55BA3499" w:rsidR="005C75C3" w:rsidRPr="00406A88" w:rsidRDefault="00D42813" w:rsidP="00406A88">
      <w:pPr>
        <w:autoSpaceDE w:val="0"/>
        <w:autoSpaceDN w:val="0"/>
        <w:adjustRightInd w:val="0"/>
        <w:spacing w:line="240" w:lineRule="auto"/>
        <w:jc w:val="both"/>
        <w:rPr>
          <w:rFonts w:ascii="Times New Roman" w:eastAsia="Times New Roman" w:hAnsi="Times New Roman"/>
          <w:sz w:val="24"/>
          <w:szCs w:val="24"/>
          <w:lang w:eastAsia="en-US"/>
        </w:rPr>
      </w:pPr>
      <w:r>
        <w:rPr>
          <w:rFonts w:ascii="Times New Roman" w:hAnsi="Times New Roman"/>
          <w:sz w:val="24"/>
          <w:szCs w:val="24"/>
        </w:rPr>
        <w:t xml:space="preserve">This study evaluated the phytochemical composition and lipid-lowering effect of ethanol leaf extract of </w:t>
      </w:r>
      <w:r>
        <w:rPr>
          <w:rFonts w:ascii="Times New Roman" w:hAnsi="Times New Roman"/>
          <w:i/>
          <w:iCs/>
          <w:sz w:val="24"/>
          <w:szCs w:val="24"/>
        </w:rPr>
        <w:t>Pterocarpus santalinoides</w:t>
      </w:r>
      <w:r>
        <w:rPr>
          <w:rFonts w:ascii="Times New Roman" w:hAnsi="Times New Roman"/>
          <w:sz w:val="24"/>
          <w:szCs w:val="24"/>
        </w:rPr>
        <w:t xml:space="preserve"> in male Wistar albino rats. The quantitative phytochemical analysis of the leaf extract was assessed using Gas Chromatography-Mass Spectrometer (GC-MS). Forty (40) male wistar albino rats were used for this study. The animals were allocated into eight tests groups of five rats per group. Group A was the "Normal control" and received growers mash and water only. Group B was the "Negative control" and received cholesterol and saturated fats diet and water. Group C was the “Positive control" and received cholesterol and saturated fats diet and was treated with 1.14 mg/kg of Atorvastatin. Groups D, E, F and G received cholesterol and saturated fats diet and were administered increasing doses of 100, 200, 300 and 400 mg/kg of </w:t>
      </w:r>
      <w:r>
        <w:rPr>
          <w:rFonts w:ascii="Times New Roman" w:hAnsi="Times New Roman"/>
          <w:i/>
          <w:iCs/>
          <w:sz w:val="24"/>
          <w:szCs w:val="24"/>
        </w:rPr>
        <w:t>P</w:t>
      </w:r>
      <w:r w:rsidR="0077141B">
        <w:rPr>
          <w:rFonts w:ascii="Times New Roman" w:hAnsi="Times New Roman"/>
          <w:i/>
          <w:iCs/>
          <w:sz w:val="24"/>
          <w:szCs w:val="24"/>
        </w:rPr>
        <w:t>.</w:t>
      </w:r>
      <w:r>
        <w:rPr>
          <w:rFonts w:ascii="Times New Roman" w:hAnsi="Times New Roman"/>
          <w:i/>
          <w:iCs/>
          <w:sz w:val="24"/>
          <w:szCs w:val="24"/>
        </w:rPr>
        <w:t xml:space="preserve"> santalinoides</w:t>
      </w:r>
      <w:r>
        <w:rPr>
          <w:rFonts w:ascii="Times New Roman" w:hAnsi="Times New Roman"/>
          <w:sz w:val="24"/>
          <w:szCs w:val="24"/>
        </w:rPr>
        <w:t xml:space="preserve"> ethanol leaf extract respectively. While Group H received cholesterol and saturated fats diet and were administered 500 mg/kg of</w:t>
      </w:r>
      <w:r>
        <w:rPr>
          <w:rFonts w:ascii="Times New Roman" w:hAnsi="Times New Roman"/>
          <w:i/>
          <w:iCs/>
          <w:sz w:val="24"/>
          <w:szCs w:val="24"/>
        </w:rPr>
        <w:t xml:space="preserve"> P</w:t>
      </w:r>
      <w:r w:rsidR="0077141B">
        <w:rPr>
          <w:rFonts w:ascii="Times New Roman" w:hAnsi="Times New Roman"/>
          <w:i/>
          <w:iCs/>
          <w:sz w:val="24"/>
          <w:szCs w:val="24"/>
        </w:rPr>
        <w:t>.</w:t>
      </w:r>
      <w:r>
        <w:rPr>
          <w:rFonts w:ascii="Times New Roman" w:hAnsi="Times New Roman"/>
          <w:i/>
          <w:iCs/>
          <w:sz w:val="24"/>
          <w:szCs w:val="24"/>
        </w:rPr>
        <w:t xml:space="preserve"> santalinoides</w:t>
      </w:r>
      <w:r>
        <w:rPr>
          <w:rFonts w:ascii="Times New Roman" w:hAnsi="Times New Roman"/>
          <w:sz w:val="24"/>
          <w:szCs w:val="24"/>
        </w:rPr>
        <w:t xml:space="preserve"> ethanol leaf extract and also</w:t>
      </w:r>
      <w:r w:rsidR="00CD6270">
        <w:rPr>
          <w:rFonts w:ascii="Times New Roman" w:hAnsi="Times New Roman"/>
          <w:sz w:val="24"/>
          <w:szCs w:val="24"/>
        </w:rPr>
        <w:t xml:space="preserve"> </w:t>
      </w:r>
      <w:r>
        <w:rPr>
          <w:rFonts w:ascii="Times New Roman" w:hAnsi="Times New Roman"/>
          <w:sz w:val="24"/>
          <w:szCs w:val="24"/>
        </w:rPr>
        <w:t>1.14 mg/kg of the standard drug, Atorvastatin. Treatment lasted for 28 days. Thirteen (13) male wistar albino rats were used for the Acute toxicity study.</w:t>
      </w:r>
      <w:r w:rsidR="00406A88" w:rsidRPr="00406A88">
        <w:rPr>
          <w:rFonts w:ascii="Times New Roman" w:eastAsia="Times New Roman" w:hAnsi="Times New Roman"/>
          <w:sz w:val="24"/>
          <w:szCs w:val="24"/>
          <w:lang w:eastAsia="en-US"/>
        </w:rPr>
        <w:t xml:space="preserve"> The bodyweight of the rats was checked at weekly interval in all the </w:t>
      </w:r>
      <w:r w:rsidR="00406A88">
        <w:rPr>
          <w:rFonts w:ascii="Times New Roman" w:eastAsia="Times New Roman" w:hAnsi="Times New Roman"/>
          <w:sz w:val="24"/>
          <w:szCs w:val="24"/>
          <w:lang w:eastAsia="en-US"/>
        </w:rPr>
        <w:t>tests</w:t>
      </w:r>
      <w:r w:rsidR="00406A88" w:rsidRPr="00406A88">
        <w:rPr>
          <w:rFonts w:ascii="Times New Roman" w:eastAsia="Times New Roman" w:hAnsi="Times New Roman"/>
          <w:sz w:val="24"/>
          <w:szCs w:val="24"/>
          <w:lang w:eastAsia="en-US"/>
        </w:rPr>
        <w:t xml:space="preserve"> groups.</w:t>
      </w:r>
      <w:r w:rsidR="00406A88">
        <w:rPr>
          <w:rFonts w:ascii="Times New Roman" w:hAnsi="Times New Roman"/>
          <w:sz w:val="24"/>
          <w:szCs w:val="24"/>
        </w:rPr>
        <w:t xml:space="preserve"> </w:t>
      </w:r>
      <w:r>
        <w:rPr>
          <w:rFonts w:ascii="Times New Roman" w:hAnsi="Times New Roman"/>
          <w:sz w:val="24"/>
          <w:szCs w:val="24"/>
        </w:rPr>
        <w:t xml:space="preserve">Lipid parameters were determined using standard assay kits, while LDL-cholesterol and VLDL-cholesterol were calculated using established formulae. Phytochemical analysis revealed the presence of several bioactive compounds, with vanillic acid (18.78±0.00), hesperidin (10.24±0.00) and flavone (8.86±0.00) occurring in relatively high amounts. Resveratrol was also contained in the extract (3.32±0.00). The results of the </w:t>
      </w:r>
      <w:r w:rsidR="00F80D28">
        <w:rPr>
          <w:rFonts w:ascii="Times New Roman" w:hAnsi="Times New Roman"/>
          <w:sz w:val="24"/>
          <w:szCs w:val="24"/>
        </w:rPr>
        <w:t>A</w:t>
      </w:r>
      <w:r>
        <w:rPr>
          <w:rFonts w:ascii="Times New Roman" w:hAnsi="Times New Roman"/>
          <w:sz w:val="24"/>
          <w:szCs w:val="24"/>
        </w:rPr>
        <w:t>cute toxicity study of the leaf extract was observed to be slightly toxic at higher doses (2900 and 5000 mg/kg), as the animal was observed to be slightly weak and very weak respectively.</w:t>
      </w:r>
      <w:r w:rsidR="00406A88">
        <w:rPr>
          <w:rFonts w:ascii="Times New Roman" w:eastAsia="Aptos" w:hAnsi="Times New Roman"/>
          <w:kern w:val="2"/>
          <w:sz w:val="24"/>
          <w:szCs w:val="24"/>
          <w:lang w:eastAsia="en-US"/>
        </w:rPr>
        <w:t xml:space="preserve"> </w:t>
      </w:r>
      <w:r w:rsidR="00406A88" w:rsidRPr="00406A88">
        <w:rPr>
          <w:rFonts w:ascii="Times New Roman" w:eastAsia="Aptos" w:hAnsi="Times New Roman"/>
          <w:kern w:val="2"/>
          <w:sz w:val="24"/>
          <w:szCs w:val="24"/>
          <w:lang w:eastAsia="en-US"/>
        </w:rPr>
        <w:t xml:space="preserve">The bodyweight of the rats increased significantly (p&lt;0.05) at weekly interval in all the </w:t>
      </w:r>
      <w:r w:rsidR="00406A88">
        <w:rPr>
          <w:rFonts w:ascii="Times New Roman" w:eastAsia="Aptos" w:hAnsi="Times New Roman"/>
          <w:kern w:val="2"/>
          <w:sz w:val="24"/>
          <w:szCs w:val="24"/>
          <w:lang w:eastAsia="en-US"/>
        </w:rPr>
        <w:t>tests</w:t>
      </w:r>
      <w:r w:rsidR="00406A88" w:rsidRPr="00406A88">
        <w:rPr>
          <w:rFonts w:ascii="Times New Roman" w:eastAsia="Aptos" w:hAnsi="Times New Roman"/>
          <w:kern w:val="2"/>
          <w:sz w:val="24"/>
          <w:szCs w:val="24"/>
          <w:lang w:eastAsia="en-US"/>
        </w:rPr>
        <w:t xml:space="preserve"> groups. However, the increase was observed more in the untreated group compared to the normal, standard and test groups.</w:t>
      </w:r>
      <w:r>
        <w:rPr>
          <w:rFonts w:ascii="Times New Roman" w:hAnsi="Times New Roman"/>
          <w:sz w:val="24"/>
          <w:szCs w:val="24"/>
        </w:rPr>
        <w:t xml:space="preserve"> Hyperlipidaemic untreated rats showed increased total cholesterol, LDL-cholesterol, VLDL-cholesterol and triacylglycerol, with reduced HDL-cholesterol. Administration of the extract improved the lipid profile, particularly by reducing total cholesterol and LDL-cholesterol and increasing HDL-cholesterol in treated groups. The findings suggest that ethanol leaf extract of </w:t>
      </w:r>
      <w:r>
        <w:rPr>
          <w:rFonts w:ascii="Times New Roman" w:hAnsi="Times New Roman"/>
          <w:i/>
          <w:iCs/>
          <w:sz w:val="24"/>
          <w:szCs w:val="24"/>
        </w:rPr>
        <w:t>Pterocarpus santalinoides</w:t>
      </w:r>
      <w:r>
        <w:rPr>
          <w:rFonts w:ascii="Times New Roman" w:hAnsi="Times New Roman"/>
          <w:sz w:val="24"/>
          <w:szCs w:val="24"/>
        </w:rPr>
        <w:t xml:space="preserve"> contains bioactive phytochemicals and may exert lipid-modulating effects in hyperlipidaemic male Wistar rats.</w:t>
      </w:r>
    </w:p>
    <w:p w14:paraId="4D8898DC" w14:textId="064A9783" w:rsidR="005C75C3" w:rsidRDefault="005C75C3">
      <w:pPr>
        <w:spacing w:line="360" w:lineRule="auto"/>
        <w:rPr>
          <w:rFonts w:ascii="Times New Roman" w:hAnsi="Times New Roman"/>
          <w:b/>
          <w:bCs/>
          <w:sz w:val="24"/>
          <w:szCs w:val="24"/>
        </w:rPr>
      </w:pPr>
    </w:p>
    <w:p w14:paraId="76A33CE0" w14:textId="77777777" w:rsidR="006F272A" w:rsidRDefault="006F272A">
      <w:pPr>
        <w:spacing w:line="360" w:lineRule="auto"/>
        <w:rPr>
          <w:rFonts w:ascii="Times New Roman" w:hAnsi="Times New Roman"/>
          <w:b/>
          <w:bCs/>
          <w:sz w:val="24"/>
          <w:szCs w:val="24"/>
        </w:rPr>
      </w:pPr>
    </w:p>
    <w:p w14:paraId="320A833E" w14:textId="42FE4DC0" w:rsidR="00406A88" w:rsidRPr="00406A88" w:rsidRDefault="00406A88" w:rsidP="00406A88">
      <w:pPr>
        <w:autoSpaceDE w:val="0"/>
        <w:autoSpaceDN w:val="0"/>
        <w:adjustRightInd w:val="0"/>
        <w:spacing w:line="240" w:lineRule="auto"/>
        <w:jc w:val="both"/>
        <w:rPr>
          <w:rFonts w:ascii="Times New Roman" w:hAnsi="Times New Roman"/>
          <w:sz w:val="24"/>
          <w:szCs w:val="24"/>
        </w:rPr>
      </w:pPr>
    </w:p>
    <w:p w14:paraId="294A7321" w14:textId="77777777" w:rsidR="00406A88" w:rsidRDefault="00406A88">
      <w:pPr>
        <w:spacing w:line="360" w:lineRule="auto"/>
        <w:rPr>
          <w:rFonts w:ascii="Times New Roman" w:hAnsi="Times New Roman"/>
          <w:b/>
          <w:bCs/>
          <w:sz w:val="24"/>
          <w:szCs w:val="24"/>
        </w:rPr>
      </w:pPr>
    </w:p>
    <w:p w14:paraId="6729FC92" w14:textId="77777777" w:rsidR="005C75C3" w:rsidRDefault="005C75C3">
      <w:pPr>
        <w:spacing w:line="360" w:lineRule="auto"/>
        <w:rPr>
          <w:rFonts w:ascii="Times New Roman" w:hAnsi="Times New Roman"/>
          <w:sz w:val="24"/>
          <w:szCs w:val="24"/>
        </w:rPr>
      </w:pPr>
    </w:p>
    <w:p w14:paraId="50CB6706" w14:textId="77777777" w:rsidR="005C75C3" w:rsidRDefault="00D42813">
      <w:pPr>
        <w:spacing w:line="360" w:lineRule="auto"/>
        <w:rPr>
          <w:rFonts w:ascii="Times New Roman" w:hAnsi="Times New Roman"/>
          <w:b/>
          <w:bCs/>
          <w:sz w:val="24"/>
          <w:szCs w:val="24"/>
        </w:rPr>
      </w:pPr>
      <w:r>
        <w:rPr>
          <w:rFonts w:ascii="Times New Roman" w:hAnsi="Times New Roman"/>
          <w:sz w:val="24"/>
          <w:szCs w:val="24"/>
        </w:rPr>
        <w:t xml:space="preserve">Key words: </w:t>
      </w:r>
      <w:proofErr w:type="spellStart"/>
      <w:r>
        <w:rPr>
          <w:rFonts w:ascii="Times New Roman" w:hAnsi="Times New Roman"/>
          <w:sz w:val="24"/>
          <w:szCs w:val="24"/>
        </w:rPr>
        <w:t>Hyperlipidaemia</w:t>
      </w:r>
      <w:proofErr w:type="spellEnd"/>
      <w:r>
        <w:rPr>
          <w:rFonts w:ascii="Times New Roman" w:hAnsi="Times New Roman"/>
          <w:sz w:val="24"/>
          <w:szCs w:val="24"/>
        </w:rPr>
        <w:t xml:space="preserve">, Lipid profile, </w:t>
      </w:r>
      <w:r>
        <w:rPr>
          <w:rFonts w:ascii="Times New Roman" w:hAnsi="Times New Roman"/>
          <w:i/>
          <w:iCs/>
          <w:sz w:val="24"/>
          <w:szCs w:val="24"/>
        </w:rPr>
        <w:t>Pterocarpus santalinoides</w:t>
      </w:r>
      <w:r>
        <w:rPr>
          <w:rFonts w:ascii="Times New Roman" w:hAnsi="Times New Roman"/>
          <w:sz w:val="24"/>
          <w:szCs w:val="24"/>
        </w:rPr>
        <w:t>, Wistar albino rats.</w:t>
      </w:r>
    </w:p>
    <w:p w14:paraId="263C1FEE" w14:textId="77777777" w:rsidR="005C75C3" w:rsidRDefault="00D42813">
      <w:pPr>
        <w:spacing w:line="360" w:lineRule="auto"/>
        <w:rPr>
          <w:rFonts w:ascii="Times New Roman" w:hAnsi="Times New Roman"/>
          <w:b/>
          <w:bCs/>
          <w:sz w:val="24"/>
          <w:szCs w:val="24"/>
        </w:rPr>
      </w:pPr>
      <w:r>
        <w:rPr>
          <w:rFonts w:ascii="Times New Roman" w:hAnsi="Times New Roman"/>
          <w:b/>
          <w:bCs/>
          <w:sz w:val="24"/>
          <w:szCs w:val="24"/>
        </w:rPr>
        <w:lastRenderedPageBreak/>
        <w:t xml:space="preserve">Introduction </w:t>
      </w:r>
    </w:p>
    <w:p w14:paraId="0EFECD13" w14:textId="77B9C705" w:rsidR="00DC48AF" w:rsidRDefault="00D42813">
      <w:pPr>
        <w:spacing w:line="360" w:lineRule="auto"/>
        <w:jc w:val="both"/>
        <w:rPr>
          <w:rFonts w:ascii="Times New Roman" w:hAnsi="Times New Roman"/>
          <w:sz w:val="24"/>
          <w:szCs w:val="24"/>
        </w:rPr>
      </w:pPr>
      <w:r>
        <w:rPr>
          <w:rFonts w:ascii="Times New Roman" w:hAnsi="Times New Roman"/>
          <w:i/>
          <w:iCs/>
          <w:sz w:val="24"/>
          <w:szCs w:val="24"/>
        </w:rPr>
        <w:t>Pterocarpus santalinoides</w:t>
      </w:r>
      <w:r>
        <w:rPr>
          <w:rFonts w:ascii="Times New Roman" w:hAnsi="Times New Roman"/>
          <w:sz w:val="24"/>
          <w:szCs w:val="24"/>
        </w:rPr>
        <w:t xml:space="preserve"> is a plant indigenous to tropical Western and Southern Africa, as well as South America. Commonly known as "Red sandal wood" in English, "Nturupka" in Igbo, "Gbengbe" in Yoruba, and "Gyadar kumi" in Hausa (Adetunji, 2007; Anowi </w:t>
      </w:r>
      <w:r>
        <w:rPr>
          <w:rFonts w:ascii="Times New Roman" w:hAnsi="Times New Roman"/>
          <w:i/>
          <w:iCs/>
          <w:sz w:val="24"/>
          <w:szCs w:val="24"/>
        </w:rPr>
        <w:t>et al</w:t>
      </w:r>
      <w:r>
        <w:rPr>
          <w:rFonts w:ascii="Times New Roman" w:hAnsi="Times New Roman"/>
          <w:sz w:val="24"/>
          <w:szCs w:val="24"/>
        </w:rPr>
        <w:t>., 2012; Odeh and Tor-</w:t>
      </w:r>
      <w:proofErr w:type="spellStart"/>
      <w:r>
        <w:rPr>
          <w:rFonts w:ascii="Times New Roman" w:hAnsi="Times New Roman"/>
          <w:sz w:val="24"/>
          <w:szCs w:val="24"/>
        </w:rPr>
        <w:t>Ayiin</w:t>
      </w:r>
      <w:proofErr w:type="spellEnd"/>
      <w:r>
        <w:rPr>
          <w:rFonts w:ascii="Times New Roman" w:hAnsi="Times New Roman"/>
          <w:sz w:val="24"/>
          <w:szCs w:val="24"/>
        </w:rPr>
        <w:t>, 2014).</w:t>
      </w:r>
      <w:r w:rsidR="00DC48AF" w:rsidRPr="00DC48AF">
        <w:rPr>
          <w:rFonts w:ascii="Times New Roman" w:hAnsi="Times New Roman"/>
          <w:sz w:val="24"/>
          <w:szCs w:val="24"/>
        </w:rPr>
        <w:t xml:space="preserve"> </w:t>
      </w:r>
      <w:r w:rsidR="00DC48AF">
        <w:rPr>
          <w:rFonts w:ascii="Times New Roman" w:hAnsi="Times New Roman"/>
          <w:sz w:val="24"/>
          <w:szCs w:val="24"/>
        </w:rPr>
        <w:t xml:space="preserve">It is an evergreen, small to medium sized tree that belongs to the Family </w:t>
      </w:r>
      <w:proofErr w:type="spellStart"/>
      <w:r w:rsidR="00DC48AF">
        <w:rPr>
          <w:rFonts w:ascii="Times New Roman" w:hAnsi="Times New Roman"/>
          <w:sz w:val="24"/>
          <w:szCs w:val="24"/>
        </w:rPr>
        <w:t>Papilionaceae</w:t>
      </w:r>
      <w:proofErr w:type="spellEnd"/>
      <w:r w:rsidR="00DC48AF">
        <w:rPr>
          <w:rFonts w:ascii="Times New Roman" w:hAnsi="Times New Roman"/>
          <w:sz w:val="24"/>
          <w:szCs w:val="24"/>
        </w:rPr>
        <w:t xml:space="preserve"> (Keay, 1989; Adetunji, 2007). This plant belongs to the legume family Fabaceae. It is usually an evergreen tree with a dense crown of more or less drooping, straggling branches (Tropical plant) with compound leaves, flowers and bear fruits in the rainy season (Offor </w:t>
      </w:r>
      <w:r w:rsidR="00DC48AF">
        <w:rPr>
          <w:rFonts w:ascii="Times New Roman" w:hAnsi="Times New Roman"/>
          <w:i/>
          <w:iCs/>
          <w:sz w:val="24"/>
          <w:szCs w:val="24"/>
        </w:rPr>
        <w:t>et al</w:t>
      </w:r>
      <w:r w:rsidR="00DC48AF">
        <w:rPr>
          <w:rFonts w:ascii="Times New Roman" w:hAnsi="Times New Roman"/>
          <w:sz w:val="24"/>
          <w:szCs w:val="24"/>
        </w:rPr>
        <w:t xml:space="preserve">., 2015). It is a tree of about 9-12m tall with a trunk up to 1m in diameter and flaky bark. The leaves are pinnate, alternate compound, 5-9 leaflets ovate-elliptic, abruptly acuminate, rounded at the base or slightly cuneate, glabrous, glossy, rather coriaceous with about 8 pairs of prominent main lateral nerves looping away from the margin, leaf stalk slender, glabrous stalk 10-20cm long, leaflet stalk stout 2-5mm long. The leaflets are alternate to almost opposite ovate to elliptical, papery to thinly leathery, sparsely hairy below when young but soon glabrescent with lateral veins. The flowers are orange-yellow, produced in panicles. The fruit is a light brown glabrous pod, 3.5-6cm across including the soft, fleshy narrow wing which extends about three quarters way round the wide margin. The flowers are bright-yellow to orange-yellow, fragrant in axillary racemes and panicles, inflorescence branches, finely hairy, individual flowers with short stalks. Calyx rather narrowly cup-shape, petals densely hairy outside, about 7mm long including the prominent triangular teeth, standard petal about 12mm long and broad. The fruit is an almost orbicular, flattened indehiscent pod, 3.5-6cm, wrinkled brownish hairy with 1-2 seeds. The seed is kidney-shaped 1-1.5cm long, smooth and reddish brown. The fruit is light brown with glabrous seed measuring about 3-6cm across. The fruit contains soft fleshing narrow wing which extends round the body, with a corky and knobby flesh surrounding a hard woody shell (Keay, 1989). The pods are unequally orbicular and flat. The bark is thin greyish brown surface and flaking in small patches, inner bark (slash) is yellowish white to pinkish with red stripes and exudes drops of red gummy fluid. The stem is often short, branched and evergreen (Keay, 1989). </w:t>
      </w:r>
      <w:r>
        <w:rPr>
          <w:rFonts w:ascii="Times New Roman" w:hAnsi="Times New Roman"/>
          <w:sz w:val="24"/>
          <w:szCs w:val="24"/>
        </w:rPr>
        <w:t xml:space="preserve"> </w:t>
      </w:r>
    </w:p>
    <w:p w14:paraId="6BA1C3A0" w14:textId="67509B9E" w:rsidR="005C75C3" w:rsidRDefault="00D42813">
      <w:pPr>
        <w:spacing w:line="360" w:lineRule="auto"/>
        <w:jc w:val="both"/>
        <w:rPr>
          <w:rFonts w:ascii="Times New Roman" w:hAnsi="Times New Roman"/>
          <w:b/>
          <w:sz w:val="24"/>
          <w:szCs w:val="24"/>
        </w:rPr>
      </w:pPr>
      <w:r>
        <w:rPr>
          <w:rFonts w:ascii="Times New Roman" w:hAnsi="Times New Roman"/>
          <w:i/>
          <w:iCs/>
          <w:sz w:val="24"/>
          <w:szCs w:val="24"/>
        </w:rPr>
        <w:t xml:space="preserve">Pterocarpus </w:t>
      </w:r>
      <w:proofErr w:type="spellStart"/>
      <w:r>
        <w:rPr>
          <w:rFonts w:ascii="Times New Roman" w:hAnsi="Times New Roman"/>
          <w:i/>
          <w:iCs/>
          <w:sz w:val="24"/>
          <w:szCs w:val="24"/>
        </w:rPr>
        <w:t>santalinoides</w:t>
      </w:r>
      <w:proofErr w:type="spellEnd"/>
      <w:r>
        <w:rPr>
          <w:rFonts w:ascii="Times New Roman" w:hAnsi="Times New Roman"/>
          <w:sz w:val="24"/>
          <w:szCs w:val="24"/>
        </w:rPr>
        <w:t xml:space="preserve"> is endowed with so many phytochemicals with pharmacological potencies thus making it one of the herbal remedies employed for the treatment of diverse kinds of ailments. Its leaves are eaten as vegetable and used to treat gastro-intestinal diseases, skin diseases, pain and inflammation of lower abdomen, stomach ache, headache, skin diseases, boils, fevers diabetic syndrome and are known to exhibit antipyretic activity (Anowi </w:t>
      </w:r>
      <w:r>
        <w:rPr>
          <w:rFonts w:ascii="Times New Roman" w:hAnsi="Times New Roman"/>
          <w:i/>
          <w:iCs/>
          <w:sz w:val="24"/>
          <w:szCs w:val="24"/>
        </w:rPr>
        <w:t>et al</w:t>
      </w:r>
      <w:r>
        <w:rPr>
          <w:rFonts w:ascii="Times New Roman" w:hAnsi="Times New Roman"/>
          <w:sz w:val="24"/>
          <w:szCs w:val="24"/>
        </w:rPr>
        <w:t xml:space="preserve">., </w:t>
      </w:r>
      <w:r>
        <w:rPr>
          <w:rFonts w:ascii="Times New Roman" w:hAnsi="Times New Roman"/>
          <w:sz w:val="24"/>
          <w:szCs w:val="24"/>
        </w:rPr>
        <w:lastRenderedPageBreak/>
        <w:t xml:space="preserve">2012; Osuagwu and Akomas, 2013). The young tender leaves of the vegetable are edible and are used for cooking soup. Roasted seeds are also edible and also taste like groundnut. However, the raw seed is toxic. Leaves of </w:t>
      </w:r>
      <w:r>
        <w:rPr>
          <w:rFonts w:ascii="Times New Roman" w:hAnsi="Times New Roman"/>
          <w:i/>
          <w:iCs/>
          <w:sz w:val="24"/>
          <w:szCs w:val="24"/>
        </w:rPr>
        <w:t>P</w:t>
      </w:r>
      <w:r w:rsidR="0077141B">
        <w:rPr>
          <w:rFonts w:ascii="Times New Roman" w:hAnsi="Times New Roman"/>
          <w:i/>
          <w:iCs/>
          <w:sz w:val="24"/>
          <w:szCs w:val="24"/>
        </w:rPr>
        <w:t>.</w:t>
      </w:r>
      <w:r>
        <w:rPr>
          <w:rFonts w:ascii="Times New Roman" w:hAnsi="Times New Roman"/>
          <w:i/>
          <w:iCs/>
          <w:sz w:val="24"/>
          <w:szCs w:val="24"/>
        </w:rPr>
        <w:t xml:space="preserve"> santalinoides</w:t>
      </w:r>
      <w:r>
        <w:rPr>
          <w:rFonts w:ascii="Times New Roman" w:hAnsi="Times New Roman"/>
          <w:sz w:val="24"/>
          <w:szCs w:val="24"/>
        </w:rPr>
        <w:t xml:space="preserve"> are traditionally used as food (vegetable) and as medicine in the treatment of various ailments, including inflammatory and cardiovascular diseases (heart attack and stroke) (Adesina, 1982; Schulz </w:t>
      </w:r>
      <w:r>
        <w:rPr>
          <w:rFonts w:ascii="Times New Roman" w:hAnsi="Times New Roman"/>
          <w:i/>
          <w:iCs/>
          <w:sz w:val="24"/>
          <w:szCs w:val="24"/>
        </w:rPr>
        <w:t>et al</w:t>
      </w:r>
      <w:r>
        <w:rPr>
          <w:rFonts w:ascii="Times New Roman" w:hAnsi="Times New Roman"/>
          <w:sz w:val="24"/>
          <w:szCs w:val="24"/>
        </w:rPr>
        <w:t xml:space="preserve">., 2001; Okwu and Ekeke., 2003). Research reports in available literature showed that </w:t>
      </w:r>
      <w:r>
        <w:rPr>
          <w:rFonts w:ascii="Times New Roman" w:hAnsi="Times New Roman"/>
          <w:i/>
          <w:iCs/>
          <w:sz w:val="24"/>
          <w:szCs w:val="24"/>
        </w:rPr>
        <w:t>Pterocarpus santalinoides</w:t>
      </w:r>
      <w:r>
        <w:rPr>
          <w:rFonts w:ascii="Times New Roman" w:hAnsi="Times New Roman"/>
          <w:sz w:val="24"/>
          <w:szCs w:val="24"/>
        </w:rPr>
        <w:t xml:space="preserve"> leaf extract possesses hepatoprotective and antioxidant activities, as well as glucose and lipid lowering properties (Offor </w:t>
      </w:r>
      <w:r>
        <w:rPr>
          <w:rFonts w:ascii="Times New Roman" w:hAnsi="Times New Roman"/>
          <w:i/>
          <w:iCs/>
          <w:sz w:val="24"/>
          <w:szCs w:val="24"/>
        </w:rPr>
        <w:t>et al</w:t>
      </w:r>
      <w:r>
        <w:rPr>
          <w:rFonts w:ascii="Times New Roman" w:hAnsi="Times New Roman"/>
          <w:sz w:val="24"/>
          <w:szCs w:val="24"/>
        </w:rPr>
        <w:t xml:space="preserve">., 2015; Ihedioha </w:t>
      </w:r>
      <w:r>
        <w:rPr>
          <w:rFonts w:ascii="Times New Roman" w:hAnsi="Times New Roman"/>
          <w:i/>
          <w:iCs/>
          <w:sz w:val="24"/>
          <w:szCs w:val="24"/>
        </w:rPr>
        <w:t>et al</w:t>
      </w:r>
      <w:r>
        <w:rPr>
          <w:rFonts w:ascii="Times New Roman" w:hAnsi="Times New Roman"/>
          <w:sz w:val="24"/>
          <w:szCs w:val="24"/>
        </w:rPr>
        <w:t xml:space="preserve">., 2017, 2018 and 2019). The ethno-medical use of leaves of </w:t>
      </w:r>
      <w:r>
        <w:rPr>
          <w:rFonts w:ascii="Times New Roman" w:hAnsi="Times New Roman"/>
          <w:i/>
          <w:iCs/>
          <w:sz w:val="24"/>
          <w:szCs w:val="24"/>
        </w:rPr>
        <w:t>P</w:t>
      </w:r>
      <w:r w:rsidR="0077141B">
        <w:rPr>
          <w:rFonts w:ascii="Times New Roman" w:hAnsi="Times New Roman"/>
          <w:i/>
          <w:iCs/>
          <w:sz w:val="24"/>
          <w:szCs w:val="24"/>
        </w:rPr>
        <w:t>.</w:t>
      </w:r>
      <w:r>
        <w:rPr>
          <w:rFonts w:ascii="Times New Roman" w:hAnsi="Times New Roman"/>
          <w:i/>
          <w:iCs/>
          <w:sz w:val="24"/>
          <w:szCs w:val="24"/>
        </w:rPr>
        <w:t xml:space="preserve"> santalinoides</w:t>
      </w:r>
      <w:r>
        <w:rPr>
          <w:rFonts w:ascii="Times New Roman" w:hAnsi="Times New Roman"/>
          <w:sz w:val="24"/>
          <w:szCs w:val="24"/>
        </w:rPr>
        <w:t xml:space="preserve"> in the treatment of diarrhoea and other gastrointestinal disorders, its triglyceride and glucose lowering properties were previously established experimentally (Okpo </w:t>
      </w:r>
      <w:r>
        <w:rPr>
          <w:rFonts w:ascii="Times New Roman" w:hAnsi="Times New Roman"/>
          <w:i/>
          <w:iCs/>
          <w:sz w:val="24"/>
          <w:szCs w:val="24"/>
        </w:rPr>
        <w:t>et al</w:t>
      </w:r>
      <w:r>
        <w:rPr>
          <w:rFonts w:ascii="Times New Roman" w:hAnsi="Times New Roman"/>
          <w:sz w:val="24"/>
          <w:szCs w:val="24"/>
        </w:rPr>
        <w:t xml:space="preserve">., 2011; Madubuike </w:t>
      </w:r>
      <w:r>
        <w:rPr>
          <w:rFonts w:ascii="Times New Roman" w:hAnsi="Times New Roman"/>
          <w:i/>
          <w:iCs/>
          <w:sz w:val="24"/>
          <w:szCs w:val="24"/>
        </w:rPr>
        <w:t>et al</w:t>
      </w:r>
      <w:r>
        <w:rPr>
          <w:rFonts w:ascii="Times New Roman" w:hAnsi="Times New Roman"/>
          <w:sz w:val="24"/>
          <w:szCs w:val="24"/>
        </w:rPr>
        <w:t xml:space="preserve">., 2020; Anowi </w:t>
      </w:r>
      <w:r>
        <w:rPr>
          <w:rFonts w:ascii="Times New Roman" w:hAnsi="Times New Roman"/>
          <w:i/>
          <w:iCs/>
          <w:sz w:val="24"/>
          <w:szCs w:val="24"/>
        </w:rPr>
        <w:t>et al</w:t>
      </w:r>
      <w:r>
        <w:rPr>
          <w:rFonts w:ascii="Times New Roman" w:hAnsi="Times New Roman"/>
          <w:sz w:val="24"/>
          <w:szCs w:val="24"/>
        </w:rPr>
        <w:t xml:space="preserve">., 2012). Moreover, the leaves have anti-microbial activity and contain phytochemicals including alkaloids, tannins, saponins, terpenoids, flavanoids and anthraquinones, which may be responsible for these activities (Ukwueze </w:t>
      </w:r>
      <w:r>
        <w:rPr>
          <w:rFonts w:ascii="Times New Roman" w:hAnsi="Times New Roman"/>
          <w:i/>
          <w:iCs/>
          <w:sz w:val="24"/>
          <w:szCs w:val="24"/>
        </w:rPr>
        <w:t>et al</w:t>
      </w:r>
      <w:r>
        <w:rPr>
          <w:rFonts w:ascii="Times New Roman" w:hAnsi="Times New Roman"/>
          <w:sz w:val="24"/>
          <w:szCs w:val="24"/>
        </w:rPr>
        <w:t xml:space="preserve">., 2018). Ethanol leaf extract of </w:t>
      </w:r>
      <w:r>
        <w:rPr>
          <w:rFonts w:ascii="Times New Roman" w:hAnsi="Times New Roman"/>
          <w:i/>
          <w:iCs/>
          <w:sz w:val="24"/>
          <w:szCs w:val="24"/>
        </w:rPr>
        <w:t>P</w:t>
      </w:r>
      <w:r w:rsidR="0077141B">
        <w:rPr>
          <w:rFonts w:ascii="Times New Roman" w:hAnsi="Times New Roman"/>
          <w:i/>
          <w:iCs/>
          <w:sz w:val="24"/>
          <w:szCs w:val="24"/>
        </w:rPr>
        <w:t>.</w:t>
      </w:r>
      <w:r>
        <w:rPr>
          <w:rFonts w:ascii="Times New Roman" w:hAnsi="Times New Roman"/>
          <w:i/>
          <w:iCs/>
          <w:sz w:val="24"/>
          <w:szCs w:val="24"/>
        </w:rPr>
        <w:t xml:space="preserve"> santalinoides</w:t>
      </w:r>
      <w:r>
        <w:rPr>
          <w:rFonts w:ascii="Times New Roman" w:hAnsi="Times New Roman"/>
          <w:sz w:val="24"/>
          <w:szCs w:val="24"/>
        </w:rPr>
        <w:t xml:space="preserve"> possess anti-diabetic and anti-hyperlipidemic potential, which can be useful in the treatment and management of diabetes mellitus and atherosclerosis (Ezeani </w:t>
      </w:r>
      <w:r>
        <w:rPr>
          <w:rFonts w:ascii="Times New Roman" w:hAnsi="Times New Roman"/>
          <w:i/>
          <w:iCs/>
          <w:sz w:val="24"/>
          <w:szCs w:val="24"/>
        </w:rPr>
        <w:t>et al</w:t>
      </w:r>
      <w:r>
        <w:rPr>
          <w:rFonts w:ascii="Times New Roman" w:hAnsi="Times New Roman"/>
          <w:sz w:val="24"/>
          <w:szCs w:val="24"/>
        </w:rPr>
        <w:t xml:space="preserve">., 2017). </w:t>
      </w:r>
    </w:p>
    <w:p w14:paraId="37DACCFB" w14:textId="52C29394" w:rsidR="005C75C3" w:rsidRDefault="00D42813">
      <w:pPr>
        <w:spacing w:line="360" w:lineRule="auto"/>
        <w:jc w:val="both"/>
        <w:rPr>
          <w:rFonts w:ascii="Times New Roman" w:hAnsi="Times New Roman"/>
          <w:b/>
          <w:sz w:val="24"/>
          <w:szCs w:val="24"/>
        </w:rPr>
      </w:pPr>
      <w:r>
        <w:rPr>
          <w:rFonts w:ascii="Times New Roman" w:hAnsi="Times New Roman"/>
          <w:sz w:val="24"/>
          <w:szCs w:val="24"/>
        </w:rPr>
        <w:t xml:space="preserve">No form of toxicity has been reported with the folkloric use of the leaves of </w:t>
      </w:r>
      <w:r>
        <w:rPr>
          <w:rFonts w:ascii="Times New Roman" w:hAnsi="Times New Roman"/>
          <w:i/>
          <w:iCs/>
          <w:sz w:val="24"/>
          <w:szCs w:val="24"/>
        </w:rPr>
        <w:t>Pterocarpus santalinoides</w:t>
      </w:r>
      <w:r>
        <w:rPr>
          <w:rFonts w:ascii="Times New Roman" w:hAnsi="Times New Roman"/>
          <w:sz w:val="24"/>
          <w:szCs w:val="24"/>
        </w:rPr>
        <w:t xml:space="preserve"> as vegetable and ethno-medicine in humans, and as fodder or ethno-medicine in livestock (Poppenga, 2007; Tiwari, 2010; Anowi </w:t>
      </w:r>
      <w:r>
        <w:rPr>
          <w:rFonts w:ascii="Times New Roman" w:hAnsi="Times New Roman"/>
          <w:i/>
          <w:iCs/>
          <w:sz w:val="24"/>
          <w:szCs w:val="24"/>
        </w:rPr>
        <w:t>et al</w:t>
      </w:r>
      <w:r>
        <w:rPr>
          <w:rFonts w:ascii="Times New Roman" w:hAnsi="Times New Roman"/>
          <w:sz w:val="24"/>
          <w:szCs w:val="24"/>
        </w:rPr>
        <w:t xml:space="preserve">., 2012). Acute and chronic toxicity studies on the leaf extracts by different researchers has not reported any substantial toxicity either (Anowi </w:t>
      </w:r>
      <w:r>
        <w:rPr>
          <w:rFonts w:ascii="Times New Roman" w:hAnsi="Times New Roman"/>
          <w:i/>
          <w:iCs/>
          <w:sz w:val="24"/>
          <w:szCs w:val="24"/>
        </w:rPr>
        <w:t>et al</w:t>
      </w:r>
      <w:r>
        <w:rPr>
          <w:rFonts w:ascii="Times New Roman" w:hAnsi="Times New Roman"/>
          <w:sz w:val="24"/>
          <w:szCs w:val="24"/>
        </w:rPr>
        <w:t xml:space="preserve">., 2012; Ihedioha </w:t>
      </w:r>
      <w:r>
        <w:rPr>
          <w:rFonts w:ascii="Times New Roman" w:hAnsi="Times New Roman"/>
          <w:i/>
          <w:iCs/>
          <w:sz w:val="24"/>
          <w:szCs w:val="24"/>
        </w:rPr>
        <w:t>et al</w:t>
      </w:r>
      <w:r>
        <w:rPr>
          <w:rFonts w:ascii="Times New Roman" w:hAnsi="Times New Roman"/>
          <w:sz w:val="24"/>
          <w:szCs w:val="24"/>
        </w:rPr>
        <w:t xml:space="preserve">., 2017). Scientific reports on the medicinal use of the leaves of </w:t>
      </w:r>
      <w:r>
        <w:rPr>
          <w:rFonts w:ascii="Times New Roman" w:hAnsi="Times New Roman"/>
          <w:i/>
          <w:sz w:val="24"/>
          <w:szCs w:val="24"/>
        </w:rPr>
        <w:t>P</w:t>
      </w:r>
      <w:r w:rsidR="0077141B">
        <w:rPr>
          <w:rFonts w:ascii="Times New Roman" w:hAnsi="Times New Roman"/>
          <w:i/>
          <w:sz w:val="24"/>
          <w:szCs w:val="24"/>
        </w:rPr>
        <w:t>.</w:t>
      </w:r>
      <w:r>
        <w:rPr>
          <w:rFonts w:ascii="Times New Roman" w:hAnsi="Times New Roman"/>
          <w:i/>
          <w:sz w:val="24"/>
          <w:szCs w:val="24"/>
        </w:rPr>
        <w:t xml:space="preserve"> santalinoides</w:t>
      </w:r>
      <w:r>
        <w:rPr>
          <w:rFonts w:ascii="Times New Roman" w:hAnsi="Times New Roman"/>
          <w:sz w:val="24"/>
          <w:szCs w:val="24"/>
        </w:rPr>
        <w:t xml:space="preserve"> for the treatment or management of cardiovascular diseases, however, is adequately lacking in the available literature. Based on the various medicinal uses of </w:t>
      </w:r>
      <w:r>
        <w:rPr>
          <w:rFonts w:ascii="Times New Roman" w:hAnsi="Times New Roman"/>
          <w:i/>
          <w:iCs/>
          <w:sz w:val="24"/>
          <w:szCs w:val="24"/>
        </w:rPr>
        <w:t>P</w:t>
      </w:r>
      <w:r w:rsidR="0077141B">
        <w:rPr>
          <w:rFonts w:ascii="Times New Roman" w:hAnsi="Times New Roman"/>
          <w:i/>
          <w:iCs/>
          <w:sz w:val="24"/>
          <w:szCs w:val="24"/>
        </w:rPr>
        <w:t>.</w:t>
      </w:r>
      <w:r>
        <w:rPr>
          <w:rFonts w:ascii="Times New Roman" w:hAnsi="Times New Roman"/>
          <w:i/>
          <w:iCs/>
          <w:sz w:val="24"/>
          <w:szCs w:val="24"/>
        </w:rPr>
        <w:t xml:space="preserve"> santalinoides</w:t>
      </w:r>
      <w:r>
        <w:rPr>
          <w:rFonts w:ascii="Times New Roman" w:hAnsi="Times New Roman"/>
          <w:sz w:val="24"/>
          <w:szCs w:val="24"/>
        </w:rPr>
        <w:t xml:space="preserve"> especially in the treatment of cardiovascular diseases and the role that serum lipids play in the onset, development, and progression of cardiovascular diseases, it became necessary to evaluate the phytochemical constituents of ethanol leaf extract of </w:t>
      </w:r>
      <w:r>
        <w:rPr>
          <w:rFonts w:ascii="Times New Roman" w:hAnsi="Times New Roman"/>
          <w:i/>
          <w:iCs/>
          <w:sz w:val="24"/>
          <w:szCs w:val="24"/>
        </w:rPr>
        <w:t>P</w:t>
      </w:r>
      <w:r w:rsidR="0077141B">
        <w:rPr>
          <w:rFonts w:ascii="Times New Roman" w:hAnsi="Times New Roman"/>
          <w:i/>
          <w:iCs/>
          <w:sz w:val="24"/>
          <w:szCs w:val="24"/>
        </w:rPr>
        <w:t>.</w:t>
      </w:r>
      <w:r>
        <w:rPr>
          <w:rFonts w:ascii="Times New Roman" w:hAnsi="Times New Roman"/>
          <w:i/>
          <w:iCs/>
          <w:sz w:val="24"/>
          <w:szCs w:val="24"/>
        </w:rPr>
        <w:t xml:space="preserve"> santalinoides </w:t>
      </w:r>
      <w:r>
        <w:rPr>
          <w:rFonts w:ascii="Times New Roman" w:hAnsi="Times New Roman"/>
          <w:sz w:val="24"/>
          <w:szCs w:val="24"/>
        </w:rPr>
        <w:t>and investigate the effect of the extract on the lipid profile of male albino rats as a gateway to establish it's significance in the management of cardiovascular diseases.</w:t>
      </w:r>
    </w:p>
    <w:p w14:paraId="5FF69CC3" w14:textId="77777777" w:rsidR="005C75C3" w:rsidRDefault="00D42813">
      <w:pPr>
        <w:spacing w:line="360" w:lineRule="auto"/>
        <w:rPr>
          <w:rFonts w:ascii="Times New Roman" w:hAnsi="Times New Roman"/>
          <w:sz w:val="24"/>
          <w:szCs w:val="24"/>
        </w:rPr>
      </w:pPr>
      <w:r>
        <w:rPr>
          <w:rFonts w:ascii="Times New Roman" w:hAnsi="Times New Roman"/>
          <w:noProof/>
          <w:sz w:val="24"/>
          <w:szCs w:val="24"/>
          <w:lang w:val="en-GB" w:eastAsia="en-GB"/>
        </w:rPr>
        <w:lastRenderedPageBreak/>
        <w:drawing>
          <wp:inline distT="0" distB="0" distL="0" distR="0" wp14:anchorId="41A3E2CA" wp14:editId="704DB2BA">
            <wp:extent cx="3778029" cy="2790825"/>
            <wp:effectExtent l="0" t="0" r="0" b="0"/>
            <wp:docPr id="1026"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cstate="print"/>
                    <a:srcRect/>
                    <a:stretch/>
                  </pic:blipFill>
                  <pic:spPr>
                    <a:xfrm>
                      <a:off x="0" y="0"/>
                      <a:ext cx="3790183" cy="2799803"/>
                    </a:xfrm>
                    <a:prstGeom prst="rect">
                      <a:avLst/>
                    </a:prstGeom>
                    <a:ln>
                      <a:noFill/>
                    </a:ln>
                  </pic:spPr>
                </pic:pic>
              </a:graphicData>
            </a:graphic>
          </wp:inline>
        </w:drawing>
      </w:r>
    </w:p>
    <w:p w14:paraId="12E8CE0B" w14:textId="77777777" w:rsidR="005C75C3" w:rsidRDefault="00D42813">
      <w:pPr>
        <w:spacing w:line="360" w:lineRule="auto"/>
        <w:rPr>
          <w:rFonts w:ascii="Times New Roman" w:hAnsi="Times New Roman"/>
          <w:sz w:val="24"/>
          <w:szCs w:val="24"/>
        </w:rPr>
      </w:pPr>
      <w:r>
        <w:rPr>
          <w:rFonts w:ascii="Times New Roman" w:hAnsi="Times New Roman"/>
          <w:sz w:val="24"/>
          <w:szCs w:val="24"/>
        </w:rPr>
        <w:t xml:space="preserve">Figure 1: Leaves of </w:t>
      </w:r>
      <w:r>
        <w:rPr>
          <w:rFonts w:ascii="Times New Roman" w:hAnsi="Times New Roman"/>
          <w:i/>
          <w:iCs/>
          <w:sz w:val="24"/>
          <w:szCs w:val="24"/>
        </w:rPr>
        <w:t xml:space="preserve">Pterocarpus santalinoides </w:t>
      </w:r>
      <w:r>
        <w:rPr>
          <w:rFonts w:ascii="Times New Roman" w:hAnsi="Times New Roman"/>
          <w:sz w:val="24"/>
          <w:szCs w:val="24"/>
        </w:rPr>
        <w:t>(Muoneke, 2024).</w:t>
      </w:r>
    </w:p>
    <w:p w14:paraId="08353060" w14:textId="77777777" w:rsidR="005C75C3" w:rsidRDefault="00D42813">
      <w:pPr>
        <w:spacing w:line="360" w:lineRule="auto"/>
        <w:rPr>
          <w:rStyle w:val="Emphasis"/>
          <w:rFonts w:ascii="Times New Roman" w:hAnsi="Times New Roman"/>
          <w:sz w:val="24"/>
          <w:szCs w:val="24"/>
        </w:rPr>
      </w:pPr>
      <w:r>
        <w:rPr>
          <w:rFonts w:ascii="Times New Roman" w:hAnsi="Times New Roman"/>
          <w:b/>
          <w:sz w:val="24"/>
          <w:szCs w:val="24"/>
        </w:rPr>
        <w:t xml:space="preserve">Materials and methods </w:t>
      </w:r>
    </w:p>
    <w:p w14:paraId="7B8D8513" w14:textId="77777777" w:rsidR="005C75C3" w:rsidRDefault="00D42813">
      <w:pPr>
        <w:spacing w:line="360" w:lineRule="auto"/>
        <w:jc w:val="both"/>
        <w:rPr>
          <w:rFonts w:ascii="Times New Roman" w:hAnsi="Times New Roman"/>
          <w:b/>
          <w:sz w:val="24"/>
          <w:szCs w:val="24"/>
        </w:rPr>
      </w:pPr>
      <w:r>
        <w:rPr>
          <w:rFonts w:ascii="Times New Roman" w:hAnsi="Times New Roman"/>
          <w:b/>
          <w:sz w:val="24"/>
          <w:szCs w:val="24"/>
        </w:rPr>
        <w:t>Materials</w:t>
      </w:r>
    </w:p>
    <w:p w14:paraId="7F371E90" w14:textId="77777777" w:rsidR="005C75C3" w:rsidRDefault="00D42813">
      <w:pPr>
        <w:spacing w:line="360" w:lineRule="auto"/>
        <w:jc w:val="both"/>
        <w:rPr>
          <w:rFonts w:ascii="Times New Roman" w:hAnsi="Times New Roman"/>
          <w:b/>
          <w:bCs/>
          <w:sz w:val="24"/>
          <w:szCs w:val="24"/>
        </w:rPr>
      </w:pPr>
      <w:r>
        <w:rPr>
          <w:rFonts w:ascii="Times New Roman" w:hAnsi="Times New Roman"/>
          <w:b/>
          <w:bCs/>
          <w:sz w:val="24"/>
          <w:szCs w:val="24"/>
        </w:rPr>
        <w:t>Chemicals and Reagents</w:t>
      </w:r>
    </w:p>
    <w:p w14:paraId="009C737A" w14:textId="77777777" w:rsidR="005C75C3" w:rsidRDefault="00D42813">
      <w:pPr>
        <w:spacing w:line="360" w:lineRule="auto"/>
        <w:jc w:val="both"/>
        <w:rPr>
          <w:rFonts w:ascii="Times New Roman" w:hAnsi="Times New Roman"/>
          <w:sz w:val="24"/>
          <w:szCs w:val="24"/>
        </w:rPr>
      </w:pPr>
      <w:r>
        <w:rPr>
          <w:rFonts w:ascii="Times New Roman" w:hAnsi="Times New Roman"/>
          <w:sz w:val="24"/>
          <w:szCs w:val="24"/>
        </w:rPr>
        <w:t>All chemicals and reagents used in the study were of analytical grade and were obtained from standard commercial sources.</w:t>
      </w:r>
    </w:p>
    <w:p w14:paraId="0D06B7DC" w14:textId="77777777" w:rsidR="005C75C3" w:rsidRDefault="00D42813">
      <w:pPr>
        <w:spacing w:line="360" w:lineRule="auto"/>
        <w:jc w:val="both"/>
        <w:rPr>
          <w:rFonts w:ascii="Times New Roman" w:hAnsi="Times New Roman"/>
          <w:b/>
          <w:bCs/>
          <w:sz w:val="24"/>
          <w:szCs w:val="24"/>
        </w:rPr>
      </w:pPr>
      <w:r>
        <w:rPr>
          <w:rFonts w:ascii="Times New Roman" w:hAnsi="Times New Roman"/>
          <w:b/>
          <w:bCs/>
          <w:sz w:val="24"/>
          <w:szCs w:val="24"/>
        </w:rPr>
        <w:t>Study Area</w:t>
      </w:r>
    </w:p>
    <w:p w14:paraId="51299299" w14:textId="0DA47DD2" w:rsidR="006F272A" w:rsidRDefault="00D42813">
      <w:pPr>
        <w:spacing w:line="360" w:lineRule="auto"/>
        <w:jc w:val="both"/>
        <w:rPr>
          <w:rFonts w:ascii="Times New Roman" w:hAnsi="Times New Roman"/>
          <w:sz w:val="24"/>
          <w:szCs w:val="24"/>
        </w:rPr>
      </w:pPr>
      <w:r>
        <w:rPr>
          <w:rFonts w:ascii="Times New Roman" w:hAnsi="Times New Roman"/>
          <w:sz w:val="24"/>
          <w:szCs w:val="24"/>
        </w:rPr>
        <w:t xml:space="preserve">The study was conducted at Chris Experimental Animal Farm and Research Laboratory, Awka, Anambra State, Nigeria. Gas chromatography-mass spectrometry analysis was carried out at Docchy Analytical Laboratories and Environment Services Ltd., </w:t>
      </w:r>
      <w:proofErr w:type="spellStart"/>
      <w:r>
        <w:rPr>
          <w:rFonts w:ascii="Times New Roman" w:hAnsi="Times New Roman"/>
          <w:sz w:val="24"/>
          <w:szCs w:val="24"/>
        </w:rPr>
        <w:t>Awka</w:t>
      </w:r>
      <w:proofErr w:type="spellEnd"/>
      <w:r>
        <w:rPr>
          <w:rFonts w:ascii="Times New Roman" w:hAnsi="Times New Roman"/>
          <w:sz w:val="24"/>
          <w:szCs w:val="24"/>
        </w:rPr>
        <w:t>, Anambra State.</w:t>
      </w:r>
    </w:p>
    <w:p w14:paraId="7BFFC282" w14:textId="77777777" w:rsidR="005C75C3" w:rsidRDefault="00D42813">
      <w:pPr>
        <w:spacing w:line="360" w:lineRule="auto"/>
        <w:jc w:val="both"/>
        <w:rPr>
          <w:rFonts w:ascii="Times New Roman" w:hAnsi="Times New Roman"/>
          <w:b/>
          <w:bCs/>
          <w:sz w:val="24"/>
          <w:szCs w:val="24"/>
        </w:rPr>
      </w:pPr>
      <w:r>
        <w:rPr>
          <w:rFonts w:ascii="Times New Roman" w:hAnsi="Times New Roman"/>
          <w:b/>
          <w:bCs/>
          <w:sz w:val="24"/>
          <w:szCs w:val="24"/>
        </w:rPr>
        <w:t>Ethical Consideration</w:t>
      </w:r>
    </w:p>
    <w:p w14:paraId="1C1115CB" w14:textId="1A0C5B5C" w:rsidR="0077141B" w:rsidRDefault="00D42813">
      <w:pPr>
        <w:spacing w:line="360" w:lineRule="auto"/>
        <w:jc w:val="both"/>
        <w:rPr>
          <w:rFonts w:ascii="Times New Roman" w:hAnsi="Times New Roman"/>
          <w:sz w:val="24"/>
          <w:szCs w:val="24"/>
        </w:rPr>
      </w:pPr>
      <w:r>
        <w:rPr>
          <w:rFonts w:ascii="Times New Roman" w:hAnsi="Times New Roman"/>
          <w:sz w:val="24"/>
          <w:szCs w:val="24"/>
        </w:rPr>
        <w:t xml:space="preserve">All experimental procedures were performed in accordance with accepted guidelines for the care and use of laboratory animals. The animals were handled humanely according to established principles of laboratory animal care as described by Akah </w:t>
      </w:r>
      <w:r w:rsidRPr="0077141B">
        <w:rPr>
          <w:rFonts w:ascii="Times New Roman" w:hAnsi="Times New Roman"/>
          <w:i/>
          <w:iCs/>
          <w:sz w:val="24"/>
          <w:szCs w:val="24"/>
        </w:rPr>
        <w:t>et al</w:t>
      </w:r>
      <w:r>
        <w:rPr>
          <w:rFonts w:ascii="Times New Roman" w:hAnsi="Times New Roman"/>
          <w:sz w:val="24"/>
          <w:szCs w:val="24"/>
        </w:rPr>
        <w:t>. (2009). Ethical approval for the study was obtained from the Animal Research Ethics Committee (AREC), Nnamdi Azikiwe University, Awka, with reference number NAU/AREC/2025/0003.</w:t>
      </w:r>
    </w:p>
    <w:p w14:paraId="67199A48" w14:textId="77777777" w:rsidR="0044378F" w:rsidRDefault="0044378F">
      <w:pPr>
        <w:spacing w:line="360" w:lineRule="auto"/>
        <w:jc w:val="both"/>
        <w:rPr>
          <w:rFonts w:ascii="Times New Roman" w:hAnsi="Times New Roman"/>
          <w:sz w:val="24"/>
          <w:szCs w:val="24"/>
        </w:rPr>
      </w:pPr>
    </w:p>
    <w:p w14:paraId="323885AD" w14:textId="7012CB60" w:rsidR="005C75C3" w:rsidRPr="0077141B" w:rsidRDefault="00D42813">
      <w:pPr>
        <w:spacing w:line="360" w:lineRule="auto"/>
        <w:jc w:val="both"/>
        <w:rPr>
          <w:rFonts w:ascii="Times New Roman" w:hAnsi="Times New Roman"/>
          <w:sz w:val="24"/>
          <w:szCs w:val="24"/>
        </w:rPr>
      </w:pPr>
      <w:r>
        <w:rPr>
          <w:rFonts w:ascii="Times New Roman" w:hAnsi="Times New Roman"/>
          <w:b/>
          <w:sz w:val="24"/>
          <w:szCs w:val="24"/>
        </w:rPr>
        <w:lastRenderedPageBreak/>
        <w:t>Collection, Identification and Preparation of Plant Materials</w:t>
      </w:r>
    </w:p>
    <w:p w14:paraId="3D6CFF56" w14:textId="77777777" w:rsidR="005C75C3" w:rsidRDefault="00D42813">
      <w:pPr>
        <w:spacing w:line="360" w:lineRule="auto"/>
        <w:jc w:val="both"/>
        <w:rPr>
          <w:rFonts w:ascii="Times New Roman" w:hAnsi="Times New Roman"/>
          <w:sz w:val="24"/>
          <w:szCs w:val="24"/>
        </w:rPr>
      </w:pPr>
      <w:r>
        <w:rPr>
          <w:rFonts w:ascii="Times New Roman" w:hAnsi="Times New Roman"/>
          <w:sz w:val="24"/>
          <w:szCs w:val="24"/>
        </w:rPr>
        <w:t xml:space="preserve">Fresh </w:t>
      </w:r>
      <w:r>
        <w:rPr>
          <w:rFonts w:ascii="Times New Roman" w:hAnsi="Times New Roman"/>
          <w:i/>
          <w:iCs/>
          <w:sz w:val="24"/>
          <w:szCs w:val="24"/>
        </w:rPr>
        <w:t>Pterocarpus santalinoides</w:t>
      </w:r>
      <w:r>
        <w:rPr>
          <w:rFonts w:ascii="Times New Roman" w:hAnsi="Times New Roman"/>
          <w:sz w:val="24"/>
          <w:szCs w:val="24"/>
        </w:rPr>
        <w:t xml:space="preserve"> leaves were collected from a farm in Osumenyi, Nnewi South Local Government Area, Anambra State. The plant specimen was identified, authenticated, and deposite with voucher number: NAUH-052</w:t>
      </w:r>
      <w:r>
        <w:rPr>
          <w:rFonts w:ascii="Times New Roman" w:hAnsi="Times New Roman"/>
          <w:sz w:val="24"/>
          <w:szCs w:val="24"/>
          <w:vertAlign w:val="superscript"/>
        </w:rPr>
        <w:t>B</w:t>
      </w:r>
      <w:r>
        <w:rPr>
          <w:rFonts w:ascii="Times New Roman" w:hAnsi="Times New Roman"/>
          <w:sz w:val="24"/>
          <w:szCs w:val="24"/>
        </w:rPr>
        <w:t xml:space="preserve"> by the Curator of the herbarium, Mr Iroka Finian, of the Department of Botany, Faculty of Biosciences, Nnamdi Azikiwe University Awka. The freshly collected leaves were thoroughly washed in running tap water and rinsed in distilled water, dried at room temperature (25˚C) for 14 days. The leaves were pulverized using Corona manual grinding machine.</w:t>
      </w:r>
    </w:p>
    <w:p w14:paraId="198C56A5" w14:textId="77777777" w:rsidR="005C75C3" w:rsidRDefault="00D42813">
      <w:pPr>
        <w:spacing w:line="360" w:lineRule="auto"/>
        <w:jc w:val="both"/>
        <w:rPr>
          <w:rFonts w:ascii="Times New Roman" w:hAnsi="Times New Roman"/>
          <w:b/>
          <w:sz w:val="24"/>
          <w:szCs w:val="24"/>
        </w:rPr>
      </w:pPr>
      <w:r>
        <w:rPr>
          <w:rFonts w:ascii="Times New Roman" w:hAnsi="Times New Roman"/>
          <w:b/>
          <w:sz w:val="24"/>
          <w:szCs w:val="24"/>
        </w:rPr>
        <w:t>Extraction of Plant Materials</w:t>
      </w:r>
    </w:p>
    <w:p w14:paraId="37E4A799"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hAnsi="Times New Roman"/>
          <w:sz w:val="24"/>
          <w:szCs w:val="24"/>
        </w:rPr>
        <w:t>Exactly 300g of the pulverized leaves were soaked in 1500 ml of 70% ethanol. The mixture was stirred at 2hrs intervals. After 24hrs of maceration, it was sieved using a muslin cloth and thereafter filtered using whatmann No 1 filter paper.</w:t>
      </w:r>
    </w:p>
    <w:p w14:paraId="59FE6023"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hAnsi="Times New Roman"/>
          <w:sz w:val="24"/>
          <w:szCs w:val="24"/>
        </w:rPr>
        <w:t>The filtrate was concentrated using a water bath (DK420 Techmel and Techmel, USA) adjusted to 50</w:t>
      </w:r>
      <w:r>
        <w:rPr>
          <w:rFonts w:ascii="Times New Roman" w:hAnsi="Times New Roman"/>
          <w:sz w:val="24"/>
          <w:szCs w:val="24"/>
          <w:vertAlign w:val="superscript"/>
        </w:rPr>
        <w:t>o</w:t>
      </w:r>
      <w:r>
        <w:rPr>
          <w:rFonts w:ascii="Times New Roman" w:hAnsi="Times New Roman"/>
          <w:sz w:val="24"/>
          <w:szCs w:val="24"/>
        </w:rPr>
        <w:t>C. The weight of the extract after concentration was 39.56g.</w:t>
      </w:r>
    </w:p>
    <w:p w14:paraId="0EBB0A77" w14:textId="77777777" w:rsidR="005C75C3" w:rsidRDefault="00D42813">
      <w:pPr>
        <w:spacing w:line="360" w:lineRule="auto"/>
        <w:jc w:val="both"/>
        <w:rPr>
          <w:rStyle w:val="Emphasis"/>
          <w:rFonts w:ascii="Times New Roman" w:hAnsi="Times New Roman"/>
          <w:i w:val="0"/>
          <w:iCs w:val="0"/>
          <w:color w:val="0E101A"/>
          <w:sz w:val="24"/>
          <w:szCs w:val="24"/>
        </w:rPr>
      </w:pPr>
      <w:r>
        <w:rPr>
          <w:rFonts w:ascii="Times New Roman" w:hAnsi="Times New Roman"/>
          <w:noProof/>
          <w:color w:val="0E101A"/>
          <w:sz w:val="24"/>
          <w:szCs w:val="24"/>
          <w:u w:val="single"/>
          <w:lang w:val="en-GB" w:eastAsia="en-GB"/>
        </w:rPr>
        <mc:AlternateContent>
          <mc:Choice Requires="wps">
            <w:drawing>
              <wp:anchor distT="0" distB="0" distL="0" distR="0" simplePos="0" relativeHeight="2" behindDoc="0" locked="0" layoutInCell="1" allowOverlap="1" wp14:anchorId="04E8DC81" wp14:editId="745FFD07">
                <wp:simplePos x="0" y="0"/>
                <wp:positionH relativeFrom="column">
                  <wp:posOffset>1085850</wp:posOffset>
                </wp:positionH>
                <wp:positionV relativeFrom="paragraph">
                  <wp:posOffset>363855</wp:posOffset>
                </wp:positionV>
                <wp:extent cx="590550" cy="276225"/>
                <wp:effectExtent l="0" t="0" r="0" b="0"/>
                <wp:wrapNone/>
                <wp:docPr id="10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0550" cy="276225"/>
                        </a:xfrm>
                        <a:prstGeom prst="rect">
                          <a:avLst/>
                        </a:prstGeom>
                        <a:ln>
                          <a:noFill/>
                        </a:ln>
                      </wps:spPr>
                      <wps:txbx>
                        <w:txbxContent>
                          <w:p w14:paraId="320EEC1C" w14:textId="77777777" w:rsidR="005C75C3" w:rsidRDefault="00D42813">
                            <w:pPr>
                              <w:rPr>
                                <w:rFonts w:ascii="Times New Roman" w:hAnsi="Times New Roman"/>
                                <w:sz w:val="24"/>
                                <w:szCs w:val="24"/>
                                <w:lang w:val="en-GB"/>
                              </w:rPr>
                            </w:pPr>
                            <w:r>
                              <w:rPr>
                                <w:rFonts w:ascii="Times New Roman" w:hAnsi="Times New Roman"/>
                                <w:sz w:val="24"/>
                                <w:szCs w:val="24"/>
                                <w:lang w:val="en-GB"/>
                              </w:rPr>
                              <w:t>x 100</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E8DC81" id="Text Box 1" o:spid="_x0000_s1026" style="position:absolute;left:0;text-align:left;margin-left:85.5pt;margin-top:28.65pt;width:46.5pt;height:21.75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" filled="f" stroked="f">
                <v:textbox>
                  <w:txbxContent>
                    <w:p w14:paraId="320EEC1C" w14:textId="77777777" w:rsidR="005C75C3" w:rsidRDefault="00D42813">
                      <w:pPr>
                        <w:rPr>
                          <w:rFonts w:ascii="Times New Roman" w:hAnsi="Times New Roman"/>
                          <w:sz w:val="24"/>
                          <w:szCs w:val="24"/>
                          <w:lang w:val="en-GB"/>
                        </w:rPr>
                      </w:pPr>
                      <w:r>
                        <w:rPr>
                          <w:rFonts w:ascii="Times New Roman" w:hAnsi="Times New Roman"/>
                          <w:sz w:val="24"/>
                          <w:szCs w:val="24"/>
                          <w:lang w:val="en-GB"/>
                        </w:rPr>
                        <w:t>x 100</w:t>
                      </w:r>
                    </w:p>
                  </w:txbxContent>
                </v:textbox>
              </v:rect>
            </w:pict>
          </mc:Fallback>
        </mc:AlternateContent>
      </w:r>
      <w:r>
        <w:rPr>
          <w:rStyle w:val="Emphasis"/>
          <w:rFonts w:ascii="Times New Roman" w:hAnsi="Times New Roman"/>
          <w:b/>
          <w:bCs/>
          <w:i w:val="0"/>
          <w:iCs w:val="0"/>
          <w:color w:val="0E101A"/>
          <w:sz w:val="24"/>
          <w:szCs w:val="24"/>
        </w:rPr>
        <w:t xml:space="preserve">Percentage Extract Yield </w:t>
      </w:r>
      <w:r>
        <w:rPr>
          <w:rStyle w:val="Emphasis"/>
          <w:rFonts w:ascii="Times New Roman" w:hAnsi="Times New Roman"/>
          <w:i w:val="0"/>
          <w:iCs w:val="0"/>
          <w:color w:val="0E101A"/>
          <w:sz w:val="24"/>
          <w:szCs w:val="24"/>
        </w:rPr>
        <w:t xml:space="preserve">= </w:t>
      </w:r>
    </w:p>
    <w:p w14:paraId="388D325A" w14:textId="77777777" w:rsidR="005C75C3" w:rsidRDefault="00D42813">
      <w:pPr>
        <w:spacing w:after="0" w:line="360" w:lineRule="auto"/>
        <w:jc w:val="both"/>
        <w:rPr>
          <w:rStyle w:val="Emphasis"/>
          <w:rFonts w:ascii="Times New Roman" w:hAnsi="Times New Roman"/>
          <w:i w:val="0"/>
          <w:iCs w:val="0"/>
          <w:color w:val="0E101A"/>
          <w:sz w:val="24"/>
          <w:szCs w:val="24"/>
        </w:rPr>
      </w:pPr>
      <w:r>
        <w:rPr>
          <w:rStyle w:val="Emphasis"/>
          <w:rFonts w:ascii="Times New Roman" w:hAnsi="Times New Roman"/>
          <w:i w:val="0"/>
          <w:iCs w:val="0"/>
          <w:color w:val="0E101A"/>
          <w:sz w:val="24"/>
          <w:szCs w:val="24"/>
          <w:u w:val="single"/>
        </w:rPr>
        <w:t xml:space="preserve">Weight of Extract          </w:t>
      </w:r>
    </w:p>
    <w:p w14:paraId="1BD1663D" w14:textId="77777777" w:rsidR="005C75C3" w:rsidRDefault="00D42813">
      <w:pPr>
        <w:spacing w:after="0" w:line="360" w:lineRule="auto"/>
        <w:jc w:val="both"/>
        <w:rPr>
          <w:rStyle w:val="Emphasis"/>
          <w:rFonts w:ascii="Times New Roman" w:hAnsi="Times New Roman"/>
          <w:i w:val="0"/>
          <w:iCs w:val="0"/>
          <w:color w:val="0E101A"/>
          <w:sz w:val="24"/>
          <w:szCs w:val="24"/>
        </w:rPr>
      </w:pPr>
      <w:r>
        <w:rPr>
          <w:rStyle w:val="Emphasis"/>
          <w:rFonts w:ascii="Times New Roman" w:hAnsi="Times New Roman"/>
          <w:i w:val="0"/>
          <w:iCs w:val="0"/>
          <w:color w:val="0E101A"/>
          <w:sz w:val="24"/>
          <w:szCs w:val="24"/>
        </w:rPr>
        <w:t xml:space="preserve">Weight of dried homogenized sample </w:t>
      </w:r>
    </w:p>
    <w:p w14:paraId="30032B95" w14:textId="6BE28BEF" w:rsidR="006F272A" w:rsidRPr="004B7016" w:rsidRDefault="00D42813">
      <w:pPr>
        <w:spacing w:after="0" w:line="360" w:lineRule="auto"/>
        <w:jc w:val="both"/>
        <w:rPr>
          <w:rFonts w:ascii="Times New Roman" w:hAnsi="Times New Roman"/>
          <w:color w:val="0E101A"/>
          <w:sz w:val="24"/>
          <w:szCs w:val="24"/>
        </w:rPr>
      </w:pPr>
      <w:r>
        <w:rPr>
          <w:rStyle w:val="Emphasis"/>
          <w:rFonts w:ascii="Times New Roman" w:hAnsi="Times New Roman"/>
          <w:i w:val="0"/>
          <w:iCs w:val="0"/>
          <w:color w:val="0E101A"/>
          <w:sz w:val="24"/>
          <w:szCs w:val="24"/>
        </w:rPr>
        <w:t>(Barros</w:t>
      </w:r>
      <w:r>
        <w:rPr>
          <w:rStyle w:val="Emphasis"/>
          <w:rFonts w:ascii="Times New Roman" w:hAnsi="Times New Roman"/>
          <w:color w:val="0E101A"/>
          <w:sz w:val="24"/>
          <w:szCs w:val="24"/>
        </w:rPr>
        <w:t xml:space="preserve"> et al</w:t>
      </w:r>
      <w:r>
        <w:rPr>
          <w:rStyle w:val="Emphasis"/>
          <w:rFonts w:ascii="Times New Roman" w:hAnsi="Times New Roman"/>
          <w:i w:val="0"/>
          <w:iCs w:val="0"/>
          <w:color w:val="0E101A"/>
          <w:sz w:val="24"/>
          <w:szCs w:val="24"/>
        </w:rPr>
        <w:t>., 2008).</w:t>
      </w:r>
    </w:p>
    <w:p w14:paraId="363F60F2" w14:textId="77777777" w:rsidR="004B7016" w:rsidRDefault="004B7016">
      <w:pPr>
        <w:spacing w:after="0" w:line="360" w:lineRule="auto"/>
        <w:jc w:val="both"/>
        <w:rPr>
          <w:rFonts w:ascii="Times New Roman" w:hAnsi="Times New Roman"/>
          <w:b/>
          <w:bCs/>
          <w:sz w:val="24"/>
          <w:szCs w:val="24"/>
        </w:rPr>
      </w:pPr>
    </w:p>
    <w:p w14:paraId="382E1307" w14:textId="0F6524BF" w:rsidR="005C75C3" w:rsidRDefault="00D42813">
      <w:pPr>
        <w:spacing w:after="0" w:line="360" w:lineRule="auto"/>
        <w:jc w:val="both"/>
        <w:rPr>
          <w:rStyle w:val="Emphasis"/>
          <w:rFonts w:ascii="Times New Roman" w:hAnsi="Times New Roman"/>
          <w:b/>
          <w:bCs/>
          <w:i w:val="0"/>
          <w:iCs w:val="0"/>
          <w:sz w:val="24"/>
          <w:szCs w:val="24"/>
        </w:rPr>
      </w:pPr>
      <w:r>
        <w:rPr>
          <w:rFonts w:ascii="Times New Roman" w:hAnsi="Times New Roman"/>
          <w:b/>
          <w:bCs/>
          <w:sz w:val="24"/>
          <w:szCs w:val="24"/>
        </w:rPr>
        <w:t>Phytochemistry (GC-Automation)</w:t>
      </w:r>
    </w:p>
    <w:p w14:paraId="5A9CD3AD"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hAnsi="Times New Roman"/>
          <w:b/>
          <w:bCs/>
          <w:sz w:val="24"/>
          <w:szCs w:val="24"/>
        </w:rPr>
        <w:t>Extraction of phytochemicals</w:t>
      </w:r>
    </w:p>
    <w:p w14:paraId="4D716F69"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hAnsi="Times New Roman"/>
          <w:sz w:val="24"/>
          <w:szCs w:val="24"/>
        </w:rPr>
        <w:t>The sample (1g) was weighed and transferred into a test tube and 15ml of ethanol was added. The test tube was kept in a water bath at 60</w:t>
      </w:r>
      <w:r>
        <w:rPr>
          <w:rFonts w:ascii="Times New Roman" w:hAnsi="Times New Roman"/>
          <w:sz w:val="24"/>
          <w:szCs w:val="24"/>
          <w:vertAlign w:val="superscript"/>
        </w:rPr>
        <w:t>0</w:t>
      </w:r>
      <w:r>
        <w:rPr>
          <w:rFonts w:ascii="Times New Roman" w:hAnsi="Times New Roman"/>
          <w:sz w:val="24"/>
          <w:szCs w:val="24"/>
        </w:rPr>
        <w:t>C for 60 mins. After the reaction time, the reaction products contained in the test tube were transferred to a separatory funnel. The tube was washed successfully with 20ml of ethanol, 10ml of cold water, 10ml of hot water and 3ml of hexane, which were all transferred to the funnel. These extracts were combined and washed three times with 10ml of 10%v/v ethanol aqueous solution. The solution as dried with anhydrous sodium sulfate and the solvent was evaporated. The sample was solubilized in 1000</w:t>
      </w:r>
      <w:r>
        <w:rPr>
          <w:rFonts w:ascii="Times New Roman" w:hAnsi="Times New Roman"/>
          <w:i/>
          <w:sz w:val="24"/>
          <w:szCs w:val="24"/>
        </w:rPr>
        <w:t>u</w:t>
      </w:r>
      <w:r>
        <w:rPr>
          <w:rFonts w:ascii="Times New Roman" w:hAnsi="Times New Roman"/>
          <w:sz w:val="24"/>
          <w:szCs w:val="24"/>
        </w:rPr>
        <w:t>l of hexane of which 200</w:t>
      </w:r>
      <w:r>
        <w:rPr>
          <w:rFonts w:ascii="Times New Roman" w:hAnsi="Times New Roman"/>
          <w:i/>
          <w:sz w:val="24"/>
          <w:szCs w:val="24"/>
        </w:rPr>
        <w:t>u</w:t>
      </w:r>
      <w:r>
        <w:rPr>
          <w:rFonts w:ascii="Times New Roman" w:hAnsi="Times New Roman"/>
          <w:sz w:val="24"/>
          <w:szCs w:val="24"/>
        </w:rPr>
        <w:t>l was transferred to a vial for analysis.</w:t>
      </w:r>
    </w:p>
    <w:p w14:paraId="737661DA" w14:textId="77777777" w:rsidR="004A1552" w:rsidRDefault="004A1552">
      <w:pPr>
        <w:spacing w:line="360" w:lineRule="auto"/>
        <w:jc w:val="both"/>
        <w:rPr>
          <w:rFonts w:ascii="Times New Roman" w:eastAsia="Calibri" w:hAnsi="Times New Roman"/>
          <w:b/>
          <w:bCs/>
          <w:sz w:val="24"/>
          <w:szCs w:val="24"/>
          <w:lang w:eastAsia="en-US"/>
        </w:rPr>
      </w:pPr>
    </w:p>
    <w:p w14:paraId="13CBE7A3" w14:textId="283E274C" w:rsidR="005C75C3" w:rsidRDefault="00D42813">
      <w:pPr>
        <w:spacing w:line="360" w:lineRule="auto"/>
        <w:jc w:val="both"/>
        <w:rPr>
          <w:rFonts w:ascii="Times New Roman" w:eastAsia="Calibri" w:hAnsi="Times New Roman"/>
          <w:b/>
          <w:bCs/>
          <w:sz w:val="24"/>
          <w:szCs w:val="24"/>
          <w:lang w:eastAsia="en-US"/>
        </w:rPr>
      </w:pPr>
      <w:r>
        <w:rPr>
          <w:rFonts w:ascii="Times New Roman" w:eastAsia="Calibri" w:hAnsi="Times New Roman"/>
          <w:b/>
          <w:bCs/>
          <w:sz w:val="24"/>
          <w:szCs w:val="24"/>
          <w:lang w:eastAsia="en-US"/>
        </w:rPr>
        <w:lastRenderedPageBreak/>
        <w:t>Quantification by Gas chromatography mass spectrometer (GC-MS) Analysis</w:t>
      </w:r>
    </w:p>
    <w:p w14:paraId="10821F8D" w14:textId="4345CCA2" w:rsidR="005C75C3" w:rsidRDefault="008C2FC9">
      <w:pPr>
        <w:spacing w:line="360" w:lineRule="auto"/>
        <w:jc w:val="both"/>
        <w:rPr>
          <w:rFonts w:ascii="Times New Roman" w:eastAsia="Calibri" w:hAnsi="Times New Roman"/>
          <w:sz w:val="24"/>
          <w:szCs w:val="24"/>
          <w:lang w:eastAsia="en-US"/>
        </w:rPr>
      </w:pPr>
      <w:r>
        <w:rPr>
          <w:rFonts w:ascii="Times New Roman" w:hAnsi="Times New Roman"/>
          <w:sz w:val="24"/>
          <w:szCs w:val="24"/>
        </w:rPr>
        <w:t xml:space="preserve">The analysis of phytochemical was performed on a BUCK M910 Gas chromatography equipped with a flame ionization detector. A RESTEK </w:t>
      </w:r>
      <w:proofErr w:type="gramStart"/>
      <w:r>
        <w:rPr>
          <w:rFonts w:ascii="Times New Roman" w:hAnsi="Times New Roman"/>
          <w:sz w:val="24"/>
          <w:szCs w:val="24"/>
        </w:rPr>
        <w:t>15 meter</w:t>
      </w:r>
      <w:proofErr w:type="gramEnd"/>
      <w:r>
        <w:rPr>
          <w:rFonts w:ascii="Times New Roman" w:hAnsi="Times New Roman"/>
          <w:sz w:val="24"/>
          <w:szCs w:val="24"/>
        </w:rPr>
        <w:t xml:space="preserve"> MXT-1 column (15m x 250um x 0.15um) was used. </w:t>
      </w:r>
      <w:r w:rsidR="00D42813">
        <w:rPr>
          <w:rFonts w:ascii="Times New Roman" w:eastAsia="Calibri" w:hAnsi="Times New Roman"/>
          <w:sz w:val="24"/>
          <w:szCs w:val="24"/>
          <w:lang w:eastAsia="en-US"/>
        </w:rPr>
        <w:t>The injector temperature was set at 280°C, and 2 µL of sample was injected in splitless mode. Helium was used as the carrier gas at a flow rate of 40 mL/min and a linear velocity of 30 cm/s. The oven temperature was initially maintained at 200°C, then increased to 330°C at a rate of 30°C/min and held for 5 minutes. The detector temperature was maintained at 320°C. Quantification of phytochemicals was carried out using the ratio of the peak area and mass of the internal standard to that of the identified compounds, and results were expressed in µg/g according to Kelly and Nelson (2014).</w:t>
      </w:r>
    </w:p>
    <w:p w14:paraId="6B0114B3" w14:textId="77777777" w:rsidR="005C75C3" w:rsidRDefault="00D42813">
      <w:pPr>
        <w:autoSpaceDE w:val="0"/>
        <w:autoSpaceDN w:val="0"/>
        <w:adjustRightInd w:val="0"/>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b/>
          <w:bCs/>
          <w:sz w:val="24"/>
          <w:szCs w:val="24"/>
          <w:lang w:eastAsia="en-US"/>
        </w:rPr>
        <w:t xml:space="preserve">Experimental Animal Studies </w:t>
      </w:r>
    </w:p>
    <w:p w14:paraId="238404E0"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b/>
          <w:bCs/>
          <w:sz w:val="24"/>
          <w:szCs w:val="24"/>
          <w:lang w:eastAsia="en-US"/>
        </w:rPr>
        <w:t xml:space="preserve">Ethical Approval </w:t>
      </w:r>
    </w:p>
    <w:p w14:paraId="1ABBC3F1"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sz w:val="24"/>
          <w:szCs w:val="24"/>
          <w:lang w:eastAsia="en-US"/>
        </w:rPr>
        <w:t>All experimental protocol was approved by the Animal Research Ethics Committee (AREC), Nnamdi Azikiwe University, Awka. The reference number obtained is NAU/AREC/2025/0003.</w:t>
      </w:r>
    </w:p>
    <w:p w14:paraId="3058C1BA" w14:textId="77777777" w:rsidR="005C75C3" w:rsidRDefault="00D42813">
      <w:pPr>
        <w:tabs>
          <w:tab w:val="left" w:pos="6680"/>
        </w:tabs>
        <w:spacing w:line="360" w:lineRule="auto"/>
        <w:jc w:val="both"/>
        <w:rPr>
          <w:rStyle w:val="Emphasis"/>
          <w:rFonts w:ascii="Times New Roman" w:hAnsi="Times New Roman"/>
          <w:b/>
          <w:bCs/>
          <w:i w:val="0"/>
          <w:iCs w:val="0"/>
          <w:color w:val="0E101A"/>
          <w:sz w:val="24"/>
          <w:szCs w:val="24"/>
        </w:rPr>
      </w:pPr>
      <w:r>
        <w:rPr>
          <w:rFonts w:ascii="Times New Roman" w:hAnsi="Times New Roman"/>
          <w:b/>
          <w:bCs/>
          <w:sz w:val="24"/>
          <w:szCs w:val="24"/>
        </w:rPr>
        <w:t xml:space="preserve">Purchase of Experimental Animals </w:t>
      </w:r>
    </w:p>
    <w:p w14:paraId="580CD9DB" w14:textId="05DB6718" w:rsidR="005C75C3" w:rsidRDefault="00D42813">
      <w:pPr>
        <w:spacing w:line="360" w:lineRule="auto"/>
        <w:jc w:val="both"/>
        <w:rPr>
          <w:rFonts w:ascii="Times New Roman" w:hAnsi="Times New Roman"/>
          <w:b/>
          <w:bCs/>
          <w:color w:val="0E101A"/>
          <w:sz w:val="24"/>
          <w:szCs w:val="24"/>
        </w:rPr>
      </w:pPr>
      <w:r>
        <w:rPr>
          <w:rFonts w:ascii="Times New Roman" w:hAnsi="Times New Roman"/>
          <w:sz w:val="24"/>
          <w:szCs w:val="24"/>
        </w:rPr>
        <w:t>Fifty-three (53) healthy Wistar male albino rats, aged 10-12 weeks and weighing 121-143g was purchased for use in the study and the animals were placed in aluminum cages and were acclimatized for one week. The animals were given animal pellet (growers mash) meal and unrestricted access to potable water prior to the trials to give them time to adapt.</w:t>
      </w:r>
    </w:p>
    <w:p w14:paraId="000E85DF" w14:textId="77777777" w:rsidR="005C75C3" w:rsidRDefault="00D42813">
      <w:pPr>
        <w:tabs>
          <w:tab w:val="left" w:pos="6680"/>
        </w:tabs>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b/>
          <w:bCs/>
          <w:sz w:val="24"/>
          <w:szCs w:val="24"/>
          <w:lang w:eastAsia="en-US"/>
        </w:rPr>
        <w:t>Determination of LD</w:t>
      </w:r>
      <w:r>
        <w:rPr>
          <w:rFonts w:ascii="Times New Roman" w:eastAsia="Calibri" w:hAnsi="Times New Roman"/>
          <w:b/>
          <w:bCs/>
          <w:sz w:val="24"/>
          <w:szCs w:val="24"/>
          <w:vertAlign w:val="subscript"/>
          <w:lang w:eastAsia="en-US"/>
        </w:rPr>
        <w:t>50</w:t>
      </w:r>
      <w:r>
        <w:rPr>
          <w:rFonts w:ascii="Times New Roman" w:eastAsia="Calibri" w:hAnsi="Times New Roman"/>
          <w:b/>
          <w:bCs/>
          <w:sz w:val="24"/>
          <w:szCs w:val="24"/>
          <w:lang w:eastAsia="en-US"/>
        </w:rPr>
        <w:t xml:space="preserve"> of the extract</w:t>
      </w:r>
    </w:p>
    <w:p w14:paraId="48327149" w14:textId="77777777" w:rsidR="005C75C3" w:rsidRDefault="00D42813">
      <w:pPr>
        <w:tabs>
          <w:tab w:val="left" w:pos="6680"/>
        </w:tabs>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sz w:val="24"/>
          <w:szCs w:val="24"/>
          <w:lang w:eastAsia="en-US"/>
        </w:rPr>
        <w:t xml:space="preserve">The acute toxicity study was conducted in accordance with Lorke’s method (Lorke, 1983). The study was conducted using a total of thirteen (13) male rats and in two phases. </w:t>
      </w:r>
    </w:p>
    <w:p w14:paraId="5230DCFB" w14:textId="77777777" w:rsidR="005C75C3" w:rsidRDefault="00D42813">
      <w:pPr>
        <w:tabs>
          <w:tab w:val="left" w:pos="6680"/>
        </w:tabs>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sz w:val="24"/>
          <w:szCs w:val="24"/>
          <w:lang w:eastAsia="en-US"/>
        </w:rPr>
        <w:t xml:space="preserve">PHASE 1: Nine (9) rats were divided into 3 groups, that is; each group had 3 rats. Group 1, 2, and 3 animals were given 10, 100, and 1000mg/kg body weight of the extract respectively to establish the range of doses producing any toxic effect. Each rat </w:t>
      </w:r>
      <w:proofErr w:type="gramStart"/>
      <w:r>
        <w:rPr>
          <w:rFonts w:ascii="Times New Roman" w:eastAsia="Calibri" w:hAnsi="Times New Roman"/>
          <w:sz w:val="24"/>
          <w:szCs w:val="24"/>
          <w:lang w:eastAsia="en-US"/>
        </w:rPr>
        <w:t>were</w:t>
      </w:r>
      <w:proofErr w:type="gramEnd"/>
      <w:r>
        <w:rPr>
          <w:rFonts w:ascii="Times New Roman" w:eastAsia="Calibri" w:hAnsi="Times New Roman"/>
          <w:sz w:val="24"/>
          <w:szCs w:val="24"/>
          <w:lang w:eastAsia="en-US"/>
        </w:rPr>
        <w:t xml:space="preserve"> given a single dose after at least 7 days of adaption. The treated rats were monitored for </w:t>
      </w:r>
      <w:proofErr w:type="gramStart"/>
      <w:r>
        <w:rPr>
          <w:rFonts w:ascii="Times New Roman" w:eastAsia="Calibri" w:hAnsi="Times New Roman"/>
          <w:sz w:val="24"/>
          <w:szCs w:val="24"/>
          <w:lang w:eastAsia="en-US"/>
        </w:rPr>
        <w:t>twenty four</w:t>
      </w:r>
      <w:proofErr w:type="gramEnd"/>
      <w:r>
        <w:rPr>
          <w:rFonts w:ascii="Times New Roman" w:eastAsia="Calibri" w:hAnsi="Times New Roman"/>
          <w:sz w:val="24"/>
          <w:szCs w:val="24"/>
          <w:lang w:eastAsia="en-US"/>
        </w:rPr>
        <w:t xml:space="preserve"> (24) hours for mortality. </w:t>
      </w:r>
    </w:p>
    <w:p w14:paraId="379A5A08" w14:textId="77777777" w:rsidR="005C75C3" w:rsidRDefault="00D42813">
      <w:pPr>
        <w:tabs>
          <w:tab w:val="left" w:pos="6680"/>
        </w:tabs>
        <w:spacing w:line="360" w:lineRule="auto"/>
        <w:jc w:val="both"/>
        <w:rPr>
          <w:rFonts w:ascii="Times New Roman" w:hAnsi="Times New Roman"/>
          <w:b/>
          <w:bCs/>
          <w:sz w:val="24"/>
          <w:szCs w:val="24"/>
        </w:rPr>
      </w:pPr>
      <w:r>
        <w:rPr>
          <w:rFonts w:ascii="Times New Roman" w:eastAsia="Calibri" w:hAnsi="Times New Roman"/>
          <w:sz w:val="24"/>
          <w:szCs w:val="24"/>
          <w:lang w:eastAsia="en-US"/>
        </w:rPr>
        <w:lastRenderedPageBreak/>
        <w:t>PHASE 2: After 24 hours, further specific doses (1600, 2900, and 5000mg/kg body weight) of the extract were administrated to three (3) rats from each group (one rat per dose) after no mortality was observed in the phase 1 to further determine the correct LD</w:t>
      </w:r>
      <w:r>
        <w:rPr>
          <w:rFonts w:ascii="Times New Roman" w:eastAsia="Calibri" w:hAnsi="Times New Roman"/>
          <w:sz w:val="24"/>
          <w:szCs w:val="24"/>
          <w:vertAlign w:val="subscript"/>
          <w:lang w:eastAsia="en-US"/>
        </w:rPr>
        <w:t>50</w:t>
      </w:r>
      <w:r>
        <w:rPr>
          <w:rFonts w:ascii="Times New Roman" w:eastAsia="Calibri" w:hAnsi="Times New Roman"/>
          <w:sz w:val="24"/>
          <w:szCs w:val="24"/>
          <w:lang w:eastAsia="en-US"/>
        </w:rPr>
        <w:t xml:space="preserve"> value. The rats were again monitored for 24 hours for mortality.</w:t>
      </w:r>
    </w:p>
    <w:p w14:paraId="377CBE5F" w14:textId="77777777" w:rsidR="005C75C3" w:rsidRDefault="00D42813">
      <w:pPr>
        <w:spacing w:line="360" w:lineRule="auto"/>
        <w:jc w:val="both"/>
        <w:rPr>
          <w:rStyle w:val="Emphasis"/>
          <w:rFonts w:ascii="Times New Roman" w:hAnsi="Times New Roman"/>
          <w:b/>
          <w:bCs/>
          <w:i w:val="0"/>
          <w:iCs w:val="0"/>
          <w:color w:val="0E101A"/>
          <w:sz w:val="24"/>
          <w:szCs w:val="24"/>
        </w:rPr>
      </w:pPr>
      <w:r>
        <w:rPr>
          <w:rFonts w:ascii="Times New Roman" w:hAnsi="Times New Roman"/>
          <w:b/>
          <w:bCs/>
          <w:sz w:val="24"/>
          <w:szCs w:val="24"/>
        </w:rPr>
        <w:t xml:space="preserve">Induction of Hyperlipidemia </w:t>
      </w:r>
    </w:p>
    <w:p w14:paraId="47A017B4" w14:textId="77777777" w:rsidR="005C75C3" w:rsidRDefault="00D42813">
      <w:pPr>
        <w:spacing w:line="360" w:lineRule="auto"/>
        <w:jc w:val="both"/>
        <w:rPr>
          <w:rFonts w:ascii="Times New Roman" w:hAnsi="Times New Roman"/>
          <w:b/>
          <w:bCs/>
          <w:sz w:val="24"/>
          <w:szCs w:val="24"/>
        </w:rPr>
      </w:pPr>
      <w:r>
        <w:rPr>
          <w:rFonts w:ascii="Times New Roman" w:hAnsi="Times New Roman"/>
          <w:sz w:val="24"/>
          <w:szCs w:val="24"/>
        </w:rPr>
        <w:t xml:space="preserve">Hyperlipidemia was induced using the method of Matos </w:t>
      </w:r>
      <w:r>
        <w:rPr>
          <w:rFonts w:ascii="Times New Roman" w:hAnsi="Times New Roman"/>
          <w:i/>
          <w:iCs/>
          <w:sz w:val="24"/>
          <w:szCs w:val="24"/>
        </w:rPr>
        <w:t>et al</w:t>
      </w:r>
      <w:r>
        <w:rPr>
          <w:rFonts w:ascii="Times New Roman" w:hAnsi="Times New Roman"/>
          <w:sz w:val="24"/>
          <w:szCs w:val="24"/>
        </w:rPr>
        <w:t>. (2005). This was done by feeding the rats on cholesterol and saturated fat.</w:t>
      </w:r>
    </w:p>
    <w:p w14:paraId="63BA4262" w14:textId="77777777" w:rsidR="005C75C3" w:rsidRDefault="00D42813">
      <w:pPr>
        <w:spacing w:line="360" w:lineRule="auto"/>
        <w:jc w:val="both"/>
        <w:rPr>
          <w:rStyle w:val="Emphasis"/>
          <w:rFonts w:ascii="Times New Roman" w:hAnsi="Times New Roman"/>
          <w:b/>
          <w:bCs/>
          <w:i w:val="0"/>
          <w:iCs w:val="0"/>
          <w:sz w:val="24"/>
          <w:szCs w:val="24"/>
        </w:rPr>
      </w:pPr>
      <w:r>
        <w:rPr>
          <w:rFonts w:ascii="Times New Roman" w:hAnsi="Times New Roman"/>
          <w:b/>
          <w:bCs/>
          <w:sz w:val="24"/>
          <w:szCs w:val="24"/>
        </w:rPr>
        <w:t xml:space="preserve">Grouping of the Animals </w:t>
      </w:r>
    </w:p>
    <w:p w14:paraId="7B919C50" w14:textId="77777777" w:rsidR="005C75C3" w:rsidRDefault="00D42813">
      <w:pPr>
        <w:tabs>
          <w:tab w:val="left" w:pos="6680"/>
        </w:tabs>
        <w:spacing w:line="360" w:lineRule="auto"/>
        <w:jc w:val="both"/>
        <w:rPr>
          <w:rStyle w:val="Emphasis"/>
          <w:rFonts w:ascii="Times New Roman" w:hAnsi="Times New Roman"/>
          <w:b/>
          <w:bCs/>
          <w:i w:val="0"/>
          <w:iCs w:val="0"/>
          <w:color w:val="0E101A"/>
          <w:sz w:val="24"/>
          <w:szCs w:val="24"/>
        </w:rPr>
      </w:pPr>
      <w:r>
        <w:rPr>
          <w:rFonts w:ascii="Times New Roman" w:eastAsia="Calibri" w:hAnsi="Times New Roman"/>
          <w:sz w:val="24"/>
          <w:szCs w:val="24"/>
          <w:lang w:eastAsia="en-US"/>
        </w:rPr>
        <w:t>Forty (40) male albino rats were needed for this study and the rats was divided into eight (8) groups of five (5) animals in each group. The feeding was carried out for a period of 28 days.</w:t>
      </w:r>
    </w:p>
    <w:p w14:paraId="1C26ACCA"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t xml:space="preserve">The test rats were administered with extracts at increasing doses of 100mg/kg, 200mg/kg, 300mg/kg, 400mg/kg and 500mg/kg of the leaf extract in eight groups of five rats respectively. The grouping was as follows: </w:t>
      </w:r>
    </w:p>
    <w:p w14:paraId="12BF8173"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t xml:space="preserve">Group A: Rats on </w:t>
      </w:r>
      <w:proofErr w:type="gramStart"/>
      <w:r>
        <w:rPr>
          <w:rFonts w:ascii="Times New Roman" w:hAnsi="Times New Roman"/>
          <w:sz w:val="24"/>
          <w:szCs w:val="24"/>
        </w:rPr>
        <w:t>growers</w:t>
      </w:r>
      <w:proofErr w:type="gramEnd"/>
      <w:r>
        <w:rPr>
          <w:rFonts w:ascii="Times New Roman" w:hAnsi="Times New Roman"/>
          <w:sz w:val="24"/>
          <w:szCs w:val="24"/>
        </w:rPr>
        <w:t xml:space="preserve"> mash and distilled water only.</w:t>
      </w:r>
    </w:p>
    <w:p w14:paraId="57D5D7DE"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t xml:space="preserve">Group B: Rats on </w:t>
      </w:r>
      <w:proofErr w:type="gramStart"/>
      <w:r>
        <w:rPr>
          <w:rFonts w:ascii="Times New Roman" w:hAnsi="Times New Roman"/>
          <w:sz w:val="24"/>
          <w:szCs w:val="24"/>
        </w:rPr>
        <w:t>growers</w:t>
      </w:r>
      <w:proofErr w:type="gramEnd"/>
      <w:r>
        <w:rPr>
          <w:rFonts w:ascii="Times New Roman" w:hAnsi="Times New Roman"/>
          <w:sz w:val="24"/>
          <w:szCs w:val="24"/>
        </w:rPr>
        <w:t xml:space="preserve"> mash with cholesterol and saturated fats diet + distilled water.</w:t>
      </w:r>
    </w:p>
    <w:p w14:paraId="41C7373D"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t xml:space="preserve">Group C: Rats on </w:t>
      </w:r>
      <w:proofErr w:type="gramStart"/>
      <w:r>
        <w:rPr>
          <w:rFonts w:ascii="Times New Roman" w:hAnsi="Times New Roman"/>
          <w:sz w:val="24"/>
          <w:szCs w:val="24"/>
        </w:rPr>
        <w:t>growers</w:t>
      </w:r>
      <w:proofErr w:type="gramEnd"/>
      <w:r>
        <w:rPr>
          <w:rFonts w:ascii="Times New Roman" w:hAnsi="Times New Roman"/>
          <w:sz w:val="24"/>
          <w:szCs w:val="24"/>
        </w:rPr>
        <w:t xml:space="preserve"> mash with cholesterol and saturated fats diet + 1.14mg/kg of reference drug (Atorvastatin).</w:t>
      </w:r>
    </w:p>
    <w:p w14:paraId="129F05F7"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t xml:space="preserve">Group D: Rats on </w:t>
      </w:r>
      <w:proofErr w:type="gramStart"/>
      <w:r>
        <w:rPr>
          <w:rFonts w:ascii="Times New Roman" w:hAnsi="Times New Roman"/>
          <w:sz w:val="24"/>
          <w:szCs w:val="24"/>
        </w:rPr>
        <w:t>growers</w:t>
      </w:r>
      <w:proofErr w:type="gramEnd"/>
      <w:r>
        <w:rPr>
          <w:rFonts w:ascii="Times New Roman" w:hAnsi="Times New Roman"/>
          <w:sz w:val="24"/>
          <w:szCs w:val="24"/>
        </w:rPr>
        <w:t xml:space="preserve"> mash with cholesterol and saturated fats diet + 100mg/kg of leaf extract.</w:t>
      </w:r>
    </w:p>
    <w:p w14:paraId="79B4904C"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t xml:space="preserve">Group E: Rats on </w:t>
      </w:r>
      <w:proofErr w:type="gramStart"/>
      <w:r>
        <w:rPr>
          <w:rFonts w:ascii="Times New Roman" w:hAnsi="Times New Roman"/>
          <w:sz w:val="24"/>
          <w:szCs w:val="24"/>
        </w:rPr>
        <w:t>growers</w:t>
      </w:r>
      <w:proofErr w:type="gramEnd"/>
      <w:r>
        <w:rPr>
          <w:rFonts w:ascii="Times New Roman" w:hAnsi="Times New Roman"/>
          <w:sz w:val="24"/>
          <w:szCs w:val="24"/>
        </w:rPr>
        <w:t xml:space="preserve"> mash with cholesterol and saturated fats diet + 200mg/kg of leaf extract.</w:t>
      </w:r>
    </w:p>
    <w:p w14:paraId="1F109CF6"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t xml:space="preserve">Group F: Rats on </w:t>
      </w:r>
      <w:proofErr w:type="gramStart"/>
      <w:r>
        <w:rPr>
          <w:rFonts w:ascii="Times New Roman" w:hAnsi="Times New Roman"/>
          <w:sz w:val="24"/>
          <w:szCs w:val="24"/>
        </w:rPr>
        <w:t>growers</w:t>
      </w:r>
      <w:proofErr w:type="gramEnd"/>
      <w:r>
        <w:rPr>
          <w:rFonts w:ascii="Times New Roman" w:hAnsi="Times New Roman"/>
          <w:sz w:val="24"/>
          <w:szCs w:val="24"/>
        </w:rPr>
        <w:t xml:space="preserve"> mash with cholesterol and saturated fats diet + 300mg/kg of leaf extract.</w:t>
      </w:r>
    </w:p>
    <w:p w14:paraId="5B624BD4" w14:textId="77777777" w:rsidR="005C75C3" w:rsidRDefault="00D42813">
      <w:pPr>
        <w:tabs>
          <w:tab w:val="left" w:pos="6680"/>
        </w:tabs>
        <w:spacing w:line="360" w:lineRule="auto"/>
        <w:jc w:val="both"/>
        <w:rPr>
          <w:rFonts w:ascii="Times New Roman" w:hAnsi="Times New Roman"/>
          <w:sz w:val="24"/>
          <w:szCs w:val="24"/>
        </w:rPr>
      </w:pPr>
      <w:r>
        <w:rPr>
          <w:rFonts w:ascii="Times New Roman" w:hAnsi="Times New Roman"/>
          <w:sz w:val="24"/>
          <w:szCs w:val="24"/>
        </w:rPr>
        <w:t xml:space="preserve">Group G: Rats on </w:t>
      </w:r>
      <w:proofErr w:type="gramStart"/>
      <w:r>
        <w:rPr>
          <w:rFonts w:ascii="Times New Roman" w:hAnsi="Times New Roman"/>
          <w:sz w:val="24"/>
          <w:szCs w:val="24"/>
        </w:rPr>
        <w:t>growers</w:t>
      </w:r>
      <w:proofErr w:type="gramEnd"/>
      <w:r>
        <w:rPr>
          <w:rFonts w:ascii="Times New Roman" w:hAnsi="Times New Roman"/>
          <w:sz w:val="24"/>
          <w:szCs w:val="24"/>
        </w:rPr>
        <w:t xml:space="preserve"> mash with cholesterol and saturated fat diet + 400mg/kg of leaf extract.</w:t>
      </w:r>
    </w:p>
    <w:p w14:paraId="3311BA50" w14:textId="77777777" w:rsidR="004A1552" w:rsidRDefault="00D42813">
      <w:pPr>
        <w:tabs>
          <w:tab w:val="left" w:pos="6680"/>
        </w:tabs>
        <w:spacing w:line="360" w:lineRule="auto"/>
        <w:jc w:val="both"/>
        <w:rPr>
          <w:rStyle w:val="Emphasis"/>
          <w:rFonts w:ascii="Times New Roman" w:hAnsi="Times New Roman"/>
          <w:i w:val="0"/>
          <w:iCs w:val="0"/>
          <w:sz w:val="24"/>
          <w:szCs w:val="24"/>
        </w:rPr>
      </w:pPr>
      <w:r>
        <w:rPr>
          <w:rFonts w:ascii="Times New Roman" w:hAnsi="Times New Roman"/>
          <w:sz w:val="24"/>
          <w:szCs w:val="24"/>
        </w:rPr>
        <w:t xml:space="preserve">Group H: Rats on </w:t>
      </w:r>
      <w:proofErr w:type="gramStart"/>
      <w:r>
        <w:rPr>
          <w:rFonts w:ascii="Times New Roman" w:hAnsi="Times New Roman"/>
          <w:sz w:val="24"/>
          <w:szCs w:val="24"/>
        </w:rPr>
        <w:t>growers</w:t>
      </w:r>
      <w:proofErr w:type="gramEnd"/>
      <w:r>
        <w:rPr>
          <w:rFonts w:ascii="Times New Roman" w:hAnsi="Times New Roman"/>
          <w:sz w:val="24"/>
          <w:szCs w:val="24"/>
        </w:rPr>
        <w:t xml:space="preserve"> mash with cholesterol and saturated fat diet + 500mg/kg of leaf extract + 1.14mg/kg of reference drug (Atorvastatin). </w:t>
      </w:r>
    </w:p>
    <w:p w14:paraId="610C8499" w14:textId="4D222C7E" w:rsidR="005C75C3" w:rsidRPr="004A1552" w:rsidRDefault="00D42813">
      <w:pPr>
        <w:tabs>
          <w:tab w:val="left" w:pos="6680"/>
        </w:tabs>
        <w:spacing w:line="360" w:lineRule="auto"/>
        <w:jc w:val="both"/>
        <w:rPr>
          <w:rFonts w:ascii="Times New Roman" w:hAnsi="Times New Roman"/>
          <w:sz w:val="24"/>
          <w:szCs w:val="24"/>
        </w:rPr>
      </w:pPr>
      <w:r>
        <w:rPr>
          <w:rFonts w:ascii="Times New Roman" w:eastAsia="Calibri" w:hAnsi="Times New Roman"/>
          <w:b/>
          <w:bCs/>
          <w:sz w:val="24"/>
          <w:szCs w:val="24"/>
          <w:lang w:eastAsia="en-US"/>
        </w:rPr>
        <w:lastRenderedPageBreak/>
        <w:t>Sacrifice and Blood Collection</w:t>
      </w:r>
    </w:p>
    <w:p w14:paraId="3847D45F" w14:textId="37FEB301" w:rsidR="005C75C3" w:rsidRDefault="00D42813">
      <w:pPr>
        <w:tabs>
          <w:tab w:val="left" w:pos="6680"/>
        </w:tabs>
        <w:spacing w:line="360" w:lineRule="auto"/>
        <w:jc w:val="both"/>
        <w:rPr>
          <w:rFonts w:ascii="Times New Roman" w:eastAsia="Calibri" w:hAnsi="Times New Roman"/>
          <w:b/>
          <w:bCs/>
          <w:sz w:val="24"/>
          <w:szCs w:val="24"/>
          <w:lang w:eastAsia="en-US"/>
        </w:rPr>
      </w:pPr>
      <w:r>
        <w:rPr>
          <w:rFonts w:ascii="Times New Roman" w:eastAsia="Calibri" w:hAnsi="Times New Roman"/>
          <w:sz w:val="24"/>
          <w:szCs w:val="24"/>
          <w:lang w:eastAsia="en-US"/>
        </w:rPr>
        <w:t>The animals were anaesthetized with Chloroform, and their blood collected in a plain bottle placed inside a rack via close cardiac puncture methods. The blood was allowed to clot after which it was centrifuged at 4000rpm for 15 minutes and the serum obtained was used for assay.</w:t>
      </w:r>
      <w:r w:rsidR="005C57D9">
        <w:rPr>
          <w:rFonts w:ascii="Times New Roman" w:eastAsia="Calibri" w:hAnsi="Times New Roman"/>
          <w:sz w:val="24"/>
          <w:szCs w:val="24"/>
          <w:lang w:eastAsia="en-US"/>
        </w:rPr>
        <w:t xml:space="preserve"> The animals were confirmed dead before they were buried.</w:t>
      </w:r>
    </w:p>
    <w:p w14:paraId="36AB24D7" w14:textId="77777777" w:rsidR="005C75C3" w:rsidRDefault="00D42813">
      <w:pPr>
        <w:tabs>
          <w:tab w:val="left" w:pos="6680"/>
        </w:tabs>
        <w:spacing w:line="360" w:lineRule="auto"/>
        <w:jc w:val="both"/>
        <w:rPr>
          <w:rFonts w:ascii="Times New Roman" w:hAnsi="Times New Roman"/>
          <w:b/>
          <w:bCs/>
          <w:sz w:val="24"/>
          <w:szCs w:val="24"/>
        </w:rPr>
      </w:pPr>
      <w:r>
        <w:rPr>
          <w:rFonts w:ascii="Times New Roman" w:hAnsi="Times New Roman"/>
          <w:b/>
          <w:bCs/>
          <w:sz w:val="24"/>
          <w:szCs w:val="24"/>
        </w:rPr>
        <w:t>Lipid Profile</w:t>
      </w:r>
    </w:p>
    <w:p w14:paraId="5EB12E43" w14:textId="77777777" w:rsidR="005C75C3" w:rsidRDefault="00D42813">
      <w:pPr>
        <w:autoSpaceDE w:val="0"/>
        <w:autoSpaceDN w:val="0"/>
        <w:adjustRightInd w:val="0"/>
        <w:spacing w:line="360" w:lineRule="auto"/>
        <w:jc w:val="both"/>
        <w:rPr>
          <w:rFonts w:ascii="Times New Roman" w:hAnsi="Times New Roman"/>
          <w:b/>
          <w:bCs/>
          <w:sz w:val="24"/>
          <w:szCs w:val="24"/>
        </w:rPr>
      </w:pPr>
      <w:r>
        <w:rPr>
          <w:rFonts w:ascii="Times New Roman" w:hAnsi="Times New Roman"/>
          <w:sz w:val="24"/>
          <w:szCs w:val="24"/>
        </w:rPr>
        <w:t xml:space="preserve">Total Cholesterol, High-Density Lipoprotein-cholesterol and Triacylglycerol were determined using Randox test kits (Trinder, 1969 and Tietze </w:t>
      </w:r>
      <w:r>
        <w:rPr>
          <w:rFonts w:ascii="Times New Roman" w:hAnsi="Times New Roman"/>
          <w:i/>
          <w:iCs/>
          <w:sz w:val="24"/>
          <w:szCs w:val="24"/>
        </w:rPr>
        <w:t>et al</w:t>
      </w:r>
      <w:r>
        <w:rPr>
          <w:rFonts w:ascii="Times New Roman" w:hAnsi="Times New Roman"/>
          <w:sz w:val="24"/>
          <w:szCs w:val="24"/>
        </w:rPr>
        <w:t>., 1990).</w:t>
      </w:r>
    </w:p>
    <w:p w14:paraId="4E48983B" w14:textId="77777777" w:rsidR="005C75C3" w:rsidRDefault="00D42813">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Low-density Lipoprotein-cholesterol (LDL-C) was calculated using a standard formula (Friedewald </w:t>
      </w:r>
      <w:r>
        <w:rPr>
          <w:rFonts w:ascii="Times New Roman" w:hAnsi="Times New Roman"/>
          <w:i/>
          <w:iCs/>
          <w:sz w:val="24"/>
          <w:szCs w:val="24"/>
        </w:rPr>
        <w:t>et al</w:t>
      </w:r>
      <w:r>
        <w:rPr>
          <w:rFonts w:ascii="Times New Roman" w:hAnsi="Times New Roman"/>
          <w:sz w:val="24"/>
          <w:szCs w:val="24"/>
        </w:rPr>
        <w:t>., 1972).</w:t>
      </w:r>
    </w:p>
    <w:p w14:paraId="5204EBBF" w14:textId="77777777" w:rsidR="005C75C3" w:rsidRDefault="00D42813">
      <w:pPr>
        <w:autoSpaceDE w:val="0"/>
        <w:autoSpaceDN w:val="0"/>
        <w:adjustRightInd w:val="0"/>
        <w:spacing w:line="360" w:lineRule="auto"/>
        <w:jc w:val="both"/>
        <w:rPr>
          <w:rFonts w:ascii="Times New Roman" w:hAnsi="Times New Roman"/>
          <w:sz w:val="24"/>
          <w:szCs w:val="24"/>
        </w:rPr>
      </w:pPr>
      <w:r>
        <w:rPr>
          <w:rFonts w:ascii="Times New Roman" w:hAnsi="Times New Roman"/>
          <w:sz w:val="24"/>
          <w:szCs w:val="24"/>
        </w:rPr>
        <w:t xml:space="preserve">LDL-cholesterol = Total Cholesterol - HDL-cholesterol - </w:t>
      </w:r>
      <w:proofErr w:type="spellStart"/>
      <w:r>
        <w:rPr>
          <w:rFonts w:ascii="Times New Roman" w:hAnsi="Times New Roman"/>
          <w:sz w:val="24"/>
          <w:szCs w:val="24"/>
        </w:rPr>
        <w:t>Triacylglycerides</w:t>
      </w:r>
      <w:proofErr w:type="spellEnd"/>
      <w:r>
        <w:rPr>
          <w:rFonts w:ascii="Times New Roman" w:hAnsi="Times New Roman"/>
          <w:sz w:val="24"/>
          <w:szCs w:val="24"/>
        </w:rPr>
        <w:t>/5.</w:t>
      </w:r>
    </w:p>
    <w:p w14:paraId="21D4CFD6" w14:textId="3876E82D" w:rsidR="005C75C3" w:rsidRDefault="00D42813">
      <w:pPr>
        <w:autoSpaceDE w:val="0"/>
        <w:autoSpaceDN w:val="0"/>
        <w:adjustRightInd w:val="0"/>
        <w:spacing w:line="360" w:lineRule="auto"/>
        <w:jc w:val="both"/>
        <w:rPr>
          <w:rFonts w:ascii="Times New Roman" w:hAnsi="Times New Roman"/>
          <w:b/>
          <w:bCs/>
          <w:sz w:val="24"/>
          <w:szCs w:val="24"/>
        </w:rPr>
      </w:pPr>
      <w:r>
        <w:rPr>
          <w:rFonts w:ascii="Times New Roman" w:hAnsi="Times New Roman"/>
          <w:sz w:val="24"/>
          <w:szCs w:val="24"/>
        </w:rPr>
        <w:t>The serum VLDL-cholesterol was calculated as 1/5 of the serum triglyceride, where [TG]/5 is an estimate of VLDL-cholesterol and all values are expressed in mg/dl (Tietze, 1996).</w:t>
      </w:r>
    </w:p>
    <w:p w14:paraId="7C360939" w14:textId="77777777" w:rsidR="005C75C3" w:rsidRDefault="00D42813">
      <w:pPr>
        <w:spacing w:after="0" w:line="360" w:lineRule="auto"/>
        <w:jc w:val="both"/>
        <w:rPr>
          <w:rFonts w:ascii="Times New Roman" w:hAnsi="Times New Roman"/>
          <w:b/>
          <w:sz w:val="24"/>
          <w:szCs w:val="24"/>
        </w:rPr>
      </w:pPr>
      <w:r>
        <w:rPr>
          <w:rFonts w:ascii="Times New Roman" w:hAnsi="Times New Roman"/>
          <w:b/>
          <w:sz w:val="24"/>
          <w:szCs w:val="24"/>
        </w:rPr>
        <w:t xml:space="preserve">Statistical Analysis </w:t>
      </w:r>
    </w:p>
    <w:p w14:paraId="21017375" w14:textId="77777777" w:rsidR="005C57D9" w:rsidRDefault="00D42813">
      <w:pPr>
        <w:spacing w:line="360" w:lineRule="auto"/>
        <w:jc w:val="both"/>
        <w:rPr>
          <w:rFonts w:ascii="Times New Roman" w:hAnsi="Times New Roman"/>
          <w:b/>
          <w:bCs/>
          <w:sz w:val="24"/>
          <w:szCs w:val="24"/>
          <w:lang w:val="en-GB"/>
        </w:rPr>
      </w:pPr>
      <w:r>
        <w:rPr>
          <w:rFonts w:ascii="Times New Roman" w:hAnsi="Times New Roman"/>
          <w:sz w:val="24"/>
          <w:szCs w:val="24"/>
        </w:rPr>
        <w:t>Data obtained from the experiments were analysed using the International Business Machine Corporation Statistical Package for Social Sciences software for windows version 23 (IBM SPSS Statistics). All the data collected were expressed as Mean ± SEM. Statistical analysis of the results obtained were performed by using ANOVA Tests to determine if a significant difference exists between the means of the test and control groups. The limit of significance was set at p&lt;0.05.</w:t>
      </w:r>
    </w:p>
    <w:p w14:paraId="46ADAE19" w14:textId="6B79215A" w:rsidR="005C75C3" w:rsidRDefault="00D42813">
      <w:pPr>
        <w:spacing w:line="360" w:lineRule="auto"/>
        <w:jc w:val="both"/>
        <w:rPr>
          <w:rFonts w:ascii="Times New Roman" w:hAnsi="Times New Roman"/>
          <w:b/>
          <w:bCs/>
          <w:sz w:val="24"/>
          <w:szCs w:val="24"/>
          <w:lang w:val="en-GB"/>
        </w:rPr>
      </w:pPr>
      <w:r>
        <w:rPr>
          <w:rFonts w:ascii="Times New Roman" w:hAnsi="Times New Roman"/>
          <w:b/>
          <w:bCs/>
          <w:sz w:val="24"/>
          <w:szCs w:val="24"/>
          <w:lang w:val="en-GB"/>
        </w:rPr>
        <w:t>R</w:t>
      </w:r>
      <w:proofErr w:type="spellStart"/>
      <w:r>
        <w:rPr>
          <w:rFonts w:ascii="Times New Roman" w:hAnsi="Times New Roman"/>
          <w:b/>
          <w:bCs/>
          <w:sz w:val="24"/>
          <w:szCs w:val="24"/>
        </w:rPr>
        <w:t>esults</w:t>
      </w:r>
      <w:proofErr w:type="spellEnd"/>
    </w:p>
    <w:p w14:paraId="0FFCD299" w14:textId="77777777" w:rsidR="005C75C3" w:rsidRDefault="00D42813">
      <w:pPr>
        <w:spacing w:line="360" w:lineRule="auto"/>
        <w:rPr>
          <w:rFonts w:ascii="Times New Roman" w:hAnsi="Times New Roman"/>
          <w:b/>
          <w:bCs/>
          <w:sz w:val="24"/>
          <w:szCs w:val="24"/>
          <w:lang w:val="en-GB"/>
        </w:rPr>
      </w:pPr>
      <w:r>
        <w:rPr>
          <w:rFonts w:ascii="Times New Roman" w:hAnsi="Times New Roman"/>
          <w:b/>
          <w:bCs/>
          <w:sz w:val="24"/>
          <w:szCs w:val="24"/>
          <w:lang w:val="en-GB"/>
        </w:rPr>
        <w:t>R</w:t>
      </w:r>
      <w:r>
        <w:rPr>
          <w:rFonts w:ascii="Times New Roman" w:hAnsi="Times New Roman"/>
          <w:b/>
          <w:bCs/>
          <w:sz w:val="24"/>
          <w:szCs w:val="24"/>
        </w:rPr>
        <w:t xml:space="preserve">esults of Phytochemical Analysis </w:t>
      </w:r>
    </w:p>
    <w:p w14:paraId="7127DF11" w14:textId="77777777" w:rsidR="005C75C3" w:rsidRDefault="00D42813">
      <w:pPr>
        <w:spacing w:line="360" w:lineRule="auto"/>
        <w:jc w:val="both"/>
        <w:rPr>
          <w:rFonts w:ascii="Times New Roman" w:hAnsi="Times New Roman"/>
          <w:b/>
          <w:bCs/>
          <w:sz w:val="24"/>
          <w:szCs w:val="24"/>
          <w:lang w:val="en-GB"/>
        </w:rPr>
      </w:pPr>
      <w:r>
        <w:rPr>
          <w:rFonts w:ascii="Times New Roman" w:hAnsi="Times New Roman"/>
          <w:sz w:val="24"/>
          <w:szCs w:val="24"/>
          <w:lang w:val="en-GB"/>
        </w:rPr>
        <w:t xml:space="preserve">Quantitative phytochemical analysis of </w:t>
      </w:r>
      <w:r>
        <w:rPr>
          <w:rFonts w:ascii="Times New Roman" w:hAnsi="Times New Roman"/>
          <w:i/>
          <w:iCs/>
          <w:sz w:val="24"/>
          <w:szCs w:val="24"/>
          <w:lang w:val="en-GB"/>
        </w:rPr>
        <w:t>P</w:t>
      </w:r>
      <w:r>
        <w:rPr>
          <w:rFonts w:ascii="Times New Roman" w:hAnsi="Times New Roman"/>
          <w:i/>
          <w:iCs/>
          <w:sz w:val="24"/>
          <w:szCs w:val="24"/>
        </w:rPr>
        <w:t xml:space="preserve">terocarpus </w:t>
      </w:r>
      <w:r>
        <w:rPr>
          <w:rFonts w:ascii="Times New Roman" w:hAnsi="Times New Roman"/>
          <w:i/>
          <w:iCs/>
          <w:sz w:val="24"/>
          <w:szCs w:val="24"/>
          <w:lang w:val="en-GB"/>
        </w:rPr>
        <w:t>santalinoides</w:t>
      </w:r>
      <w:r>
        <w:rPr>
          <w:rFonts w:ascii="Times New Roman" w:hAnsi="Times New Roman"/>
          <w:sz w:val="24"/>
          <w:szCs w:val="24"/>
          <w:lang w:val="en-GB"/>
        </w:rPr>
        <w:t xml:space="preserve"> revealed that vanillic acid is contained in the sample in substantial amount followed by hesperidin and flavone (table </w:t>
      </w:r>
      <w:r>
        <w:rPr>
          <w:rFonts w:ascii="Times New Roman" w:hAnsi="Times New Roman"/>
          <w:sz w:val="24"/>
          <w:szCs w:val="24"/>
        </w:rPr>
        <w:t>1</w:t>
      </w:r>
      <w:r>
        <w:rPr>
          <w:rFonts w:ascii="Times New Roman" w:hAnsi="Times New Roman"/>
          <w:sz w:val="24"/>
          <w:szCs w:val="24"/>
          <w:lang w:val="en-GB"/>
        </w:rPr>
        <w:t xml:space="preserve">). Other phytochemicals detected in the leaves of </w:t>
      </w:r>
      <w:r>
        <w:rPr>
          <w:rFonts w:ascii="Times New Roman" w:hAnsi="Times New Roman"/>
          <w:i/>
          <w:iCs/>
          <w:sz w:val="24"/>
          <w:szCs w:val="24"/>
          <w:lang w:val="en-GB"/>
        </w:rPr>
        <w:t>P. santalinoides</w:t>
      </w:r>
      <w:r>
        <w:rPr>
          <w:rFonts w:ascii="Times New Roman" w:hAnsi="Times New Roman"/>
          <w:sz w:val="24"/>
          <w:szCs w:val="24"/>
          <w:lang w:val="en-GB"/>
        </w:rPr>
        <w:t xml:space="preserve"> include ferulic acid, artemetin, gallocatechin, resveratrol, lunamarin, retusin, nobiletin, ellagic acid, tangeretin, epicatechin, butein, apigenin, naringenin, myricetin and daidzein (table </w:t>
      </w:r>
      <w:r>
        <w:rPr>
          <w:rFonts w:ascii="Times New Roman" w:hAnsi="Times New Roman"/>
          <w:sz w:val="24"/>
          <w:szCs w:val="24"/>
        </w:rPr>
        <w:t>1</w:t>
      </w:r>
      <w:r>
        <w:rPr>
          <w:rFonts w:ascii="Times New Roman" w:hAnsi="Times New Roman"/>
          <w:sz w:val="24"/>
          <w:szCs w:val="24"/>
          <w:lang w:val="en-GB"/>
        </w:rPr>
        <w:t xml:space="preserve">). </w:t>
      </w:r>
    </w:p>
    <w:p w14:paraId="194482E3" w14:textId="77777777" w:rsidR="00997AD9" w:rsidRDefault="00997AD9">
      <w:pPr>
        <w:spacing w:line="360" w:lineRule="auto"/>
        <w:jc w:val="both"/>
        <w:rPr>
          <w:rFonts w:ascii="Times New Roman" w:hAnsi="Times New Roman"/>
          <w:b/>
          <w:bCs/>
          <w:sz w:val="24"/>
          <w:szCs w:val="24"/>
          <w:lang w:val="en-GB"/>
        </w:rPr>
      </w:pPr>
    </w:p>
    <w:p w14:paraId="55E33C05" w14:textId="77777777" w:rsidR="00997AD9" w:rsidRDefault="00997AD9">
      <w:pPr>
        <w:spacing w:line="360" w:lineRule="auto"/>
        <w:jc w:val="both"/>
        <w:rPr>
          <w:rFonts w:ascii="Times New Roman" w:hAnsi="Times New Roman"/>
          <w:b/>
          <w:bCs/>
          <w:sz w:val="24"/>
          <w:szCs w:val="24"/>
          <w:lang w:val="en-GB"/>
        </w:rPr>
      </w:pPr>
    </w:p>
    <w:p w14:paraId="21A584D1" w14:textId="745E0498" w:rsidR="005C75C3" w:rsidRDefault="00D42813">
      <w:pPr>
        <w:spacing w:line="360" w:lineRule="auto"/>
        <w:jc w:val="both"/>
        <w:rPr>
          <w:rFonts w:ascii="Times New Roman" w:hAnsi="Times New Roman"/>
          <w:b/>
          <w:bCs/>
          <w:sz w:val="24"/>
          <w:szCs w:val="24"/>
          <w:lang w:val="en-GB"/>
        </w:rPr>
      </w:pPr>
      <w:r>
        <w:rPr>
          <w:rFonts w:ascii="Times New Roman" w:hAnsi="Times New Roman"/>
          <w:b/>
          <w:bCs/>
          <w:sz w:val="24"/>
          <w:szCs w:val="24"/>
          <w:lang w:val="en-GB"/>
        </w:rPr>
        <w:t xml:space="preserve">Table </w:t>
      </w:r>
      <w:r>
        <w:rPr>
          <w:rFonts w:ascii="Times New Roman" w:hAnsi="Times New Roman"/>
          <w:b/>
          <w:bCs/>
          <w:sz w:val="24"/>
          <w:szCs w:val="24"/>
        </w:rPr>
        <w:t>1</w:t>
      </w:r>
      <w:r>
        <w:rPr>
          <w:rFonts w:ascii="Times New Roman" w:hAnsi="Times New Roman"/>
          <w:b/>
          <w:bCs/>
          <w:sz w:val="24"/>
          <w:szCs w:val="24"/>
          <w:lang w:val="en-GB"/>
        </w:rPr>
        <w:t xml:space="preserve">: </w:t>
      </w:r>
      <w:r>
        <w:rPr>
          <w:rFonts w:ascii="Times New Roman" w:hAnsi="Times New Roman"/>
          <w:sz w:val="24"/>
          <w:szCs w:val="24"/>
          <w:lang w:val="en-GB"/>
        </w:rPr>
        <w:t xml:space="preserve">Results of quantitative Phytochemical Analysis of </w:t>
      </w:r>
      <w:r>
        <w:rPr>
          <w:rFonts w:ascii="Times New Roman" w:hAnsi="Times New Roman"/>
          <w:i/>
          <w:iCs/>
          <w:sz w:val="24"/>
          <w:szCs w:val="24"/>
          <w:lang w:val="en-GB"/>
        </w:rPr>
        <w:t>P. santalinoides</w:t>
      </w:r>
    </w:p>
    <w:tbl>
      <w:tblPr>
        <w:tblStyle w:val="TableGrid"/>
        <w:tblW w:w="0" w:type="auto"/>
        <w:tblInd w:w="-5" w:type="dxa"/>
        <w:tblLook w:val="04A0" w:firstRow="1" w:lastRow="0" w:firstColumn="1" w:lastColumn="0" w:noHBand="0" w:noVBand="1"/>
      </w:tblPr>
      <w:tblGrid>
        <w:gridCol w:w="3261"/>
        <w:gridCol w:w="4110"/>
      </w:tblGrid>
      <w:tr w:rsidR="00D42813" w:rsidRPr="00B7198D" w14:paraId="151497F0" w14:textId="77777777" w:rsidTr="00D42813">
        <w:tc>
          <w:tcPr>
            <w:tcW w:w="3261" w:type="dxa"/>
          </w:tcPr>
          <w:p w14:paraId="58437DEE" w14:textId="77777777" w:rsidR="00D42813" w:rsidRPr="00B7198D" w:rsidRDefault="00D42813" w:rsidP="00D42813">
            <w:pPr>
              <w:spacing w:after="0"/>
              <w:rPr>
                <w:rFonts w:ascii="Times New Roman" w:hAnsi="Times New Roman" w:cs="Times New Roman"/>
                <w:b/>
                <w:bCs/>
                <w:sz w:val="24"/>
                <w:szCs w:val="24"/>
                <w:lang w:val="en-GB"/>
              </w:rPr>
            </w:pPr>
            <w:r w:rsidRPr="00B7198D">
              <w:rPr>
                <w:rFonts w:ascii="Times New Roman" w:hAnsi="Times New Roman" w:cs="Times New Roman"/>
                <w:b/>
                <w:bCs/>
                <w:sz w:val="24"/>
                <w:szCs w:val="24"/>
                <w:lang w:val="en-GB"/>
              </w:rPr>
              <w:t>Phytochemicals (ppm)</w:t>
            </w:r>
          </w:p>
        </w:tc>
        <w:tc>
          <w:tcPr>
            <w:tcW w:w="4110" w:type="dxa"/>
          </w:tcPr>
          <w:p w14:paraId="3042FDEF" w14:textId="77777777" w:rsidR="00D42813" w:rsidRPr="00B7198D" w:rsidRDefault="00D42813" w:rsidP="00D42813">
            <w:pPr>
              <w:spacing w:after="0"/>
              <w:jc w:val="center"/>
              <w:rPr>
                <w:rFonts w:ascii="Times New Roman" w:hAnsi="Times New Roman" w:cs="Times New Roman"/>
                <w:b/>
                <w:bCs/>
                <w:sz w:val="24"/>
                <w:szCs w:val="24"/>
                <w:lang w:val="en-GB"/>
              </w:rPr>
            </w:pPr>
            <w:r w:rsidRPr="00B7198D">
              <w:rPr>
                <w:rFonts w:ascii="Times New Roman" w:hAnsi="Times New Roman" w:cs="Times New Roman"/>
                <w:b/>
                <w:bCs/>
                <w:sz w:val="24"/>
                <w:szCs w:val="24"/>
                <w:lang w:val="en-GB"/>
              </w:rPr>
              <w:t>Mean ± SEM</w:t>
            </w:r>
          </w:p>
        </w:tc>
      </w:tr>
      <w:tr w:rsidR="00D42813" w:rsidRPr="00B7198D" w14:paraId="3C0CC97B" w14:textId="77777777" w:rsidTr="00D42813">
        <w:tc>
          <w:tcPr>
            <w:tcW w:w="3261" w:type="dxa"/>
          </w:tcPr>
          <w:p w14:paraId="52158B0F"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Ferulic acid</w:t>
            </w:r>
          </w:p>
        </w:tc>
        <w:tc>
          <w:tcPr>
            <w:tcW w:w="4110" w:type="dxa"/>
          </w:tcPr>
          <w:p w14:paraId="1F84931F"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4.47 ± 0.00b</w:t>
            </w:r>
          </w:p>
        </w:tc>
      </w:tr>
      <w:tr w:rsidR="00D42813" w:rsidRPr="00B7198D" w14:paraId="09C05CA8" w14:textId="77777777" w:rsidTr="00D42813">
        <w:tc>
          <w:tcPr>
            <w:tcW w:w="3261" w:type="dxa"/>
          </w:tcPr>
          <w:p w14:paraId="519A3685"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Artemetin</w:t>
            </w:r>
            <w:proofErr w:type="spellEnd"/>
          </w:p>
        </w:tc>
        <w:tc>
          <w:tcPr>
            <w:tcW w:w="4110" w:type="dxa"/>
          </w:tcPr>
          <w:p w14:paraId="242A670E"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6.04 ± 0.00b</w:t>
            </w:r>
          </w:p>
        </w:tc>
      </w:tr>
      <w:tr w:rsidR="00D42813" w:rsidRPr="00B7198D" w14:paraId="1E95E5C9" w14:textId="77777777" w:rsidTr="00D42813">
        <w:tc>
          <w:tcPr>
            <w:tcW w:w="3261" w:type="dxa"/>
          </w:tcPr>
          <w:p w14:paraId="33AF40F8"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Gallocatechin</w:t>
            </w:r>
            <w:proofErr w:type="spellEnd"/>
          </w:p>
        </w:tc>
        <w:tc>
          <w:tcPr>
            <w:tcW w:w="4110" w:type="dxa"/>
          </w:tcPr>
          <w:p w14:paraId="655C3CD0"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2.17 ± 0.00c</w:t>
            </w:r>
          </w:p>
        </w:tc>
      </w:tr>
      <w:tr w:rsidR="00D42813" w:rsidRPr="00B7198D" w14:paraId="67AD01D6" w14:textId="77777777" w:rsidTr="00D42813">
        <w:tc>
          <w:tcPr>
            <w:tcW w:w="3261" w:type="dxa"/>
          </w:tcPr>
          <w:p w14:paraId="779D0AE9"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Flavone</w:t>
            </w:r>
          </w:p>
        </w:tc>
        <w:tc>
          <w:tcPr>
            <w:tcW w:w="4110" w:type="dxa"/>
          </w:tcPr>
          <w:p w14:paraId="5EB88401"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8.86 ± 0.00b</w:t>
            </w:r>
          </w:p>
        </w:tc>
      </w:tr>
      <w:tr w:rsidR="00D42813" w:rsidRPr="00B7198D" w14:paraId="0A73A599" w14:textId="77777777" w:rsidTr="00D42813">
        <w:tc>
          <w:tcPr>
            <w:tcW w:w="3261" w:type="dxa"/>
          </w:tcPr>
          <w:p w14:paraId="732C6906"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Reveratrol</w:t>
            </w:r>
            <w:proofErr w:type="spellEnd"/>
          </w:p>
        </w:tc>
        <w:tc>
          <w:tcPr>
            <w:tcW w:w="4110" w:type="dxa"/>
          </w:tcPr>
          <w:p w14:paraId="09C5F5CE"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3.32 ± 0.00c</w:t>
            </w:r>
          </w:p>
        </w:tc>
      </w:tr>
      <w:tr w:rsidR="00D42813" w:rsidRPr="00B7198D" w14:paraId="25320DA4" w14:textId="77777777" w:rsidTr="00D42813">
        <w:tc>
          <w:tcPr>
            <w:tcW w:w="3261" w:type="dxa"/>
          </w:tcPr>
          <w:p w14:paraId="11A4962F"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Lunamarin</w:t>
            </w:r>
            <w:proofErr w:type="spellEnd"/>
          </w:p>
        </w:tc>
        <w:tc>
          <w:tcPr>
            <w:tcW w:w="4110" w:type="dxa"/>
          </w:tcPr>
          <w:p w14:paraId="72223401"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7.68 ± 0.00b</w:t>
            </w:r>
          </w:p>
        </w:tc>
      </w:tr>
      <w:tr w:rsidR="00D42813" w:rsidRPr="00B7198D" w14:paraId="312490BF" w14:textId="77777777" w:rsidTr="00D42813">
        <w:tc>
          <w:tcPr>
            <w:tcW w:w="3261" w:type="dxa"/>
          </w:tcPr>
          <w:p w14:paraId="0C42090C"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Retusin</w:t>
            </w:r>
            <w:proofErr w:type="spellEnd"/>
          </w:p>
        </w:tc>
        <w:tc>
          <w:tcPr>
            <w:tcW w:w="4110" w:type="dxa"/>
          </w:tcPr>
          <w:p w14:paraId="5C61DB3D"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3.37 ± 0.00c</w:t>
            </w:r>
          </w:p>
        </w:tc>
      </w:tr>
      <w:tr w:rsidR="00D42813" w:rsidRPr="00B7198D" w14:paraId="35F3A6BD" w14:textId="77777777" w:rsidTr="00D42813">
        <w:tc>
          <w:tcPr>
            <w:tcW w:w="3261" w:type="dxa"/>
          </w:tcPr>
          <w:p w14:paraId="62D1C434"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Nobeletin</w:t>
            </w:r>
            <w:proofErr w:type="spellEnd"/>
          </w:p>
        </w:tc>
        <w:tc>
          <w:tcPr>
            <w:tcW w:w="4110" w:type="dxa"/>
          </w:tcPr>
          <w:p w14:paraId="2460F069"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1.48 ± 0.00c</w:t>
            </w:r>
          </w:p>
        </w:tc>
      </w:tr>
      <w:tr w:rsidR="00D42813" w:rsidRPr="00B7198D" w14:paraId="760254F7" w14:textId="77777777" w:rsidTr="00D42813">
        <w:tc>
          <w:tcPr>
            <w:tcW w:w="3261" w:type="dxa"/>
          </w:tcPr>
          <w:p w14:paraId="5F507C25"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Ellagic acid</w:t>
            </w:r>
          </w:p>
        </w:tc>
        <w:tc>
          <w:tcPr>
            <w:tcW w:w="4110" w:type="dxa"/>
          </w:tcPr>
          <w:p w14:paraId="2DB78F54"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2.45 ± 0.00c</w:t>
            </w:r>
          </w:p>
        </w:tc>
      </w:tr>
      <w:tr w:rsidR="00D42813" w:rsidRPr="00B7198D" w14:paraId="30A2DD30" w14:textId="77777777" w:rsidTr="00D42813">
        <w:tc>
          <w:tcPr>
            <w:tcW w:w="3261" w:type="dxa"/>
          </w:tcPr>
          <w:p w14:paraId="5282848F" w14:textId="6DE32D20"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Tangeretin</w:t>
            </w:r>
            <w:proofErr w:type="spellEnd"/>
          </w:p>
        </w:tc>
        <w:tc>
          <w:tcPr>
            <w:tcW w:w="4110" w:type="dxa"/>
          </w:tcPr>
          <w:p w14:paraId="74245376"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3.43 ± 0.00c</w:t>
            </w:r>
          </w:p>
        </w:tc>
      </w:tr>
      <w:tr w:rsidR="00D42813" w:rsidRPr="00B7198D" w14:paraId="5F4E1125" w14:textId="77777777" w:rsidTr="00D42813">
        <w:tc>
          <w:tcPr>
            <w:tcW w:w="3261" w:type="dxa"/>
          </w:tcPr>
          <w:p w14:paraId="730C5612"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Epicatechin</w:t>
            </w:r>
          </w:p>
        </w:tc>
        <w:tc>
          <w:tcPr>
            <w:tcW w:w="4110" w:type="dxa"/>
          </w:tcPr>
          <w:p w14:paraId="3B4EF65D"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5.30 ± 0.00b</w:t>
            </w:r>
          </w:p>
        </w:tc>
      </w:tr>
      <w:tr w:rsidR="00D42813" w:rsidRPr="00B7198D" w14:paraId="0D1B04E6" w14:textId="77777777" w:rsidTr="00D42813">
        <w:tc>
          <w:tcPr>
            <w:tcW w:w="3261" w:type="dxa"/>
          </w:tcPr>
          <w:p w14:paraId="50F49D98"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Vanillic</w:t>
            </w:r>
          </w:p>
        </w:tc>
        <w:tc>
          <w:tcPr>
            <w:tcW w:w="4110" w:type="dxa"/>
          </w:tcPr>
          <w:p w14:paraId="534EB24D"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18.78 ± 0.00a</w:t>
            </w:r>
          </w:p>
        </w:tc>
      </w:tr>
      <w:tr w:rsidR="00D42813" w:rsidRPr="00B7198D" w14:paraId="5475B888" w14:textId="77777777" w:rsidTr="00D42813">
        <w:tc>
          <w:tcPr>
            <w:tcW w:w="3261" w:type="dxa"/>
          </w:tcPr>
          <w:p w14:paraId="6097A59F"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Hesperidin</w:t>
            </w:r>
          </w:p>
        </w:tc>
        <w:tc>
          <w:tcPr>
            <w:tcW w:w="4110" w:type="dxa"/>
          </w:tcPr>
          <w:p w14:paraId="34B9BC33"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10.24 ± 0.00b</w:t>
            </w:r>
          </w:p>
        </w:tc>
      </w:tr>
      <w:tr w:rsidR="00D42813" w:rsidRPr="00B7198D" w14:paraId="251B0F2E" w14:textId="77777777" w:rsidTr="00D42813">
        <w:tc>
          <w:tcPr>
            <w:tcW w:w="3261" w:type="dxa"/>
          </w:tcPr>
          <w:p w14:paraId="4335289A"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Butein</w:t>
            </w:r>
            <w:proofErr w:type="spellEnd"/>
          </w:p>
        </w:tc>
        <w:tc>
          <w:tcPr>
            <w:tcW w:w="4110" w:type="dxa"/>
          </w:tcPr>
          <w:p w14:paraId="696364B3"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3.37 ± 0.00c</w:t>
            </w:r>
          </w:p>
        </w:tc>
      </w:tr>
      <w:tr w:rsidR="00D42813" w:rsidRPr="00B7198D" w14:paraId="3D4B86AA" w14:textId="77777777" w:rsidTr="00D42813">
        <w:tc>
          <w:tcPr>
            <w:tcW w:w="3261" w:type="dxa"/>
          </w:tcPr>
          <w:p w14:paraId="1A221D9F"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Apigenin</w:t>
            </w:r>
          </w:p>
        </w:tc>
        <w:tc>
          <w:tcPr>
            <w:tcW w:w="4110" w:type="dxa"/>
          </w:tcPr>
          <w:p w14:paraId="29D7224C"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2.36 ± 0.00c</w:t>
            </w:r>
          </w:p>
        </w:tc>
      </w:tr>
      <w:tr w:rsidR="00D42813" w:rsidRPr="00B7198D" w14:paraId="6BFBDB6D" w14:textId="77777777" w:rsidTr="00D42813">
        <w:tc>
          <w:tcPr>
            <w:tcW w:w="3261" w:type="dxa"/>
          </w:tcPr>
          <w:p w14:paraId="157A056C"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Naringenin</w:t>
            </w:r>
          </w:p>
        </w:tc>
        <w:tc>
          <w:tcPr>
            <w:tcW w:w="4110" w:type="dxa"/>
          </w:tcPr>
          <w:p w14:paraId="052EB5AA"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6.24 ± 0.00b</w:t>
            </w:r>
          </w:p>
        </w:tc>
      </w:tr>
      <w:tr w:rsidR="00D42813" w:rsidRPr="00B7198D" w14:paraId="33DBFFC0" w14:textId="77777777" w:rsidTr="00D42813">
        <w:tc>
          <w:tcPr>
            <w:tcW w:w="3261" w:type="dxa"/>
          </w:tcPr>
          <w:p w14:paraId="381DC5EE"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Myricetin</w:t>
            </w:r>
          </w:p>
        </w:tc>
        <w:tc>
          <w:tcPr>
            <w:tcW w:w="4110" w:type="dxa"/>
          </w:tcPr>
          <w:p w14:paraId="693F1380"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7.30 ± 0.00b</w:t>
            </w:r>
          </w:p>
        </w:tc>
      </w:tr>
      <w:tr w:rsidR="00D42813" w:rsidRPr="00B7198D" w14:paraId="57727CB4" w14:textId="77777777" w:rsidTr="00D42813">
        <w:tc>
          <w:tcPr>
            <w:tcW w:w="3261" w:type="dxa"/>
          </w:tcPr>
          <w:p w14:paraId="19EF31F5"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Daidzein</w:t>
            </w:r>
          </w:p>
        </w:tc>
        <w:tc>
          <w:tcPr>
            <w:tcW w:w="4110" w:type="dxa"/>
          </w:tcPr>
          <w:p w14:paraId="085C493E"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4.17 ± 0.00c</w:t>
            </w:r>
          </w:p>
        </w:tc>
      </w:tr>
      <w:tr w:rsidR="00D42813" w:rsidRPr="00B7198D" w14:paraId="65B77991" w14:textId="77777777" w:rsidTr="00D42813">
        <w:tc>
          <w:tcPr>
            <w:tcW w:w="3261" w:type="dxa"/>
          </w:tcPr>
          <w:p w14:paraId="5E26F389"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Apigenin</w:t>
            </w:r>
          </w:p>
        </w:tc>
        <w:tc>
          <w:tcPr>
            <w:tcW w:w="4110" w:type="dxa"/>
          </w:tcPr>
          <w:p w14:paraId="1759A910"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r w:rsidR="00D42813" w:rsidRPr="00B7198D" w14:paraId="6CA2C645" w14:textId="77777777" w:rsidTr="00D42813">
        <w:tc>
          <w:tcPr>
            <w:tcW w:w="3261" w:type="dxa"/>
          </w:tcPr>
          <w:p w14:paraId="4ABF96B4"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Naringin</w:t>
            </w:r>
          </w:p>
        </w:tc>
        <w:tc>
          <w:tcPr>
            <w:tcW w:w="4110" w:type="dxa"/>
          </w:tcPr>
          <w:p w14:paraId="330547DD"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r w:rsidR="00D42813" w:rsidRPr="00B7198D" w14:paraId="7BB133BD" w14:textId="77777777" w:rsidTr="00D42813">
        <w:tc>
          <w:tcPr>
            <w:tcW w:w="3261" w:type="dxa"/>
          </w:tcPr>
          <w:p w14:paraId="3B9D2EDE"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Silymarin</w:t>
            </w:r>
          </w:p>
        </w:tc>
        <w:tc>
          <w:tcPr>
            <w:tcW w:w="4110" w:type="dxa"/>
          </w:tcPr>
          <w:p w14:paraId="181BC069"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r w:rsidR="00D42813" w:rsidRPr="00B7198D" w14:paraId="174C7CBB" w14:textId="77777777" w:rsidTr="00D42813">
        <w:tc>
          <w:tcPr>
            <w:tcW w:w="3261" w:type="dxa"/>
          </w:tcPr>
          <w:p w14:paraId="581AD152"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Baicalin</w:t>
            </w:r>
          </w:p>
        </w:tc>
        <w:tc>
          <w:tcPr>
            <w:tcW w:w="4110" w:type="dxa"/>
          </w:tcPr>
          <w:p w14:paraId="17DD13C7"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r w:rsidR="00D42813" w:rsidRPr="00B7198D" w14:paraId="2082FECA" w14:textId="77777777" w:rsidTr="00D42813">
        <w:tc>
          <w:tcPr>
            <w:tcW w:w="3261" w:type="dxa"/>
          </w:tcPr>
          <w:p w14:paraId="6C59D7B1"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Tangeretin</w:t>
            </w:r>
            <w:proofErr w:type="spellEnd"/>
          </w:p>
        </w:tc>
        <w:tc>
          <w:tcPr>
            <w:tcW w:w="4110" w:type="dxa"/>
          </w:tcPr>
          <w:p w14:paraId="4DB47F43"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r w:rsidR="00D42813" w:rsidRPr="00B7198D" w14:paraId="77DF38C9" w14:textId="77777777" w:rsidTr="00D42813">
        <w:tc>
          <w:tcPr>
            <w:tcW w:w="3261" w:type="dxa"/>
          </w:tcPr>
          <w:p w14:paraId="5C754FDE" w14:textId="77777777" w:rsidR="00D42813" w:rsidRPr="00B7198D" w:rsidRDefault="00D42813" w:rsidP="00D42813">
            <w:pPr>
              <w:spacing w:after="0"/>
              <w:rPr>
                <w:rFonts w:ascii="Times New Roman" w:hAnsi="Times New Roman" w:cs="Times New Roman"/>
                <w:sz w:val="24"/>
                <w:szCs w:val="24"/>
                <w:lang w:val="en-GB"/>
              </w:rPr>
            </w:pPr>
            <w:r w:rsidRPr="00B7198D">
              <w:rPr>
                <w:rFonts w:ascii="Times New Roman" w:hAnsi="Times New Roman" w:cs="Times New Roman"/>
                <w:sz w:val="24"/>
                <w:szCs w:val="24"/>
                <w:lang w:val="en-GB"/>
              </w:rPr>
              <w:t>Isorhamnetin</w:t>
            </w:r>
          </w:p>
        </w:tc>
        <w:tc>
          <w:tcPr>
            <w:tcW w:w="4110" w:type="dxa"/>
          </w:tcPr>
          <w:p w14:paraId="1B85D23D"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r w:rsidR="00D42813" w:rsidRPr="00B7198D" w14:paraId="5848EA4F" w14:textId="77777777" w:rsidTr="00D42813">
        <w:tc>
          <w:tcPr>
            <w:tcW w:w="3261" w:type="dxa"/>
          </w:tcPr>
          <w:p w14:paraId="499273ED" w14:textId="77777777" w:rsidR="00D42813" w:rsidRPr="00B7198D" w:rsidRDefault="00D42813" w:rsidP="00D42813">
            <w:pPr>
              <w:spacing w:after="0"/>
              <w:rPr>
                <w:rFonts w:ascii="Times New Roman" w:hAnsi="Times New Roman" w:cs="Times New Roman"/>
                <w:sz w:val="24"/>
                <w:szCs w:val="24"/>
                <w:lang w:val="en-GB"/>
              </w:rPr>
            </w:pPr>
            <w:proofErr w:type="spellStart"/>
            <w:r w:rsidRPr="00B7198D">
              <w:rPr>
                <w:rFonts w:ascii="Times New Roman" w:hAnsi="Times New Roman" w:cs="Times New Roman"/>
                <w:sz w:val="24"/>
                <w:szCs w:val="24"/>
                <w:lang w:val="en-GB"/>
              </w:rPr>
              <w:t>Sinapinic</w:t>
            </w:r>
            <w:proofErr w:type="spellEnd"/>
            <w:r w:rsidRPr="00B7198D">
              <w:rPr>
                <w:rFonts w:ascii="Times New Roman" w:hAnsi="Times New Roman" w:cs="Times New Roman"/>
                <w:sz w:val="24"/>
                <w:szCs w:val="24"/>
                <w:lang w:val="en-GB"/>
              </w:rPr>
              <w:t xml:space="preserve"> acid</w:t>
            </w:r>
          </w:p>
        </w:tc>
        <w:tc>
          <w:tcPr>
            <w:tcW w:w="4110" w:type="dxa"/>
          </w:tcPr>
          <w:p w14:paraId="12761D26" w14:textId="77777777" w:rsidR="00D42813" w:rsidRPr="00B7198D" w:rsidRDefault="00D42813" w:rsidP="00D42813">
            <w:pPr>
              <w:spacing w:after="0"/>
              <w:jc w:val="center"/>
              <w:rPr>
                <w:rFonts w:ascii="Times New Roman" w:hAnsi="Times New Roman" w:cs="Times New Roman"/>
                <w:sz w:val="24"/>
                <w:szCs w:val="24"/>
                <w:lang w:val="en-GB"/>
              </w:rPr>
            </w:pPr>
            <w:r w:rsidRPr="00B7198D">
              <w:rPr>
                <w:rFonts w:ascii="Times New Roman" w:hAnsi="Times New Roman" w:cs="Times New Roman"/>
                <w:sz w:val="24"/>
                <w:szCs w:val="24"/>
                <w:lang w:val="en-GB"/>
              </w:rPr>
              <w:t>0.00 ± 0.00c</w:t>
            </w:r>
          </w:p>
        </w:tc>
      </w:tr>
    </w:tbl>
    <w:p w14:paraId="7E76793C" w14:textId="77777777" w:rsidR="005C75C3" w:rsidRDefault="00D42813">
      <w:pPr>
        <w:jc w:val="both"/>
        <w:rPr>
          <w:rFonts w:ascii="Times New Roman" w:hAnsi="Times New Roman"/>
          <w:b/>
          <w:bCs/>
          <w:sz w:val="24"/>
          <w:szCs w:val="24"/>
          <w:lang w:val="en-GB"/>
        </w:rPr>
      </w:pPr>
      <w:r>
        <w:rPr>
          <w:rFonts w:ascii="Times New Roman" w:hAnsi="Times New Roman"/>
          <w:sz w:val="20"/>
          <w:szCs w:val="20"/>
          <w:lang w:val="en-GB"/>
        </w:rPr>
        <w:t xml:space="preserve">Values are mean ± SEM of triplicate determination. Values within the same column bearing different superscript letter were significantly different at </w:t>
      </w:r>
      <w:r>
        <w:rPr>
          <w:rFonts w:ascii="Times New Roman" w:hAnsi="Times New Roman"/>
          <w:i/>
          <w:iCs/>
          <w:sz w:val="20"/>
          <w:szCs w:val="20"/>
          <w:lang w:val="en-GB"/>
        </w:rPr>
        <w:t>p</w:t>
      </w:r>
      <w:r>
        <w:rPr>
          <w:rFonts w:ascii="Times New Roman" w:hAnsi="Times New Roman"/>
          <w:sz w:val="20"/>
          <w:szCs w:val="20"/>
          <w:lang w:val="en-GB"/>
        </w:rPr>
        <w:t>&lt;0.05.</w:t>
      </w:r>
    </w:p>
    <w:p w14:paraId="2215ECC8" w14:textId="1C93EDD1" w:rsidR="005C75C3" w:rsidRDefault="000B5F0A">
      <w:pPr>
        <w:jc w:val="both"/>
        <w:rPr>
          <w:rFonts w:ascii="Times New Roman" w:hAnsi="Times New Roman"/>
          <w:b/>
          <w:bCs/>
          <w:sz w:val="24"/>
          <w:szCs w:val="24"/>
          <w:lang w:val="en-GB"/>
        </w:rPr>
      </w:pPr>
      <w:r w:rsidRPr="000B5F0A">
        <w:rPr>
          <w:noProof/>
        </w:rPr>
        <w:lastRenderedPageBreak/>
        <w:drawing>
          <wp:inline distT="0" distB="0" distL="0" distR="0" wp14:anchorId="5174D1AC" wp14:editId="6215E1E6">
            <wp:extent cx="5731510" cy="7383780"/>
            <wp:effectExtent l="0" t="0" r="254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7383780"/>
                    </a:xfrm>
                    <a:prstGeom prst="rect">
                      <a:avLst/>
                    </a:prstGeom>
                    <a:noFill/>
                    <a:ln>
                      <a:noFill/>
                    </a:ln>
                  </pic:spPr>
                </pic:pic>
              </a:graphicData>
            </a:graphic>
          </wp:inline>
        </w:drawing>
      </w:r>
    </w:p>
    <w:p w14:paraId="1000CC4A" w14:textId="77777777" w:rsidR="000B5F0A" w:rsidRDefault="000B5F0A">
      <w:pPr>
        <w:spacing w:line="360" w:lineRule="auto"/>
        <w:rPr>
          <w:rFonts w:ascii="Times New Roman" w:hAnsi="Times New Roman"/>
          <w:b/>
          <w:bCs/>
          <w:sz w:val="24"/>
          <w:szCs w:val="24"/>
          <w:lang w:val="en-GB"/>
        </w:rPr>
      </w:pPr>
    </w:p>
    <w:p w14:paraId="586F8CA4" w14:textId="77777777" w:rsidR="000B5F0A" w:rsidRDefault="000B5F0A">
      <w:pPr>
        <w:spacing w:line="360" w:lineRule="auto"/>
        <w:rPr>
          <w:rFonts w:ascii="Times New Roman" w:hAnsi="Times New Roman"/>
          <w:b/>
          <w:bCs/>
          <w:sz w:val="24"/>
          <w:szCs w:val="24"/>
          <w:lang w:val="en-GB"/>
        </w:rPr>
      </w:pPr>
    </w:p>
    <w:p w14:paraId="45DF8801" w14:textId="77777777" w:rsidR="000B5F0A" w:rsidRDefault="000B5F0A">
      <w:pPr>
        <w:spacing w:line="360" w:lineRule="auto"/>
        <w:rPr>
          <w:rFonts w:ascii="Times New Roman" w:hAnsi="Times New Roman"/>
          <w:b/>
          <w:bCs/>
          <w:sz w:val="24"/>
          <w:szCs w:val="24"/>
          <w:lang w:val="en-GB"/>
        </w:rPr>
      </w:pPr>
    </w:p>
    <w:p w14:paraId="578F02C0" w14:textId="3BB65EF2" w:rsidR="003F27AA" w:rsidRDefault="000B5F0A">
      <w:pPr>
        <w:spacing w:line="360" w:lineRule="auto"/>
        <w:rPr>
          <w:rFonts w:ascii="Times New Roman" w:hAnsi="Times New Roman"/>
          <w:b/>
          <w:bCs/>
          <w:sz w:val="24"/>
          <w:szCs w:val="24"/>
          <w:lang w:val="en-GB"/>
        </w:rPr>
      </w:pPr>
      <w:r w:rsidRPr="000B5F0A">
        <w:rPr>
          <w:rFonts w:ascii="Times New Roman" w:hAnsi="Times New Roman"/>
          <w:b/>
          <w:bCs/>
          <w:noProof/>
          <w:sz w:val="24"/>
          <w:szCs w:val="24"/>
          <w:lang w:val="en-GB"/>
        </w:rPr>
        <w:lastRenderedPageBreak/>
        <w:drawing>
          <wp:inline distT="0" distB="0" distL="0" distR="0" wp14:anchorId="6C366935" wp14:editId="04336618">
            <wp:extent cx="5731510" cy="741172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7411720"/>
                    </a:xfrm>
                    <a:prstGeom prst="rect">
                      <a:avLst/>
                    </a:prstGeom>
                    <a:noFill/>
                    <a:ln>
                      <a:noFill/>
                    </a:ln>
                  </pic:spPr>
                </pic:pic>
              </a:graphicData>
            </a:graphic>
          </wp:inline>
        </w:drawing>
      </w:r>
    </w:p>
    <w:p w14:paraId="5E653657" w14:textId="77777777" w:rsidR="004B7016" w:rsidRDefault="004B7016">
      <w:pPr>
        <w:spacing w:line="360" w:lineRule="auto"/>
        <w:rPr>
          <w:rFonts w:ascii="Times New Roman" w:hAnsi="Times New Roman"/>
          <w:b/>
          <w:bCs/>
          <w:sz w:val="24"/>
          <w:szCs w:val="24"/>
          <w:lang w:val="en-GB"/>
        </w:rPr>
      </w:pPr>
    </w:p>
    <w:p w14:paraId="0DD5C626" w14:textId="4A254F0D" w:rsidR="002C1D9F" w:rsidRDefault="002C1D9F">
      <w:pPr>
        <w:spacing w:line="360" w:lineRule="auto"/>
        <w:rPr>
          <w:rFonts w:ascii="Times New Roman" w:hAnsi="Times New Roman"/>
          <w:b/>
          <w:bCs/>
          <w:sz w:val="24"/>
          <w:szCs w:val="24"/>
          <w:lang w:val="en-GB"/>
        </w:rPr>
      </w:pPr>
    </w:p>
    <w:p w14:paraId="14568436" w14:textId="77777777" w:rsidR="004A1552" w:rsidRDefault="004A1552">
      <w:pPr>
        <w:spacing w:line="360" w:lineRule="auto"/>
        <w:rPr>
          <w:rFonts w:ascii="Times New Roman" w:hAnsi="Times New Roman"/>
          <w:b/>
          <w:bCs/>
          <w:sz w:val="24"/>
          <w:szCs w:val="24"/>
          <w:lang w:val="en-GB"/>
        </w:rPr>
      </w:pPr>
    </w:p>
    <w:p w14:paraId="3E298368" w14:textId="7F687F3C" w:rsidR="005C75C3" w:rsidRDefault="00D42813">
      <w:pPr>
        <w:spacing w:line="360" w:lineRule="auto"/>
        <w:rPr>
          <w:rFonts w:ascii="Times New Roman" w:hAnsi="Times New Roman"/>
          <w:b/>
          <w:bCs/>
          <w:sz w:val="24"/>
          <w:szCs w:val="24"/>
          <w:lang w:val="en-GB"/>
        </w:rPr>
      </w:pPr>
      <w:r>
        <w:rPr>
          <w:rFonts w:ascii="Times New Roman" w:hAnsi="Times New Roman"/>
          <w:b/>
          <w:bCs/>
          <w:sz w:val="24"/>
          <w:szCs w:val="24"/>
          <w:lang w:val="en-GB"/>
        </w:rPr>
        <w:lastRenderedPageBreak/>
        <w:t>R</w:t>
      </w:r>
      <w:proofErr w:type="spellStart"/>
      <w:r>
        <w:rPr>
          <w:rFonts w:ascii="Times New Roman" w:hAnsi="Times New Roman"/>
          <w:b/>
          <w:bCs/>
          <w:sz w:val="24"/>
          <w:szCs w:val="24"/>
        </w:rPr>
        <w:t>esults</w:t>
      </w:r>
      <w:proofErr w:type="spellEnd"/>
      <w:r>
        <w:rPr>
          <w:rFonts w:ascii="Times New Roman" w:hAnsi="Times New Roman"/>
          <w:b/>
          <w:bCs/>
          <w:sz w:val="24"/>
          <w:szCs w:val="24"/>
        </w:rPr>
        <w:t xml:space="preserve"> of Acute Toxicity Study </w:t>
      </w:r>
    </w:p>
    <w:p w14:paraId="59A302F3" w14:textId="172BF0FA" w:rsidR="005C75C3" w:rsidRDefault="00D42813">
      <w:pPr>
        <w:spacing w:line="360" w:lineRule="auto"/>
        <w:jc w:val="both"/>
        <w:rPr>
          <w:rFonts w:ascii="Times New Roman" w:hAnsi="Times New Roman"/>
          <w:sz w:val="24"/>
          <w:szCs w:val="24"/>
          <w:lang w:val="en-GB"/>
        </w:rPr>
      </w:pPr>
      <w:r>
        <w:rPr>
          <w:rFonts w:ascii="Times New Roman" w:hAnsi="Times New Roman"/>
          <w:sz w:val="24"/>
          <w:szCs w:val="24"/>
          <w:lang w:val="en-GB"/>
        </w:rPr>
        <w:t>The result of the acute toxicity (LD</w:t>
      </w:r>
      <w:r>
        <w:rPr>
          <w:rFonts w:ascii="Times New Roman" w:hAnsi="Times New Roman"/>
          <w:sz w:val="24"/>
          <w:szCs w:val="24"/>
          <w:vertAlign w:val="subscript"/>
          <w:lang w:val="en-GB"/>
        </w:rPr>
        <w:t>50</w:t>
      </w:r>
      <w:r>
        <w:rPr>
          <w:rFonts w:ascii="Times New Roman" w:hAnsi="Times New Roman"/>
          <w:sz w:val="24"/>
          <w:szCs w:val="24"/>
          <w:lang w:val="en-GB"/>
        </w:rPr>
        <w:t xml:space="preserve">) study is as recorded in table </w:t>
      </w:r>
      <w:r>
        <w:rPr>
          <w:rFonts w:ascii="Times New Roman" w:hAnsi="Times New Roman"/>
          <w:sz w:val="24"/>
          <w:szCs w:val="24"/>
        </w:rPr>
        <w:t>2</w:t>
      </w:r>
      <w:r>
        <w:rPr>
          <w:rFonts w:ascii="Times New Roman" w:hAnsi="Times New Roman"/>
          <w:sz w:val="24"/>
          <w:szCs w:val="24"/>
          <w:lang w:val="en-GB"/>
        </w:rPr>
        <w:t xml:space="preserve">. </w:t>
      </w:r>
      <w:r>
        <w:rPr>
          <w:rFonts w:ascii="Times New Roman" w:hAnsi="Times New Roman"/>
          <w:sz w:val="24"/>
          <w:szCs w:val="24"/>
        </w:rPr>
        <w:t>S</w:t>
      </w:r>
      <w:r>
        <w:rPr>
          <w:rFonts w:ascii="Times New Roman" w:hAnsi="Times New Roman"/>
          <w:sz w:val="24"/>
          <w:szCs w:val="24"/>
          <w:lang w:val="en-GB"/>
        </w:rPr>
        <w:t xml:space="preserve">ingle dose administration of ethanol extract of </w:t>
      </w:r>
      <w:r>
        <w:rPr>
          <w:rFonts w:ascii="Times New Roman" w:hAnsi="Times New Roman"/>
          <w:i/>
          <w:iCs/>
          <w:sz w:val="24"/>
          <w:szCs w:val="24"/>
          <w:lang w:val="en-GB"/>
        </w:rPr>
        <w:t>P. santalinoides</w:t>
      </w:r>
      <w:r>
        <w:rPr>
          <w:rFonts w:ascii="Times New Roman" w:hAnsi="Times New Roman"/>
          <w:sz w:val="24"/>
          <w:szCs w:val="24"/>
          <w:lang w:val="en-GB"/>
        </w:rPr>
        <w:t xml:space="preserve"> revealed that at a dose of 10, 100, 1000 and 1600 mg/kg no sign or symptom of toxicity was observed. However, single administration of the extract at a dose of 2900 and 5000 mg/kg bodyweight revealed that the extract might be slightly toxic as the animal was observed to be slightly weak and very weak </w:t>
      </w:r>
      <w:r w:rsidR="002C1D9F">
        <w:rPr>
          <w:rFonts w:ascii="Times New Roman" w:hAnsi="Times New Roman"/>
          <w:sz w:val="24"/>
          <w:szCs w:val="24"/>
          <w:lang w:val="en-GB"/>
        </w:rPr>
        <w:t>respectively.</w:t>
      </w:r>
    </w:p>
    <w:p w14:paraId="5DB4F9C5" w14:textId="77777777" w:rsidR="005C75C3" w:rsidRDefault="00D42813">
      <w:pPr>
        <w:spacing w:line="360" w:lineRule="auto"/>
        <w:rPr>
          <w:rFonts w:ascii="Times New Roman" w:hAnsi="Times New Roman"/>
          <w:b/>
          <w:bCs/>
          <w:sz w:val="24"/>
          <w:szCs w:val="24"/>
          <w:lang w:val="en-GB"/>
        </w:rPr>
      </w:pPr>
      <w:r>
        <w:rPr>
          <w:rFonts w:ascii="Times New Roman" w:hAnsi="Times New Roman"/>
          <w:b/>
          <w:bCs/>
          <w:sz w:val="24"/>
          <w:szCs w:val="24"/>
          <w:lang w:val="en-GB"/>
        </w:rPr>
        <w:t xml:space="preserve">Table </w:t>
      </w:r>
      <w:r>
        <w:rPr>
          <w:rFonts w:ascii="Times New Roman" w:hAnsi="Times New Roman"/>
          <w:b/>
          <w:bCs/>
          <w:sz w:val="24"/>
          <w:szCs w:val="24"/>
        </w:rPr>
        <w:t>2</w:t>
      </w:r>
      <w:r>
        <w:rPr>
          <w:rFonts w:ascii="Times New Roman" w:hAnsi="Times New Roman"/>
          <w:b/>
          <w:bCs/>
          <w:sz w:val="24"/>
          <w:szCs w:val="24"/>
          <w:lang w:val="en-GB"/>
        </w:rPr>
        <w:t>: Result of the acute toxicity (LD</w:t>
      </w:r>
      <w:r>
        <w:rPr>
          <w:rFonts w:ascii="Times New Roman" w:hAnsi="Times New Roman"/>
          <w:b/>
          <w:bCs/>
          <w:sz w:val="24"/>
          <w:szCs w:val="24"/>
          <w:vertAlign w:val="subscript"/>
          <w:lang w:val="en-GB"/>
        </w:rPr>
        <w:t>50</w:t>
      </w:r>
      <w:r>
        <w:rPr>
          <w:rFonts w:ascii="Times New Roman" w:hAnsi="Times New Roman"/>
          <w:b/>
          <w:bCs/>
          <w:sz w:val="24"/>
          <w:szCs w:val="24"/>
          <w:lang w:val="en-GB"/>
        </w:rPr>
        <w:t xml:space="preserve">) test of ethanol extract of </w:t>
      </w:r>
      <w:r>
        <w:rPr>
          <w:rFonts w:ascii="Times New Roman" w:hAnsi="Times New Roman"/>
          <w:b/>
          <w:bCs/>
          <w:i/>
          <w:iCs/>
          <w:sz w:val="24"/>
          <w:szCs w:val="24"/>
          <w:lang w:val="en-GB"/>
        </w:rPr>
        <w:t>Pterocarpus santalinoides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5"/>
        <w:gridCol w:w="3005"/>
        <w:gridCol w:w="3006"/>
      </w:tblGrid>
      <w:tr w:rsidR="005C75C3" w:rsidRPr="00245883" w14:paraId="15A522CB" w14:textId="77777777">
        <w:tc>
          <w:tcPr>
            <w:tcW w:w="3005" w:type="dxa"/>
            <w:tcBorders>
              <w:top w:val="single" w:sz="4" w:space="0" w:color="auto"/>
              <w:left w:val="nil"/>
              <w:bottom w:val="single" w:sz="4" w:space="0" w:color="auto"/>
              <w:right w:val="nil"/>
            </w:tcBorders>
            <w:hideMark/>
          </w:tcPr>
          <w:p w14:paraId="02DEDE13" w14:textId="77777777" w:rsidR="005C75C3" w:rsidRPr="00245883" w:rsidRDefault="00D42813" w:rsidP="00245883">
            <w:pPr>
              <w:spacing w:before="240" w:after="0"/>
              <w:jc w:val="center"/>
              <w:rPr>
                <w:rFonts w:ascii="Times New Roman" w:hAnsi="Times New Roman"/>
                <w:b/>
                <w:bCs/>
                <w:sz w:val="24"/>
                <w:szCs w:val="24"/>
                <w:lang w:val="en-GB"/>
              </w:rPr>
            </w:pPr>
            <w:r w:rsidRPr="00245883">
              <w:rPr>
                <w:rFonts w:ascii="Times New Roman" w:hAnsi="Times New Roman"/>
                <w:b/>
                <w:bCs/>
                <w:sz w:val="24"/>
                <w:szCs w:val="24"/>
                <w:lang w:val="en-GB"/>
              </w:rPr>
              <w:t>Dose (mg/kg)</w:t>
            </w:r>
          </w:p>
        </w:tc>
        <w:tc>
          <w:tcPr>
            <w:tcW w:w="3005" w:type="dxa"/>
            <w:tcBorders>
              <w:top w:val="single" w:sz="4" w:space="0" w:color="auto"/>
              <w:left w:val="nil"/>
              <w:bottom w:val="single" w:sz="4" w:space="0" w:color="auto"/>
              <w:right w:val="nil"/>
            </w:tcBorders>
            <w:hideMark/>
          </w:tcPr>
          <w:p w14:paraId="3AFA3AC5" w14:textId="77777777" w:rsidR="005C75C3" w:rsidRPr="00245883" w:rsidRDefault="00D42813" w:rsidP="00245883">
            <w:pPr>
              <w:spacing w:before="240" w:after="0"/>
              <w:jc w:val="center"/>
              <w:rPr>
                <w:rFonts w:ascii="Times New Roman" w:hAnsi="Times New Roman"/>
                <w:b/>
                <w:bCs/>
                <w:sz w:val="24"/>
                <w:szCs w:val="24"/>
                <w:lang w:val="en-GB"/>
              </w:rPr>
            </w:pPr>
            <w:r w:rsidRPr="00245883">
              <w:rPr>
                <w:rFonts w:ascii="Times New Roman" w:hAnsi="Times New Roman"/>
                <w:b/>
                <w:bCs/>
                <w:sz w:val="24"/>
                <w:szCs w:val="24"/>
                <w:lang w:val="en-GB"/>
              </w:rPr>
              <w:t>Observations</w:t>
            </w:r>
          </w:p>
        </w:tc>
        <w:tc>
          <w:tcPr>
            <w:tcW w:w="3006" w:type="dxa"/>
            <w:tcBorders>
              <w:top w:val="single" w:sz="4" w:space="0" w:color="auto"/>
              <w:left w:val="nil"/>
              <w:bottom w:val="single" w:sz="4" w:space="0" w:color="auto"/>
              <w:right w:val="nil"/>
            </w:tcBorders>
            <w:hideMark/>
          </w:tcPr>
          <w:p w14:paraId="2CAD766E" w14:textId="77777777" w:rsidR="005C75C3" w:rsidRPr="00245883" w:rsidRDefault="00D42813" w:rsidP="00245883">
            <w:pPr>
              <w:spacing w:before="240" w:after="0"/>
              <w:jc w:val="center"/>
              <w:rPr>
                <w:rFonts w:ascii="Times New Roman" w:hAnsi="Times New Roman"/>
                <w:b/>
                <w:bCs/>
                <w:sz w:val="24"/>
                <w:szCs w:val="24"/>
                <w:lang w:val="en-GB"/>
              </w:rPr>
            </w:pPr>
            <w:r w:rsidRPr="00245883">
              <w:rPr>
                <w:rFonts w:ascii="Times New Roman" w:hAnsi="Times New Roman"/>
                <w:b/>
                <w:bCs/>
                <w:sz w:val="24"/>
                <w:szCs w:val="24"/>
                <w:lang w:val="en-GB"/>
              </w:rPr>
              <w:t>Mortality</w:t>
            </w:r>
          </w:p>
        </w:tc>
      </w:tr>
      <w:tr w:rsidR="005C75C3" w:rsidRPr="00245883" w14:paraId="7B91DB0A" w14:textId="77777777">
        <w:tc>
          <w:tcPr>
            <w:tcW w:w="3005" w:type="dxa"/>
            <w:tcBorders>
              <w:top w:val="single" w:sz="4" w:space="0" w:color="auto"/>
              <w:left w:val="nil"/>
              <w:bottom w:val="single" w:sz="4" w:space="0" w:color="auto"/>
              <w:right w:val="nil"/>
            </w:tcBorders>
            <w:hideMark/>
          </w:tcPr>
          <w:p w14:paraId="7B348E80"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First Phase</w:t>
            </w:r>
          </w:p>
        </w:tc>
        <w:tc>
          <w:tcPr>
            <w:tcW w:w="3005" w:type="dxa"/>
            <w:tcBorders>
              <w:top w:val="single" w:sz="4" w:space="0" w:color="auto"/>
              <w:left w:val="nil"/>
              <w:bottom w:val="single" w:sz="4" w:space="0" w:color="auto"/>
              <w:right w:val="nil"/>
            </w:tcBorders>
          </w:tcPr>
          <w:p w14:paraId="2A4BACA7" w14:textId="77777777" w:rsidR="005C75C3" w:rsidRPr="00245883" w:rsidRDefault="005C75C3" w:rsidP="00245883">
            <w:pPr>
              <w:spacing w:before="240" w:after="0"/>
              <w:jc w:val="center"/>
              <w:rPr>
                <w:rFonts w:ascii="Times New Roman" w:hAnsi="Times New Roman"/>
                <w:sz w:val="24"/>
                <w:szCs w:val="24"/>
                <w:lang w:val="en-GB"/>
              </w:rPr>
            </w:pPr>
          </w:p>
        </w:tc>
        <w:tc>
          <w:tcPr>
            <w:tcW w:w="3006" w:type="dxa"/>
            <w:tcBorders>
              <w:top w:val="single" w:sz="4" w:space="0" w:color="auto"/>
              <w:left w:val="nil"/>
              <w:bottom w:val="single" w:sz="4" w:space="0" w:color="auto"/>
              <w:right w:val="nil"/>
            </w:tcBorders>
          </w:tcPr>
          <w:p w14:paraId="342B48BA" w14:textId="77777777" w:rsidR="005C75C3" w:rsidRPr="00245883" w:rsidRDefault="005C75C3" w:rsidP="00245883">
            <w:pPr>
              <w:spacing w:before="240" w:after="0"/>
              <w:jc w:val="center"/>
              <w:rPr>
                <w:rFonts w:ascii="Times New Roman" w:hAnsi="Times New Roman"/>
                <w:sz w:val="24"/>
                <w:szCs w:val="24"/>
                <w:lang w:val="en-GB"/>
              </w:rPr>
            </w:pPr>
          </w:p>
        </w:tc>
      </w:tr>
      <w:tr w:rsidR="005C75C3" w:rsidRPr="00245883" w14:paraId="289D7BF3" w14:textId="77777777">
        <w:tc>
          <w:tcPr>
            <w:tcW w:w="3005" w:type="dxa"/>
            <w:tcBorders>
              <w:top w:val="single" w:sz="4" w:space="0" w:color="auto"/>
              <w:left w:val="nil"/>
              <w:bottom w:val="nil"/>
              <w:right w:val="nil"/>
            </w:tcBorders>
            <w:hideMark/>
          </w:tcPr>
          <w:p w14:paraId="258CF5D0"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10</w:t>
            </w:r>
          </w:p>
        </w:tc>
        <w:tc>
          <w:tcPr>
            <w:tcW w:w="3005" w:type="dxa"/>
            <w:tcBorders>
              <w:top w:val="single" w:sz="4" w:space="0" w:color="auto"/>
              <w:left w:val="nil"/>
              <w:bottom w:val="nil"/>
              <w:right w:val="nil"/>
            </w:tcBorders>
            <w:hideMark/>
          </w:tcPr>
          <w:p w14:paraId="2BBEE4AF"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It was normal</w:t>
            </w:r>
          </w:p>
        </w:tc>
        <w:tc>
          <w:tcPr>
            <w:tcW w:w="3006" w:type="dxa"/>
            <w:tcBorders>
              <w:top w:val="single" w:sz="4" w:space="0" w:color="auto"/>
              <w:left w:val="nil"/>
              <w:bottom w:val="nil"/>
              <w:right w:val="nil"/>
            </w:tcBorders>
            <w:hideMark/>
          </w:tcPr>
          <w:p w14:paraId="5557E949"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0/3</w:t>
            </w:r>
          </w:p>
        </w:tc>
      </w:tr>
      <w:tr w:rsidR="005C75C3" w:rsidRPr="00245883" w14:paraId="33B792CD" w14:textId="77777777">
        <w:tc>
          <w:tcPr>
            <w:tcW w:w="3005" w:type="dxa"/>
            <w:tcBorders>
              <w:top w:val="nil"/>
              <w:left w:val="nil"/>
              <w:bottom w:val="nil"/>
              <w:right w:val="nil"/>
            </w:tcBorders>
            <w:hideMark/>
          </w:tcPr>
          <w:p w14:paraId="3CA8D85E"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100</w:t>
            </w:r>
          </w:p>
        </w:tc>
        <w:tc>
          <w:tcPr>
            <w:tcW w:w="3005" w:type="dxa"/>
            <w:tcBorders>
              <w:top w:val="nil"/>
              <w:left w:val="nil"/>
              <w:bottom w:val="nil"/>
              <w:right w:val="nil"/>
            </w:tcBorders>
            <w:hideMark/>
          </w:tcPr>
          <w:p w14:paraId="348165BE"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It was normal</w:t>
            </w:r>
          </w:p>
        </w:tc>
        <w:tc>
          <w:tcPr>
            <w:tcW w:w="3006" w:type="dxa"/>
            <w:tcBorders>
              <w:top w:val="nil"/>
              <w:left w:val="nil"/>
              <w:bottom w:val="nil"/>
              <w:right w:val="nil"/>
            </w:tcBorders>
            <w:hideMark/>
          </w:tcPr>
          <w:p w14:paraId="6328EA76"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0/3</w:t>
            </w:r>
          </w:p>
        </w:tc>
      </w:tr>
      <w:tr w:rsidR="005C75C3" w:rsidRPr="00245883" w14:paraId="26F63B52" w14:textId="77777777">
        <w:tc>
          <w:tcPr>
            <w:tcW w:w="3005" w:type="dxa"/>
            <w:tcBorders>
              <w:top w:val="nil"/>
              <w:left w:val="nil"/>
              <w:bottom w:val="single" w:sz="4" w:space="0" w:color="auto"/>
              <w:right w:val="nil"/>
            </w:tcBorders>
            <w:hideMark/>
          </w:tcPr>
          <w:p w14:paraId="24878576"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1000</w:t>
            </w:r>
          </w:p>
        </w:tc>
        <w:tc>
          <w:tcPr>
            <w:tcW w:w="3005" w:type="dxa"/>
            <w:tcBorders>
              <w:top w:val="nil"/>
              <w:left w:val="nil"/>
              <w:bottom w:val="single" w:sz="4" w:space="0" w:color="auto"/>
              <w:right w:val="nil"/>
            </w:tcBorders>
            <w:hideMark/>
          </w:tcPr>
          <w:p w14:paraId="7E17C22D"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It was normal</w:t>
            </w:r>
          </w:p>
        </w:tc>
        <w:tc>
          <w:tcPr>
            <w:tcW w:w="3006" w:type="dxa"/>
            <w:tcBorders>
              <w:top w:val="nil"/>
              <w:left w:val="nil"/>
              <w:bottom w:val="single" w:sz="4" w:space="0" w:color="auto"/>
              <w:right w:val="nil"/>
            </w:tcBorders>
            <w:hideMark/>
          </w:tcPr>
          <w:p w14:paraId="70812F08"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0/3</w:t>
            </w:r>
          </w:p>
        </w:tc>
      </w:tr>
      <w:tr w:rsidR="005C75C3" w:rsidRPr="00245883" w14:paraId="3FEBFAA0" w14:textId="77777777">
        <w:tc>
          <w:tcPr>
            <w:tcW w:w="3005" w:type="dxa"/>
            <w:tcBorders>
              <w:top w:val="single" w:sz="4" w:space="0" w:color="auto"/>
              <w:left w:val="nil"/>
              <w:bottom w:val="single" w:sz="4" w:space="0" w:color="auto"/>
              <w:right w:val="nil"/>
            </w:tcBorders>
            <w:hideMark/>
          </w:tcPr>
          <w:p w14:paraId="4F4E848A"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Second Phase</w:t>
            </w:r>
          </w:p>
        </w:tc>
        <w:tc>
          <w:tcPr>
            <w:tcW w:w="3005" w:type="dxa"/>
            <w:tcBorders>
              <w:top w:val="single" w:sz="4" w:space="0" w:color="auto"/>
              <w:left w:val="nil"/>
              <w:bottom w:val="single" w:sz="4" w:space="0" w:color="auto"/>
              <w:right w:val="nil"/>
            </w:tcBorders>
          </w:tcPr>
          <w:p w14:paraId="123F947A" w14:textId="77777777" w:rsidR="005C75C3" w:rsidRPr="00245883" w:rsidRDefault="005C75C3" w:rsidP="00245883">
            <w:pPr>
              <w:spacing w:before="240" w:after="0"/>
              <w:jc w:val="center"/>
              <w:rPr>
                <w:rFonts w:ascii="Times New Roman" w:hAnsi="Times New Roman"/>
                <w:sz w:val="24"/>
                <w:szCs w:val="24"/>
                <w:lang w:val="en-GB"/>
              </w:rPr>
            </w:pPr>
          </w:p>
        </w:tc>
        <w:tc>
          <w:tcPr>
            <w:tcW w:w="3006" w:type="dxa"/>
            <w:tcBorders>
              <w:top w:val="single" w:sz="4" w:space="0" w:color="auto"/>
              <w:left w:val="nil"/>
              <w:bottom w:val="single" w:sz="4" w:space="0" w:color="auto"/>
              <w:right w:val="nil"/>
            </w:tcBorders>
          </w:tcPr>
          <w:p w14:paraId="2C2FC6D7" w14:textId="77777777" w:rsidR="005C75C3" w:rsidRPr="00245883" w:rsidRDefault="005C75C3" w:rsidP="00245883">
            <w:pPr>
              <w:spacing w:before="240" w:after="0"/>
              <w:jc w:val="center"/>
              <w:rPr>
                <w:rFonts w:ascii="Times New Roman" w:hAnsi="Times New Roman"/>
                <w:sz w:val="24"/>
                <w:szCs w:val="24"/>
                <w:lang w:val="en-GB"/>
              </w:rPr>
            </w:pPr>
          </w:p>
        </w:tc>
      </w:tr>
      <w:tr w:rsidR="005C75C3" w:rsidRPr="00245883" w14:paraId="149EE613" w14:textId="77777777">
        <w:tc>
          <w:tcPr>
            <w:tcW w:w="3005" w:type="dxa"/>
            <w:tcBorders>
              <w:top w:val="single" w:sz="4" w:space="0" w:color="auto"/>
              <w:left w:val="nil"/>
              <w:bottom w:val="nil"/>
              <w:right w:val="nil"/>
            </w:tcBorders>
            <w:hideMark/>
          </w:tcPr>
          <w:p w14:paraId="5AFAA1C4"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1600</w:t>
            </w:r>
          </w:p>
        </w:tc>
        <w:tc>
          <w:tcPr>
            <w:tcW w:w="3005" w:type="dxa"/>
            <w:tcBorders>
              <w:top w:val="single" w:sz="4" w:space="0" w:color="auto"/>
              <w:left w:val="nil"/>
              <w:bottom w:val="nil"/>
              <w:right w:val="nil"/>
            </w:tcBorders>
            <w:hideMark/>
          </w:tcPr>
          <w:p w14:paraId="5C1CCDA5"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It was normal</w:t>
            </w:r>
          </w:p>
        </w:tc>
        <w:tc>
          <w:tcPr>
            <w:tcW w:w="3006" w:type="dxa"/>
            <w:tcBorders>
              <w:top w:val="single" w:sz="4" w:space="0" w:color="auto"/>
              <w:left w:val="nil"/>
              <w:bottom w:val="nil"/>
              <w:right w:val="nil"/>
            </w:tcBorders>
            <w:hideMark/>
          </w:tcPr>
          <w:p w14:paraId="580A0CEE"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0/1</w:t>
            </w:r>
          </w:p>
        </w:tc>
      </w:tr>
      <w:tr w:rsidR="005C75C3" w:rsidRPr="00245883" w14:paraId="48C92FF9" w14:textId="77777777">
        <w:tc>
          <w:tcPr>
            <w:tcW w:w="3005" w:type="dxa"/>
            <w:tcBorders>
              <w:top w:val="nil"/>
              <w:left w:val="nil"/>
              <w:bottom w:val="nil"/>
              <w:right w:val="nil"/>
            </w:tcBorders>
            <w:hideMark/>
          </w:tcPr>
          <w:p w14:paraId="2EED11B0"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2900</w:t>
            </w:r>
          </w:p>
        </w:tc>
        <w:tc>
          <w:tcPr>
            <w:tcW w:w="3005" w:type="dxa"/>
            <w:tcBorders>
              <w:top w:val="nil"/>
              <w:left w:val="nil"/>
              <w:bottom w:val="nil"/>
              <w:right w:val="nil"/>
            </w:tcBorders>
            <w:hideMark/>
          </w:tcPr>
          <w:p w14:paraId="57CC5BE9"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It was slightly weak</w:t>
            </w:r>
          </w:p>
        </w:tc>
        <w:tc>
          <w:tcPr>
            <w:tcW w:w="3006" w:type="dxa"/>
            <w:tcBorders>
              <w:top w:val="nil"/>
              <w:left w:val="nil"/>
              <w:bottom w:val="nil"/>
              <w:right w:val="nil"/>
            </w:tcBorders>
            <w:hideMark/>
          </w:tcPr>
          <w:p w14:paraId="55EEE4B7"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0/1</w:t>
            </w:r>
          </w:p>
        </w:tc>
      </w:tr>
      <w:tr w:rsidR="005C75C3" w:rsidRPr="00245883" w14:paraId="14ECEB49" w14:textId="77777777">
        <w:tc>
          <w:tcPr>
            <w:tcW w:w="3005" w:type="dxa"/>
            <w:tcBorders>
              <w:top w:val="nil"/>
              <w:left w:val="nil"/>
              <w:bottom w:val="single" w:sz="4" w:space="0" w:color="auto"/>
              <w:right w:val="nil"/>
            </w:tcBorders>
            <w:hideMark/>
          </w:tcPr>
          <w:p w14:paraId="69424815"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5000</w:t>
            </w:r>
          </w:p>
        </w:tc>
        <w:tc>
          <w:tcPr>
            <w:tcW w:w="3005" w:type="dxa"/>
            <w:tcBorders>
              <w:top w:val="nil"/>
              <w:left w:val="nil"/>
              <w:bottom w:val="single" w:sz="4" w:space="0" w:color="auto"/>
              <w:right w:val="nil"/>
            </w:tcBorders>
            <w:hideMark/>
          </w:tcPr>
          <w:p w14:paraId="2ED44BA9"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It was very weak</w:t>
            </w:r>
          </w:p>
        </w:tc>
        <w:tc>
          <w:tcPr>
            <w:tcW w:w="3006" w:type="dxa"/>
            <w:tcBorders>
              <w:top w:val="nil"/>
              <w:left w:val="nil"/>
              <w:bottom w:val="single" w:sz="4" w:space="0" w:color="auto"/>
              <w:right w:val="nil"/>
            </w:tcBorders>
            <w:hideMark/>
          </w:tcPr>
          <w:p w14:paraId="216759CE" w14:textId="77777777" w:rsidR="005C75C3" w:rsidRPr="00245883" w:rsidRDefault="00D42813" w:rsidP="00245883">
            <w:pPr>
              <w:spacing w:before="240" w:after="0"/>
              <w:jc w:val="center"/>
              <w:rPr>
                <w:rFonts w:ascii="Times New Roman" w:hAnsi="Times New Roman"/>
                <w:sz w:val="24"/>
                <w:szCs w:val="24"/>
                <w:lang w:val="en-GB"/>
              </w:rPr>
            </w:pPr>
            <w:r w:rsidRPr="00245883">
              <w:rPr>
                <w:rFonts w:ascii="Times New Roman" w:hAnsi="Times New Roman"/>
                <w:sz w:val="24"/>
                <w:szCs w:val="24"/>
                <w:lang w:val="en-GB"/>
              </w:rPr>
              <w:t>0/1</w:t>
            </w:r>
          </w:p>
        </w:tc>
      </w:tr>
    </w:tbl>
    <w:p w14:paraId="600B12E1" w14:textId="24C9FA87" w:rsidR="005C75C3" w:rsidRDefault="005C75C3" w:rsidP="00D42813">
      <w:pPr>
        <w:spacing w:line="360" w:lineRule="auto"/>
        <w:rPr>
          <w:rFonts w:ascii="Times New Roman" w:hAnsi="Times New Roman"/>
          <w:b/>
          <w:bCs/>
          <w:sz w:val="24"/>
          <w:szCs w:val="24"/>
          <w:lang w:val="en-GB"/>
        </w:rPr>
      </w:pPr>
    </w:p>
    <w:p w14:paraId="09676EDD" w14:textId="00214CCF" w:rsidR="00D42813" w:rsidRDefault="00D42813" w:rsidP="00D42813">
      <w:pPr>
        <w:spacing w:line="360" w:lineRule="auto"/>
        <w:rPr>
          <w:rFonts w:ascii="Times New Roman" w:hAnsi="Times New Roman"/>
          <w:b/>
          <w:bCs/>
          <w:sz w:val="24"/>
          <w:szCs w:val="24"/>
          <w:lang w:val="en-GB"/>
        </w:rPr>
      </w:pPr>
      <w:r>
        <w:rPr>
          <w:rFonts w:ascii="Times New Roman" w:hAnsi="Times New Roman"/>
          <w:b/>
          <w:bCs/>
          <w:sz w:val="24"/>
          <w:szCs w:val="24"/>
          <w:lang w:val="en-GB"/>
        </w:rPr>
        <w:t>Results of Effects of Treatment on Bodyweight</w:t>
      </w:r>
    </w:p>
    <w:p w14:paraId="01749F33" w14:textId="07370A3B" w:rsidR="002C1D9F" w:rsidRDefault="00D42813" w:rsidP="00D42813">
      <w:pPr>
        <w:spacing w:line="360" w:lineRule="auto"/>
        <w:jc w:val="both"/>
        <w:rPr>
          <w:rFonts w:ascii="Times New Roman" w:hAnsi="Times New Roman"/>
          <w:sz w:val="24"/>
          <w:szCs w:val="24"/>
          <w:lang w:val="en-GB"/>
        </w:rPr>
      </w:pPr>
      <w:r>
        <w:rPr>
          <w:rFonts w:ascii="Times New Roman" w:hAnsi="Times New Roman"/>
          <w:sz w:val="24"/>
          <w:szCs w:val="24"/>
          <w:lang w:val="en-GB"/>
        </w:rPr>
        <w:t xml:space="preserve">The body weight of the rats increased at weekly interval in all the groups (table 3). However, the increase was observed more in the untreated group compared to the normal control and </w:t>
      </w:r>
      <w:r w:rsidR="00376742">
        <w:rPr>
          <w:rFonts w:ascii="Times New Roman" w:hAnsi="Times New Roman"/>
          <w:sz w:val="24"/>
          <w:szCs w:val="24"/>
          <w:lang w:val="en-GB"/>
        </w:rPr>
        <w:t>test</w:t>
      </w:r>
      <w:r>
        <w:rPr>
          <w:rFonts w:ascii="Times New Roman" w:hAnsi="Times New Roman"/>
          <w:sz w:val="24"/>
          <w:szCs w:val="24"/>
          <w:lang w:val="en-GB"/>
        </w:rPr>
        <w:t xml:space="preserve"> groups. There was a significant increase (p&lt;0.05) in the bodyweight of the rats in all the groups from week 2 to week 4 compared with week 0. Also, a significant increase (p&lt;0.05) in bodyweight was seen from week 3 to week 4 in all the groups apart from group H (Rat Chow + Chol + Fat + 1.14 mg/kg statin) compared with week 1 and week 2.</w:t>
      </w:r>
    </w:p>
    <w:p w14:paraId="65902771" w14:textId="77777777" w:rsidR="00245883" w:rsidRDefault="00245883" w:rsidP="00D42813">
      <w:pPr>
        <w:spacing w:line="360" w:lineRule="auto"/>
        <w:jc w:val="both"/>
        <w:rPr>
          <w:rFonts w:ascii="Times New Roman" w:hAnsi="Times New Roman"/>
          <w:sz w:val="24"/>
          <w:szCs w:val="24"/>
          <w:lang w:val="en-GB"/>
        </w:rPr>
      </w:pPr>
    </w:p>
    <w:p w14:paraId="1122E698" w14:textId="156E0F7C" w:rsidR="00D42813" w:rsidRDefault="00D42813" w:rsidP="00D42813">
      <w:pPr>
        <w:spacing w:line="360" w:lineRule="auto"/>
        <w:rPr>
          <w:rFonts w:ascii="Times New Roman" w:hAnsi="Times New Roman"/>
          <w:sz w:val="24"/>
          <w:szCs w:val="24"/>
          <w:lang w:val="en-GB"/>
        </w:rPr>
      </w:pPr>
      <w:r>
        <w:rPr>
          <w:rFonts w:ascii="Times New Roman" w:hAnsi="Times New Roman"/>
          <w:b/>
          <w:bCs/>
          <w:sz w:val="24"/>
          <w:szCs w:val="24"/>
          <w:lang w:val="en-GB"/>
        </w:rPr>
        <w:lastRenderedPageBreak/>
        <w:t xml:space="preserve">Table 3: </w:t>
      </w:r>
      <w:r>
        <w:rPr>
          <w:rFonts w:ascii="Times New Roman" w:hAnsi="Times New Roman"/>
          <w:sz w:val="24"/>
          <w:szCs w:val="24"/>
          <w:lang w:val="en-GB"/>
        </w:rPr>
        <w:t xml:space="preserve">Effect of daily administration of ethanol extract of </w:t>
      </w:r>
      <w:r>
        <w:rPr>
          <w:rFonts w:ascii="Times New Roman" w:hAnsi="Times New Roman"/>
          <w:i/>
          <w:iCs/>
          <w:sz w:val="24"/>
          <w:szCs w:val="24"/>
          <w:lang w:val="en-GB"/>
        </w:rPr>
        <w:t xml:space="preserve">P. </w:t>
      </w:r>
      <w:proofErr w:type="spellStart"/>
      <w:r>
        <w:rPr>
          <w:rFonts w:ascii="Times New Roman" w:hAnsi="Times New Roman"/>
          <w:i/>
          <w:iCs/>
          <w:sz w:val="24"/>
          <w:szCs w:val="24"/>
          <w:lang w:val="en-GB"/>
        </w:rPr>
        <w:t>santalinoides</w:t>
      </w:r>
      <w:proofErr w:type="spellEnd"/>
      <w:r>
        <w:rPr>
          <w:rFonts w:ascii="Times New Roman" w:hAnsi="Times New Roman"/>
          <w:sz w:val="24"/>
          <w:szCs w:val="24"/>
          <w:lang w:val="en-GB"/>
        </w:rPr>
        <w:t xml:space="preserve"> on bodyweight of </w:t>
      </w:r>
      <w:proofErr w:type="spellStart"/>
      <w:r>
        <w:rPr>
          <w:rFonts w:ascii="Times New Roman" w:hAnsi="Times New Roman"/>
          <w:sz w:val="24"/>
          <w:szCs w:val="24"/>
          <w:lang w:val="en-GB"/>
        </w:rPr>
        <w:t>Hyperlipidemic</w:t>
      </w:r>
      <w:proofErr w:type="spellEnd"/>
      <w:r>
        <w:rPr>
          <w:rFonts w:ascii="Times New Roman" w:hAnsi="Times New Roman"/>
          <w:sz w:val="24"/>
          <w:szCs w:val="24"/>
          <w:lang w:val="en-GB"/>
        </w:rPr>
        <w:t xml:space="preserve"> Wistar rats expressed as mean ± SEM.</w:t>
      </w:r>
    </w:p>
    <w:tbl>
      <w:tblPr>
        <w:tblStyle w:val="TableGrid"/>
        <w:tblW w:w="9918" w:type="dxa"/>
        <w:tblLook w:val="04A0" w:firstRow="1" w:lastRow="0" w:firstColumn="1" w:lastColumn="0" w:noHBand="0" w:noVBand="1"/>
      </w:tblPr>
      <w:tblGrid>
        <w:gridCol w:w="3397"/>
        <w:gridCol w:w="1134"/>
        <w:gridCol w:w="1192"/>
        <w:gridCol w:w="1360"/>
        <w:gridCol w:w="1417"/>
        <w:gridCol w:w="1418"/>
      </w:tblGrid>
      <w:tr w:rsidR="00D42813" w:rsidRPr="00245883" w14:paraId="27AAF353" w14:textId="77777777" w:rsidTr="00D42813">
        <w:tc>
          <w:tcPr>
            <w:tcW w:w="3397" w:type="dxa"/>
            <w:vMerge w:val="restart"/>
          </w:tcPr>
          <w:p w14:paraId="02F504BA" w14:textId="77777777" w:rsidR="00D42813" w:rsidRPr="00245883" w:rsidRDefault="00D42813" w:rsidP="00245883">
            <w:pPr>
              <w:spacing w:before="240" w:after="0"/>
              <w:jc w:val="center"/>
              <w:rPr>
                <w:rFonts w:ascii="Times New Roman" w:hAnsi="Times New Roman" w:cs="Times New Roman"/>
                <w:b/>
                <w:bCs/>
                <w:sz w:val="24"/>
                <w:szCs w:val="24"/>
                <w:lang w:val="en-GB"/>
              </w:rPr>
            </w:pPr>
          </w:p>
          <w:p w14:paraId="0CC30D32"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Groups</w:t>
            </w:r>
          </w:p>
        </w:tc>
        <w:tc>
          <w:tcPr>
            <w:tcW w:w="6521" w:type="dxa"/>
            <w:gridSpan w:val="5"/>
          </w:tcPr>
          <w:p w14:paraId="31DDDE6E"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Bodyweight (g)</w:t>
            </w:r>
          </w:p>
        </w:tc>
      </w:tr>
      <w:tr w:rsidR="00D42813" w:rsidRPr="00245883" w14:paraId="5190D200" w14:textId="77777777" w:rsidTr="00D42813">
        <w:tc>
          <w:tcPr>
            <w:tcW w:w="3397" w:type="dxa"/>
            <w:vMerge/>
          </w:tcPr>
          <w:p w14:paraId="64458BC8" w14:textId="77777777" w:rsidR="00D42813" w:rsidRPr="00245883" w:rsidRDefault="00D42813" w:rsidP="00245883">
            <w:pPr>
              <w:spacing w:before="240" w:after="0"/>
              <w:jc w:val="center"/>
              <w:rPr>
                <w:rFonts w:ascii="Times New Roman" w:hAnsi="Times New Roman" w:cs="Times New Roman"/>
                <w:b/>
                <w:bCs/>
                <w:sz w:val="24"/>
                <w:szCs w:val="24"/>
                <w:lang w:val="en-GB"/>
              </w:rPr>
            </w:pPr>
          </w:p>
        </w:tc>
        <w:tc>
          <w:tcPr>
            <w:tcW w:w="1134" w:type="dxa"/>
          </w:tcPr>
          <w:p w14:paraId="5B106AEF"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Week 0</w:t>
            </w:r>
          </w:p>
        </w:tc>
        <w:tc>
          <w:tcPr>
            <w:tcW w:w="1192" w:type="dxa"/>
          </w:tcPr>
          <w:p w14:paraId="1FE32AF1"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Week 1</w:t>
            </w:r>
          </w:p>
        </w:tc>
        <w:tc>
          <w:tcPr>
            <w:tcW w:w="1360" w:type="dxa"/>
          </w:tcPr>
          <w:p w14:paraId="68F32A67"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Week 2</w:t>
            </w:r>
          </w:p>
        </w:tc>
        <w:tc>
          <w:tcPr>
            <w:tcW w:w="1417" w:type="dxa"/>
          </w:tcPr>
          <w:p w14:paraId="53AE9CDD"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Week 3</w:t>
            </w:r>
          </w:p>
        </w:tc>
        <w:tc>
          <w:tcPr>
            <w:tcW w:w="1418" w:type="dxa"/>
          </w:tcPr>
          <w:p w14:paraId="6CC4B641" w14:textId="77777777" w:rsidR="00D42813" w:rsidRPr="00245883" w:rsidRDefault="00D42813" w:rsidP="00245883">
            <w:pPr>
              <w:spacing w:before="240" w:after="0"/>
              <w:jc w:val="center"/>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Week 4</w:t>
            </w:r>
          </w:p>
        </w:tc>
      </w:tr>
      <w:tr w:rsidR="00D42813" w:rsidRPr="00245883" w14:paraId="3A6E87D4" w14:textId="77777777" w:rsidTr="00D42813">
        <w:tc>
          <w:tcPr>
            <w:tcW w:w="3397" w:type="dxa"/>
          </w:tcPr>
          <w:p w14:paraId="3BD5238A" w14:textId="6677BAF1"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A</w:t>
            </w:r>
            <w:r w:rsidRPr="00245883">
              <w:rPr>
                <w:rFonts w:ascii="Times New Roman" w:hAnsi="Times New Roman" w:cs="Times New Roman"/>
                <w:sz w:val="24"/>
                <w:szCs w:val="24"/>
                <w:lang w:val="en-GB"/>
              </w:rPr>
              <w:t>: Rat Chow only (Normal Control</w:t>
            </w:r>
            <w:r w:rsidR="00A763A4" w:rsidRPr="00245883">
              <w:rPr>
                <w:rFonts w:ascii="Times New Roman" w:hAnsi="Times New Roman" w:cs="Times New Roman"/>
                <w:sz w:val="24"/>
                <w:szCs w:val="24"/>
                <w:lang w:val="en-GB"/>
              </w:rPr>
              <w:t>)</w:t>
            </w:r>
          </w:p>
        </w:tc>
        <w:tc>
          <w:tcPr>
            <w:tcW w:w="1134" w:type="dxa"/>
          </w:tcPr>
          <w:p w14:paraId="7AC1414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129.20 ± 2.96 </w:t>
            </w:r>
          </w:p>
        </w:tc>
        <w:tc>
          <w:tcPr>
            <w:tcW w:w="1192" w:type="dxa"/>
          </w:tcPr>
          <w:p w14:paraId="62F2C41E"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137.60 ± 0.93a</w:t>
            </w:r>
          </w:p>
        </w:tc>
        <w:tc>
          <w:tcPr>
            <w:tcW w:w="1360" w:type="dxa"/>
          </w:tcPr>
          <w:p w14:paraId="165AA61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141.60 ± 1.60a</w:t>
            </w:r>
          </w:p>
        </w:tc>
        <w:tc>
          <w:tcPr>
            <w:tcW w:w="1417" w:type="dxa"/>
          </w:tcPr>
          <w:p w14:paraId="2EA1949F"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150.40 ± 1.57abc</w:t>
            </w:r>
          </w:p>
        </w:tc>
        <w:tc>
          <w:tcPr>
            <w:tcW w:w="1418" w:type="dxa"/>
          </w:tcPr>
          <w:p w14:paraId="07CF655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160.60 ± 2.69abc</w:t>
            </w:r>
          </w:p>
        </w:tc>
      </w:tr>
      <w:tr w:rsidR="00D42813" w:rsidRPr="00245883" w14:paraId="6861EF6E" w14:textId="77777777" w:rsidTr="00D42813">
        <w:tc>
          <w:tcPr>
            <w:tcW w:w="3397" w:type="dxa"/>
          </w:tcPr>
          <w:p w14:paraId="3D5D9AB8" w14:textId="1CEA4FD2"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B</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w:t>
            </w:r>
            <w:r w:rsidR="004B7016" w:rsidRPr="00245883">
              <w:rPr>
                <w:rFonts w:ascii="Times New Roman" w:hAnsi="Times New Roman" w:cs="Times New Roman"/>
                <w:sz w:val="24"/>
                <w:szCs w:val="24"/>
                <w:lang w:val="en-GB"/>
              </w:rPr>
              <w:t>Chol</w:t>
            </w:r>
            <w:r w:rsidRPr="00245883">
              <w:rPr>
                <w:rFonts w:ascii="Times New Roman" w:hAnsi="Times New Roman" w:cs="Times New Roman"/>
                <w:sz w:val="24"/>
                <w:szCs w:val="24"/>
                <w:lang w:val="en-GB"/>
              </w:rPr>
              <w:t>+Fat</w:t>
            </w:r>
            <w:proofErr w:type="spellEnd"/>
          </w:p>
        </w:tc>
        <w:tc>
          <w:tcPr>
            <w:tcW w:w="1134" w:type="dxa"/>
          </w:tcPr>
          <w:p w14:paraId="4B05625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131.80 ± 1.96 </w:t>
            </w:r>
          </w:p>
        </w:tc>
        <w:tc>
          <w:tcPr>
            <w:tcW w:w="1192" w:type="dxa"/>
          </w:tcPr>
          <w:p w14:paraId="289B0AE9"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142.00 ± 2.68 </w:t>
            </w:r>
          </w:p>
        </w:tc>
        <w:tc>
          <w:tcPr>
            <w:tcW w:w="1360" w:type="dxa"/>
          </w:tcPr>
          <w:p w14:paraId="5EFE5BE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151.80 ± 3.25a</w:t>
            </w:r>
          </w:p>
        </w:tc>
        <w:tc>
          <w:tcPr>
            <w:tcW w:w="1417" w:type="dxa"/>
          </w:tcPr>
          <w:p w14:paraId="5F1926F4"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172.20 ± 6.61abc</w:t>
            </w:r>
          </w:p>
        </w:tc>
        <w:tc>
          <w:tcPr>
            <w:tcW w:w="1418" w:type="dxa"/>
          </w:tcPr>
          <w:p w14:paraId="62F83DA6"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189.20 ± 3.48abc</w:t>
            </w:r>
          </w:p>
        </w:tc>
      </w:tr>
      <w:tr w:rsidR="00D42813" w:rsidRPr="00245883" w14:paraId="349B01D5" w14:textId="77777777" w:rsidTr="00D42813">
        <w:tc>
          <w:tcPr>
            <w:tcW w:w="3397" w:type="dxa"/>
          </w:tcPr>
          <w:p w14:paraId="102B3EE8" w14:textId="5CCA4D59"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C</w:t>
            </w:r>
            <w:r w:rsidRPr="00245883">
              <w:rPr>
                <w:rFonts w:ascii="Times New Roman" w:hAnsi="Times New Roman" w:cs="Times New Roman"/>
                <w:sz w:val="24"/>
                <w:szCs w:val="24"/>
                <w:lang w:val="en-GB"/>
              </w:rPr>
              <w:t>: Rat Chow+</w:t>
            </w:r>
            <w:r w:rsidR="004B7016" w:rsidRPr="00245883">
              <w:rPr>
                <w:rFonts w:ascii="Times New Roman" w:hAnsi="Times New Roman" w:cs="Times New Roman"/>
                <w:sz w:val="24"/>
                <w:szCs w:val="24"/>
                <w:lang w:val="en-GB"/>
              </w:rPr>
              <w:t xml:space="preserve"> Chol </w:t>
            </w:r>
            <w:r w:rsidRPr="00245883">
              <w:rPr>
                <w:rFonts w:ascii="Times New Roman" w:hAnsi="Times New Roman" w:cs="Times New Roman"/>
                <w:sz w:val="24"/>
                <w:szCs w:val="24"/>
                <w:lang w:val="en-GB"/>
              </w:rPr>
              <w:t>+Fat+ 1.14mg/kg Statin</w:t>
            </w:r>
          </w:p>
        </w:tc>
        <w:tc>
          <w:tcPr>
            <w:tcW w:w="1134" w:type="dxa"/>
          </w:tcPr>
          <w:p w14:paraId="66190BFE"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130.80 ± 3.23 </w:t>
            </w:r>
          </w:p>
        </w:tc>
        <w:tc>
          <w:tcPr>
            <w:tcW w:w="1192" w:type="dxa"/>
          </w:tcPr>
          <w:p w14:paraId="69EDF493"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137.40 ± 3.30</w:t>
            </w:r>
          </w:p>
        </w:tc>
        <w:tc>
          <w:tcPr>
            <w:tcW w:w="1360" w:type="dxa"/>
          </w:tcPr>
          <w:p w14:paraId="68CC9B6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144.60 ± 3.81a</w:t>
            </w:r>
          </w:p>
        </w:tc>
        <w:tc>
          <w:tcPr>
            <w:tcW w:w="1417" w:type="dxa"/>
          </w:tcPr>
          <w:p w14:paraId="0C7346E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147.80 ± 3.51a</w:t>
            </w:r>
          </w:p>
        </w:tc>
        <w:tc>
          <w:tcPr>
            <w:tcW w:w="1418" w:type="dxa"/>
          </w:tcPr>
          <w:p w14:paraId="3D74603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163.75 ± 5.53ab</w:t>
            </w:r>
          </w:p>
        </w:tc>
      </w:tr>
      <w:tr w:rsidR="00D42813" w:rsidRPr="00245883" w14:paraId="3D2EB516" w14:textId="77777777" w:rsidTr="00D42813">
        <w:tc>
          <w:tcPr>
            <w:tcW w:w="3397" w:type="dxa"/>
          </w:tcPr>
          <w:p w14:paraId="39A20D8A" w14:textId="6087115E"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D</w:t>
            </w:r>
            <w:r w:rsidRPr="00245883">
              <w:rPr>
                <w:rFonts w:ascii="Times New Roman" w:hAnsi="Times New Roman" w:cs="Times New Roman"/>
                <w:sz w:val="24"/>
                <w:szCs w:val="24"/>
                <w:lang w:val="en-GB"/>
              </w:rPr>
              <w:t>: Rat Chow+</w:t>
            </w:r>
            <w:r w:rsidR="004B7016" w:rsidRPr="00245883">
              <w:rPr>
                <w:rFonts w:ascii="Times New Roman" w:hAnsi="Times New Roman" w:cs="Times New Roman"/>
                <w:sz w:val="24"/>
                <w:szCs w:val="24"/>
                <w:lang w:val="en-GB"/>
              </w:rPr>
              <w:t xml:space="preserve"> Chol </w:t>
            </w:r>
            <w:r w:rsidRPr="00245883">
              <w:rPr>
                <w:rFonts w:ascii="Times New Roman" w:hAnsi="Times New Roman" w:cs="Times New Roman"/>
                <w:sz w:val="24"/>
                <w:szCs w:val="24"/>
                <w:lang w:val="en-GB"/>
              </w:rPr>
              <w:t xml:space="preserve">+Fat+ 100mg/kg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134" w:type="dxa"/>
          </w:tcPr>
          <w:p w14:paraId="18EE33B6"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128.40 ± 2.06</w:t>
            </w:r>
          </w:p>
        </w:tc>
        <w:tc>
          <w:tcPr>
            <w:tcW w:w="1192" w:type="dxa"/>
          </w:tcPr>
          <w:p w14:paraId="05429906"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135.80 ± 3.40 </w:t>
            </w:r>
          </w:p>
        </w:tc>
        <w:tc>
          <w:tcPr>
            <w:tcW w:w="1360" w:type="dxa"/>
          </w:tcPr>
          <w:p w14:paraId="66F52EBA"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146.00 ± 3.81a</w:t>
            </w:r>
          </w:p>
        </w:tc>
        <w:tc>
          <w:tcPr>
            <w:tcW w:w="1417" w:type="dxa"/>
          </w:tcPr>
          <w:p w14:paraId="670E9492"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152.25 ± 3.82ab</w:t>
            </w:r>
          </w:p>
        </w:tc>
        <w:tc>
          <w:tcPr>
            <w:tcW w:w="1418" w:type="dxa"/>
          </w:tcPr>
          <w:p w14:paraId="3566A0AC"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163.75 ± 5.53abc</w:t>
            </w:r>
          </w:p>
        </w:tc>
      </w:tr>
      <w:tr w:rsidR="00D42813" w:rsidRPr="00245883" w14:paraId="45703EC0" w14:textId="77777777" w:rsidTr="00D42813">
        <w:tc>
          <w:tcPr>
            <w:tcW w:w="3397" w:type="dxa"/>
          </w:tcPr>
          <w:p w14:paraId="43E5D539" w14:textId="177E6866"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E</w:t>
            </w:r>
            <w:r w:rsidRPr="00245883">
              <w:rPr>
                <w:rFonts w:ascii="Times New Roman" w:hAnsi="Times New Roman" w:cs="Times New Roman"/>
                <w:sz w:val="24"/>
                <w:szCs w:val="24"/>
                <w:lang w:val="en-GB"/>
              </w:rPr>
              <w:t>: Rat Chow+</w:t>
            </w:r>
            <w:r w:rsidR="004B7016" w:rsidRPr="00245883">
              <w:rPr>
                <w:rFonts w:ascii="Times New Roman" w:hAnsi="Times New Roman" w:cs="Times New Roman"/>
                <w:sz w:val="24"/>
                <w:szCs w:val="24"/>
                <w:lang w:val="en-GB"/>
              </w:rPr>
              <w:t xml:space="preserve"> Chol </w:t>
            </w:r>
            <w:r w:rsidRPr="00245883">
              <w:rPr>
                <w:rFonts w:ascii="Times New Roman" w:hAnsi="Times New Roman" w:cs="Times New Roman"/>
                <w:sz w:val="24"/>
                <w:szCs w:val="24"/>
                <w:lang w:val="en-GB"/>
              </w:rPr>
              <w:t xml:space="preserve">+Fat+ 200mg/kg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134" w:type="dxa"/>
          </w:tcPr>
          <w:p w14:paraId="6331C97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130.60 ± 1.96</w:t>
            </w:r>
          </w:p>
        </w:tc>
        <w:tc>
          <w:tcPr>
            <w:tcW w:w="1192" w:type="dxa"/>
          </w:tcPr>
          <w:p w14:paraId="0809D6CF"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138.80 ± 2.63</w:t>
            </w:r>
          </w:p>
        </w:tc>
        <w:tc>
          <w:tcPr>
            <w:tcW w:w="1360" w:type="dxa"/>
          </w:tcPr>
          <w:p w14:paraId="7C82861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147.20 ± 1.96a</w:t>
            </w:r>
          </w:p>
        </w:tc>
        <w:tc>
          <w:tcPr>
            <w:tcW w:w="1417" w:type="dxa"/>
          </w:tcPr>
          <w:p w14:paraId="365FC1E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160.75 ± 3.20ab</w:t>
            </w:r>
          </w:p>
        </w:tc>
        <w:tc>
          <w:tcPr>
            <w:tcW w:w="1418" w:type="dxa"/>
          </w:tcPr>
          <w:p w14:paraId="129DA930"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165.50 ± 11.08abc</w:t>
            </w:r>
          </w:p>
        </w:tc>
      </w:tr>
      <w:tr w:rsidR="00D42813" w:rsidRPr="00245883" w14:paraId="71D5CE0E" w14:textId="77777777" w:rsidTr="00D42813">
        <w:tc>
          <w:tcPr>
            <w:tcW w:w="3397" w:type="dxa"/>
          </w:tcPr>
          <w:p w14:paraId="7E241AF2" w14:textId="193BE13F"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F</w:t>
            </w:r>
            <w:r w:rsidRPr="00245883">
              <w:rPr>
                <w:rFonts w:ascii="Times New Roman" w:hAnsi="Times New Roman" w:cs="Times New Roman"/>
                <w:sz w:val="24"/>
                <w:szCs w:val="24"/>
                <w:lang w:val="en-GB"/>
              </w:rPr>
              <w:t>: Rat Chow+</w:t>
            </w:r>
            <w:r w:rsidR="004B7016" w:rsidRPr="00245883">
              <w:rPr>
                <w:rFonts w:ascii="Times New Roman" w:hAnsi="Times New Roman" w:cs="Times New Roman"/>
                <w:sz w:val="24"/>
                <w:szCs w:val="24"/>
                <w:lang w:val="en-GB"/>
              </w:rPr>
              <w:t xml:space="preserve"> Chol </w:t>
            </w:r>
            <w:r w:rsidRPr="00245883">
              <w:rPr>
                <w:rFonts w:ascii="Times New Roman" w:hAnsi="Times New Roman" w:cs="Times New Roman"/>
                <w:sz w:val="24"/>
                <w:szCs w:val="24"/>
                <w:lang w:val="en-GB"/>
              </w:rPr>
              <w:t xml:space="preserve">+Fat+ 300mg/kg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134" w:type="dxa"/>
          </w:tcPr>
          <w:p w14:paraId="4A2AB5E4"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137.60 ± 2.69</w:t>
            </w:r>
          </w:p>
        </w:tc>
        <w:tc>
          <w:tcPr>
            <w:tcW w:w="1192" w:type="dxa"/>
          </w:tcPr>
          <w:p w14:paraId="6390CEF5"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146.40 ± 2.42a</w:t>
            </w:r>
          </w:p>
        </w:tc>
        <w:tc>
          <w:tcPr>
            <w:tcW w:w="1360" w:type="dxa"/>
          </w:tcPr>
          <w:p w14:paraId="456072C2"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155.20 ± 2.22ab</w:t>
            </w:r>
          </w:p>
        </w:tc>
        <w:tc>
          <w:tcPr>
            <w:tcW w:w="1417" w:type="dxa"/>
          </w:tcPr>
          <w:p w14:paraId="201F4994"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171.00 ± 8.00abc</w:t>
            </w:r>
          </w:p>
        </w:tc>
        <w:tc>
          <w:tcPr>
            <w:tcW w:w="1418" w:type="dxa"/>
          </w:tcPr>
          <w:p w14:paraId="6B568915"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185.50 ± 6.50abc</w:t>
            </w:r>
          </w:p>
        </w:tc>
      </w:tr>
      <w:tr w:rsidR="00D42813" w:rsidRPr="00245883" w14:paraId="676BCC8A" w14:textId="77777777" w:rsidTr="00D42813">
        <w:tc>
          <w:tcPr>
            <w:tcW w:w="3397" w:type="dxa"/>
          </w:tcPr>
          <w:p w14:paraId="324EF0CA" w14:textId="045557DF"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G</w:t>
            </w:r>
            <w:r w:rsidRPr="00245883">
              <w:rPr>
                <w:rFonts w:ascii="Times New Roman" w:hAnsi="Times New Roman" w:cs="Times New Roman"/>
                <w:sz w:val="24"/>
                <w:szCs w:val="24"/>
                <w:lang w:val="en-GB"/>
              </w:rPr>
              <w:t>: Rat Chow+</w:t>
            </w:r>
            <w:r w:rsidR="004B7016" w:rsidRPr="00245883">
              <w:rPr>
                <w:rFonts w:ascii="Times New Roman" w:hAnsi="Times New Roman" w:cs="Times New Roman"/>
                <w:sz w:val="24"/>
                <w:szCs w:val="24"/>
                <w:lang w:val="en-GB"/>
              </w:rPr>
              <w:t xml:space="preserve"> Chol </w:t>
            </w:r>
            <w:r w:rsidRPr="00245883">
              <w:rPr>
                <w:rFonts w:ascii="Times New Roman" w:hAnsi="Times New Roman" w:cs="Times New Roman"/>
                <w:sz w:val="24"/>
                <w:szCs w:val="24"/>
                <w:lang w:val="en-GB"/>
              </w:rPr>
              <w:t xml:space="preserve">+Fat+ 400mg/kg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134" w:type="dxa"/>
          </w:tcPr>
          <w:p w14:paraId="1978390C"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131.80 ± 1.71 </w:t>
            </w:r>
          </w:p>
        </w:tc>
        <w:tc>
          <w:tcPr>
            <w:tcW w:w="1192" w:type="dxa"/>
          </w:tcPr>
          <w:p w14:paraId="343135A9"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141.00 ± 3.39</w:t>
            </w:r>
          </w:p>
        </w:tc>
        <w:tc>
          <w:tcPr>
            <w:tcW w:w="1360" w:type="dxa"/>
          </w:tcPr>
          <w:p w14:paraId="5EE465FD"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149.40 ± 3.47a</w:t>
            </w:r>
          </w:p>
        </w:tc>
        <w:tc>
          <w:tcPr>
            <w:tcW w:w="1417" w:type="dxa"/>
          </w:tcPr>
          <w:p w14:paraId="7B2993B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159.80 ± 4.24ab</w:t>
            </w:r>
          </w:p>
        </w:tc>
        <w:tc>
          <w:tcPr>
            <w:tcW w:w="1418" w:type="dxa"/>
          </w:tcPr>
          <w:p w14:paraId="0513E604"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165.33 ± 9.21abc</w:t>
            </w:r>
          </w:p>
        </w:tc>
      </w:tr>
      <w:tr w:rsidR="00D42813" w:rsidRPr="00245883" w14:paraId="6796E3B1" w14:textId="77777777" w:rsidTr="00D42813">
        <w:tc>
          <w:tcPr>
            <w:tcW w:w="3397" w:type="dxa"/>
          </w:tcPr>
          <w:p w14:paraId="2D92C6F7" w14:textId="102747EA"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b/>
                <w:bCs/>
                <w:sz w:val="24"/>
                <w:szCs w:val="24"/>
                <w:lang w:val="en-GB"/>
              </w:rPr>
              <w:t>Group H</w:t>
            </w:r>
            <w:r w:rsidRPr="00245883">
              <w:rPr>
                <w:rFonts w:ascii="Times New Roman" w:hAnsi="Times New Roman" w:cs="Times New Roman"/>
                <w:sz w:val="24"/>
                <w:szCs w:val="24"/>
                <w:lang w:val="en-GB"/>
              </w:rPr>
              <w:t>: Rat Chow+</w:t>
            </w:r>
            <w:r w:rsidR="004B7016" w:rsidRPr="00245883">
              <w:rPr>
                <w:rFonts w:ascii="Times New Roman" w:hAnsi="Times New Roman" w:cs="Times New Roman"/>
                <w:sz w:val="24"/>
                <w:szCs w:val="24"/>
                <w:lang w:val="en-GB"/>
              </w:rPr>
              <w:t xml:space="preserve"> Chol </w:t>
            </w:r>
            <w:r w:rsidRPr="00245883">
              <w:rPr>
                <w:rFonts w:ascii="Times New Roman" w:hAnsi="Times New Roman" w:cs="Times New Roman"/>
                <w:sz w:val="24"/>
                <w:szCs w:val="24"/>
                <w:lang w:val="en-GB"/>
              </w:rPr>
              <w:t xml:space="preserve">+Fat+ 500mg/kg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r w:rsidRPr="00245883">
              <w:rPr>
                <w:rFonts w:ascii="Times New Roman" w:hAnsi="Times New Roman" w:cs="Times New Roman"/>
                <w:sz w:val="24"/>
                <w:szCs w:val="24"/>
                <w:lang w:val="en-GB"/>
              </w:rPr>
              <w:t>+Statin</w:t>
            </w:r>
            <w:proofErr w:type="spellEnd"/>
          </w:p>
        </w:tc>
        <w:tc>
          <w:tcPr>
            <w:tcW w:w="1134" w:type="dxa"/>
          </w:tcPr>
          <w:p w14:paraId="72E7BCBB"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131.40 ± 2.54 </w:t>
            </w:r>
          </w:p>
        </w:tc>
        <w:tc>
          <w:tcPr>
            <w:tcW w:w="1192" w:type="dxa"/>
          </w:tcPr>
          <w:p w14:paraId="3F404B51"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140.00 ± 3.43</w:t>
            </w:r>
          </w:p>
        </w:tc>
        <w:tc>
          <w:tcPr>
            <w:tcW w:w="1360" w:type="dxa"/>
          </w:tcPr>
          <w:p w14:paraId="20964628"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 xml:space="preserve"> 148.20 ± 3.43a</w:t>
            </w:r>
          </w:p>
        </w:tc>
        <w:tc>
          <w:tcPr>
            <w:tcW w:w="1417" w:type="dxa"/>
          </w:tcPr>
          <w:p w14:paraId="400E3D4E"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155.50 ± 13.50a</w:t>
            </w:r>
          </w:p>
        </w:tc>
        <w:tc>
          <w:tcPr>
            <w:tcW w:w="1418" w:type="dxa"/>
          </w:tcPr>
          <w:p w14:paraId="7D52ABD4" w14:textId="77777777" w:rsidR="00D42813" w:rsidRPr="00245883" w:rsidRDefault="00D42813" w:rsidP="00245883">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155.50 ± 17.50a</w:t>
            </w:r>
          </w:p>
        </w:tc>
      </w:tr>
    </w:tbl>
    <w:p w14:paraId="22A9EAEC" w14:textId="77777777" w:rsidR="00D42813" w:rsidRDefault="00D42813" w:rsidP="00D42813">
      <w:pPr>
        <w:spacing w:line="360" w:lineRule="auto"/>
        <w:jc w:val="both"/>
        <w:rPr>
          <w:rFonts w:ascii="Times New Roman" w:hAnsi="Times New Roman"/>
          <w:sz w:val="24"/>
          <w:szCs w:val="24"/>
          <w:lang w:val="en-GB"/>
        </w:rPr>
      </w:pPr>
      <w:proofErr w:type="spellStart"/>
      <w:r>
        <w:rPr>
          <w:rFonts w:ascii="Times New Roman" w:hAnsi="Times New Roman"/>
          <w:sz w:val="24"/>
          <w:szCs w:val="24"/>
          <w:lang w:val="en-GB"/>
        </w:rPr>
        <w:t>aSignificant</w:t>
      </w:r>
      <w:proofErr w:type="spellEnd"/>
      <w:r>
        <w:rPr>
          <w:rFonts w:ascii="Times New Roman" w:hAnsi="Times New Roman"/>
          <w:sz w:val="24"/>
          <w:szCs w:val="24"/>
          <w:lang w:val="en-GB"/>
        </w:rPr>
        <w:t xml:space="preserve"> increase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bodyweight on Week 0; </w:t>
      </w:r>
      <w:proofErr w:type="spellStart"/>
      <w:r>
        <w:rPr>
          <w:rFonts w:ascii="Times New Roman" w:hAnsi="Times New Roman"/>
          <w:sz w:val="24"/>
          <w:szCs w:val="24"/>
          <w:lang w:val="en-GB"/>
        </w:rPr>
        <w:t>bSignificant</w:t>
      </w:r>
      <w:proofErr w:type="spellEnd"/>
      <w:r>
        <w:rPr>
          <w:rFonts w:ascii="Times New Roman" w:hAnsi="Times New Roman"/>
          <w:sz w:val="24"/>
          <w:szCs w:val="24"/>
          <w:lang w:val="en-GB"/>
        </w:rPr>
        <w:t xml:space="preserve"> increase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bodyweight on Week 1; </w:t>
      </w:r>
      <w:proofErr w:type="spellStart"/>
      <w:r>
        <w:rPr>
          <w:rFonts w:ascii="Times New Roman" w:hAnsi="Times New Roman"/>
          <w:sz w:val="24"/>
          <w:szCs w:val="24"/>
          <w:lang w:val="en-GB"/>
        </w:rPr>
        <w:t>cSignificant</w:t>
      </w:r>
      <w:proofErr w:type="spellEnd"/>
      <w:r>
        <w:rPr>
          <w:rFonts w:ascii="Times New Roman" w:hAnsi="Times New Roman"/>
          <w:sz w:val="24"/>
          <w:szCs w:val="24"/>
          <w:lang w:val="en-GB"/>
        </w:rPr>
        <w:t xml:space="preserve"> increase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bodyweight on Week 2.</w:t>
      </w:r>
    </w:p>
    <w:p w14:paraId="75286ADB" w14:textId="6FD71DD3" w:rsidR="00CB473A" w:rsidRDefault="00CB473A" w:rsidP="00CB473A">
      <w:pPr>
        <w:spacing w:line="360" w:lineRule="auto"/>
        <w:rPr>
          <w:rFonts w:ascii="Times New Roman" w:hAnsi="Times New Roman"/>
          <w:sz w:val="24"/>
          <w:szCs w:val="24"/>
          <w:lang w:val="en-GB"/>
        </w:rPr>
      </w:pPr>
      <w:r>
        <w:rPr>
          <w:rFonts w:ascii="Times New Roman" w:hAnsi="Times New Roman"/>
          <w:b/>
          <w:bCs/>
          <w:sz w:val="24"/>
          <w:szCs w:val="24"/>
          <w:lang w:val="en-GB"/>
        </w:rPr>
        <w:t>R</w:t>
      </w:r>
      <w:proofErr w:type="spellStart"/>
      <w:r>
        <w:rPr>
          <w:rFonts w:ascii="Times New Roman" w:hAnsi="Times New Roman"/>
          <w:b/>
          <w:bCs/>
          <w:sz w:val="24"/>
          <w:szCs w:val="24"/>
        </w:rPr>
        <w:t>esults</w:t>
      </w:r>
      <w:proofErr w:type="spellEnd"/>
      <w:r>
        <w:rPr>
          <w:rFonts w:ascii="Times New Roman" w:hAnsi="Times New Roman"/>
          <w:b/>
          <w:bCs/>
          <w:sz w:val="24"/>
          <w:szCs w:val="24"/>
        </w:rPr>
        <w:t xml:space="preserve"> of Lipid Profile Test</w:t>
      </w:r>
    </w:p>
    <w:p w14:paraId="2B59025F" w14:textId="284D407B" w:rsidR="00CB473A" w:rsidRDefault="00CB473A" w:rsidP="00245883">
      <w:pPr>
        <w:spacing w:after="160" w:line="360" w:lineRule="auto"/>
        <w:jc w:val="both"/>
        <w:rPr>
          <w:rFonts w:ascii="Times New Roman" w:hAnsi="Times New Roman"/>
          <w:sz w:val="24"/>
          <w:szCs w:val="24"/>
        </w:rPr>
      </w:pPr>
      <w:r w:rsidRPr="00CB473A">
        <w:rPr>
          <w:rFonts w:ascii="Times New Roman" w:eastAsia="Aptos" w:hAnsi="Times New Roman"/>
          <w:kern w:val="2"/>
          <w:sz w:val="24"/>
          <w:szCs w:val="24"/>
          <w:lang w:val="en-GB" w:eastAsia="en-US"/>
          <w14:ligatures w14:val="standardContextual"/>
        </w:rPr>
        <w:t>There was a significant increase (p&lt;0.05) in the total cholesterol concentration of group B (</w:t>
      </w:r>
      <w:proofErr w:type="spellStart"/>
      <w:r w:rsidRPr="00CB473A">
        <w:rPr>
          <w:rFonts w:ascii="Times New Roman" w:eastAsia="Aptos" w:hAnsi="Times New Roman"/>
          <w:kern w:val="2"/>
          <w:sz w:val="24"/>
          <w:szCs w:val="24"/>
          <w:lang w:val="en-GB" w:eastAsia="en-US"/>
          <w14:ligatures w14:val="standardContextual"/>
        </w:rPr>
        <w:t>hyperlipidemic</w:t>
      </w:r>
      <w:proofErr w:type="spellEnd"/>
      <w:r w:rsidRPr="00CB473A">
        <w:rPr>
          <w:rFonts w:ascii="Times New Roman" w:eastAsia="Aptos" w:hAnsi="Times New Roman"/>
          <w:kern w:val="2"/>
          <w:sz w:val="24"/>
          <w:szCs w:val="24"/>
          <w:lang w:val="en-GB" w:eastAsia="en-US"/>
          <w14:ligatures w14:val="standardContextual"/>
        </w:rPr>
        <w:t xml:space="preserve"> untreated</w:t>
      </w:r>
      <w:r>
        <w:rPr>
          <w:rFonts w:ascii="Times New Roman" w:eastAsia="Aptos" w:hAnsi="Times New Roman"/>
          <w:kern w:val="2"/>
          <w:sz w:val="24"/>
          <w:szCs w:val="24"/>
          <w:lang w:val="en-GB" w:eastAsia="en-US"/>
          <w14:ligatures w14:val="standardContextual"/>
        </w:rPr>
        <w:t>)</w:t>
      </w:r>
      <w:r w:rsidRPr="00CB473A">
        <w:rPr>
          <w:rFonts w:ascii="Times New Roman" w:eastAsia="Aptos" w:hAnsi="Times New Roman"/>
          <w:kern w:val="2"/>
          <w:sz w:val="24"/>
          <w:szCs w:val="24"/>
          <w:lang w:val="en-GB" w:eastAsia="en-US"/>
          <w14:ligatures w14:val="standardContextual"/>
        </w:rPr>
        <w:t xml:space="preserve"> compared to the normal control </w:t>
      </w:r>
      <w:r>
        <w:rPr>
          <w:rFonts w:ascii="Times New Roman" w:hAnsi="Times New Roman"/>
          <w:sz w:val="24"/>
          <w:szCs w:val="24"/>
        </w:rPr>
        <w:t>(Group A) and test groups</w:t>
      </w:r>
      <w:r w:rsidRPr="00CB473A">
        <w:rPr>
          <w:rFonts w:ascii="Times New Roman" w:eastAsia="Aptos" w:hAnsi="Times New Roman"/>
          <w:kern w:val="2"/>
          <w:sz w:val="24"/>
          <w:szCs w:val="24"/>
          <w:lang w:val="en-GB" w:eastAsia="en-US"/>
          <w14:ligatures w14:val="standardContextual"/>
        </w:rPr>
        <w:t xml:space="preserve">. In the course of treatment, a significant decrease </w:t>
      </w:r>
      <w:r w:rsidR="0037649F">
        <w:rPr>
          <w:rFonts w:ascii="Times New Roman" w:hAnsi="Times New Roman"/>
          <w:sz w:val="24"/>
          <w:szCs w:val="24"/>
        </w:rPr>
        <w:t xml:space="preserve">(p&lt;0.05) </w:t>
      </w:r>
      <w:r w:rsidRPr="00CB473A">
        <w:rPr>
          <w:rFonts w:ascii="Times New Roman" w:eastAsia="Aptos" w:hAnsi="Times New Roman"/>
          <w:kern w:val="2"/>
          <w:sz w:val="24"/>
          <w:szCs w:val="24"/>
          <w:lang w:val="en-GB" w:eastAsia="en-US"/>
          <w14:ligatures w14:val="standardContextual"/>
        </w:rPr>
        <w:t xml:space="preserve">in the total cholesterol concentration of </w:t>
      </w:r>
      <w:r w:rsidRPr="00CB473A">
        <w:rPr>
          <w:rFonts w:ascii="Times New Roman" w:eastAsia="Aptos" w:hAnsi="Times New Roman"/>
          <w:kern w:val="2"/>
          <w:sz w:val="24"/>
          <w:szCs w:val="24"/>
          <w:lang w:val="en-GB" w:eastAsia="en-US"/>
          <w14:ligatures w14:val="standardContextual"/>
        </w:rPr>
        <w:lastRenderedPageBreak/>
        <w:t>both the group</w:t>
      </w:r>
      <w:r w:rsidR="0037649F">
        <w:rPr>
          <w:rFonts w:ascii="Times New Roman" w:eastAsia="Aptos" w:hAnsi="Times New Roman"/>
          <w:kern w:val="2"/>
          <w:sz w:val="24"/>
          <w:szCs w:val="24"/>
          <w:lang w:val="en-GB" w:eastAsia="en-US"/>
          <w14:ligatures w14:val="standardContextual"/>
        </w:rPr>
        <w:t>s</w:t>
      </w:r>
      <w:r w:rsidRPr="00CB473A">
        <w:rPr>
          <w:rFonts w:ascii="Times New Roman" w:eastAsia="Aptos" w:hAnsi="Times New Roman"/>
          <w:kern w:val="2"/>
          <w:sz w:val="24"/>
          <w:szCs w:val="24"/>
          <w:lang w:val="en-GB" w:eastAsia="en-US"/>
          <w14:ligatures w14:val="standardContextual"/>
        </w:rPr>
        <w:t xml:space="preserve"> treated with the standard drug and the ethanol extract of </w:t>
      </w:r>
      <w:r w:rsidRPr="00CB473A">
        <w:rPr>
          <w:rFonts w:ascii="Times New Roman" w:eastAsia="Aptos" w:hAnsi="Times New Roman"/>
          <w:i/>
          <w:iCs/>
          <w:kern w:val="2"/>
          <w:sz w:val="24"/>
          <w:szCs w:val="24"/>
          <w:lang w:val="en-GB" w:eastAsia="en-US"/>
          <w14:ligatures w14:val="standardContextual"/>
        </w:rPr>
        <w:t xml:space="preserve">P. </w:t>
      </w:r>
      <w:proofErr w:type="spellStart"/>
      <w:r w:rsidRPr="00CB473A">
        <w:rPr>
          <w:rFonts w:ascii="Times New Roman" w:eastAsia="Aptos" w:hAnsi="Times New Roman"/>
          <w:i/>
          <w:iCs/>
          <w:kern w:val="2"/>
          <w:sz w:val="24"/>
          <w:szCs w:val="24"/>
          <w:lang w:val="en-GB" w:eastAsia="en-US"/>
          <w14:ligatures w14:val="standardContextual"/>
        </w:rPr>
        <w:t>santalinoides</w:t>
      </w:r>
      <w:proofErr w:type="spellEnd"/>
      <w:r w:rsidRPr="00CB473A">
        <w:rPr>
          <w:rFonts w:ascii="Times New Roman" w:eastAsia="Aptos" w:hAnsi="Times New Roman"/>
          <w:kern w:val="2"/>
          <w:sz w:val="24"/>
          <w:szCs w:val="24"/>
          <w:lang w:val="en-GB" w:eastAsia="en-US"/>
          <w14:ligatures w14:val="standardContextual"/>
        </w:rPr>
        <w:t xml:space="preserve"> compared with the </w:t>
      </w:r>
      <w:proofErr w:type="spellStart"/>
      <w:r w:rsidRPr="00CB473A">
        <w:rPr>
          <w:rFonts w:ascii="Times New Roman" w:eastAsia="Aptos" w:hAnsi="Times New Roman"/>
          <w:kern w:val="2"/>
          <w:sz w:val="24"/>
          <w:szCs w:val="24"/>
          <w:lang w:val="en-GB" w:eastAsia="en-US"/>
          <w14:ligatures w14:val="standardContextual"/>
        </w:rPr>
        <w:t>hyperlipidemic</w:t>
      </w:r>
      <w:proofErr w:type="spellEnd"/>
      <w:r w:rsidRPr="00CB473A">
        <w:rPr>
          <w:rFonts w:ascii="Times New Roman" w:eastAsia="Aptos" w:hAnsi="Times New Roman"/>
          <w:kern w:val="2"/>
          <w:sz w:val="24"/>
          <w:szCs w:val="24"/>
          <w:lang w:val="en-GB" w:eastAsia="en-US"/>
          <w14:ligatures w14:val="standardContextual"/>
        </w:rPr>
        <w:t xml:space="preserve"> untreated (</w:t>
      </w:r>
      <w:r w:rsidR="0037649F">
        <w:rPr>
          <w:rFonts w:ascii="Times New Roman" w:eastAsia="Aptos" w:hAnsi="Times New Roman"/>
          <w:kern w:val="2"/>
          <w:sz w:val="24"/>
          <w:szCs w:val="24"/>
          <w:lang w:val="en-GB" w:eastAsia="en-US"/>
          <w14:ligatures w14:val="standardContextual"/>
        </w:rPr>
        <w:t>table</w:t>
      </w:r>
      <w:r w:rsidRPr="00CB473A">
        <w:rPr>
          <w:rFonts w:ascii="Times New Roman" w:eastAsia="Aptos" w:hAnsi="Times New Roman"/>
          <w:kern w:val="2"/>
          <w:sz w:val="24"/>
          <w:szCs w:val="24"/>
          <w:lang w:val="en-GB" w:eastAsia="en-US"/>
          <w14:ligatures w14:val="standardContextual"/>
        </w:rPr>
        <w:t xml:space="preserve"> </w:t>
      </w:r>
      <w:r w:rsidR="0037649F">
        <w:rPr>
          <w:rFonts w:ascii="Times New Roman" w:eastAsia="Aptos" w:hAnsi="Times New Roman"/>
          <w:kern w:val="2"/>
          <w:sz w:val="24"/>
          <w:szCs w:val="24"/>
          <w:lang w:val="en-GB" w:eastAsia="en-US"/>
          <w14:ligatures w14:val="standardContextual"/>
        </w:rPr>
        <w:t>4</w:t>
      </w:r>
      <w:r w:rsidRPr="00CB473A">
        <w:rPr>
          <w:rFonts w:ascii="Times New Roman" w:eastAsia="Aptos" w:hAnsi="Times New Roman"/>
          <w:kern w:val="2"/>
          <w:sz w:val="24"/>
          <w:szCs w:val="24"/>
          <w:lang w:val="en-GB" w:eastAsia="en-US"/>
          <w14:ligatures w14:val="standardContextual"/>
        </w:rPr>
        <w:t xml:space="preserve">). </w:t>
      </w:r>
    </w:p>
    <w:p w14:paraId="2BCA2541" w14:textId="7164954E" w:rsidR="00245883" w:rsidRDefault="00245883" w:rsidP="00245883">
      <w:pPr>
        <w:spacing w:line="360" w:lineRule="auto"/>
        <w:jc w:val="both"/>
        <w:rPr>
          <w:rFonts w:ascii="Times New Roman" w:hAnsi="Times New Roman"/>
          <w:sz w:val="24"/>
          <w:szCs w:val="24"/>
          <w:lang w:val="en-GB"/>
        </w:rPr>
      </w:pPr>
      <w:r>
        <w:rPr>
          <w:rFonts w:ascii="Times New Roman" w:hAnsi="Times New Roman"/>
          <w:b/>
          <w:bCs/>
          <w:sz w:val="24"/>
          <w:szCs w:val="24"/>
          <w:lang w:val="en-GB"/>
        </w:rPr>
        <w:t xml:space="preserve">Table 4: </w:t>
      </w:r>
      <w:r>
        <w:rPr>
          <w:rFonts w:ascii="Times New Roman" w:hAnsi="Times New Roman"/>
          <w:sz w:val="24"/>
          <w:szCs w:val="24"/>
          <w:lang w:val="en-GB"/>
        </w:rPr>
        <w:t xml:space="preserve">Effect of daily administration of ethanol extract of </w:t>
      </w:r>
      <w:r>
        <w:rPr>
          <w:rFonts w:ascii="Times New Roman" w:hAnsi="Times New Roman"/>
          <w:i/>
          <w:iCs/>
          <w:sz w:val="24"/>
          <w:szCs w:val="24"/>
          <w:lang w:val="en-GB"/>
        </w:rPr>
        <w:t xml:space="preserve">P. </w:t>
      </w:r>
      <w:proofErr w:type="spellStart"/>
      <w:r>
        <w:rPr>
          <w:rFonts w:ascii="Times New Roman" w:hAnsi="Times New Roman"/>
          <w:i/>
          <w:iCs/>
          <w:sz w:val="24"/>
          <w:szCs w:val="24"/>
          <w:lang w:val="en-GB"/>
        </w:rPr>
        <w:t>santalinoides</w:t>
      </w:r>
      <w:proofErr w:type="spellEnd"/>
      <w:r>
        <w:rPr>
          <w:rFonts w:ascii="Times New Roman" w:hAnsi="Times New Roman"/>
          <w:sz w:val="24"/>
          <w:szCs w:val="24"/>
          <w:lang w:val="en-GB"/>
        </w:rPr>
        <w:t xml:space="preserve"> on lipid profile parameters of </w:t>
      </w:r>
      <w:proofErr w:type="spellStart"/>
      <w:r>
        <w:rPr>
          <w:rFonts w:ascii="Times New Roman" w:hAnsi="Times New Roman"/>
          <w:sz w:val="24"/>
          <w:szCs w:val="24"/>
          <w:lang w:val="en-GB"/>
        </w:rPr>
        <w:t>Hyperlipidemic</w:t>
      </w:r>
      <w:proofErr w:type="spellEnd"/>
      <w:r>
        <w:rPr>
          <w:rFonts w:ascii="Times New Roman" w:hAnsi="Times New Roman"/>
          <w:sz w:val="24"/>
          <w:szCs w:val="24"/>
          <w:lang w:val="en-GB"/>
        </w:rPr>
        <w:t xml:space="preserve"> Wistar rats expressed as mean ± SEM.</w:t>
      </w:r>
    </w:p>
    <w:tbl>
      <w:tblPr>
        <w:tblStyle w:val="TableGrid"/>
        <w:tblW w:w="9777" w:type="dxa"/>
        <w:tblLook w:val="04A0" w:firstRow="1" w:lastRow="0" w:firstColumn="1" w:lastColumn="0" w:noHBand="0" w:noVBand="1"/>
      </w:tblPr>
      <w:tblGrid>
        <w:gridCol w:w="3256"/>
        <w:gridCol w:w="1418"/>
        <w:gridCol w:w="1276"/>
        <w:gridCol w:w="1276"/>
        <w:gridCol w:w="1275"/>
        <w:gridCol w:w="1276"/>
      </w:tblGrid>
      <w:tr w:rsidR="00245883" w:rsidRPr="00245883" w14:paraId="1CD3AE1D" w14:textId="77777777" w:rsidTr="00042ED3">
        <w:tc>
          <w:tcPr>
            <w:tcW w:w="3256" w:type="dxa"/>
          </w:tcPr>
          <w:p w14:paraId="0503ECA8"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Groups</w:t>
            </w:r>
          </w:p>
        </w:tc>
        <w:tc>
          <w:tcPr>
            <w:tcW w:w="1418" w:type="dxa"/>
          </w:tcPr>
          <w:p w14:paraId="029AABCC"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TCHOL (mg/dl)</w:t>
            </w:r>
          </w:p>
        </w:tc>
        <w:tc>
          <w:tcPr>
            <w:tcW w:w="1276" w:type="dxa"/>
          </w:tcPr>
          <w:p w14:paraId="02BD5E85"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TRIG (mg/dl)</w:t>
            </w:r>
          </w:p>
        </w:tc>
        <w:tc>
          <w:tcPr>
            <w:tcW w:w="1276" w:type="dxa"/>
          </w:tcPr>
          <w:p w14:paraId="35DFCAA5"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HDL (mg/dl)</w:t>
            </w:r>
          </w:p>
        </w:tc>
        <w:tc>
          <w:tcPr>
            <w:tcW w:w="1275" w:type="dxa"/>
          </w:tcPr>
          <w:p w14:paraId="656DDA80"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LDL (mg/dl)</w:t>
            </w:r>
          </w:p>
        </w:tc>
        <w:tc>
          <w:tcPr>
            <w:tcW w:w="1276" w:type="dxa"/>
          </w:tcPr>
          <w:p w14:paraId="42644C66"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VLDL (mg/dl)</w:t>
            </w:r>
          </w:p>
        </w:tc>
      </w:tr>
      <w:tr w:rsidR="00245883" w:rsidRPr="00245883" w14:paraId="07A109CA" w14:textId="77777777" w:rsidTr="00042ED3">
        <w:tc>
          <w:tcPr>
            <w:tcW w:w="3256" w:type="dxa"/>
          </w:tcPr>
          <w:p w14:paraId="7FCB45D4"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A</w:t>
            </w:r>
            <w:r w:rsidRPr="00245883">
              <w:rPr>
                <w:rFonts w:ascii="Times New Roman" w:hAnsi="Times New Roman" w:cs="Times New Roman"/>
                <w:sz w:val="24"/>
                <w:szCs w:val="24"/>
                <w:lang w:val="en-GB"/>
              </w:rPr>
              <w:t>: Rat Chow only (Normal Control</w:t>
            </w:r>
          </w:p>
        </w:tc>
        <w:tc>
          <w:tcPr>
            <w:tcW w:w="1418" w:type="dxa"/>
          </w:tcPr>
          <w:p w14:paraId="3442D82B"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118.21 ± 15.62</w:t>
            </w:r>
          </w:p>
        </w:tc>
        <w:tc>
          <w:tcPr>
            <w:tcW w:w="1276" w:type="dxa"/>
          </w:tcPr>
          <w:p w14:paraId="036BB0BB"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45.29 ± 2.30</w:t>
            </w:r>
          </w:p>
        </w:tc>
        <w:tc>
          <w:tcPr>
            <w:tcW w:w="1276" w:type="dxa"/>
          </w:tcPr>
          <w:p w14:paraId="5567B7DF"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30.82 ± 3.73</w:t>
            </w:r>
          </w:p>
        </w:tc>
        <w:tc>
          <w:tcPr>
            <w:tcW w:w="1275" w:type="dxa"/>
          </w:tcPr>
          <w:p w14:paraId="0705B9DC"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78.33 ± 15.17</w:t>
            </w:r>
          </w:p>
        </w:tc>
        <w:tc>
          <w:tcPr>
            <w:tcW w:w="1276" w:type="dxa"/>
          </w:tcPr>
          <w:p w14:paraId="01B7EA38"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9.06 ± 0.46</w:t>
            </w:r>
          </w:p>
        </w:tc>
      </w:tr>
      <w:tr w:rsidR="00245883" w:rsidRPr="00245883" w14:paraId="0769FF72" w14:textId="77777777" w:rsidTr="00042ED3">
        <w:tc>
          <w:tcPr>
            <w:tcW w:w="3256" w:type="dxa"/>
          </w:tcPr>
          <w:p w14:paraId="48013AA4"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B</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p>
        </w:tc>
        <w:tc>
          <w:tcPr>
            <w:tcW w:w="1418" w:type="dxa"/>
          </w:tcPr>
          <w:p w14:paraId="72336F25"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290.87 ± 37.93a</w:t>
            </w:r>
          </w:p>
        </w:tc>
        <w:tc>
          <w:tcPr>
            <w:tcW w:w="1276" w:type="dxa"/>
          </w:tcPr>
          <w:p w14:paraId="3A3BDD98"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83.62 ±10.88</w:t>
            </w:r>
          </w:p>
        </w:tc>
        <w:tc>
          <w:tcPr>
            <w:tcW w:w="1276" w:type="dxa"/>
          </w:tcPr>
          <w:p w14:paraId="25B0F380"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11.55 ± 2.18</w:t>
            </w:r>
          </w:p>
        </w:tc>
        <w:tc>
          <w:tcPr>
            <w:tcW w:w="1275" w:type="dxa"/>
          </w:tcPr>
          <w:p w14:paraId="107A42D4"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262.60 ± 35.82a</w:t>
            </w:r>
          </w:p>
        </w:tc>
        <w:tc>
          <w:tcPr>
            <w:tcW w:w="1276" w:type="dxa"/>
          </w:tcPr>
          <w:p w14:paraId="3D6283E0"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16.72 ± 2.18</w:t>
            </w:r>
          </w:p>
        </w:tc>
      </w:tr>
      <w:tr w:rsidR="00245883" w:rsidRPr="00245883" w14:paraId="3D8D56C3" w14:textId="77777777" w:rsidTr="00042ED3">
        <w:tc>
          <w:tcPr>
            <w:tcW w:w="3256" w:type="dxa"/>
          </w:tcPr>
          <w:p w14:paraId="08796E71"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C</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r w:rsidRPr="00245883">
              <w:rPr>
                <w:rFonts w:ascii="Times New Roman" w:hAnsi="Times New Roman" w:cs="Times New Roman"/>
                <w:sz w:val="24"/>
                <w:szCs w:val="24"/>
                <w:lang w:val="en-GB"/>
              </w:rPr>
              <w:t>+ 1.14mg/kg Statin</w:t>
            </w:r>
          </w:p>
        </w:tc>
        <w:tc>
          <w:tcPr>
            <w:tcW w:w="1418" w:type="dxa"/>
          </w:tcPr>
          <w:p w14:paraId="358E971B"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110.28 ± 20.59d</w:t>
            </w:r>
          </w:p>
        </w:tc>
        <w:tc>
          <w:tcPr>
            <w:tcW w:w="1276" w:type="dxa"/>
          </w:tcPr>
          <w:p w14:paraId="3A47A72C"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62.71 ± 6.91</w:t>
            </w:r>
          </w:p>
        </w:tc>
        <w:tc>
          <w:tcPr>
            <w:tcW w:w="1276" w:type="dxa"/>
          </w:tcPr>
          <w:p w14:paraId="69E51DF2"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17.50 ± 3.55</w:t>
            </w:r>
          </w:p>
        </w:tc>
        <w:tc>
          <w:tcPr>
            <w:tcW w:w="1275" w:type="dxa"/>
          </w:tcPr>
          <w:p w14:paraId="15BABA63"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80.24 ± 21.84d</w:t>
            </w:r>
          </w:p>
        </w:tc>
        <w:tc>
          <w:tcPr>
            <w:tcW w:w="1276" w:type="dxa"/>
          </w:tcPr>
          <w:p w14:paraId="378D29E7"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12.54 ± 1.38</w:t>
            </w:r>
          </w:p>
        </w:tc>
      </w:tr>
      <w:tr w:rsidR="00245883" w:rsidRPr="00245883" w14:paraId="0AE374D8" w14:textId="77777777" w:rsidTr="00042ED3">
        <w:tc>
          <w:tcPr>
            <w:tcW w:w="3256" w:type="dxa"/>
          </w:tcPr>
          <w:p w14:paraId="72465A7E"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D</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r w:rsidRPr="00245883">
              <w:rPr>
                <w:rFonts w:ascii="Times New Roman" w:hAnsi="Times New Roman" w:cs="Times New Roman"/>
                <w:sz w:val="24"/>
                <w:szCs w:val="24"/>
                <w:lang w:val="en-GB"/>
              </w:rPr>
              <w:t xml:space="preserve">+ 100mg/kg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418" w:type="dxa"/>
          </w:tcPr>
          <w:p w14:paraId="100A83F2"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175.08 ± 26.19d</w:t>
            </w:r>
          </w:p>
        </w:tc>
        <w:tc>
          <w:tcPr>
            <w:tcW w:w="1276" w:type="dxa"/>
          </w:tcPr>
          <w:p w14:paraId="7E748B3D"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66.20 ± 18.62</w:t>
            </w:r>
          </w:p>
        </w:tc>
        <w:tc>
          <w:tcPr>
            <w:tcW w:w="1276" w:type="dxa"/>
          </w:tcPr>
          <w:p w14:paraId="580EA96E"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32.90 ± 10.10c</w:t>
            </w:r>
          </w:p>
        </w:tc>
        <w:tc>
          <w:tcPr>
            <w:tcW w:w="1275" w:type="dxa"/>
          </w:tcPr>
          <w:p w14:paraId="4586CDFB"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128.94 ± 32.62d</w:t>
            </w:r>
          </w:p>
        </w:tc>
        <w:tc>
          <w:tcPr>
            <w:tcW w:w="1276" w:type="dxa"/>
          </w:tcPr>
          <w:p w14:paraId="5F98FB09"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13.24 ± 3.72</w:t>
            </w:r>
          </w:p>
        </w:tc>
      </w:tr>
      <w:tr w:rsidR="00245883" w:rsidRPr="00245883" w14:paraId="412CBC8E" w14:textId="77777777" w:rsidTr="00042ED3">
        <w:tc>
          <w:tcPr>
            <w:tcW w:w="3256" w:type="dxa"/>
          </w:tcPr>
          <w:p w14:paraId="53063D83"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E</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r w:rsidRPr="00245883">
              <w:rPr>
                <w:rFonts w:ascii="Times New Roman" w:hAnsi="Times New Roman" w:cs="Times New Roman"/>
                <w:sz w:val="24"/>
                <w:szCs w:val="24"/>
                <w:lang w:val="en-GB"/>
              </w:rPr>
              <w:t xml:space="preserve">+ 200mg/kg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418" w:type="dxa"/>
          </w:tcPr>
          <w:p w14:paraId="3172A986"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220.57 ± 53.41</w:t>
            </w:r>
          </w:p>
        </w:tc>
        <w:tc>
          <w:tcPr>
            <w:tcW w:w="1276" w:type="dxa"/>
          </w:tcPr>
          <w:p w14:paraId="16DE58D7"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83.62 ± 26.52</w:t>
            </w:r>
          </w:p>
        </w:tc>
        <w:tc>
          <w:tcPr>
            <w:tcW w:w="1276" w:type="dxa"/>
          </w:tcPr>
          <w:p w14:paraId="6B02FDCE"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21.35 ± 7.89</w:t>
            </w:r>
          </w:p>
        </w:tc>
        <w:tc>
          <w:tcPr>
            <w:tcW w:w="1275" w:type="dxa"/>
          </w:tcPr>
          <w:p w14:paraId="6CCFAF89"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182.49 ± 56.54</w:t>
            </w:r>
          </w:p>
        </w:tc>
        <w:tc>
          <w:tcPr>
            <w:tcW w:w="1276" w:type="dxa"/>
          </w:tcPr>
          <w:p w14:paraId="768E0397"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16.72 ± 5.30</w:t>
            </w:r>
          </w:p>
        </w:tc>
      </w:tr>
      <w:tr w:rsidR="00245883" w:rsidRPr="00245883" w14:paraId="11372E1F" w14:textId="77777777" w:rsidTr="00042ED3">
        <w:tc>
          <w:tcPr>
            <w:tcW w:w="3256" w:type="dxa"/>
          </w:tcPr>
          <w:p w14:paraId="6C4A616F"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F</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r w:rsidRPr="00245883">
              <w:rPr>
                <w:rFonts w:ascii="Times New Roman" w:hAnsi="Times New Roman" w:cs="Times New Roman"/>
                <w:sz w:val="24"/>
                <w:szCs w:val="24"/>
                <w:lang w:val="en-GB"/>
              </w:rPr>
              <w:t xml:space="preserve">+ 300mg/kg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418" w:type="dxa"/>
          </w:tcPr>
          <w:p w14:paraId="7C88D4F5"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215.06 ± 45.50</w:t>
            </w:r>
          </w:p>
        </w:tc>
        <w:tc>
          <w:tcPr>
            <w:tcW w:w="1276" w:type="dxa"/>
          </w:tcPr>
          <w:p w14:paraId="285EC21A"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70.56 ± 15.68</w:t>
            </w:r>
          </w:p>
        </w:tc>
        <w:tc>
          <w:tcPr>
            <w:tcW w:w="1276" w:type="dxa"/>
          </w:tcPr>
          <w:p w14:paraId="5649261A"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19.43 ± 8.93</w:t>
            </w:r>
          </w:p>
        </w:tc>
        <w:tc>
          <w:tcPr>
            <w:tcW w:w="1275" w:type="dxa"/>
          </w:tcPr>
          <w:p w14:paraId="4F47984C"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181.52 ± 57.56</w:t>
            </w:r>
          </w:p>
        </w:tc>
        <w:tc>
          <w:tcPr>
            <w:tcW w:w="1276" w:type="dxa"/>
          </w:tcPr>
          <w:p w14:paraId="08AA882F"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14.11 ± 3.14</w:t>
            </w:r>
          </w:p>
        </w:tc>
      </w:tr>
      <w:tr w:rsidR="00245883" w:rsidRPr="00245883" w14:paraId="410B1335" w14:textId="77777777" w:rsidTr="00042ED3">
        <w:tc>
          <w:tcPr>
            <w:tcW w:w="3256" w:type="dxa"/>
          </w:tcPr>
          <w:p w14:paraId="0CF113D6"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G</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r w:rsidRPr="00245883">
              <w:rPr>
                <w:rFonts w:ascii="Times New Roman" w:hAnsi="Times New Roman" w:cs="Times New Roman"/>
                <w:sz w:val="24"/>
                <w:szCs w:val="24"/>
                <w:lang w:val="en-GB"/>
              </w:rPr>
              <w:t xml:space="preserve">+ 400mg/kg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proofErr w:type="spellEnd"/>
          </w:p>
        </w:tc>
        <w:tc>
          <w:tcPr>
            <w:tcW w:w="1418" w:type="dxa"/>
          </w:tcPr>
          <w:p w14:paraId="1792B18A"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164.05 ± 47.78d</w:t>
            </w:r>
          </w:p>
        </w:tc>
        <w:tc>
          <w:tcPr>
            <w:tcW w:w="1276" w:type="dxa"/>
          </w:tcPr>
          <w:p w14:paraId="71B1C8D5"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69.69 ± 21.67</w:t>
            </w:r>
          </w:p>
        </w:tc>
        <w:tc>
          <w:tcPr>
            <w:tcW w:w="1276" w:type="dxa"/>
          </w:tcPr>
          <w:p w14:paraId="4C727B14"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23.45 ± 7.08</w:t>
            </w:r>
          </w:p>
        </w:tc>
        <w:tc>
          <w:tcPr>
            <w:tcW w:w="1275" w:type="dxa"/>
          </w:tcPr>
          <w:p w14:paraId="5EE89717"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126.66 ± 50.67d</w:t>
            </w:r>
          </w:p>
        </w:tc>
        <w:tc>
          <w:tcPr>
            <w:tcW w:w="1276" w:type="dxa"/>
          </w:tcPr>
          <w:p w14:paraId="1BF92B9E"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13.94 ± 4.33</w:t>
            </w:r>
          </w:p>
        </w:tc>
      </w:tr>
      <w:tr w:rsidR="00245883" w:rsidRPr="00245883" w14:paraId="7F789B3C" w14:textId="77777777" w:rsidTr="00042ED3">
        <w:tc>
          <w:tcPr>
            <w:tcW w:w="3256" w:type="dxa"/>
          </w:tcPr>
          <w:p w14:paraId="60ECA4AE" w14:textId="77777777" w:rsidR="00245883" w:rsidRPr="00245883" w:rsidRDefault="00245883" w:rsidP="00251762">
            <w:pPr>
              <w:spacing w:before="240" w:after="0"/>
              <w:rPr>
                <w:rFonts w:ascii="Times New Roman" w:hAnsi="Times New Roman" w:cs="Times New Roman"/>
                <w:b/>
                <w:bCs/>
                <w:sz w:val="24"/>
                <w:szCs w:val="24"/>
                <w:lang w:val="en-GB"/>
              </w:rPr>
            </w:pPr>
            <w:r w:rsidRPr="00245883">
              <w:rPr>
                <w:rFonts w:ascii="Times New Roman" w:hAnsi="Times New Roman" w:cs="Times New Roman"/>
                <w:b/>
                <w:bCs/>
                <w:sz w:val="24"/>
                <w:szCs w:val="24"/>
                <w:lang w:val="en-GB"/>
              </w:rPr>
              <w:t>Group H</w:t>
            </w:r>
            <w:r w:rsidRPr="00245883">
              <w:rPr>
                <w:rFonts w:ascii="Times New Roman" w:hAnsi="Times New Roman" w:cs="Times New Roman"/>
                <w:sz w:val="24"/>
                <w:szCs w:val="24"/>
                <w:lang w:val="en-GB"/>
              </w:rPr>
              <w:t xml:space="preserve">: Rat </w:t>
            </w:r>
            <w:proofErr w:type="spellStart"/>
            <w:r w:rsidRPr="00245883">
              <w:rPr>
                <w:rFonts w:ascii="Times New Roman" w:hAnsi="Times New Roman" w:cs="Times New Roman"/>
                <w:sz w:val="24"/>
                <w:szCs w:val="24"/>
                <w:lang w:val="en-GB"/>
              </w:rPr>
              <w:t>Chow+CHOL+Fat</w:t>
            </w:r>
            <w:proofErr w:type="spellEnd"/>
            <w:r w:rsidRPr="00245883">
              <w:rPr>
                <w:rFonts w:ascii="Times New Roman" w:hAnsi="Times New Roman" w:cs="Times New Roman"/>
                <w:sz w:val="24"/>
                <w:szCs w:val="24"/>
                <w:lang w:val="en-GB"/>
              </w:rPr>
              <w:t xml:space="preserve">+ 500mg/kg </w:t>
            </w:r>
            <w:r w:rsidRPr="00245883">
              <w:rPr>
                <w:rFonts w:ascii="Times New Roman" w:hAnsi="Times New Roman" w:cs="Times New Roman"/>
                <w:i/>
                <w:iCs/>
                <w:sz w:val="24"/>
                <w:szCs w:val="24"/>
                <w:lang w:val="en-GB"/>
              </w:rPr>
              <w:t xml:space="preserve">P. </w:t>
            </w:r>
            <w:proofErr w:type="spellStart"/>
            <w:r w:rsidRPr="00245883">
              <w:rPr>
                <w:rFonts w:ascii="Times New Roman" w:hAnsi="Times New Roman" w:cs="Times New Roman"/>
                <w:i/>
                <w:iCs/>
                <w:sz w:val="24"/>
                <w:szCs w:val="24"/>
                <w:lang w:val="en-GB"/>
              </w:rPr>
              <w:t>santalinoides</w:t>
            </w:r>
            <w:r w:rsidRPr="00245883">
              <w:rPr>
                <w:rFonts w:ascii="Times New Roman" w:hAnsi="Times New Roman" w:cs="Times New Roman"/>
                <w:sz w:val="24"/>
                <w:szCs w:val="24"/>
                <w:lang w:val="en-GB"/>
              </w:rPr>
              <w:t>+Statin</w:t>
            </w:r>
            <w:proofErr w:type="spellEnd"/>
          </w:p>
        </w:tc>
        <w:tc>
          <w:tcPr>
            <w:tcW w:w="1418" w:type="dxa"/>
          </w:tcPr>
          <w:p w14:paraId="71768B8A"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153.02 ± 57.90d</w:t>
            </w:r>
          </w:p>
        </w:tc>
        <w:tc>
          <w:tcPr>
            <w:tcW w:w="1276" w:type="dxa"/>
          </w:tcPr>
          <w:p w14:paraId="6BD40F49"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70.56 ± 10.46</w:t>
            </w:r>
          </w:p>
        </w:tc>
        <w:tc>
          <w:tcPr>
            <w:tcW w:w="1276" w:type="dxa"/>
          </w:tcPr>
          <w:p w14:paraId="415B61EC"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19.43 ± 7.88</w:t>
            </w:r>
          </w:p>
        </w:tc>
        <w:tc>
          <w:tcPr>
            <w:tcW w:w="1275" w:type="dxa"/>
          </w:tcPr>
          <w:p w14:paraId="69C8850E"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119.48 ± 67.87d</w:t>
            </w:r>
          </w:p>
        </w:tc>
        <w:tc>
          <w:tcPr>
            <w:tcW w:w="1276" w:type="dxa"/>
          </w:tcPr>
          <w:p w14:paraId="4CA5609F" w14:textId="77777777" w:rsidR="00245883" w:rsidRPr="00245883" w:rsidRDefault="00245883" w:rsidP="00251762">
            <w:pPr>
              <w:spacing w:before="240" w:after="0"/>
              <w:rPr>
                <w:rFonts w:ascii="Times New Roman" w:hAnsi="Times New Roman" w:cs="Times New Roman"/>
                <w:sz w:val="24"/>
                <w:szCs w:val="24"/>
                <w:lang w:val="en-GB"/>
              </w:rPr>
            </w:pPr>
            <w:r w:rsidRPr="00245883">
              <w:rPr>
                <w:rFonts w:ascii="Times New Roman" w:hAnsi="Times New Roman" w:cs="Times New Roman"/>
                <w:sz w:val="24"/>
                <w:szCs w:val="24"/>
                <w:lang w:val="en-GB"/>
              </w:rPr>
              <w:t>14.11 ± 2.09</w:t>
            </w:r>
          </w:p>
        </w:tc>
      </w:tr>
    </w:tbl>
    <w:p w14:paraId="50E84714" w14:textId="77777777" w:rsidR="00245883" w:rsidRDefault="00245883" w:rsidP="00245883">
      <w:pPr>
        <w:spacing w:line="360" w:lineRule="auto"/>
        <w:jc w:val="both"/>
        <w:rPr>
          <w:rFonts w:ascii="Times New Roman" w:hAnsi="Times New Roman"/>
          <w:sz w:val="24"/>
          <w:szCs w:val="24"/>
          <w:lang w:val="en-GB"/>
        </w:rPr>
      </w:pPr>
      <w:proofErr w:type="spellStart"/>
      <w:r>
        <w:rPr>
          <w:rFonts w:ascii="Times New Roman" w:hAnsi="Times New Roman"/>
          <w:sz w:val="24"/>
          <w:szCs w:val="24"/>
          <w:lang w:val="en-GB"/>
        </w:rPr>
        <w:t>aSignificant</w:t>
      </w:r>
      <w:proofErr w:type="spellEnd"/>
      <w:r>
        <w:rPr>
          <w:rFonts w:ascii="Times New Roman" w:hAnsi="Times New Roman"/>
          <w:sz w:val="24"/>
          <w:szCs w:val="24"/>
          <w:lang w:val="en-GB"/>
        </w:rPr>
        <w:t xml:space="preserve"> increase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Normal Control; </w:t>
      </w:r>
      <w:proofErr w:type="spellStart"/>
      <w:r>
        <w:rPr>
          <w:rFonts w:ascii="Times New Roman" w:hAnsi="Times New Roman"/>
          <w:sz w:val="24"/>
          <w:szCs w:val="24"/>
          <w:lang w:val="en-GB"/>
        </w:rPr>
        <w:t>bSignificant</w:t>
      </w:r>
      <w:proofErr w:type="spellEnd"/>
      <w:r>
        <w:rPr>
          <w:rFonts w:ascii="Times New Roman" w:hAnsi="Times New Roman"/>
          <w:sz w:val="24"/>
          <w:szCs w:val="24"/>
          <w:lang w:val="en-GB"/>
        </w:rPr>
        <w:t xml:space="preserve"> decrease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Normal Control; </w:t>
      </w:r>
      <w:proofErr w:type="spellStart"/>
      <w:r>
        <w:rPr>
          <w:rFonts w:ascii="Times New Roman" w:hAnsi="Times New Roman"/>
          <w:sz w:val="24"/>
          <w:szCs w:val="24"/>
          <w:lang w:val="en-GB"/>
        </w:rPr>
        <w:t>cSignificant</w:t>
      </w:r>
      <w:proofErr w:type="spellEnd"/>
      <w:r>
        <w:rPr>
          <w:rFonts w:ascii="Times New Roman" w:hAnsi="Times New Roman"/>
          <w:sz w:val="24"/>
          <w:szCs w:val="24"/>
          <w:lang w:val="en-GB"/>
        </w:rPr>
        <w:t xml:space="preserve"> increase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Group B (</w:t>
      </w:r>
      <w:proofErr w:type="spellStart"/>
      <w:r>
        <w:rPr>
          <w:rFonts w:ascii="Times New Roman" w:hAnsi="Times New Roman"/>
          <w:sz w:val="24"/>
          <w:szCs w:val="24"/>
          <w:lang w:val="en-GB"/>
        </w:rPr>
        <w:t>hyperlipidemic</w:t>
      </w:r>
      <w:proofErr w:type="spellEnd"/>
      <w:r>
        <w:rPr>
          <w:rFonts w:ascii="Times New Roman" w:hAnsi="Times New Roman"/>
          <w:sz w:val="24"/>
          <w:szCs w:val="24"/>
          <w:lang w:val="en-GB"/>
        </w:rPr>
        <w:t xml:space="preserve"> untreated); </w:t>
      </w:r>
      <w:proofErr w:type="spellStart"/>
      <w:r>
        <w:rPr>
          <w:rFonts w:ascii="Times New Roman" w:hAnsi="Times New Roman"/>
          <w:sz w:val="24"/>
          <w:szCs w:val="24"/>
          <w:lang w:val="en-GB"/>
        </w:rPr>
        <w:t>dSignificant</w:t>
      </w:r>
      <w:proofErr w:type="spellEnd"/>
      <w:r>
        <w:rPr>
          <w:rFonts w:ascii="Times New Roman" w:hAnsi="Times New Roman"/>
          <w:sz w:val="24"/>
          <w:szCs w:val="24"/>
          <w:lang w:val="en-GB"/>
        </w:rPr>
        <w:t xml:space="preserve"> decrease </w:t>
      </w:r>
      <w:proofErr w:type="spellStart"/>
      <w:r>
        <w:rPr>
          <w:rFonts w:ascii="Times New Roman" w:hAnsi="Times New Roman"/>
          <w:sz w:val="24"/>
          <w:szCs w:val="24"/>
          <w:lang w:val="en-GB"/>
        </w:rPr>
        <w:t>w.r.t.</w:t>
      </w:r>
      <w:proofErr w:type="spellEnd"/>
      <w:r>
        <w:rPr>
          <w:rFonts w:ascii="Times New Roman" w:hAnsi="Times New Roman"/>
          <w:sz w:val="24"/>
          <w:szCs w:val="24"/>
          <w:lang w:val="en-GB"/>
        </w:rPr>
        <w:t xml:space="preserve"> Group B (</w:t>
      </w:r>
      <w:proofErr w:type="spellStart"/>
      <w:r>
        <w:rPr>
          <w:rFonts w:ascii="Times New Roman" w:hAnsi="Times New Roman"/>
          <w:sz w:val="24"/>
          <w:szCs w:val="24"/>
          <w:lang w:val="en-GB"/>
        </w:rPr>
        <w:t>hyperlipidemic</w:t>
      </w:r>
      <w:proofErr w:type="spellEnd"/>
      <w:r>
        <w:rPr>
          <w:rFonts w:ascii="Times New Roman" w:hAnsi="Times New Roman"/>
          <w:sz w:val="24"/>
          <w:szCs w:val="24"/>
          <w:lang w:val="en-GB"/>
        </w:rPr>
        <w:t xml:space="preserve"> untreated).</w:t>
      </w:r>
    </w:p>
    <w:p w14:paraId="2C425BD2" w14:textId="1647A750" w:rsidR="00245883" w:rsidRPr="00CB473A" w:rsidRDefault="00D40724" w:rsidP="00245883">
      <w:pPr>
        <w:spacing w:after="160" w:line="360" w:lineRule="auto"/>
        <w:jc w:val="both"/>
        <w:rPr>
          <w:rFonts w:ascii="Times New Roman" w:hAnsi="Times New Roman"/>
          <w:sz w:val="24"/>
          <w:szCs w:val="24"/>
        </w:rPr>
      </w:pPr>
      <w:r w:rsidRPr="00CB473A">
        <w:rPr>
          <w:rFonts w:ascii="Times New Roman" w:eastAsia="Aptos" w:hAnsi="Times New Roman"/>
          <w:kern w:val="2"/>
          <w:sz w:val="24"/>
          <w:szCs w:val="24"/>
          <w:lang w:val="en-GB" w:eastAsia="en-US"/>
          <w14:ligatures w14:val="standardContextual"/>
        </w:rPr>
        <w:lastRenderedPageBreak/>
        <w:t>There was no significant increase or decrease (p</w:t>
      </w:r>
      <w:r w:rsidR="00DD3F1B">
        <w:rPr>
          <w:rFonts w:ascii="Times New Roman" w:eastAsia="Aptos" w:hAnsi="Times New Roman"/>
          <w:kern w:val="2"/>
          <w:sz w:val="24"/>
          <w:szCs w:val="24"/>
          <w:lang w:val="en-GB" w:eastAsia="en-US"/>
          <w14:ligatures w14:val="standardContextual"/>
        </w:rPr>
        <w:t>&gt;</w:t>
      </w:r>
      <w:r w:rsidRPr="00CB473A">
        <w:rPr>
          <w:rFonts w:ascii="Times New Roman" w:eastAsia="Aptos" w:hAnsi="Times New Roman"/>
          <w:kern w:val="2"/>
          <w:sz w:val="24"/>
          <w:szCs w:val="24"/>
          <w:lang w:val="en-GB" w:eastAsia="en-US"/>
          <w14:ligatures w14:val="standardContextual"/>
        </w:rPr>
        <w:t xml:space="preserve">0.05) in the </w:t>
      </w:r>
      <w:r>
        <w:rPr>
          <w:rFonts w:ascii="Times New Roman" w:hAnsi="Times New Roman"/>
          <w:sz w:val="24"/>
          <w:szCs w:val="24"/>
        </w:rPr>
        <w:t>triacylglycerols</w:t>
      </w:r>
      <w:r w:rsidRPr="00CB473A">
        <w:rPr>
          <w:rFonts w:ascii="Times New Roman" w:eastAsia="Aptos" w:hAnsi="Times New Roman"/>
          <w:kern w:val="2"/>
          <w:sz w:val="24"/>
          <w:szCs w:val="24"/>
          <w:lang w:val="en-GB" w:eastAsia="en-US"/>
          <w14:ligatures w14:val="standardContextual"/>
        </w:rPr>
        <w:t xml:space="preserve"> concentration recorded in the </w:t>
      </w:r>
      <w:r>
        <w:rPr>
          <w:rFonts w:ascii="Times New Roman" w:eastAsia="Aptos" w:hAnsi="Times New Roman"/>
          <w:kern w:val="2"/>
          <w:sz w:val="24"/>
          <w:szCs w:val="24"/>
          <w:lang w:val="en-GB" w:eastAsia="en-US"/>
          <w14:ligatures w14:val="standardContextual"/>
        </w:rPr>
        <w:t>test</w:t>
      </w:r>
      <w:r w:rsidRPr="00CB473A">
        <w:rPr>
          <w:rFonts w:ascii="Times New Roman" w:eastAsia="Aptos" w:hAnsi="Times New Roman"/>
          <w:kern w:val="2"/>
          <w:sz w:val="24"/>
          <w:szCs w:val="24"/>
          <w:lang w:val="en-GB" w:eastAsia="en-US"/>
          <w14:ligatures w14:val="standardContextual"/>
        </w:rPr>
        <w:t xml:space="preserve"> groups compared with the control group.</w:t>
      </w:r>
      <w:r w:rsidRPr="0037649F">
        <w:rPr>
          <w:rFonts w:ascii="Times New Roman" w:hAnsi="Times New Roman"/>
          <w:sz w:val="24"/>
          <w:szCs w:val="24"/>
        </w:rPr>
        <w:t xml:space="preserve"> </w:t>
      </w:r>
      <w:r>
        <w:rPr>
          <w:rFonts w:ascii="Times New Roman" w:hAnsi="Times New Roman"/>
          <w:sz w:val="24"/>
          <w:szCs w:val="24"/>
        </w:rPr>
        <w:t>The test groups showed decrease in the triacylglycerols concentration in comparison with group B (hyperlipidemic untreated).</w:t>
      </w:r>
      <w:r>
        <w:rPr>
          <w:rFonts w:ascii="Times New Roman" w:eastAsia="Aptos" w:hAnsi="Times New Roman"/>
          <w:kern w:val="2"/>
          <w:sz w:val="24"/>
          <w:szCs w:val="24"/>
          <w:lang w:val="en-GB" w:eastAsia="en-US"/>
          <w14:ligatures w14:val="standardContextual"/>
        </w:rPr>
        <w:t xml:space="preserve"> </w:t>
      </w:r>
      <w:r w:rsidR="00245883">
        <w:rPr>
          <w:rFonts w:ascii="Times New Roman" w:hAnsi="Times New Roman"/>
          <w:noProof/>
          <w:sz w:val="24"/>
          <w:szCs w:val="24"/>
        </w:rPr>
        <w:t>There was a significant decrease (p&lt;0.05) in the HDL cholesterol of group B compared to group A. There was a significant increase (p&lt;0.05) in the HDL of group D (100mg/kg) compared to group B (hyperlipidemic untreated). Groups C, E, F, G, and H also showed increase in the HDL cholesterol in comparison with group B (negative control)</w:t>
      </w:r>
    </w:p>
    <w:p w14:paraId="11F01B24" w14:textId="2D2667D9" w:rsidR="00245883" w:rsidRPr="00D40724" w:rsidRDefault="00245883" w:rsidP="00D40724">
      <w:pPr>
        <w:spacing w:line="360" w:lineRule="auto"/>
        <w:jc w:val="both"/>
        <w:rPr>
          <w:rFonts w:ascii="Times New Roman" w:hAnsi="Times New Roman"/>
          <w:sz w:val="24"/>
          <w:szCs w:val="24"/>
        </w:rPr>
      </w:pPr>
      <w:r>
        <w:rPr>
          <w:rFonts w:ascii="Times New Roman" w:hAnsi="Times New Roman"/>
          <w:noProof/>
          <w:sz w:val="24"/>
          <w:szCs w:val="24"/>
        </w:rPr>
        <w:t xml:space="preserve">There was a significant increase (p&lt;0.05) in the LDL cholesterol concentration of the hyperlipidemic untreated compared to the normal control and tests groups. In the course of treatment, there was a significant decrease (p&lt;0.05) in the LDL cholesterol concentration of groups treated with the standard drug and the ethanol extract of </w:t>
      </w:r>
      <w:r>
        <w:rPr>
          <w:rFonts w:ascii="Times New Roman" w:hAnsi="Times New Roman"/>
          <w:i/>
          <w:iCs/>
          <w:noProof/>
          <w:sz w:val="24"/>
          <w:szCs w:val="24"/>
        </w:rPr>
        <w:t>P. santalinoides</w:t>
      </w:r>
      <w:r>
        <w:rPr>
          <w:rFonts w:ascii="Times New Roman" w:hAnsi="Times New Roman"/>
          <w:noProof/>
          <w:sz w:val="24"/>
          <w:szCs w:val="24"/>
        </w:rPr>
        <w:t xml:space="preserve"> when compared with the negative control. </w:t>
      </w:r>
      <w:r>
        <w:rPr>
          <w:rFonts w:ascii="Times New Roman" w:hAnsi="Times New Roman"/>
          <w:sz w:val="24"/>
          <w:szCs w:val="24"/>
        </w:rPr>
        <w:t>There was no significant increase or decrease (p&gt;0.05) in the VLDL cholesterol recorded in the test groups compared with the control groups. The test groups showed decrease in the VLDL concentration in comparison with group B (hyperlipidemic untreated).</w:t>
      </w:r>
    </w:p>
    <w:p w14:paraId="0E3CC138" w14:textId="23E8EE44" w:rsidR="005C75C3" w:rsidRDefault="00D42813">
      <w:pPr>
        <w:spacing w:line="360" w:lineRule="auto"/>
        <w:rPr>
          <w:rFonts w:ascii="Times New Roman" w:hAnsi="Times New Roman"/>
          <w:b/>
          <w:bCs/>
          <w:sz w:val="24"/>
          <w:szCs w:val="24"/>
        </w:rPr>
      </w:pPr>
      <w:r>
        <w:rPr>
          <w:rFonts w:ascii="Times New Roman" w:hAnsi="Times New Roman"/>
          <w:b/>
          <w:bCs/>
          <w:sz w:val="24"/>
          <w:szCs w:val="24"/>
        </w:rPr>
        <w:t xml:space="preserve">Discussion </w:t>
      </w:r>
    </w:p>
    <w:p w14:paraId="4BCD3292" w14:textId="77777777" w:rsidR="005C75C3" w:rsidRDefault="00D42813">
      <w:pPr>
        <w:spacing w:line="360" w:lineRule="auto"/>
        <w:jc w:val="both"/>
        <w:rPr>
          <w:rFonts w:ascii="Times New Roman" w:hAnsi="Times New Roman"/>
          <w:sz w:val="24"/>
          <w:szCs w:val="24"/>
        </w:rPr>
      </w:pPr>
      <w:r>
        <w:rPr>
          <w:rFonts w:ascii="Times New Roman" w:hAnsi="Times New Roman"/>
          <w:sz w:val="24"/>
          <w:szCs w:val="24"/>
        </w:rPr>
        <w:t xml:space="preserve">The GC-MS analysis identified nineteen (19) phytochemical compounds in </w:t>
      </w:r>
      <w:r>
        <w:rPr>
          <w:rFonts w:ascii="Times New Roman" w:hAnsi="Times New Roman"/>
          <w:i/>
          <w:iCs/>
          <w:sz w:val="24"/>
          <w:szCs w:val="24"/>
        </w:rPr>
        <w:t>Pterocarpus santalinoides</w:t>
      </w:r>
      <w:r>
        <w:rPr>
          <w:rFonts w:ascii="Times New Roman" w:hAnsi="Times New Roman"/>
          <w:sz w:val="24"/>
          <w:szCs w:val="24"/>
        </w:rPr>
        <w:t xml:space="preserve"> leaf extractas shown in table 1. The compounds identified include flavonoids, alkaloids and phenolics. Among the identified bioactive compounds vanillic acid (18.78±0.00), followed by hesperidin (10.24±0.00), and flavone (8.86±0.00) had the highest retention time and percent area. Plants that naturally produce and hoard secondary metabolites like phenols, alkaloids, steroids, terpenoids, flavonoids, saponins, glycosides and tannins that fight disease and have been shown to have therapeutic effects because of their anti-oxidant, anti-microbial, anti-diabetic, anti-inflammatory, immune modulation, enzyme modulation, DNA intercalation (Perron and Julia, 2009; Samy </w:t>
      </w:r>
      <w:r>
        <w:rPr>
          <w:rFonts w:ascii="Times New Roman" w:hAnsi="Times New Roman"/>
          <w:i/>
          <w:iCs/>
          <w:sz w:val="24"/>
          <w:szCs w:val="24"/>
        </w:rPr>
        <w:t>et al</w:t>
      </w:r>
      <w:r>
        <w:rPr>
          <w:rFonts w:ascii="Times New Roman" w:hAnsi="Times New Roman"/>
          <w:sz w:val="24"/>
          <w:szCs w:val="24"/>
        </w:rPr>
        <w:t xml:space="preserve">., 2011) and presence of phytochemicals give plants their colour, flavour, smell and texture which contribute to their antioxidant activity, hormonal action, stimulation of enzymes, interference with DNA replication and antibacterial effect among others (Okochi </w:t>
      </w:r>
      <w:r>
        <w:rPr>
          <w:rFonts w:ascii="Times New Roman" w:hAnsi="Times New Roman"/>
          <w:i/>
          <w:iCs/>
          <w:sz w:val="24"/>
          <w:szCs w:val="24"/>
        </w:rPr>
        <w:t>et al</w:t>
      </w:r>
      <w:r>
        <w:rPr>
          <w:rFonts w:ascii="Times New Roman" w:hAnsi="Times New Roman"/>
          <w:sz w:val="24"/>
          <w:szCs w:val="24"/>
        </w:rPr>
        <w:t xml:space="preserve">., 2024). Heterogeneous phytoconstituents of crude extracts have been reported to have synergistic effect (Mazunder and Gupta, 2005). The identification of a variety of phytochemicals in the ethanol extract of </w:t>
      </w:r>
      <w:r>
        <w:rPr>
          <w:rFonts w:ascii="Times New Roman" w:hAnsi="Times New Roman"/>
          <w:i/>
          <w:iCs/>
          <w:sz w:val="24"/>
          <w:szCs w:val="24"/>
        </w:rPr>
        <w:t>Pterocarpus santalinoides</w:t>
      </w:r>
      <w:r>
        <w:rPr>
          <w:rFonts w:ascii="Times New Roman" w:hAnsi="Times New Roman"/>
          <w:sz w:val="24"/>
          <w:szCs w:val="24"/>
        </w:rPr>
        <w:t xml:space="preserve"> leaf reveals the medicinal properties inherent in this plant. These phytochemicals, most especially flavonoids, have been reported to possess the ability to reduce free radical formation and scavenge free </w:t>
      </w:r>
      <w:r>
        <w:rPr>
          <w:rFonts w:ascii="Times New Roman" w:hAnsi="Times New Roman"/>
          <w:sz w:val="24"/>
          <w:szCs w:val="24"/>
        </w:rPr>
        <w:lastRenderedPageBreak/>
        <w:t xml:space="preserve">radicals in vivo (Okochi </w:t>
      </w:r>
      <w:r>
        <w:rPr>
          <w:rFonts w:ascii="Times New Roman" w:hAnsi="Times New Roman"/>
          <w:i/>
          <w:iCs/>
          <w:sz w:val="24"/>
          <w:szCs w:val="24"/>
        </w:rPr>
        <w:t>et al</w:t>
      </w:r>
      <w:r>
        <w:rPr>
          <w:rFonts w:ascii="Times New Roman" w:hAnsi="Times New Roman"/>
          <w:sz w:val="24"/>
          <w:szCs w:val="24"/>
        </w:rPr>
        <w:t xml:space="preserve">., 2025), and this is important in the management of diseases associated with inflammation, oxidative stress such as atherosclerosis and other cardiovascular diseases (Ferguson, 2001). </w:t>
      </w:r>
    </w:p>
    <w:p w14:paraId="1A19F1D8" w14:textId="6B6039E7" w:rsidR="005C75C3" w:rsidRDefault="00D42813">
      <w:pPr>
        <w:spacing w:line="360" w:lineRule="auto"/>
        <w:jc w:val="both"/>
        <w:rPr>
          <w:rFonts w:ascii="Times New Roman" w:hAnsi="Times New Roman"/>
          <w:sz w:val="24"/>
          <w:szCs w:val="24"/>
        </w:rPr>
      </w:pPr>
      <w:r>
        <w:rPr>
          <w:rFonts w:ascii="Times New Roman" w:hAnsi="Times New Roman"/>
          <w:sz w:val="24"/>
          <w:szCs w:val="24"/>
        </w:rPr>
        <w:t xml:space="preserve">Flavonoids are potent </w:t>
      </w:r>
      <w:r w:rsidR="008F0660">
        <w:rPr>
          <w:rFonts w:ascii="Times New Roman" w:hAnsi="Times New Roman"/>
          <w:sz w:val="24"/>
          <w:szCs w:val="24"/>
        </w:rPr>
        <w:t>water-soluble</w:t>
      </w:r>
      <w:r>
        <w:rPr>
          <w:rFonts w:ascii="Times New Roman" w:hAnsi="Times New Roman"/>
          <w:sz w:val="24"/>
          <w:szCs w:val="24"/>
        </w:rPr>
        <w:t xml:space="preserve"> antioxidants and free radical scavengers, which prevent oxidative cell damage and have strong anti-cancer activity (Okwu, 2004). Flavonoids exhibit a wide range of biological activities like anti-microbial, anti-inflammatory, anti-angiogenic, anti-diabetic, analgesic, anti-allergic, cytostatic, anti-cancer, anti-viral, and anti-oxidant properties (Owoyele</w:t>
      </w:r>
      <w:r>
        <w:rPr>
          <w:rFonts w:ascii="Times New Roman" w:hAnsi="Times New Roman"/>
          <w:i/>
          <w:iCs/>
          <w:sz w:val="24"/>
          <w:szCs w:val="24"/>
        </w:rPr>
        <w:t xml:space="preserve"> et al</w:t>
      </w:r>
      <w:r>
        <w:rPr>
          <w:rFonts w:ascii="Times New Roman" w:hAnsi="Times New Roman"/>
          <w:sz w:val="24"/>
          <w:szCs w:val="24"/>
        </w:rPr>
        <w:t xml:space="preserve">., 2008). Hesperidin is used in a treatment of type-2 diabetes, cancer and cardiovascular diseases, neurological and psychiatric disorders (Syahputra </w:t>
      </w:r>
      <w:r>
        <w:rPr>
          <w:rFonts w:ascii="Times New Roman" w:hAnsi="Times New Roman"/>
          <w:i/>
          <w:iCs/>
          <w:sz w:val="24"/>
          <w:szCs w:val="24"/>
        </w:rPr>
        <w:t>et al</w:t>
      </w:r>
      <w:r>
        <w:rPr>
          <w:rFonts w:ascii="Times New Roman" w:hAnsi="Times New Roman"/>
          <w:sz w:val="24"/>
          <w:szCs w:val="24"/>
        </w:rPr>
        <w:t xml:space="preserve">., 2022; Shamsudin </w:t>
      </w:r>
      <w:r>
        <w:rPr>
          <w:rFonts w:ascii="Times New Roman" w:hAnsi="Times New Roman"/>
          <w:i/>
          <w:iCs/>
          <w:sz w:val="24"/>
          <w:szCs w:val="24"/>
        </w:rPr>
        <w:t>et al</w:t>
      </w:r>
      <w:r>
        <w:rPr>
          <w:rFonts w:ascii="Times New Roman" w:hAnsi="Times New Roman"/>
          <w:sz w:val="24"/>
          <w:szCs w:val="24"/>
        </w:rPr>
        <w:t xml:space="preserve">., 2022). Flavone have a variety of beneficial biochemical and antioxidant properties linked to diseases such as cancer, alzheimer’s disease, atherosclerosis, and others (Lee </w:t>
      </w:r>
      <w:r>
        <w:rPr>
          <w:rFonts w:ascii="Times New Roman" w:hAnsi="Times New Roman"/>
          <w:i/>
          <w:iCs/>
          <w:sz w:val="24"/>
          <w:szCs w:val="24"/>
        </w:rPr>
        <w:t>et al</w:t>
      </w:r>
      <w:r>
        <w:rPr>
          <w:rFonts w:ascii="Times New Roman" w:hAnsi="Times New Roman"/>
          <w:sz w:val="24"/>
          <w:szCs w:val="24"/>
        </w:rPr>
        <w:t xml:space="preserve">., 2009). Myricetin is recognised mainly for its iron-chelating, anti-oxidant, anti-inflammatory and anti-cancer properties (Ong and Khoo, 1997). Artemetin, has excellent oral bioavailability and drug-likeness values (Lee </w:t>
      </w:r>
      <w:r>
        <w:rPr>
          <w:rFonts w:ascii="Times New Roman" w:hAnsi="Times New Roman"/>
          <w:i/>
          <w:iCs/>
          <w:sz w:val="24"/>
          <w:szCs w:val="24"/>
        </w:rPr>
        <w:t>et al</w:t>
      </w:r>
      <w:r>
        <w:rPr>
          <w:rFonts w:ascii="Times New Roman" w:hAnsi="Times New Roman"/>
          <w:sz w:val="24"/>
          <w:szCs w:val="24"/>
        </w:rPr>
        <w:t xml:space="preserve">., 2018), and it possesses numerous bioactivities, such as anti-malarial, anti-inflammatory, anti-oxidative, anti-mutagenic, and anti-carcinogenic capabilities (Panche </w:t>
      </w:r>
      <w:r>
        <w:rPr>
          <w:rFonts w:ascii="Times New Roman" w:hAnsi="Times New Roman"/>
          <w:i/>
          <w:iCs/>
          <w:sz w:val="24"/>
          <w:szCs w:val="24"/>
        </w:rPr>
        <w:t>et al</w:t>
      </w:r>
      <w:r>
        <w:rPr>
          <w:rFonts w:ascii="Times New Roman" w:hAnsi="Times New Roman"/>
          <w:sz w:val="24"/>
          <w:szCs w:val="24"/>
        </w:rPr>
        <w:t xml:space="preserve">., 2016; Sichaem </w:t>
      </w:r>
      <w:r>
        <w:rPr>
          <w:rFonts w:ascii="Times New Roman" w:hAnsi="Times New Roman"/>
          <w:i/>
          <w:iCs/>
          <w:sz w:val="24"/>
          <w:szCs w:val="24"/>
        </w:rPr>
        <w:t>et al</w:t>
      </w:r>
      <w:r>
        <w:rPr>
          <w:rFonts w:ascii="Times New Roman" w:hAnsi="Times New Roman"/>
          <w:sz w:val="24"/>
          <w:szCs w:val="24"/>
        </w:rPr>
        <w:t xml:space="preserve">., 2021). Animal and in vitro data also demonstrate nobiletin's potential ability to suppress bone loss, inhibit cancer, lower cholesterol, reduce atherosclerosis, and improve hyperglycemia and insulin resistance (Wu </w:t>
      </w:r>
      <w:r>
        <w:rPr>
          <w:rFonts w:ascii="Times New Roman" w:hAnsi="Times New Roman"/>
          <w:i/>
          <w:iCs/>
          <w:sz w:val="24"/>
          <w:szCs w:val="24"/>
        </w:rPr>
        <w:t>et al</w:t>
      </w:r>
      <w:r>
        <w:rPr>
          <w:rFonts w:ascii="Times New Roman" w:hAnsi="Times New Roman"/>
          <w:sz w:val="24"/>
          <w:szCs w:val="24"/>
        </w:rPr>
        <w:t xml:space="preserve">., 2017; Goh </w:t>
      </w:r>
      <w:r>
        <w:rPr>
          <w:rFonts w:ascii="Times New Roman" w:hAnsi="Times New Roman"/>
          <w:i/>
          <w:iCs/>
          <w:sz w:val="24"/>
          <w:szCs w:val="24"/>
        </w:rPr>
        <w:t>et al</w:t>
      </w:r>
      <w:r>
        <w:rPr>
          <w:rFonts w:ascii="Times New Roman" w:hAnsi="Times New Roman"/>
          <w:sz w:val="24"/>
          <w:szCs w:val="24"/>
        </w:rPr>
        <w:t xml:space="preserve">., 2019). Epicatechins have proven diverse benefits to human health, reducing the risks of diabetes mellitus and cardiovascular diseases. Their pharmacological effects are anti-hyperlipidaemic, anti-inflammatory, anti-oxidative, anti-carcinogenic, and cyto-protective (Nakayam </w:t>
      </w:r>
      <w:r>
        <w:rPr>
          <w:rFonts w:ascii="Times New Roman" w:hAnsi="Times New Roman"/>
          <w:i/>
          <w:iCs/>
          <w:sz w:val="24"/>
          <w:szCs w:val="24"/>
        </w:rPr>
        <w:t>et al</w:t>
      </w:r>
      <w:r>
        <w:rPr>
          <w:rFonts w:ascii="Times New Roman" w:hAnsi="Times New Roman"/>
          <w:sz w:val="24"/>
          <w:szCs w:val="24"/>
        </w:rPr>
        <w:t xml:space="preserve">., 1993; Brown and Arthur, 2001). Research on </w:t>
      </w:r>
      <w:r w:rsidR="00AC7582">
        <w:rPr>
          <w:rFonts w:ascii="Times New Roman" w:hAnsi="Times New Roman"/>
          <w:sz w:val="24"/>
          <w:szCs w:val="24"/>
        </w:rPr>
        <w:t xml:space="preserve">epigallocatechin </w:t>
      </w:r>
      <w:r>
        <w:rPr>
          <w:rFonts w:ascii="Times New Roman" w:hAnsi="Times New Roman"/>
          <w:sz w:val="24"/>
          <w:szCs w:val="24"/>
        </w:rPr>
        <w:t xml:space="preserve">revealed information about its cardiovascular and antihypertensive activity, which enables </w:t>
      </w:r>
      <w:r w:rsidR="00AC7582">
        <w:rPr>
          <w:rFonts w:ascii="Times New Roman" w:hAnsi="Times New Roman"/>
          <w:sz w:val="24"/>
          <w:szCs w:val="24"/>
        </w:rPr>
        <w:t>it</w:t>
      </w:r>
      <w:r>
        <w:rPr>
          <w:rFonts w:ascii="Times New Roman" w:hAnsi="Times New Roman"/>
          <w:sz w:val="24"/>
          <w:szCs w:val="24"/>
        </w:rPr>
        <w:t xml:space="preserve"> to prevent platelet aggregation, lower cholesterol and inhibit lipid peroxidation (Brown and Arthur, 2001; Imanishi </w:t>
      </w:r>
      <w:r>
        <w:rPr>
          <w:rFonts w:ascii="Times New Roman" w:hAnsi="Times New Roman"/>
          <w:i/>
          <w:iCs/>
          <w:sz w:val="24"/>
          <w:szCs w:val="24"/>
        </w:rPr>
        <w:t>et al</w:t>
      </w:r>
      <w:r>
        <w:rPr>
          <w:rFonts w:ascii="Times New Roman" w:hAnsi="Times New Roman"/>
          <w:sz w:val="24"/>
          <w:szCs w:val="24"/>
        </w:rPr>
        <w:t xml:space="preserve">., 2002). </w:t>
      </w:r>
      <w:proofErr w:type="spellStart"/>
      <w:r>
        <w:rPr>
          <w:rFonts w:ascii="Times New Roman" w:hAnsi="Times New Roman"/>
          <w:sz w:val="24"/>
          <w:szCs w:val="24"/>
        </w:rPr>
        <w:t>Butein</w:t>
      </w:r>
      <w:proofErr w:type="spellEnd"/>
      <w:r>
        <w:rPr>
          <w:rFonts w:ascii="Times New Roman" w:hAnsi="Times New Roman"/>
          <w:sz w:val="24"/>
          <w:szCs w:val="24"/>
        </w:rPr>
        <w:t xml:space="preserve"> exhibits anti-tumor activity against a variety of human tumor cells, including colon carcinoma, osteosarcoma, breast carcinoma, hepatocarcinoma, and lymphoma (Jayasooriya </w:t>
      </w:r>
      <w:r>
        <w:rPr>
          <w:rFonts w:ascii="Times New Roman" w:hAnsi="Times New Roman"/>
          <w:i/>
          <w:iCs/>
          <w:sz w:val="24"/>
          <w:szCs w:val="24"/>
        </w:rPr>
        <w:t>et al</w:t>
      </w:r>
      <w:r>
        <w:rPr>
          <w:rFonts w:ascii="Times New Roman" w:hAnsi="Times New Roman"/>
          <w:sz w:val="24"/>
          <w:szCs w:val="24"/>
        </w:rPr>
        <w:t xml:space="preserve">., 2018; Park </w:t>
      </w:r>
      <w:r>
        <w:rPr>
          <w:rFonts w:ascii="Times New Roman" w:hAnsi="Times New Roman"/>
          <w:i/>
          <w:iCs/>
          <w:sz w:val="24"/>
          <w:szCs w:val="24"/>
        </w:rPr>
        <w:t>et al</w:t>
      </w:r>
      <w:r>
        <w:rPr>
          <w:rFonts w:ascii="Times New Roman" w:hAnsi="Times New Roman"/>
          <w:sz w:val="24"/>
          <w:szCs w:val="24"/>
        </w:rPr>
        <w:t xml:space="preserve">., 2023). Previous studies based on in vivo and in vitro research reported that </w:t>
      </w:r>
      <w:r w:rsidR="00A617D2">
        <w:rPr>
          <w:rFonts w:ascii="Times New Roman" w:hAnsi="Times New Roman"/>
          <w:sz w:val="24"/>
          <w:szCs w:val="24"/>
        </w:rPr>
        <w:t xml:space="preserve">apigenin </w:t>
      </w:r>
      <w:r>
        <w:rPr>
          <w:rFonts w:ascii="Times New Roman" w:hAnsi="Times New Roman"/>
          <w:sz w:val="24"/>
          <w:szCs w:val="24"/>
        </w:rPr>
        <w:t xml:space="preserve">has the potential to suppress various types of cancers through the induction of apoptosis and cell-cycle arrest, suppressing cell migration and invasion, and inhibiting angiogenesis (Rahmani </w:t>
      </w:r>
      <w:r>
        <w:rPr>
          <w:rFonts w:ascii="Times New Roman" w:hAnsi="Times New Roman"/>
          <w:i/>
          <w:iCs/>
          <w:sz w:val="24"/>
          <w:szCs w:val="24"/>
        </w:rPr>
        <w:t>et al</w:t>
      </w:r>
      <w:r>
        <w:rPr>
          <w:rFonts w:ascii="Times New Roman" w:hAnsi="Times New Roman"/>
          <w:sz w:val="24"/>
          <w:szCs w:val="24"/>
        </w:rPr>
        <w:t xml:space="preserve">., 2022). Naringenin promotes carbohydrate metabolism, increases antioxidant defense, scavenges reactive oxygen species, modulates the activity of the immune system (Rashed, 2021). It also has the ability to cross the blood-brain barrier, and therefore exerts a variety of positive neuronal effects (Chung </w:t>
      </w:r>
      <w:r>
        <w:rPr>
          <w:rFonts w:ascii="Times New Roman" w:hAnsi="Times New Roman"/>
          <w:i/>
          <w:iCs/>
          <w:sz w:val="24"/>
          <w:szCs w:val="24"/>
        </w:rPr>
        <w:lastRenderedPageBreak/>
        <w:t>et al</w:t>
      </w:r>
      <w:r>
        <w:rPr>
          <w:rFonts w:ascii="Times New Roman" w:hAnsi="Times New Roman"/>
          <w:sz w:val="24"/>
          <w:szCs w:val="24"/>
        </w:rPr>
        <w:t xml:space="preserve">., 2019). These versatile properties of naringenin can be helpful in the prevention and combating of such disorders as obesity, hyperlipidemia, hypertension, atherosclerosis, diabetes, cancer and even alzheimer’s disease (Hartogh and Tsiani, 2019; Naeini </w:t>
      </w:r>
      <w:r>
        <w:rPr>
          <w:rFonts w:ascii="Times New Roman" w:hAnsi="Times New Roman"/>
          <w:i/>
          <w:iCs/>
          <w:sz w:val="24"/>
          <w:szCs w:val="24"/>
        </w:rPr>
        <w:t>et al</w:t>
      </w:r>
      <w:r>
        <w:rPr>
          <w:rFonts w:ascii="Times New Roman" w:hAnsi="Times New Roman"/>
          <w:sz w:val="24"/>
          <w:szCs w:val="24"/>
        </w:rPr>
        <w:t xml:space="preserve">., 2021; Rauf </w:t>
      </w:r>
      <w:r>
        <w:rPr>
          <w:rFonts w:ascii="Times New Roman" w:hAnsi="Times New Roman"/>
          <w:i/>
          <w:iCs/>
          <w:sz w:val="24"/>
          <w:szCs w:val="24"/>
        </w:rPr>
        <w:t>et al</w:t>
      </w:r>
      <w:r>
        <w:rPr>
          <w:rFonts w:ascii="Times New Roman" w:hAnsi="Times New Roman"/>
          <w:sz w:val="24"/>
          <w:szCs w:val="24"/>
        </w:rPr>
        <w:t xml:space="preserve">., 2022). The chemical structure of daidzein is similar to mammalian estrogens and it exerts a dual-directional function by replacing/interfering with estrogen and the estrogen-receptor (ER) complex. Therefore, daidzein exerts protective effects against some diseases which are linked to the regulation of estrogen such as breast cancer, osteoporosis, diabetes, cardiovascular diseases (Sun </w:t>
      </w:r>
      <w:r>
        <w:rPr>
          <w:rFonts w:ascii="Times New Roman" w:hAnsi="Times New Roman"/>
          <w:i/>
          <w:iCs/>
          <w:sz w:val="24"/>
          <w:szCs w:val="24"/>
        </w:rPr>
        <w:t>et al</w:t>
      </w:r>
      <w:r>
        <w:rPr>
          <w:rFonts w:ascii="Times New Roman" w:hAnsi="Times New Roman"/>
          <w:sz w:val="24"/>
          <w:szCs w:val="24"/>
        </w:rPr>
        <w:t>., 2016</w:t>
      </w:r>
      <w:r w:rsidR="00A617D2">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Tangeretin</w:t>
      </w:r>
      <w:proofErr w:type="spellEnd"/>
      <w:r>
        <w:rPr>
          <w:rFonts w:ascii="Times New Roman" w:hAnsi="Times New Roman"/>
          <w:sz w:val="24"/>
          <w:szCs w:val="24"/>
        </w:rPr>
        <w:t xml:space="preserve"> has been reported to reduce blood sugar (Sundaram </w:t>
      </w:r>
      <w:r>
        <w:rPr>
          <w:rFonts w:ascii="Times New Roman" w:hAnsi="Times New Roman"/>
          <w:i/>
          <w:iCs/>
          <w:sz w:val="24"/>
          <w:szCs w:val="24"/>
        </w:rPr>
        <w:t>et al</w:t>
      </w:r>
      <w:r>
        <w:rPr>
          <w:rFonts w:ascii="Times New Roman" w:hAnsi="Times New Roman"/>
          <w:sz w:val="24"/>
          <w:szCs w:val="24"/>
        </w:rPr>
        <w:t xml:space="preserve">., 2014), inhibit inflammation (Hagenlocher </w:t>
      </w:r>
      <w:r>
        <w:rPr>
          <w:rFonts w:ascii="Times New Roman" w:hAnsi="Times New Roman"/>
          <w:i/>
          <w:iCs/>
          <w:sz w:val="24"/>
          <w:szCs w:val="24"/>
        </w:rPr>
        <w:t>et al</w:t>
      </w:r>
      <w:r>
        <w:rPr>
          <w:rFonts w:ascii="Times New Roman" w:hAnsi="Times New Roman"/>
          <w:sz w:val="24"/>
          <w:szCs w:val="24"/>
        </w:rPr>
        <w:t xml:space="preserve">., 2017), and oxidation (Lee </w:t>
      </w:r>
      <w:r>
        <w:rPr>
          <w:rFonts w:ascii="Times New Roman" w:hAnsi="Times New Roman"/>
          <w:i/>
          <w:iCs/>
          <w:sz w:val="24"/>
          <w:szCs w:val="24"/>
        </w:rPr>
        <w:t>et al</w:t>
      </w:r>
      <w:r>
        <w:rPr>
          <w:rFonts w:ascii="Times New Roman" w:hAnsi="Times New Roman"/>
          <w:sz w:val="24"/>
          <w:szCs w:val="24"/>
        </w:rPr>
        <w:t xml:space="preserve">., 2016). In addition, it prevents hyperlipidemia (Lin </w:t>
      </w:r>
      <w:r>
        <w:rPr>
          <w:rFonts w:ascii="Times New Roman" w:hAnsi="Times New Roman"/>
          <w:i/>
          <w:iCs/>
          <w:sz w:val="24"/>
          <w:szCs w:val="24"/>
        </w:rPr>
        <w:t>et al</w:t>
      </w:r>
      <w:r>
        <w:rPr>
          <w:rFonts w:ascii="Times New Roman" w:hAnsi="Times New Roman"/>
          <w:sz w:val="24"/>
          <w:szCs w:val="24"/>
        </w:rPr>
        <w:t xml:space="preserve">., 2011), and heart diseases (Vaiyapuri </w:t>
      </w:r>
      <w:r>
        <w:rPr>
          <w:rFonts w:ascii="Times New Roman" w:hAnsi="Times New Roman"/>
          <w:i/>
          <w:iCs/>
          <w:sz w:val="24"/>
          <w:szCs w:val="24"/>
        </w:rPr>
        <w:t>et al</w:t>
      </w:r>
      <w:r>
        <w:rPr>
          <w:rFonts w:ascii="Times New Roman" w:hAnsi="Times New Roman"/>
          <w:sz w:val="24"/>
          <w:szCs w:val="24"/>
        </w:rPr>
        <w:t>., 2013). Studies have shown that isorhamnetin has a wide range of pharmacological effects on cardiovascular diseases (Zhao and Liu, 2008)</w:t>
      </w:r>
      <w:r w:rsidR="00550527">
        <w:rPr>
          <w:rFonts w:ascii="Times New Roman" w:hAnsi="Times New Roman"/>
          <w:sz w:val="24"/>
          <w:szCs w:val="24"/>
        </w:rPr>
        <w:t xml:space="preserve"> </w:t>
      </w:r>
      <w:r>
        <w:rPr>
          <w:rFonts w:ascii="Times New Roman" w:hAnsi="Times New Roman"/>
          <w:sz w:val="24"/>
          <w:szCs w:val="24"/>
        </w:rPr>
        <w:t xml:space="preserve">and possesses the potential of preventing neurodegenerative diseases (Ishola </w:t>
      </w:r>
      <w:r>
        <w:rPr>
          <w:rFonts w:ascii="Times New Roman" w:hAnsi="Times New Roman"/>
          <w:i/>
          <w:iCs/>
          <w:sz w:val="24"/>
          <w:szCs w:val="24"/>
        </w:rPr>
        <w:t>et al</w:t>
      </w:r>
      <w:r>
        <w:rPr>
          <w:rFonts w:ascii="Times New Roman" w:hAnsi="Times New Roman"/>
          <w:sz w:val="24"/>
          <w:szCs w:val="24"/>
        </w:rPr>
        <w:t>., 2019), such as Alzheimer’s disease. Retusin has been found to possess the highest antioxidant activity in a series of ten isoflavones. Its ability to deactivate radical species has been studied (Utkina and Kulesh, 2012).</w:t>
      </w:r>
    </w:p>
    <w:p w14:paraId="705FA709" w14:textId="77777777" w:rsidR="005C75C3" w:rsidRDefault="00D42813">
      <w:pPr>
        <w:spacing w:line="360" w:lineRule="auto"/>
        <w:jc w:val="both"/>
        <w:rPr>
          <w:rFonts w:ascii="Times New Roman" w:hAnsi="Times New Roman"/>
          <w:sz w:val="24"/>
          <w:szCs w:val="24"/>
        </w:rPr>
      </w:pPr>
      <w:r>
        <w:rPr>
          <w:rFonts w:ascii="Times New Roman" w:hAnsi="Times New Roman"/>
          <w:sz w:val="24"/>
          <w:szCs w:val="24"/>
        </w:rPr>
        <w:t>Phenolics are characterized by their anti-oxidant, anti-inflammatory, anti-carcinogenic, and other biological properties, hence they are protective against oxidative stress and some other disease conditions (Park</w:t>
      </w:r>
      <w:r>
        <w:rPr>
          <w:rFonts w:ascii="Times New Roman" w:hAnsi="Times New Roman"/>
          <w:i/>
          <w:iCs/>
          <w:sz w:val="24"/>
          <w:szCs w:val="24"/>
        </w:rPr>
        <w:t xml:space="preserve"> et al</w:t>
      </w:r>
      <w:r>
        <w:rPr>
          <w:rFonts w:ascii="Times New Roman" w:hAnsi="Times New Roman"/>
          <w:sz w:val="24"/>
          <w:szCs w:val="24"/>
        </w:rPr>
        <w:t xml:space="preserve">., 2001). Consumption of food rich in phenolics over time helps to prevent and treat diabetes, cancer, osteoporosis, cardiovascular disease, neuro-degenerative illnesses, and other conditions (Mutha </w:t>
      </w:r>
      <w:r>
        <w:rPr>
          <w:rFonts w:ascii="Times New Roman" w:hAnsi="Times New Roman"/>
          <w:i/>
          <w:iCs/>
          <w:sz w:val="24"/>
          <w:szCs w:val="24"/>
        </w:rPr>
        <w:t>et al</w:t>
      </w:r>
      <w:r>
        <w:rPr>
          <w:rFonts w:ascii="Times New Roman" w:hAnsi="Times New Roman"/>
          <w:sz w:val="24"/>
          <w:szCs w:val="24"/>
        </w:rPr>
        <w:t xml:space="preserve">., 2021). Numerous scientific studies indicate various pharmacological properties of vanillic acid: anti-inflammatory, anti-bacterial, cardio-protective, hepato-protective, anti-tumorigenic, free radical scavenging, anti-oxidant and even anti-venomous (it has been determined that vanillic acid selectively and specifically inhibits the anti-coagulant effect of some snake venom proteins activities (Girawale </w:t>
      </w:r>
      <w:r>
        <w:rPr>
          <w:rFonts w:ascii="Times New Roman" w:hAnsi="Times New Roman"/>
          <w:i/>
          <w:iCs/>
          <w:sz w:val="24"/>
          <w:szCs w:val="24"/>
        </w:rPr>
        <w:t>et al</w:t>
      </w:r>
      <w:r>
        <w:rPr>
          <w:rFonts w:ascii="Times New Roman" w:hAnsi="Times New Roman"/>
          <w:sz w:val="24"/>
          <w:szCs w:val="24"/>
        </w:rPr>
        <w:t xml:space="preserve">., 2022; Caetano </w:t>
      </w:r>
      <w:r>
        <w:rPr>
          <w:rFonts w:ascii="Times New Roman" w:hAnsi="Times New Roman"/>
          <w:i/>
          <w:iCs/>
          <w:sz w:val="24"/>
          <w:szCs w:val="24"/>
        </w:rPr>
        <w:t>et al</w:t>
      </w:r>
      <w:r>
        <w:rPr>
          <w:rFonts w:ascii="Times New Roman" w:hAnsi="Times New Roman"/>
          <w:sz w:val="24"/>
          <w:szCs w:val="24"/>
        </w:rPr>
        <w:t xml:space="preserve">., 2023). Ferulic acid presents potential therapeutic effects useful in treating cancer, diabetes, and lung cardiovascular diseases (Bao </w:t>
      </w:r>
      <w:r>
        <w:rPr>
          <w:rFonts w:ascii="Times New Roman" w:hAnsi="Times New Roman"/>
          <w:i/>
          <w:iCs/>
          <w:sz w:val="24"/>
          <w:szCs w:val="24"/>
        </w:rPr>
        <w:t>et al</w:t>
      </w:r>
      <w:r>
        <w:rPr>
          <w:rFonts w:ascii="Times New Roman" w:hAnsi="Times New Roman"/>
          <w:sz w:val="24"/>
          <w:szCs w:val="24"/>
        </w:rPr>
        <w:t xml:space="preserve">., 2023; Ishtiaq </w:t>
      </w:r>
      <w:r>
        <w:rPr>
          <w:rFonts w:ascii="Times New Roman" w:hAnsi="Times New Roman"/>
          <w:i/>
          <w:iCs/>
          <w:sz w:val="24"/>
          <w:szCs w:val="24"/>
        </w:rPr>
        <w:t>et al</w:t>
      </w:r>
      <w:r>
        <w:rPr>
          <w:rFonts w:ascii="Times New Roman" w:hAnsi="Times New Roman"/>
          <w:sz w:val="24"/>
          <w:szCs w:val="24"/>
        </w:rPr>
        <w:t xml:space="preserve">., 2023). Resveratrol, in recent decades, has attracted significant attention from medical chemists, diet nutritionists, and health professionals because of its many beneficial effects, including anti-angiogenic, immuno-modulatory, anti-microbial, neurological, anti-cancer, anti-diabetic, and cardiovascular diseases (CVD) prevention (Abuamero </w:t>
      </w:r>
      <w:r>
        <w:rPr>
          <w:rFonts w:ascii="Times New Roman" w:hAnsi="Times New Roman"/>
          <w:i/>
          <w:iCs/>
          <w:sz w:val="24"/>
          <w:szCs w:val="24"/>
        </w:rPr>
        <w:t>et al</w:t>
      </w:r>
      <w:r>
        <w:rPr>
          <w:rFonts w:ascii="Times New Roman" w:hAnsi="Times New Roman"/>
          <w:sz w:val="24"/>
          <w:szCs w:val="24"/>
        </w:rPr>
        <w:t xml:space="preserve">., 2016; Oliveira </w:t>
      </w:r>
      <w:r>
        <w:rPr>
          <w:rFonts w:ascii="Times New Roman" w:hAnsi="Times New Roman"/>
          <w:i/>
          <w:iCs/>
          <w:sz w:val="24"/>
          <w:szCs w:val="24"/>
        </w:rPr>
        <w:t>et al</w:t>
      </w:r>
      <w:r>
        <w:rPr>
          <w:rFonts w:ascii="Times New Roman" w:hAnsi="Times New Roman"/>
          <w:sz w:val="24"/>
          <w:szCs w:val="24"/>
        </w:rPr>
        <w:t xml:space="preserve">., 2017). Numerous studies have shown that Ellagic acid may be involved in regulating a spectrum of cellular signaling pathways to prevent, mitigate, or slow down the progression of chronic </w:t>
      </w:r>
      <w:r>
        <w:rPr>
          <w:rFonts w:ascii="Times New Roman" w:hAnsi="Times New Roman"/>
          <w:sz w:val="24"/>
          <w:szCs w:val="24"/>
        </w:rPr>
        <w:lastRenderedPageBreak/>
        <w:t xml:space="preserve">disorders, including cancer, diabetes, and cardiovascular diseases (Lin </w:t>
      </w:r>
      <w:r>
        <w:rPr>
          <w:rFonts w:ascii="Times New Roman" w:hAnsi="Times New Roman"/>
          <w:i/>
          <w:iCs/>
          <w:sz w:val="24"/>
          <w:szCs w:val="24"/>
        </w:rPr>
        <w:t>et al</w:t>
      </w:r>
      <w:r>
        <w:rPr>
          <w:rFonts w:ascii="Times New Roman" w:hAnsi="Times New Roman"/>
          <w:sz w:val="24"/>
          <w:szCs w:val="24"/>
        </w:rPr>
        <w:t>., 2019; Amor</w:t>
      </w:r>
      <w:r>
        <w:rPr>
          <w:rFonts w:ascii="Times New Roman" w:hAnsi="Times New Roman"/>
          <w:i/>
          <w:iCs/>
          <w:sz w:val="24"/>
          <w:szCs w:val="24"/>
        </w:rPr>
        <w:t xml:space="preserve"> et al</w:t>
      </w:r>
      <w:r>
        <w:rPr>
          <w:rFonts w:ascii="Times New Roman" w:hAnsi="Times New Roman"/>
          <w:sz w:val="24"/>
          <w:szCs w:val="24"/>
        </w:rPr>
        <w:t xml:space="preserve">., 2020). </w:t>
      </w:r>
    </w:p>
    <w:p w14:paraId="2097ED9F" w14:textId="3C8A867E" w:rsidR="005C75C3" w:rsidRDefault="00D42813">
      <w:pPr>
        <w:spacing w:line="360" w:lineRule="auto"/>
        <w:jc w:val="both"/>
        <w:rPr>
          <w:rFonts w:ascii="Times New Roman" w:hAnsi="Times New Roman"/>
          <w:sz w:val="24"/>
          <w:szCs w:val="24"/>
        </w:rPr>
      </w:pPr>
      <w:r>
        <w:rPr>
          <w:rFonts w:ascii="Times New Roman" w:hAnsi="Times New Roman"/>
          <w:sz w:val="24"/>
          <w:szCs w:val="24"/>
        </w:rPr>
        <w:t>The pharmacological effects of some alkaloids includes, anti-malarial, anti-asthma, anti-cancer, anti-arrhythmic, cholinomimetic,</w:t>
      </w:r>
      <w:r w:rsidR="00FB25C1">
        <w:rPr>
          <w:rFonts w:ascii="Times New Roman" w:hAnsi="Times New Roman"/>
          <w:sz w:val="24"/>
          <w:szCs w:val="24"/>
        </w:rPr>
        <w:t xml:space="preserve"> </w:t>
      </w:r>
      <w:r>
        <w:rPr>
          <w:rFonts w:ascii="Times New Roman" w:hAnsi="Times New Roman"/>
          <w:sz w:val="24"/>
          <w:szCs w:val="24"/>
        </w:rPr>
        <w:t>vasodilatory,</w:t>
      </w:r>
      <w:r w:rsidR="00FB25C1">
        <w:rPr>
          <w:rFonts w:ascii="Times New Roman" w:hAnsi="Times New Roman"/>
          <w:sz w:val="24"/>
          <w:szCs w:val="24"/>
        </w:rPr>
        <w:t xml:space="preserve"> </w:t>
      </w:r>
      <w:r>
        <w:rPr>
          <w:rFonts w:ascii="Times New Roman" w:hAnsi="Times New Roman"/>
          <w:sz w:val="24"/>
          <w:szCs w:val="24"/>
        </w:rPr>
        <w:t>anti-bacterial and anti-diabetic</w:t>
      </w:r>
      <w:r w:rsidR="00FB25C1">
        <w:rPr>
          <w:rFonts w:ascii="Times New Roman" w:hAnsi="Times New Roman"/>
          <w:sz w:val="24"/>
          <w:szCs w:val="24"/>
        </w:rPr>
        <w:t xml:space="preserve"> </w:t>
      </w:r>
      <w:r>
        <w:rPr>
          <w:rFonts w:ascii="Times New Roman" w:hAnsi="Times New Roman"/>
          <w:sz w:val="24"/>
          <w:szCs w:val="24"/>
        </w:rPr>
        <w:t xml:space="preserve">activities (Wooley, 2001), many alkaloids have been used in traditional and modern medicine, and also serve as starting point for drug delivery. Lunamarin has been reported to have free radical scavenging activity (Ugoeze </w:t>
      </w:r>
      <w:r>
        <w:rPr>
          <w:rFonts w:ascii="Times New Roman" w:hAnsi="Times New Roman"/>
          <w:i/>
          <w:iCs/>
          <w:sz w:val="24"/>
          <w:szCs w:val="24"/>
        </w:rPr>
        <w:t>et al</w:t>
      </w:r>
      <w:r>
        <w:rPr>
          <w:rFonts w:ascii="Times New Roman" w:hAnsi="Times New Roman"/>
          <w:sz w:val="24"/>
          <w:szCs w:val="24"/>
        </w:rPr>
        <w:t>., 2020). In addition, lunamarin has shown some in vitro anticancer (Manu and Kattan, 2009), antiestrogenic (Sreeja and Sreeja, 2009), and immunomodulatory activities (Manu and Kuttan, 2009).</w:t>
      </w:r>
    </w:p>
    <w:p w14:paraId="7F83AF38" w14:textId="047F1B09" w:rsidR="005C75C3" w:rsidRDefault="00D42813">
      <w:pPr>
        <w:spacing w:before="100" w:beforeAutospacing="1" w:after="100" w:afterAutospacing="1" w:line="360" w:lineRule="auto"/>
        <w:jc w:val="both"/>
        <w:rPr>
          <w:rFonts w:ascii="Times New Roman" w:eastAsia="Aptos" w:hAnsi="Times New Roman"/>
          <w:kern w:val="2"/>
          <w:sz w:val="24"/>
          <w:szCs w:val="24"/>
          <w:lang w:val="en-GB" w:eastAsia="en-US"/>
        </w:rPr>
      </w:pPr>
      <w:r>
        <w:rPr>
          <w:rFonts w:ascii="Times New Roman" w:eastAsia="Aptos" w:hAnsi="Times New Roman"/>
          <w:kern w:val="2"/>
          <w:sz w:val="24"/>
          <w:szCs w:val="24"/>
          <w:lang w:val="en-GB" w:eastAsia="en-US"/>
        </w:rPr>
        <w:t>The result of the acute toxicity (LD</w:t>
      </w:r>
      <w:r>
        <w:rPr>
          <w:rFonts w:ascii="Times New Roman" w:eastAsia="Aptos" w:hAnsi="Times New Roman"/>
          <w:kern w:val="2"/>
          <w:sz w:val="24"/>
          <w:szCs w:val="24"/>
          <w:vertAlign w:val="subscript"/>
          <w:lang w:val="en-GB" w:eastAsia="en-US"/>
        </w:rPr>
        <w:t>50</w:t>
      </w:r>
      <w:r>
        <w:rPr>
          <w:rFonts w:ascii="Times New Roman" w:eastAsia="Aptos" w:hAnsi="Times New Roman"/>
          <w:kern w:val="2"/>
          <w:sz w:val="24"/>
          <w:szCs w:val="24"/>
          <w:lang w:val="en-GB" w:eastAsia="en-US"/>
        </w:rPr>
        <w:t xml:space="preserve">) study as recorded in table 2 revealed that the single low dose from the critical 24hours post administration of ethanol extract of </w:t>
      </w:r>
      <w:r>
        <w:rPr>
          <w:rFonts w:ascii="Times New Roman" w:eastAsia="Aptos" w:hAnsi="Times New Roman"/>
          <w:i/>
          <w:iCs/>
          <w:kern w:val="2"/>
          <w:sz w:val="24"/>
          <w:szCs w:val="24"/>
          <w:lang w:val="en-GB" w:eastAsia="en-US"/>
        </w:rPr>
        <w:t>Pterocarpus santalinoides</w:t>
      </w:r>
      <w:r>
        <w:rPr>
          <w:rFonts w:ascii="Times New Roman" w:eastAsia="Aptos" w:hAnsi="Times New Roman"/>
          <w:kern w:val="2"/>
          <w:sz w:val="24"/>
          <w:szCs w:val="24"/>
          <w:lang w:val="en-GB" w:eastAsia="en-US"/>
        </w:rPr>
        <w:t xml:space="preserve"> showed no sign or symptom of toxicity. However, single administration of the extract at higher doses of 2900 and 5000mg/kg bodyweight revealed that the extract might be slightly toxic as the animal was observed to be slightly weak and very weak respectively. Prolonged administration of the </w:t>
      </w:r>
      <w:r>
        <w:rPr>
          <w:rFonts w:ascii="Times New Roman" w:eastAsia="Aptos" w:hAnsi="Times New Roman"/>
          <w:i/>
          <w:iCs/>
          <w:kern w:val="2"/>
          <w:sz w:val="24"/>
          <w:szCs w:val="24"/>
          <w:lang w:val="en-GB" w:eastAsia="en-US"/>
        </w:rPr>
        <w:t>P. santalinoides</w:t>
      </w:r>
      <w:r>
        <w:rPr>
          <w:rFonts w:ascii="Times New Roman" w:eastAsia="Aptos" w:hAnsi="Times New Roman"/>
          <w:kern w:val="2"/>
          <w:sz w:val="24"/>
          <w:szCs w:val="24"/>
          <w:lang w:val="en-GB" w:eastAsia="en-US"/>
        </w:rPr>
        <w:t xml:space="preserve"> extract at higher doses (400 and 500mg/kg) was observed to toxic, as the animals showed weakness and decrease in physical activities. The rate of feed and water consumption by the rats in the groups treated with higher doses of the extract also decreased relatively to the control and tests groups treated with lower doses of the extract. The reason for this could be attributed to the changes in metabolic activities of the treated animals elicited by constituents of the extract. Bioaccumulation of the extract due to prolonged use, resulted in deaths of the animals. The result of this study is in tandem with the report by Agbafor </w:t>
      </w:r>
      <w:r>
        <w:rPr>
          <w:rFonts w:ascii="Times New Roman" w:eastAsia="Aptos" w:hAnsi="Times New Roman"/>
          <w:i/>
          <w:iCs/>
          <w:kern w:val="2"/>
          <w:sz w:val="24"/>
          <w:szCs w:val="24"/>
          <w:lang w:val="en-GB" w:eastAsia="en-US"/>
        </w:rPr>
        <w:t>et al</w:t>
      </w:r>
      <w:r>
        <w:rPr>
          <w:rFonts w:ascii="Times New Roman" w:eastAsia="Aptos" w:hAnsi="Times New Roman"/>
          <w:kern w:val="2"/>
          <w:sz w:val="24"/>
          <w:szCs w:val="24"/>
          <w:lang w:val="en-GB" w:eastAsia="en-US"/>
        </w:rPr>
        <w:t xml:space="preserve">. (2017) reporting that administration of aqueous extract of </w:t>
      </w:r>
      <w:r>
        <w:rPr>
          <w:rFonts w:ascii="Times New Roman" w:eastAsia="Aptos" w:hAnsi="Times New Roman"/>
          <w:i/>
          <w:iCs/>
          <w:kern w:val="2"/>
          <w:sz w:val="24"/>
          <w:szCs w:val="24"/>
          <w:lang w:val="en-GB" w:eastAsia="en-US"/>
        </w:rPr>
        <w:t>P. santalinoides</w:t>
      </w:r>
      <w:r>
        <w:rPr>
          <w:rFonts w:ascii="Times New Roman" w:eastAsia="Aptos" w:hAnsi="Times New Roman"/>
          <w:kern w:val="2"/>
          <w:sz w:val="24"/>
          <w:szCs w:val="24"/>
          <w:lang w:val="en-GB" w:eastAsia="en-US"/>
        </w:rPr>
        <w:t xml:space="preserve"> fresh leaves to albino rats produced a decrease in physical activities relative to the untreated group (control). The result of this study is also consistent with the reports by Ezeani </w:t>
      </w:r>
      <w:r>
        <w:rPr>
          <w:rFonts w:ascii="Times New Roman" w:eastAsia="Aptos" w:hAnsi="Times New Roman"/>
          <w:i/>
          <w:iCs/>
          <w:kern w:val="2"/>
          <w:sz w:val="24"/>
          <w:szCs w:val="24"/>
          <w:lang w:val="en-GB" w:eastAsia="en-US"/>
        </w:rPr>
        <w:t>et al</w:t>
      </w:r>
      <w:r>
        <w:rPr>
          <w:rFonts w:ascii="Times New Roman" w:eastAsia="Aptos" w:hAnsi="Times New Roman"/>
          <w:kern w:val="2"/>
          <w:sz w:val="24"/>
          <w:szCs w:val="24"/>
          <w:lang w:val="en-GB" w:eastAsia="en-US"/>
        </w:rPr>
        <w:t xml:space="preserve">. (2017) and Ihedioha </w:t>
      </w:r>
      <w:r>
        <w:rPr>
          <w:rFonts w:ascii="Times New Roman" w:eastAsia="Aptos" w:hAnsi="Times New Roman"/>
          <w:i/>
          <w:iCs/>
          <w:kern w:val="2"/>
          <w:sz w:val="24"/>
          <w:szCs w:val="24"/>
          <w:lang w:val="en-GB" w:eastAsia="en-US"/>
        </w:rPr>
        <w:t>et al</w:t>
      </w:r>
      <w:r>
        <w:rPr>
          <w:rFonts w:ascii="Times New Roman" w:eastAsia="Aptos" w:hAnsi="Times New Roman"/>
          <w:kern w:val="2"/>
          <w:sz w:val="24"/>
          <w:szCs w:val="24"/>
          <w:lang w:val="en-GB" w:eastAsia="en-US"/>
        </w:rPr>
        <w:t xml:space="preserve">. (2017) that repeated doses and prolonged use of </w:t>
      </w:r>
      <w:r>
        <w:rPr>
          <w:rFonts w:ascii="Times New Roman" w:eastAsia="Aptos" w:hAnsi="Times New Roman"/>
          <w:i/>
          <w:iCs/>
          <w:kern w:val="2"/>
          <w:sz w:val="24"/>
          <w:szCs w:val="24"/>
          <w:lang w:val="en-GB" w:eastAsia="en-US"/>
        </w:rPr>
        <w:t>P. santalinoides</w:t>
      </w:r>
      <w:r>
        <w:rPr>
          <w:rFonts w:ascii="Times New Roman" w:eastAsia="Aptos" w:hAnsi="Times New Roman"/>
          <w:kern w:val="2"/>
          <w:sz w:val="24"/>
          <w:szCs w:val="24"/>
          <w:lang w:val="en-GB" w:eastAsia="en-US"/>
        </w:rPr>
        <w:t xml:space="preserve"> leaf extract is toxic as the animals showed weakness and decrease in physical activities.</w:t>
      </w:r>
    </w:p>
    <w:p w14:paraId="1B3CED22" w14:textId="5D48533B" w:rsidR="00AA6F63" w:rsidRDefault="00AA6F63">
      <w:pPr>
        <w:spacing w:before="100" w:beforeAutospacing="1" w:after="100" w:afterAutospacing="1" w:line="360" w:lineRule="auto"/>
        <w:jc w:val="both"/>
        <w:rPr>
          <w:rFonts w:ascii="Times New Roman" w:hAnsi="Times New Roman"/>
          <w:sz w:val="24"/>
          <w:szCs w:val="24"/>
        </w:rPr>
      </w:pPr>
      <w:r>
        <w:rPr>
          <w:rFonts w:ascii="Times New Roman" w:eastAsia="Times New Roman" w:hAnsi="Times New Roman"/>
          <w:sz w:val="24"/>
          <w:szCs w:val="24"/>
          <w:lang w:eastAsia="en-US"/>
        </w:rPr>
        <w:t xml:space="preserve">The bodyweight of the rats increased significantly (p&lt;0.05) at weekly interval in all the groups (table 3). The body weight gain recorded in all the PSMLE-treated groups as well as the control groups is attributable to normal growth of the rats with age. However, the increase was observed more in the untreated group compared to the normal control and </w:t>
      </w:r>
      <w:r w:rsidR="00684138">
        <w:rPr>
          <w:rFonts w:ascii="Times New Roman" w:eastAsia="Times New Roman" w:hAnsi="Times New Roman"/>
          <w:sz w:val="24"/>
          <w:szCs w:val="24"/>
          <w:lang w:eastAsia="en-US"/>
        </w:rPr>
        <w:t>tests</w:t>
      </w:r>
      <w:r>
        <w:rPr>
          <w:rFonts w:ascii="Times New Roman" w:eastAsia="Times New Roman" w:hAnsi="Times New Roman"/>
          <w:sz w:val="24"/>
          <w:szCs w:val="24"/>
          <w:lang w:eastAsia="en-US"/>
        </w:rPr>
        <w:t xml:space="preserve"> groups. This increase in body weight was observed to be as result of the high cholesterol and saturated fats </w:t>
      </w:r>
      <w:r>
        <w:rPr>
          <w:rFonts w:ascii="Times New Roman" w:eastAsia="Times New Roman" w:hAnsi="Times New Roman"/>
          <w:sz w:val="24"/>
          <w:szCs w:val="24"/>
          <w:lang w:eastAsia="en-US"/>
        </w:rPr>
        <w:lastRenderedPageBreak/>
        <w:t xml:space="preserve">diet. Obesity is predisposed to hyperlipidemia as is evidenced in the higher weight gain observed in the hyperlipidemic untreated group. </w:t>
      </w:r>
      <w:proofErr w:type="spellStart"/>
      <w:r>
        <w:rPr>
          <w:rFonts w:ascii="Times New Roman" w:eastAsia="Times New Roman" w:hAnsi="Times New Roman"/>
          <w:sz w:val="24"/>
          <w:szCs w:val="24"/>
          <w:lang w:eastAsia="en-US"/>
        </w:rPr>
        <w:t>Madubuike</w:t>
      </w:r>
      <w:proofErr w:type="spellEnd"/>
      <w:r>
        <w:rPr>
          <w:rFonts w:ascii="Times New Roman" w:eastAsia="Times New Roman" w:hAnsi="Times New Roman"/>
          <w:sz w:val="24"/>
          <w:szCs w:val="24"/>
          <w:lang w:eastAsia="en-US"/>
        </w:rPr>
        <w:t xml:space="preserve"> </w:t>
      </w:r>
      <w:r>
        <w:rPr>
          <w:rFonts w:ascii="Times New Roman" w:eastAsia="Times New Roman" w:hAnsi="Times New Roman"/>
          <w:i/>
          <w:iCs/>
          <w:sz w:val="24"/>
          <w:szCs w:val="24"/>
          <w:lang w:eastAsia="en-US"/>
        </w:rPr>
        <w:t>et al.</w:t>
      </w:r>
      <w:r>
        <w:rPr>
          <w:rFonts w:ascii="Times New Roman" w:eastAsia="Times New Roman" w:hAnsi="Times New Roman"/>
          <w:sz w:val="24"/>
          <w:szCs w:val="24"/>
          <w:lang w:eastAsia="en-US"/>
        </w:rPr>
        <w:t xml:space="preserve"> (2020) recorded </w:t>
      </w:r>
      <w:r>
        <w:rPr>
          <w:rFonts w:ascii="Times New Roman" w:hAnsi="Times New Roman"/>
          <w:sz w:val="24"/>
          <w:szCs w:val="24"/>
        </w:rPr>
        <w:t xml:space="preserve">continuous increases in body weight of rats treated with methanol extract of </w:t>
      </w:r>
      <w:r>
        <w:rPr>
          <w:rFonts w:ascii="Times New Roman" w:hAnsi="Times New Roman"/>
          <w:i/>
          <w:iCs/>
          <w:sz w:val="24"/>
          <w:szCs w:val="24"/>
        </w:rPr>
        <w:t xml:space="preserve">P. </w:t>
      </w:r>
      <w:proofErr w:type="spellStart"/>
      <w:r>
        <w:rPr>
          <w:rFonts w:ascii="Times New Roman" w:hAnsi="Times New Roman"/>
          <w:i/>
          <w:iCs/>
          <w:sz w:val="24"/>
          <w:szCs w:val="24"/>
        </w:rPr>
        <w:t>santalinoides</w:t>
      </w:r>
      <w:proofErr w:type="spellEnd"/>
      <w:r>
        <w:rPr>
          <w:rFonts w:ascii="Times New Roman" w:hAnsi="Times New Roman"/>
          <w:sz w:val="24"/>
          <w:szCs w:val="24"/>
        </w:rPr>
        <w:t xml:space="preserve">, there was however, no significant (p&gt;0.05) difference observed between the untreated control and the MEPS-treated groups throughout the duration of the study. </w:t>
      </w:r>
      <w:proofErr w:type="spellStart"/>
      <w:r>
        <w:rPr>
          <w:rFonts w:ascii="Times New Roman" w:hAnsi="Times New Roman"/>
          <w:sz w:val="24"/>
          <w:szCs w:val="24"/>
        </w:rPr>
        <w:t>Ihedioha</w:t>
      </w:r>
      <w:proofErr w:type="spellEnd"/>
      <w:r>
        <w:rPr>
          <w:rFonts w:ascii="Times New Roman" w:hAnsi="Times New Roman"/>
          <w:sz w:val="24"/>
          <w:szCs w:val="24"/>
        </w:rPr>
        <w:t xml:space="preserve"> </w:t>
      </w:r>
      <w:r>
        <w:rPr>
          <w:rFonts w:ascii="Times New Roman" w:hAnsi="Times New Roman"/>
          <w:i/>
          <w:iCs/>
          <w:sz w:val="24"/>
          <w:szCs w:val="24"/>
        </w:rPr>
        <w:t xml:space="preserve">et al. </w:t>
      </w:r>
      <w:r>
        <w:rPr>
          <w:rFonts w:ascii="Times New Roman" w:hAnsi="Times New Roman"/>
          <w:iCs/>
          <w:sz w:val="24"/>
          <w:szCs w:val="24"/>
        </w:rPr>
        <w:t>(</w:t>
      </w:r>
      <w:r>
        <w:rPr>
          <w:rFonts w:ascii="Times New Roman" w:hAnsi="Times New Roman"/>
          <w:sz w:val="24"/>
          <w:szCs w:val="24"/>
        </w:rPr>
        <w:t>2021) reported that the significantly higher body weights recorded for PSMLE-treated rats suggests that treatment with</w:t>
      </w:r>
      <w:r>
        <w:rPr>
          <w:rFonts w:ascii="Times New Roman" w:hAnsi="Times New Roman"/>
          <w:i/>
          <w:iCs/>
          <w:sz w:val="24"/>
          <w:szCs w:val="24"/>
        </w:rPr>
        <w:t xml:space="preserve"> P. </w:t>
      </w:r>
      <w:proofErr w:type="spellStart"/>
      <w:r>
        <w:rPr>
          <w:rFonts w:ascii="Times New Roman" w:hAnsi="Times New Roman"/>
          <w:i/>
          <w:iCs/>
          <w:sz w:val="24"/>
          <w:szCs w:val="24"/>
        </w:rPr>
        <w:t>santalinoides</w:t>
      </w:r>
      <w:proofErr w:type="spellEnd"/>
      <w:r>
        <w:rPr>
          <w:rFonts w:ascii="Times New Roman" w:hAnsi="Times New Roman"/>
          <w:sz w:val="24"/>
          <w:szCs w:val="24"/>
        </w:rPr>
        <w:t xml:space="preserve"> led to higher weight gain. It is hypothesized that this higher body weight/weight gain may be the result of the reported presence in extracts of</w:t>
      </w:r>
      <w:r>
        <w:rPr>
          <w:rFonts w:ascii="Times New Roman" w:hAnsi="Times New Roman"/>
          <w:i/>
          <w:iCs/>
          <w:sz w:val="24"/>
          <w:szCs w:val="24"/>
        </w:rPr>
        <w:t xml:space="preserve"> P. </w:t>
      </w:r>
      <w:proofErr w:type="spellStart"/>
      <w:r>
        <w:rPr>
          <w:rFonts w:ascii="Times New Roman" w:hAnsi="Times New Roman"/>
          <w:i/>
          <w:iCs/>
          <w:sz w:val="24"/>
          <w:szCs w:val="24"/>
        </w:rPr>
        <w:t>santalinoides</w:t>
      </w:r>
      <w:proofErr w:type="spellEnd"/>
      <w:r>
        <w:rPr>
          <w:rFonts w:ascii="Times New Roman" w:hAnsi="Times New Roman"/>
          <w:i/>
          <w:iCs/>
          <w:sz w:val="24"/>
          <w:szCs w:val="24"/>
        </w:rPr>
        <w:t xml:space="preserve"> </w:t>
      </w:r>
      <w:r>
        <w:rPr>
          <w:rFonts w:ascii="Times New Roman" w:hAnsi="Times New Roman"/>
          <w:sz w:val="24"/>
          <w:szCs w:val="24"/>
        </w:rPr>
        <w:t>of beneficial micronutrients and phytochemicals (</w:t>
      </w:r>
      <w:proofErr w:type="spellStart"/>
      <w:r>
        <w:rPr>
          <w:rFonts w:ascii="Times New Roman" w:hAnsi="Times New Roman"/>
          <w:sz w:val="24"/>
          <w:szCs w:val="24"/>
        </w:rPr>
        <w:t>Anow</w:t>
      </w:r>
      <w:r>
        <w:rPr>
          <w:rFonts w:ascii="Times New Roman" w:hAnsi="Times New Roman"/>
          <w:i/>
          <w:iCs/>
          <w:sz w:val="24"/>
          <w:szCs w:val="24"/>
        </w:rPr>
        <w:t>i</w:t>
      </w:r>
      <w:proofErr w:type="spellEnd"/>
      <w:r>
        <w:rPr>
          <w:rFonts w:ascii="Times New Roman" w:hAnsi="Times New Roman"/>
          <w:i/>
          <w:iCs/>
          <w:sz w:val="24"/>
          <w:szCs w:val="24"/>
        </w:rPr>
        <w:t xml:space="preserve"> et al</w:t>
      </w:r>
      <w:r>
        <w:rPr>
          <w:rFonts w:ascii="Times New Roman" w:hAnsi="Times New Roman"/>
          <w:sz w:val="24"/>
          <w:szCs w:val="24"/>
        </w:rPr>
        <w:t>., 2012; Odeh and Tor-</w:t>
      </w:r>
      <w:proofErr w:type="spellStart"/>
      <w:r>
        <w:rPr>
          <w:rFonts w:ascii="Times New Roman" w:hAnsi="Times New Roman"/>
          <w:sz w:val="24"/>
          <w:szCs w:val="24"/>
        </w:rPr>
        <w:t>Anyim</w:t>
      </w:r>
      <w:proofErr w:type="spellEnd"/>
      <w:r>
        <w:rPr>
          <w:rFonts w:ascii="Times New Roman" w:hAnsi="Times New Roman"/>
          <w:sz w:val="24"/>
          <w:szCs w:val="24"/>
        </w:rPr>
        <w:t xml:space="preserve">, 2014; </w:t>
      </w:r>
      <w:proofErr w:type="spellStart"/>
      <w:r>
        <w:rPr>
          <w:rFonts w:ascii="Times New Roman" w:hAnsi="Times New Roman"/>
          <w:sz w:val="24"/>
          <w:szCs w:val="24"/>
        </w:rPr>
        <w:t>Ihedioha</w:t>
      </w:r>
      <w:proofErr w:type="spellEnd"/>
      <w:r>
        <w:rPr>
          <w:rFonts w:ascii="Times New Roman" w:hAnsi="Times New Roman"/>
          <w:i/>
          <w:iCs/>
          <w:sz w:val="24"/>
          <w:szCs w:val="24"/>
        </w:rPr>
        <w:t xml:space="preserve"> et al</w:t>
      </w:r>
      <w:r>
        <w:rPr>
          <w:rFonts w:ascii="Times New Roman" w:hAnsi="Times New Roman"/>
          <w:sz w:val="24"/>
          <w:szCs w:val="24"/>
        </w:rPr>
        <w:t>., 2019), which may have enhanced growth and weight gain.</w:t>
      </w:r>
    </w:p>
    <w:p w14:paraId="79E5FBF7" w14:textId="1D0D9554" w:rsidR="005C75C3" w:rsidRDefault="00D42813">
      <w:pPr>
        <w:spacing w:before="100" w:beforeAutospacing="1" w:after="100" w:afterAutospacing="1" w:line="360" w:lineRule="auto"/>
        <w:jc w:val="both"/>
        <w:rPr>
          <w:rFonts w:ascii="Times New Roman" w:hAnsi="Times New Roman"/>
          <w:sz w:val="24"/>
          <w:szCs w:val="24"/>
        </w:rPr>
      </w:pPr>
      <w:r>
        <w:rPr>
          <w:rFonts w:ascii="Times New Roman" w:hAnsi="Times New Roman"/>
          <w:sz w:val="24"/>
          <w:szCs w:val="24"/>
        </w:rPr>
        <w:t>The significant increase (p&lt;0.05) in serum total cholesterol and LDL-cholesterol concentration of the negative control group in comparison to the normal control and other test groups that was placed on high cholesterol and saturated fats diet are indications of alterations in serum lipid profile</w:t>
      </w:r>
      <w:r w:rsidR="00D40724">
        <w:rPr>
          <w:rFonts w:ascii="Times New Roman" w:hAnsi="Times New Roman"/>
          <w:sz w:val="24"/>
          <w:szCs w:val="24"/>
        </w:rPr>
        <w:t xml:space="preserve"> (table 4)</w:t>
      </w:r>
      <w:r>
        <w:rPr>
          <w:rFonts w:ascii="Times New Roman" w:hAnsi="Times New Roman"/>
          <w:sz w:val="24"/>
          <w:szCs w:val="24"/>
        </w:rPr>
        <w:t xml:space="preserve">. The significant decrease (p&lt;0.05) in the total cholesterol and LDL-cholesterol concentration of the groups treated with the ethanol extract of </w:t>
      </w:r>
      <w:r>
        <w:rPr>
          <w:rFonts w:ascii="Times New Roman" w:hAnsi="Times New Roman"/>
          <w:i/>
          <w:iCs/>
          <w:sz w:val="24"/>
          <w:szCs w:val="24"/>
        </w:rPr>
        <w:t>P</w:t>
      </w:r>
      <w:r w:rsidR="00C10733">
        <w:rPr>
          <w:rFonts w:ascii="Times New Roman" w:hAnsi="Times New Roman"/>
          <w:i/>
          <w:iCs/>
          <w:sz w:val="24"/>
          <w:szCs w:val="24"/>
        </w:rPr>
        <w:t>.</w:t>
      </w:r>
      <w:r>
        <w:rPr>
          <w:rFonts w:ascii="Times New Roman" w:hAnsi="Times New Roman"/>
          <w:i/>
          <w:iCs/>
          <w:sz w:val="24"/>
          <w:szCs w:val="24"/>
        </w:rPr>
        <w:t xml:space="preserve"> santalinoides</w:t>
      </w:r>
      <w:r>
        <w:rPr>
          <w:rFonts w:ascii="Times New Roman" w:hAnsi="Times New Roman"/>
          <w:sz w:val="24"/>
          <w:szCs w:val="24"/>
        </w:rPr>
        <w:t xml:space="preserve"> in favourable comparison with the standard drug, Atorvastatin, are indictive of their effectiveness in the treatment of hyperlipidemia. </w:t>
      </w:r>
      <w:r>
        <w:rPr>
          <w:rFonts w:ascii="Times New Roman" w:eastAsia="Aptos" w:hAnsi="Times New Roman"/>
          <w:kern w:val="2"/>
          <w:sz w:val="24"/>
          <w:szCs w:val="24"/>
          <w:lang w:eastAsia="en-US"/>
        </w:rPr>
        <w:t xml:space="preserve">The elevation LDL-cholesterol represents risk factor for coronary heart diseases. In the course of treatment, there was a significant decrease (p&lt;0.05) in the total cholesterol and LDL-cholesterol concentration of the group treated with the standard drug and the ethanol extract of </w:t>
      </w:r>
      <w:r>
        <w:rPr>
          <w:rFonts w:ascii="Times New Roman" w:eastAsia="Aptos" w:hAnsi="Times New Roman"/>
          <w:i/>
          <w:iCs/>
          <w:kern w:val="2"/>
          <w:sz w:val="24"/>
          <w:szCs w:val="24"/>
          <w:lang w:eastAsia="en-US"/>
        </w:rPr>
        <w:t>P</w:t>
      </w:r>
      <w:r w:rsidR="00C10733">
        <w:rPr>
          <w:rFonts w:ascii="Times New Roman" w:eastAsia="Aptos" w:hAnsi="Times New Roman"/>
          <w:i/>
          <w:iCs/>
          <w:kern w:val="2"/>
          <w:sz w:val="24"/>
          <w:szCs w:val="24"/>
          <w:lang w:eastAsia="en-US"/>
        </w:rPr>
        <w:t>.</w:t>
      </w:r>
      <w:r>
        <w:rPr>
          <w:rFonts w:ascii="Times New Roman" w:eastAsia="Aptos" w:hAnsi="Times New Roman"/>
          <w:i/>
          <w:iCs/>
          <w:kern w:val="2"/>
          <w:sz w:val="24"/>
          <w:szCs w:val="24"/>
          <w:lang w:eastAsia="en-US"/>
        </w:rPr>
        <w:t xml:space="preserve"> santalinoides</w:t>
      </w:r>
      <w:r>
        <w:rPr>
          <w:rFonts w:ascii="Times New Roman" w:eastAsia="Aptos" w:hAnsi="Times New Roman"/>
          <w:kern w:val="2"/>
          <w:sz w:val="24"/>
          <w:szCs w:val="24"/>
          <w:lang w:val="en-GB" w:eastAsia="en-US"/>
        </w:rPr>
        <w:t xml:space="preserve">. The significant decrease (p&lt;0.05) in the HDL-cholesterol of the negative control compared to the normal control is indicative of hyperlipidemia induced by high fat and cholesterol feeding. In the course of treatment with ethanol extract of </w:t>
      </w:r>
      <w:r w:rsidR="00C10733">
        <w:rPr>
          <w:rFonts w:ascii="Times New Roman" w:eastAsia="Aptos" w:hAnsi="Times New Roman"/>
          <w:i/>
          <w:iCs/>
          <w:kern w:val="2"/>
          <w:sz w:val="24"/>
          <w:szCs w:val="24"/>
          <w:lang w:val="en-GB" w:eastAsia="en-US"/>
        </w:rPr>
        <w:t>P.</w:t>
      </w:r>
      <w:r>
        <w:rPr>
          <w:rFonts w:ascii="Times New Roman" w:eastAsia="Aptos" w:hAnsi="Times New Roman"/>
          <w:i/>
          <w:iCs/>
          <w:kern w:val="2"/>
          <w:sz w:val="24"/>
          <w:szCs w:val="24"/>
          <w:lang w:val="en-GB" w:eastAsia="en-US"/>
        </w:rPr>
        <w:t xml:space="preserve"> santalinoides </w:t>
      </w:r>
      <w:r>
        <w:rPr>
          <w:rFonts w:ascii="Times New Roman" w:eastAsia="Aptos" w:hAnsi="Times New Roman"/>
          <w:kern w:val="2"/>
          <w:sz w:val="24"/>
          <w:szCs w:val="24"/>
          <w:lang w:val="en-GB" w:eastAsia="en-US"/>
        </w:rPr>
        <w:t xml:space="preserve">there was a significant increase (p&lt;0.05) in the HDL-cholesterol concentration of group D compared to group B. The HDL-cholesterol concentration of the groups treated with the standard drug and the ethanol extract of </w:t>
      </w:r>
      <w:r>
        <w:rPr>
          <w:rFonts w:ascii="Times New Roman" w:eastAsia="Aptos" w:hAnsi="Times New Roman"/>
          <w:i/>
          <w:iCs/>
          <w:kern w:val="2"/>
          <w:sz w:val="24"/>
          <w:szCs w:val="24"/>
          <w:lang w:val="en-GB" w:eastAsia="en-US"/>
        </w:rPr>
        <w:t>P</w:t>
      </w:r>
      <w:r w:rsidR="00C10733">
        <w:rPr>
          <w:rFonts w:ascii="Times New Roman" w:eastAsia="Aptos" w:hAnsi="Times New Roman"/>
          <w:i/>
          <w:iCs/>
          <w:kern w:val="2"/>
          <w:sz w:val="24"/>
          <w:szCs w:val="24"/>
          <w:lang w:val="en-GB" w:eastAsia="en-US"/>
        </w:rPr>
        <w:t>.</w:t>
      </w:r>
      <w:r>
        <w:rPr>
          <w:rFonts w:ascii="Times New Roman" w:eastAsia="Aptos" w:hAnsi="Times New Roman"/>
          <w:i/>
          <w:iCs/>
          <w:kern w:val="2"/>
          <w:sz w:val="24"/>
          <w:szCs w:val="24"/>
          <w:lang w:val="en-GB" w:eastAsia="en-US"/>
        </w:rPr>
        <w:t xml:space="preserve"> santalinoides</w:t>
      </w:r>
      <w:r>
        <w:rPr>
          <w:rFonts w:ascii="Times New Roman" w:eastAsia="Aptos" w:hAnsi="Times New Roman"/>
          <w:kern w:val="2"/>
          <w:sz w:val="24"/>
          <w:szCs w:val="24"/>
          <w:lang w:val="en-GB" w:eastAsia="en-US"/>
        </w:rPr>
        <w:t xml:space="preserve"> also increased in comparison to the hyperlipidemic untreated group. </w:t>
      </w:r>
      <w:r>
        <w:rPr>
          <w:rFonts w:ascii="Times New Roman" w:hAnsi="Times New Roman"/>
          <w:sz w:val="24"/>
          <w:szCs w:val="24"/>
        </w:rPr>
        <w:t xml:space="preserve">The ethanol extract of </w:t>
      </w:r>
      <w:r>
        <w:rPr>
          <w:rFonts w:ascii="Times New Roman" w:hAnsi="Times New Roman"/>
          <w:i/>
          <w:sz w:val="24"/>
          <w:szCs w:val="24"/>
        </w:rPr>
        <w:t>P</w:t>
      </w:r>
      <w:r w:rsidR="00C10733">
        <w:rPr>
          <w:rFonts w:ascii="Times New Roman" w:hAnsi="Times New Roman"/>
          <w:i/>
          <w:sz w:val="24"/>
          <w:szCs w:val="24"/>
        </w:rPr>
        <w:t>.</w:t>
      </w:r>
      <w:r>
        <w:rPr>
          <w:rFonts w:ascii="Times New Roman" w:hAnsi="Times New Roman"/>
          <w:i/>
          <w:sz w:val="24"/>
          <w:szCs w:val="24"/>
        </w:rPr>
        <w:t xml:space="preserve"> santalinoides</w:t>
      </w:r>
      <w:r>
        <w:rPr>
          <w:rFonts w:ascii="Times New Roman" w:hAnsi="Times New Roman"/>
          <w:sz w:val="24"/>
          <w:szCs w:val="24"/>
        </w:rPr>
        <w:t xml:space="preserve"> also reduced the triacylglycerol and VLDL-cholesterol levels in the test groups when compared to the negative control. The lipid lowering effects of </w:t>
      </w:r>
      <w:r>
        <w:rPr>
          <w:rFonts w:ascii="Times New Roman" w:hAnsi="Times New Roman"/>
          <w:i/>
          <w:iCs/>
          <w:sz w:val="24"/>
          <w:szCs w:val="24"/>
        </w:rPr>
        <w:t>P</w:t>
      </w:r>
      <w:r w:rsidR="00C10733">
        <w:rPr>
          <w:rFonts w:ascii="Times New Roman" w:hAnsi="Times New Roman"/>
          <w:i/>
          <w:iCs/>
          <w:sz w:val="24"/>
          <w:szCs w:val="24"/>
        </w:rPr>
        <w:t>.</w:t>
      </w:r>
      <w:r>
        <w:rPr>
          <w:rFonts w:ascii="Times New Roman" w:hAnsi="Times New Roman"/>
          <w:i/>
          <w:iCs/>
          <w:sz w:val="24"/>
          <w:szCs w:val="24"/>
        </w:rPr>
        <w:t xml:space="preserve"> santalinoides</w:t>
      </w:r>
      <w:r>
        <w:rPr>
          <w:rFonts w:ascii="Times New Roman" w:hAnsi="Times New Roman"/>
          <w:sz w:val="24"/>
          <w:szCs w:val="24"/>
        </w:rPr>
        <w:t xml:space="preserve"> may be due to their inhibition of fatty acid synthesis (Suba </w:t>
      </w:r>
      <w:r>
        <w:rPr>
          <w:rFonts w:ascii="Times New Roman" w:hAnsi="Times New Roman"/>
          <w:i/>
          <w:iCs/>
          <w:sz w:val="24"/>
          <w:szCs w:val="24"/>
        </w:rPr>
        <w:t>et al</w:t>
      </w:r>
      <w:r>
        <w:rPr>
          <w:rFonts w:ascii="Times New Roman" w:hAnsi="Times New Roman"/>
          <w:sz w:val="24"/>
          <w:szCs w:val="24"/>
        </w:rPr>
        <w:t xml:space="preserve">., 2004).  The results of this study is in tandem with Madubuike </w:t>
      </w:r>
      <w:r>
        <w:rPr>
          <w:rFonts w:ascii="Times New Roman" w:hAnsi="Times New Roman"/>
          <w:i/>
          <w:iCs/>
          <w:sz w:val="24"/>
          <w:szCs w:val="24"/>
        </w:rPr>
        <w:t>et al</w:t>
      </w:r>
      <w:r>
        <w:rPr>
          <w:rFonts w:ascii="Times New Roman" w:hAnsi="Times New Roman"/>
          <w:sz w:val="24"/>
          <w:szCs w:val="24"/>
        </w:rPr>
        <w:t xml:space="preserve">. (2021) report that methanol extract of </w:t>
      </w:r>
      <w:r>
        <w:rPr>
          <w:rFonts w:ascii="Times New Roman" w:hAnsi="Times New Roman"/>
          <w:i/>
          <w:iCs/>
          <w:sz w:val="24"/>
          <w:szCs w:val="24"/>
        </w:rPr>
        <w:t>P</w:t>
      </w:r>
      <w:r w:rsidR="00C10733">
        <w:rPr>
          <w:rFonts w:ascii="Times New Roman" w:hAnsi="Times New Roman"/>
          <w:i/>
          <w:iCs/>
          <w:sz w:val="24"/>
          <w:szCs w:val="24"/>
        </w:rPr>
        <w:t>.</w:t>
      </w:r>
      <w:r>
        <w:rPr>
          <w:rFonts w:ascii="Times New Roman" w:hAnsi="Times New Roman"/>
          <w:i/>
          <w:iCs/>
          <w:sz w:val="24"/>
          <w:szCs w:val="24"/>
        </w:rPr>
        <w:t xml:space="preserve"> santalinoides </w:t>
      </w:r>
      <w:r>
        <w:rPr>
          <w:rFonts w:ascii="Times New Roman" w:hAnsi="Times New Roman"/>
          <w:sz w:val="24"/>
          <w:szCs w:val="24"/>
        </w:rPr>
        <w:t xml:space="preserve">leaves significantly (p&lt;0.05) increased the HDL and significantly (p&lt;0.05) decreased the serum total cholesterol and triacylglycerol levels on lipid profile of the treated wistar rats. </w:t>
      </w:r>
      <w:r>
        <w:rPr>
          <w:rFonts w:ascii="Times New Roman" w:eastAsia="Aptos" w:hAnsi="Times New Roman"/>
          <w:kern w:val="2"/>
          <w:sz w:val="24"/>
          <w:szCs w:val="24"/>
          <w:lang w:eastAsia="en-US"/>
        </w:rPr>
        <w:t>The lipid modulatory effect of</w:t>
      </w:r>
      <w:r w:rsidR="00C10733">
        <w:rPr>
          <w:rFonts w:ascii="Times New Roman" w:eastAsia="Aptos" w:hAnsi="Times New Roman"/>
          <w:kern w:val="2"/>
          <w:sz w:val="24"/>
          <w:szCs w:val="24"/>
          <w:lang w:eastAsia="en-US"/>
        </w:rPr>
        <w:t xml:space="preserve"> </w:t>
      </w:r>
      <w:r w:rsidR="00C10733">
        <w:rPr>
          <w:rFonts w:ascii="Times New Roman" w:eastAsia="Aptos" w:hAnsi="Times New Roman"/>
          <w:i/>
          <w:kern w:val="2"/>
          <w:sz w:val="24"/>
          <w:szCs w:val="24"/>
          <w:lang w:eastAsia="en-US"/>
        </w:rPr>
        <w:t>P.</w:t>
      </w:r>
      <w:r>
        <w:rPr>
          <w:rFonts w:ascii="Times New Roman" w:eastAsia="Aptos" w:hAnsi="Times New Roman"/>
          <w:i/>
          <w:kern w:val="2"/>
          <w:sz w:val="24"/>
          <w:szCs w:val="24"/>
          <w:lang w:eastAsia="en-US"/>
        </w:rPr>
        <w:t xml:space="preserve"> </w:t>
      </w:r>
      <w:proofErr w:type="spellStart"/>
      <w:r>
        <w:rPr>
          <w:rFonts w:ascii="Times New Roman" w:eastAsia="Aptos" w:hAnsi="Times New Roman"/>
          <w:i/>
          <w:kern w:val="2"/>
          <w:sz w:val="24"/>
          <w:szCs w:val="24"/>
          <w:lang w:eastAsia="en-US"/>
        </w:rPr>
        <w:t>santalinoides</w:t>
      </w:r>
      <w:proofErr w:type="spellEnd"/>
      <w:r>
        <w:rPr>
          <w:rFonts w:ascii="Times New Roman" w:eastAsia="Aptos" w:hAnsi="Times New Roman"/>
          <w:kern w:val="2"/>
          <w:sz w:val="24"/>
          <w:szCs w:val="24"/>
          <w:lang w:eastAsia="en-US"/>
        </w:rPr>
        <w:t xml:space="preserve"> suggest that the extract may limit cholesterol biosynthesis </w:t>
      </w:r>
      <w:r>
        <w:rPr>
          <w:rFonts w:ascii="Times New Roman" w:eastAsia="Aptos" w:hAnsi="Times New Roman"/>
          <w:kern w:val="2"/>
          <w:sz w:val="24"/>
          <w:szCs w:val="24"/>
          <w:lang w:eastAsia="en-US"/>
        </w:rPr>
        <w:lastRenderedPageBreak/>
        <w:t xml:space="preserve">and boost endogenous production of LDL receptors whose role is to incorporate LDL into hepatocytes, resulting in decreased LDL/HDL ratio observed in the extract-treated rats (Kumari </w:t>
      </w:r>
      <w:r>
        <w:rPr>
          <w:rFonts w:ascii="Times New Roman" w:eastAsia="Aptos" w:hAnsi="Times New Roman"/>
          <w:i/>
          <w:kern w:val="2"/>
          <w:sz w:val="24"/>
          <w:szCs w:val="24"/>
          <w:lang w:eastAsia="en-US"/>
        </w:rPr>
        <w:t>et al</w:t>
      </w:r>
      <w:r>
        <w:rPr>
          <w:rFonts w:ascii="Times New Roman" w:eastAsia="Aptos" w:hAnsi="Times New Roman"/>
          <w:kern w:val="2"/>
          <w:sz w:val="24"/>
          <w:szCs w:val="24"/>
          <w:lang w:eastAsia="en-US"/>
        </w:rPr>
        <w:t>., 2016).</w:t>
      </w:r>
      <w:r>
        <w:rPr>
          <w:rFonts w:ascii="Times New Roman" w:eastAsia="Aptos" w:hAnsi="Times New Roman"/>
          <w:kern w:val="2"/>
          <w:sz w:val="24"/>
          <w:szCs w:val="24"/>
          <w:lang w:val="en-GB" w:eastAsia="en-US"/>
        </w:rPr>
        <w:t xml:space="preserve"> </w:t>
      </w:r>
      <w:r>
        <w:rPr>
          <w:rFonts w:ascii="Times New Roman" w:hAnsi="Times New Roman"/>
          <w:sz w:val="24"/>
          <w:szCs w:val="24"/>
        </w:rPr>
        <w:t xml:space="preserve">The phytochemical constituents of the </w:t>
      </w:r>
      <w:r>
        <w:rPr>
          <w:rFonts w:ascii="Times New Roman" w:hAnsi="Times New Roman"/>
          <w:i/>
          <w:iCs/>
          <w:sz w:val="24"/>
          <w:szCs w:val="24"/>
        </w:rPr>
        <w:t>P</w:t>
      </w:r>
      <w:r w:rsidR="00C10733">
        <w:rPr>
          <w:rFonts w:ascii="Times New Roman" w:hAnsi="Times New Roman"/>
          <w:i/>
          <w:iCs/>
          <w:sz w:val="24"/>
          <w:szCs w:val="24"/>
        </w:rPr>
        <w:t>.</w:t>
      </w:r>
      <w:r>
        <w:rPr>
          <w:rFonts w:ascii="Times New Roman" w:hAnsi="Times New Roman"/>
          <w:i/>
          <w:iCs/>
          <w:sz w:val="24"/>
          <w:szCs w:val="24"/>
        </w:rPr>
        <w:t xml:space="preserve"> santalinoides</w:t>
      </w:r>
      <w:r>
        <w:rPr>
          <w:rFonts w:ascii="Times New Roman" w:hAnsi="Times New Roman"/>
          <w:sz w:val="24"/>
          <w:szCs w:val="24"/>
        </w:rPr>
        <w:t xml:space="preserve"> leaves are largely responsible for their lipid lowering ability. These phytochemicals, most especially flavonoids, have been reported to possess the ability to reduce free radical formation and scavenge free radicals in vivo (Robak and Gryglewski, 1988; Pietta, 2000). Ihedioha </w:t>
      </w:r>
      <w:r>
        <w:rPr>
          <w:rFonts w:ascii="Times New Roman" w:hAnsi="Times New Roman"/>
          <w:i/>
          <w:iCs/>
          <w:sz w:val="24"/>
          <w:szCs w:val="24"/>
        </w:rPr>
        <w:t>et al</w:t>
      </w:r>
      <w:r>
        <w:rPr>
          <w:rFonts w:ascii="Times New Roman" w:hAnsi="Times New Roman"/>
          <w:sz w:val="24"/>
          <w:szCs w:val="24"/>
        </w:rPr>
        <w:t xml:space="preserve">. (2018) also reported significant increase in serum HDL-cholesterol </w:t>
      </w:r>
      <w:r>
        <w:rPr>
          <w:rFonts w:ascii="Times New Roman" w:eastAsia="Aptos" w:hAnsi="Times New Roman"/>
          <w:kern w:val="2"/>
          <w:sz w:val="24"/>
          <w:szCs w:val="24"/>
          <w:lang w:val="en-GB" w:eastAsia="en-US"/>
        </w:rPr>
        <w:t>and decrease in serum LDL-cholesterol, triacylglycerols and VLDL-cholesterol</w:t>
      </w:r>
      <w:r>
        <w:rPr>
          <w:rFonts w:ascii="Times New Roman" w:hAnsi="Times New Roman"/>
          <w:sz w:val="24"/>
          <w:szCs w:val="24"/>
        </w:rPr>
        <w:t xml:space="preserve"> of serum lipid profile for guinea pigs (</w:t>
      </w:r>
      <w:r>
        <w:rPr>
          <w:rFonts w:ascii="Times New Roman" w:hAnsi="Times New Roman"/>
          <w:i/>
          <w:sz w:val="24"/>
          <w:szCs w:val="24"/>
        </w:rPr>
        <w:t>Carvia porcellus</w:t>
      </w:r>
      <w:r>
        <w:rPr>
          <w:rFonts w:ascii="Times New Roman" w:hAnsi="Times New Roman"/>
          <w:sz w:val="24"/>
          <w:szCs w:val="24"/>
        </w:rPr>
        <w:t xml:space="preserve">) treated orally with aqueous leaf infusion of </w:t>
      </w:r>
      <w:r>
        <w:rPr>
          <w:rFonts w:ascii="Times New Roman" w:hAnsi="Times New Roman"/>
          <w:i/>
          <w:iCs/>
          <w:sz w:val="24"/>
          <w:szCs w:val="24"/>
        </w:rPr>
        <w:t>P</w:t>
      </w:r>
      <w:r w:rsidR="00C10733">
        <w:rPr>
          <w:rFonts w:ascii="Times New Roman" w:hAnsi="Times New Roman"/>
          <w:i/>
          <w:iCs/>
          <w:sz w:val="24"/>
          <w:szCs w:val="24"/>
        </w:rPr>
        <w:t>.</w:t>
      </w:r>
      <w:r>
        <w:rPr>
          <w:rFonts w:ascii="Times New Roman" w:hAnsi="Times New Roman"/>
          <w:i/>
          <w:iCs/>
          <w:sz w:val="24"/>
          <w:szCs w:val="24"/>
        </w:rPr>
        <w:t xml:space="preserve"> santalinoides</w:t>
      </w:r>
      <w:r>
        <w:rPr>
          <w:rFonts w:ascii="Times New Roman" w:hAnsi="Times New Roman"/>
          <w:sz w:val="24"/>
          <w:szCs w:val="24"/>
        </w:rPr>
        <w:t xml:space="preserve">. Low HDL-cholesterol had been identified as an additional clinically important cardiovascular risk factor. The beneficial effects on cardiovascular outcome of agents that act mainly by raising HDL-cholesterol have been reported (Barter </w:t>
      </w:r>
      <w:r>
        <w:rPr>
          <w:rFonts w:ascii="Times New Roman" w:hAnsi="Times New Roman"/>
          <w:i/>
          <w:iCs/>
          <w:sz w:val="24"/>
          <w:szCs w:val="24"/>
        </w:rPr>
        <w:t>et al</w:t>
      </w:r>
      <w:r>
        <w:rPr>
          <w:rFonts w:ascii="Times New Roman" w:hAnsi="Times New Roman"/>
          <w:sz w:val="24"/>
          <w:szCs w:val="24"/>
        </w:rPr>
        <w:t xml:space="preserve">., 2007; Drexel, 2006). Based on the results of this present study, it was observed that the oral administration of </w:t>
      </w:r>
      <w:r>
        <w:rPr>
          <w:rFonts w:ascii="Times New Roman" w:hAnsi="Times New Roman"/>
          <w:i/>
          <w:iCs/>
          <w:sz w:val="24"/>
          <w:szCs w:val="24"/>
        </w:rPr>
        <w:t>P</w:t>
      </w:r>
      <w:r w:rsidR="00C10733">
        <w:rPr>
          <w:rFonts w:ascii="Times New Roman" w:hAnsi="Times New Roman"/>
          <w:i/>
          <w:iCs/>
          <w:sz w:val="24"/>
          <w:szCs w:val="24"/>
        </w:rPr>
        <w:t>.</w:t>
      </w:r>
      <w:r>
        <w:rPr>
          <w:rFonts w:ascii="Times New Roman" w:hAnsi="Times New Roman"/>
          <w:i/>
          <w:iCs/>
          <w:sz w:val="24"/>
          <w:szCs w:val="24"/>
        </w:rPr>
        <w:t xml:space="preserve"> santalinoides</w:t>
      </w:r>
      <w:r>
        <w:rPr>
          <w:rFonts w:ascii="Times New Roman" w:hAnsi="Times New Roman"/>
          <w:sz w:val="24"/>
          <w:szCs w:val="24"/>
        </w:rPr>
        <w:t xml:space="preserve"> ethanol leaf extract as used in this study led to significant positive effects of increase of serum HDL-cholesterol and decrease of serum LDL-cholesterol. These are clinically relevant positive effects that can help in the prevention and management of diseases associated with inflammation and oxidative stress such as dyslipidaemia-induced atherosclerosis and other cardiovascular diseases (Ferguson, 2001). The leaves of </w:t>
      </w:r>
      <w:r>
        <w:rPr>
          <w:rFonts w:ascii="Times New Roman" w:hAnsi="Times New Roman"/>
          <w:i/>
          <w:sz w:val="24"/>
          <w:szCs w:val="24"/>
        </w:rPr>
        <w:t>pterocarpus santalinoides</w:t>
      </w:r>
      <w:r>
        <w:rPr>
          <w:rFonts w:ascii="Times New Roman" w:hAnsi="Times New Roman"/>
          <w:sz w:val="24"/>
          <w:szCs w:val="24"/>
        </w:rPr>
        <w:t xml:space="preserve"> can therefore serve nutritionally as a therapy for the management of cardiovascular diseases as well as a raw material for the isolation and preparation of bioactive compounds for the same purpose.</w:t>
      </w:r>
    </w:p>
    <w:p w14:paraId="0700200E" w14:textId="77777777" w:rsidR="005C75C3" w:rsidRDefault="00D42813">
      <w:pPr>
        <w:spacing w:line="360" w:lineRule="auto"/>
        <w:jc w:val="both"/>
        <w:rPr>
          <w:rFonts w:ascii="Times New Roman" w:hAnsi="Times New Roman"/>
          <w:b/>
          <w:bCs/>
          <w:sz w:val="24"/>
          <w:szCs w:val="24"/>
        </w:rPr>
      </w:pPr>
      <w:r>
        <w:rPr>
          <w:rFonts w:ascii="Times New Roman" w:hAnsi="Times New Roman"/>
          <w:b/>
          <w:bCs/>
          <w:sz w:val="24"/>
          <w:szCs w:val="24"/>
        </w:rPr>
        <w:t>Conclusion</w:t>
      </w:r>
    </w:p>
    <w:p w14:paraId="2ADA6D2A" w14:textId="26222E34" w:rsidR="005C75C3" w:rsidRDefault="00D42813">
      <w:pPr>
        <w:spacing w:line="360" w:lineRule="auto"/>
        <w:jc w:val="both"/>
        <w:rPr>
          <w:rFonts w:ascii="Times New Roman" w:hAnsi="Times New Roman"/>
          <w:sz w:val="24"/>
          <w:szCs w:val="24"/>
        </w:rPr>
      </w:pPr>
      <w:r>
        <w:rPr>
          <w:rFonts w:ascii="Times New Roman" w:hAnsi="Times New Roman"/>
          <w:sz w:val="24"/>
          <w:szCs w:val="24"/>
        </w:rPr>
        <w:t xml:space="preserve">The findings of this study show that the ethanol leaf extract of </w:t>
      </w:r>
      <w:r>
        <w:rPr>
          <w:rFonts w:ascii="Times New Roman" w:hAnsi="Times New Roman"/>
          <w:i/>
          <w:iCs/>
          <w:sz w:val="24"/>
          <w:szCs w:val="24"/>
        </w:rPr>
        <w:t>Pterocarpus santalinoides</w:t>
      </w:r>
      <w:r>
        <w:rPr>
          <w:rFonts w:ascii="Times New Roman" w:hAnsi="Times New Roman"/>
          <w:sz w:val="24"/>
          <w:szCs w:val="24"/>
        </w:rPr>
        <w:t xml:space="preserve"> contains a range of phytochemical constituents, including flavonoids, phenolics, and alkaloids, with vanillic acid, hesperidin, and flavone occurring in relatively higher amounts among the identified compounds. The diverse range of bioactive compounds identified contribute to the various nutritional, therapeutic and pharmacological properties associated with this plant. The extract reduced serum total cholesterol, LDL-cholesterol, VLDL-cholesterol and triacylglycerol levels in treated groups and improved HDL-cholesterol concentration, with notable response observed at 100 mg/kg for HDL-cholesterol. These effects may be associated with the bioactive phytochemicals present in the leaves. The results support the potential lipid-modulating activity of </w:t>
      </w:r>
      <w:r>
        <w:rPr>
          <w:rFonts w:ascii="Times New Roman" w:hAnsi="Times New Roman"/>
          <w:i/>
          <w:iCs/>
          <w:sz w:val="24"/>
          <w:szCs w:val="24"/>
        </w:rPr>
        <w:t>Pterocarpus santalinoides</w:t>
      </w:r>
      <w:r>
        <w:rPr>
          <w:rFonts w:ascii="Times New Roman" w:hAnsi="Times New Roman"/>
          <w:sz w:val="24"/>
          <w:szCs w:val="24"/>
        </w:rPr>
        <w:t xml:space="preserve"> ethanol leaf extract in experimental hyperlipidaemia. However, additional studies are required to clarify its mechanism of action, </w:t>
      </w:r>
      <w:r>
        <w:rPr>
          <w:rFonts w:ascii="Times New Roman" w:hAnsi="Times New Roman"/>
          <w:sz w:val="24"/>
          <w:szCs w:val="24"/>
        </w:rPr>
        <w:lastRenderedPageBreak/>
        <w:t>confirm the dose-response relationship, and evaluate its safety and efficacy in more advanced experimental models.</w:t>
      </w:r>
    </w:p>
    <w:p w14:paraId="189AA0F4" w14:textId="77777777" w:rsidR="005C75C3" w:rsidRDefault="00D42813">
      <w:pPr>
        <w:spacing w:line="360" w:lineRule="auto"/>
        <w:jc w:val="both"/>
        <w:rPr>
          <w:rFonts w:ascii="Times New Roman" w:hAnsi="Times New Roman"/>
          <w:b/>
          <w:bCs/>
          <w:sz w:val="24"/>
          <w:szCs w:val="24"/>
        </w:rPr>
      </w:pPr>
      <w:r>
        <w:rPr>
          <w:rFonts w:ascii="Times New Roman" w:hAnsi="Times New Roman"/>
          <w:b/>
          <w:bCs/>
          <w:sz w:val="24"/>
          <w:szCs w:val="24"/>
        </w:rPr>
        <w:t>Limitation</w:t>
      </w:r>
    </w:p>
    <w:p w14:paraId="7F1D690F" w14:textId="77777777" w:rsidR="005C75C3" w:rsidRDefault="00D42813">
      <w:pPr>
        <w:spacing w:line="360" w:lineRule="auto"/>
        <w:jc w:val="both"/>
        <w:rPr>
          <w:rFonts w:ascii="Arial" w:hAnsi="Arial" w:cs="Arial"/>
          <w:highlight w:val="yellow"/>
        </w:rPr>
      </w:pPr>
      <w:r>
        <w:rPr>
          <w:rFonts w:ascii="Times New Roman" w:hAnsi="Times New Roman"/>
          <w:sz w:val="24"/>
          <w:szCs w:val="24"/>
        </w:rPr>
        <w:t>This study was limited to male Wistar albino rats and was conducted over a period of 28 days; therefore, the findings may not fully reflect long-term effects, sex-related differences, or responses in other biological models. Although phytochemical constituents were identified and quantified, the study did not isolate the specific phytochemicals responsible for the observed activity, so the effect may be due to the combined action of multiple constituents. Further studies are therefore needed to address these limitations and provide a more comprehensive evaluation of the extract.</w:t>
      </w:r>
      <w:bookmarkStart w:id="0" w:name="_Hlk218868534"/>
      <w:bookmarkStart w:id="1" w:name="_Hlk229240739"/>
      <w:bookmarkStart w:id="2" w:name="_Hlk221624953"/>
      <w:bookmarkStart w:id="3" w:name="_Hlk226454370"/>
      <w:bookmarkStart w:id="4" w:name="_Hlk226813079"/>
    </w:p>
    <w:p w14:paraId="26545C09" w14:textId="77777777" w:rsidR="005C75C3" w:rsidRDefault="00D42813">
      <w:pPr>
        <w:spacing w:line="360" w:lineRule="auto"/>
        <w:jc w:val="both"/>
        <w:rPr>
          <w:rFonts w:ascii="Arial" w:hAnsi="Arial" w:cs="Arial"/>
          <w:highlight w:val="yellow"/>
        </w:rPr>
      </w:pPr>
      <w:r>
        <w:rPr>
          <w:rFonts w:ascii="Arial" w:hAnsi="Arial" w:cs="Arial"/>
          <w:highlight w:val="yellow"/>
        </w:rPr>
        <w:t>Disclaimer (Artificial intelligence)</w:t>
      </w:r>
    </w:p>
    <w:p w14:paraId="0D5B9B37" w14:textId="77777777" w:rsidR="005C75C3" w:rsidRDefault="005C75C3">
      <w:pPr>
        <w:pStyle w:val="NoSpacing"/>
        <w:rPr>
          <w:rFonts w:ascii="Arial" w:hAnsi="Arial" w:cs="Arial"/>
          <w:highlight w:val="yellow"/>
        </w:rPr>
      </w:pPr>
    </w:p>
    <w:p w14:paraId="0E5E4D92" w14:textId="356AA961" w:rsidR="005C75C3" w:rsidRDefault="00D42813">
      <w:pPr>
        <w:pStyle w:val="NoSpacing"/>
        <w:rPr>
          <w:rFonts w:ascii="Arial" w:hAnsi="Arial" w:cs="Arial"/>
          <w:highlight w:val="yellow"/>
        </w:rPr>
      </w:pPr>
      <w:r>
        <w:rPr>
          <w:rFonts w:ascii="Arial" w:hAnsi="Arial" w:cs="Arial"/>
          <w:highlight w:val="yellow"/>
        </w:rPr>
        <w:t xml:space="preserve">Author(s) hereby declare that NO generative AI technologies such as Large Language Models (ChatGPT, COPILOT, etc.) and text-to-image generators have been used during the writing or editing of this manuscript. </w:t>
      </w:r>
      <w:bookmarkEnd w:id="0"/>
    </w:p>
    <w:p w14:paraId="57F0B4E5" w14:textId="77777777" w:rsidR="00D40724" w:rsidRDefault="00D40724">
      <w:pPr>
        <w:pStyle w:val="NoSpacing"/>
        <w:rPr>
          <w:rFonts w:ascii="Arial" w:hAnsi="Arial" w:cs="Arial"/>
          <w:highlight w:val="yellow"/>
        </w:rPr>
      </w:pPr>
    </w:p>
    <w:bookmarkEnd w:id="1"/>
    <w:bookmarkEnd w:id="2"/>
    <w:bookmarkEnd w:id="3"/>
    <w:bookmarkEnd w:id="4"/>
    <w:p w14:paraId="6821620D" w14:textId="7CC78857" w:rsidR="005C75C3" w:rsidRDefault="00C10733" w:rsidP="00C10733">
      <w:pPr>
        <w:tabs>
          <w:tab w:val="left" w:pos="1320"/>
        </w:tabs>
        <w:rPr>
          <w:rFonts w:ascii="Times New Roman" w:hAnsi="Times New Roman"/>
          <w:b/>
          <w:bCs/>
          <w:sz w:val="24"/>
          <w:szCs w:val="24"/>
        </w:rPr>
      </w:pPr>
      <w:r>
        <w:rPr>
          <w:rFonts w:ascii="Times New Roman" w:hAnsi="Times New Roman"/>
          <w:b/>
          <w:bCs/>
          <w:sz w:val="24"/>
          <w:szCs w:val="24"/>
        </w:rPr>
        <w:t>References</w:t>
      </w:r>
    </w:p>
    <w:p w14:paraId="63BB86B4" w14:textId="77777777" w:rsidR="005C75C3" w:rsidRDefault="00D42813">
      <w:pPr>
        <w:spacing w:line="360" w:lineRule="auto"/>
        <w:ind w:hanging="360"/>
        <w:jc w:val="both"/>
        <w:rPr>
          <w:rFonts w:ascii="Times New Roman" w:hAnsi="Times New Roman"/>
          <w:sz w:val="24"/>
          <w:szCs w:val="24"/>
        </w:rPr>
      </w:pPr>
      <w:proofErr w:type="spellStart"/>
      <w:r>
        <w:rPr>
          <w:rFonts w:ascii="Times New Roman" w:hAnsi="Times New Roman"/>
          <w:sz w:val="24"/>
          <w:szCs w:val="24"/>
        </w:rPr>
        <w:t>Abuamero</w:t>
      </w:r>
      <w:proofErr w:type="spellEnd"/>
      <w:r>
        <w:rPr>
          <w:rFonts w:ascii="Times New Roman" w:hAnsi="Times New Roman"/>
          <w:sz w:val="24"/>
          <w:szCs w:val="24"/>
        </w:rPr>
        <w:t xml:space="preserve">, K. K., Kondkar, A. A., and Chalam, K. V., (2016). Resveratrol and ophthalmic diseases. </w:t>
      </w:r>
      <w:r>
        <w:rPr>
          <w:rFonts w:ascii="Times New Roman" w:hAnsi="Times New Roman"/>
          <w:i/>
          <w:iCs/>
          <w:sz w:val="24"/>
          <w:szCs w:val="24"/>
        </w:rPr>
        <w:t>Nutrients</w:t>
      </w:r>
      <w:r>
        <w:rPr>
          <w:rFonts w:ascii="Times New Roman" w:hAnsi="Times New Roman"/>
          <w:sz w:val="24"/>
          <w:szCs w:val="24"/>
        </w:rPr>
        <w:t>,</w:t>
      </w:r>
      <w:r>
        <w:rPr>
          <w:rFonts w:ascii="Times New Roman" w:hAnsi="Times New Roman"/>
          <w:b/>
          <w:bCs/>
          <w:sz w:val="24"/>
          <w:szCs w:val="24"/>
        </w:rPr>
        <w:t xml:space="preserve"> 8</w:t>
      </w:r>
      <w:r>
        <w:rPr>
          <w:rFonts w:ascii="Times New Roman" w:hAnsi="Times New Roman"/>
          <w:sz w:val="24"/>
          <w:szCs w:val="24"/>
        </w:rPr>
        <w:t>(4): 200-210.</w:t>
      </w:r>
    </w:p>
    <w:p w14:paraId="2C2B9C8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Adesina, S. K., (1982). Studies in the Nigeria Herbal medicinal plants. </w:t>
      </w:r>
      <w:r>
        <w:rPr>
          <w:rFonts w:ascii="Times New Roman" w:hAnsi="Times New Roman"/>
          <w:i/>
          <w:iCs/>
          <w:sz w:val="24"/>
          <w:szCs w:val="24"/>
        </w:rPr>
        <w:t>International Journal of Crude Drug Reserves</w:t>
      </w:r>
      <w:r>
        <w:rPr>
          <w:rFonts w:ascii="Times New Roman" w:hAnsi="Times New Roman"/>
          <w:sz w:val="24"/>
          <w:szCs w:val="24"/>
        </w:rPr>
        <w:t xml:space="preserve">, </w:t>
      </w:r>
      <w:r>
        <w:rPr>
          <w:rFonts w:ascii="Times New Roman" w:hAnsi="Times New Roman"/>
          <w:b/>
          <w:bCs/>
          <w:sz w:val="24"/>
          <w:szCs w:val="24"/>
        </w:rPr>
        <w:t>20</w:t>
      </w:r>
      <w:r>
        <w:rPr>
          <w:rFonts w:ascii="Times New Roman" w:hAnsi="Times New Roman"/>
          <w:sz w:val="24"/>
          <w:szCs w:val="24"/>
        </w:rPr>
        <w:t>(2): 93-100.</w:t>
      </w:r>
    </w:p>
    <w:p w14:paraId="201FD708"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Adetunji, J. A., (2007). Reviewing Pterocarpus species and their distribution. </w:t>
      </w:r>
      <w:r>
        <w:rPr>
          <w:rFonts w:ascii="Times New Roman" w:hAnsi="Times New Roman"/>
          <w:i/>
          <w:iCs/>
          <w:sz w:val="24"/>
          <w:szCs w:val="24"/>
        </w:rPr>
        <w:t>African Journal of Traditional, Complementary and Alternative Medicine</w:t>
      </w:r>
      <w:r>
        <w:rPr>
          <w:rFonts w:ascii="Times New Roman" w:hAnsi="Times New Roman"/>
          <w:sz w:val="24"/>
          <w:szCs w:val="24"/>
        </w:rPr>
        <w:t>,</w:t>
      </w:r>
      <w:r>
        <w:rPr>
          <w:rFonts w:ascii="Times New Roman" w:hAnsi="Times New Roman"/>
          <w:b/>
          <w:bCs/>
          <w:sz w:val="24"/>
          <w:szCs w:val="24"/>
        </w:rPr>
        <w:t xml:space="preserve"> 4</w:t>
      </w:r>
      <w:r>
        <w:rPr>
          <w:rFonts w:ascii="Times New Roman" w:hAnsi="Times New Roman"/>
          <w:sz w:val="24"/>
          <w:szCs w:val="24"/>
        </w:rPr>
        <w:t>(2): 23-36.</w:t>
      </w:r>
    </w:p>
    <w:p w14:paraId="00892367"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Agbafor, K. N., Nwaka, A. C., Dasofunjo, K., Asuk, A. A. and Ugwu, M. N., (2017). Serum activity of alanine aminotransferase and aspartate aminotransferase in albino rats administered aqueous extract of fresh leaves of </w:t>
      </w:r>
      <w:r>
        <w:rPr>
          <w:rFonts w:ascii="Times New Roman" w:hAnsi="Times New Roman"/>
          <w:i/>
          <w:iCs/>
          <w:sz w:val="24"/>
          <w:szCs w:val="24"/>
        </w:rPr>
        <w:t>Pterocarpus santalinoides</w:t>
      </w:r>
      <w:r>
        <w:rPr>
          <w:rFonts w:ascii="Times New Roman" w:hAnsi="Times New Roman"/>
          <w:sz w:val="24"/>
          <w:szCs w:val="24"/>
        </w:rPr>
        <w:t xml:space="preserve">. International Digital Organization for Scientific Research (IDOSR), </w:t>
      </w:r>
      <w:r>
        <w:rPr>
          <w:rFonts w:ascii="Times New Roman" w:hAnsi="Times New Roman"/>
          <w:i/>
          <w:iCs/>
          <w:sz w:val="24"/>
          <w:szCs w:val="24"/>
        </w:rPr>
        <w:t>Journal of Scientific Research</w:t>
      </w:r>
      <w:r>
        <w:rPr>
          <w:rFonts w:ascii="Times New Roman" w:hAnsi="Times New Roman"/>
          <w:sz w:val="24"/>
          <w:szCs w:val="24"/>
        </w:rPr>
        <w:t xml:space="preserve">, </w:t>
      </w:r>
      <w:r>
        <w:rPr>
          <w:rFonts w:ascii="Times New Roman" w:hAnsi="Times New Roman"/>
          <w:b/>
          <w:bCs/>
          <w:sz w:val="24"/>
          <w:szCs w:val="24"/>
        </w:rPr>
        <w:t>2</w:t>
      </w:r>
      <w:r>
        <w:rPr>
          <w:rFonts w:ascii="Times New Roman" w:hAnsi="Times New Roman"/>
          <w:sz w:val="24"/>
          <w:szCs w:val="24"/>
        </w:rPr>
        <w:t>(2): 97-107.</w:t>
      </w:r>
    </w:p>
    <w:p w14:paraId="281FE390"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Akah, P. A., Alemji, J. A., Salawu, O. A., Okoye, T. C., and Offiah, N. V., (2009). Effects of </w:t>
      </w:r>
      <w:r>
        <w:rPr>
          <w:rFonts w:ascii="Times New Roman" w:hAnsi="Times New Roman"/>
          <w:i/>
          <w:iCs/>
          <w:sz w:val="24"/>
          <w:szCs w:val="24"/>
        </w:rPr>
        <w:t>Vernonia amygdalina</w:t>
      </w:r>
      <w:r>
        <w:rPr>
          <w:rFonts w:ascii="Times New Roman" w:hAnsi="Times New Roman"/>
          <w:sz w:val="24"/>
          <w:szCs w:val="24"/>
        </w:rPr>
        <w:t xml:space="preserve"> on Biochemical and Hematological Parameters in Diabetic Rats. </w:t>
      </w:r>
      <w:r>
        <w:rPr>
          <w:rFonts w:ascii="Times New Roman" w:hAnsi="Times New Roman"/>
          <w:i/>
          <w:iCs/>
          <w:sz w:val="24"/>
          <w:szCs w:val="24"/>
        </w:rPr>
        <w:t>Asian Journal of Medical Sciences</w:t>
      </w:r>
      <w:r>
        <w:rPr>
          <w:rFonts w:ascii="Times New Roman" w:hAnsi="Times New Roman"/>
          <w:sz w:val="24"/>
          <w:szCs w:val="24"/>
        </w:rPr>
        <w:t xml:space="preserve">, </w:t>
      </w:r>
      <w:r>
        <w:rPr>
          <w:rFonts w:ascii="Times New Roman" w:hAnsi="Times New Roman"/>
          <w:b/>
          <w:bCs/>
          <w:sz w:val="24"/>
          <w:szCs w:val="24"/>
        </w:rPr>
        <w:t>1</w:t>
      </w:r>
      <w:r>
        <w:rPr>
          <w:rFonts w:ascii="Times New Roman" w:hAnsi="Times New Roman"/>
          <w:sz w:val="24"/>
          <w:szCs w:val="24"/>
        </w:rPr>
        <w:t>(3): 108-113. ISSN: 2040-8773</w:t>
      </w:r>
    </w:p>
    <w:p w14:paraId="6A69C72E"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Amor, A. J., Gomez-Guerrero, C., Ortega, E., Sala-Vila, A., and Lazaro, I., (2020). Ellagic acid as a tool to limit the diabetes burden: updated evidence. Updated Evidence. </w:t>
      </w:r>
      <w:r>
        <w:rPr>
          <w:rFonts w:ascii="Times New Roman" w:hAnsi="Times New Roman"/>
          <w:i/>
          <w:iCs/>
          <w:sz w:val="24"/>
          <w:szCs w:val="24"/>
        </w:rPr>
        <w:t>Antioxidants</w:t>
      </w:r>
      <w:r>
        <w:rPr>
          <w:rFonts w:ascii="Times New Roman" w:hAnsi="Times New Roman"/>
          <w:sz w:val="24"/>
          <w:szCs w:val="24"/>
        </w:rPr>
        <w:t xml:space="preserve">, </w:t>
      </w:r>
      <w:r>
        <w:rPr>
          <w:rFonts w:ascii="Times New Roman" w:hAnsi="Times New Roman"/>
          <w:b/>
          <w:bCs/>
          <w:sz w:val="24"/>
          <w:szCs w:val="24"/>
        </w:rPr>
        <w:t>9</w:t>
      </w:r>
      <w:r>
        <w:rPr>
          <w:rFonts w:ascii="Times New Roman" w:hAnsi="Times New Roman"/>
          <w:sz w:val="24"/>
          <w:szCs w:val="24"/>
        </w:rPr>
        <w:t xml:space="preserve">(12). </w:t>
      </w:r>
    </w:p>
    <w:p w14:paraId="770B1A12"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Anowi, C. F., Okonkwo, C., Agbata, C. A., and Ezeokafor, E., (2012). Preliminary phytochemical screening, evaluation of acute toxicity and antipyretic activity of methanolic extract of </w:t>
      </w:r>
      <w:r>
        <w:rPr>
          <w:rFonts w:ascii="Times New Roman" w:hAnsi="Times New Roman"/>
          <w:i/>
          <w:sz w:val="24"/>
          <w:szCs w:val="24"/>
        </w:rPr>
        <w:t>Pterocarpus santalinoides</w:t>
      </w:r>
      <w:r>
        <w:rPr>
          <w:rFonts w:ascii="Times New Roman" w:hAnsi="Times New Roman"/>
          <w:sz w:val="24"/>
          <w:szCs w:val="24"/>
        </w:rPr>
        <w:t xml:space="preserve"> (Fabaceae).</w:t>
      </w:r>
      <w:r>
        <w:rPr>
          <w:rFonts w:ascii="Times New Roman" w:hAnsi="Times New Roman"/>
          <w:i/>
          <w:iCs/>
          <w:sz w:val="24"/>
          <w:szCs w:val="24"/>
        </w:rPr>
        <w:t xml:space="preserve"> International Journal of Pharmaceutical and Phytopharmacological Research</w:t>
      </w:r>
      <w:r>
        <w:rPr>
          <w:rFonts w:ascii="Times New Roman" w:hAnsi="Times New Roman"/>
          <w:sz w:val="24"/>
          <w:szCs w:val="24"/>
        </w:rPr>
        <w:t xml:space="preserve">, </w:t>
      </w:r>
      <w:r>
        <w:rPr>
          <w:rFonts w:ascii="Times New Roman" w:hAnsi="Times New Roman"/>
          <w:b/>
          <w:bCs/>
          <w:sz w:val="24"/>
          <w:szCs w:val="24"/>
        </w:rPr>
        <w:t>1</w:t>
      </w:r>
      <w:r>
        <w:rPr>
          <w:rFonts w:ascii="Times New Roman" w:hAnsi="Times New Roman"/>
          <w:sz w:val="24"/>
          <w:szCs w:val="24"/>
        </w:rPr>
        <w:t>(6): 343-346.</w:t>
      </w:r>
    </w:p>
    <w:p w14:paraId="7FF40B56" w14:textId="77777777" w:rsidR="005C75C3" w:rsidRDefault="00D42813">
      <w:pPr>
        <w:spacing w:line="360" w:lineRule="auto"/>
        <w:ind w:hanging="360"/>
        <w:jc w:val="both"/>
        <w:rPr>
          <w:rFonts w:ascii="Times New Roman" w:eastAsia="Arial" w:hAnsi="Times New Roman"/>
          <w:sz w:val="24"/>
          <w:szCs w:val="24"/>
          <w:lang w:eastAsia="en-US"/>
        </w:rPr>
      </w:pPr>
      <w:r>
        <w:rPr>
          <w:rFonts w:ascii="Times New Roman" w:hAnsi="Times New Roman"/>
          <w:sz w:val="24"/>
          <w:szCs w:val="24"/>
        </w:rPr>
        <w:t xml:space="preserve">Bao, X., Li, W., Jia, R., Meng, D., Zhang, H., and Xia, L., (2023). Molecular mechanism of ferulic acid and its derivatives in tumor progression. </w:t>
      </w:r>
      <w:r>
        <w:rPr>
          <w:rFonts w:ascii="Times New Roman" w:hAnsi="Times New Roman"/>
          <w:i/>
          <w:iCs/>
          <w:sz w:val="24"/>
          <w:szCs w:val="24"/>
        </w:rPr>
        <w:t>Pharmacological Reports</w:t>
      </w:r>
      <w:r>
        <w:rPr>
          <w:rFonts w:ascii="Times New Roman" w:hAnsi="Times New Roman"/>
          <w:sz w:val="24"/>
          <w:szCs w:val="24"/>
        </w:rPr>
        <w:t xml:space="preserve">, </w:t>
      </w:r>
      <w:r>
        <w:rPr>
          <w:rFonts w:ascii="Times New Roman" w:hAnsi="Times New Roman"/>
          <w:b/>
          <w:bCs/>
          <w:sz w:val="24"/>
          <w:szCs w:val="24"/>
        </w:rPr>
        <w:t>75</w:t>
      </w:r>
      <w:r>
        <w:rPr>
          <w:rFonts w:ascii="Times New Roman" w:hAnsi="Times New Roman"/>
          <w:bCs/>
          <w:sz w:val="24"/>
          <w:szCs w:val="24"/>
        </w:rPr>
        <w:t>:</w:t>
      </w:r>
      <w:r>
        <w:rPr>
          <w:rFonts w:ascii="Times New Roman" w:hAnsi="Times New Roman"/>
          <w:sz w:val="24"/>
          <w:szCs w:val="24"/>
        </w:rPr>
        <w:t xml:space="preserve"> 891–906. </w:t>
      </w:r>
    </w:p>
    <w:p w14:paraId="5063EA89" w14:textId="77777777" w:rsidR="005C75C3" w:rsidRDefault="00D42813">
      <w:pPr>
        <w:spacing w:line="360" w:lineRule="auto"/>
        <w:ind w:hanging="360"/>
        <w:jc w:val="both"/>
        <w:rPr>
          <w:rFonts w:ascii="Times New Roman" w:eastAsia="Arial" w:hAnsi="Times New Roman"/>
          <w:sz w:val="24"/>
          <w:szCs w:val="24"/>
          <w:lang w:eastAsia="en-US"/>
        </w:rPr>
      </w:pPr>
      <w:r>
        <w:rPr>
          <w:rFonts w:ascii="Times New Roman" w:eastAsia="Arial" w:hAnsi="Times New Roman"/>
          <w:sz w:val="24"/>
          <w:szCs w:val="24"/>
          <w:lang w:val="en-GB" w:eastAsia="en-US"/>
        </w:rPr>
        <w:t xml:space="preserve">Barros, L., Ferreira, M. J., Queirós, B., Ferreira, I. C. F. R., and Baptista, P., (2008). </w:t>
      </w:r>
      <w:r>
        <w:rPr>
          <w:rFonts w:ascii="Times New Roman" w:eastAsia="Arial" w:hAnsi="Times New Roman"/>
          <w:sz w:val="24"/>
          <w:szCs w:val="24"/>
          <w:lang w:eastAsia="en-US"/>
        </w:rPr>
        <w:t xml:space="preserve">Total phenols, ascorbic acid, β-carotene and lycopene in Portuguese wild edible mushrooms and their antioxidant activities. </w:t>
      </w:r>
      <w:r>
        <w:rPr>
          <w:rFonts w:ascii="Times New Roman" w:eastAsia="Arial" w:hAnsi="Times New Roman"/>
          <w:i/>
          <w:iCs/>
          <w:sz w:val="24"/>
          <w:szCs w:val="24"/>
          <w:lang w:eastAsia="en-US"/>
        </w:rPr>
        <w:t>Food Chemistry</w:t>
      </w:r>
      <w:r>
        <w:rPr>
          <w:rFonts w:ascii="Times New Roman" w:eastAsia="Arial" w:hAnsi="Times New Roman"/>
          <w:sz w:val="24"/>
          <w:szCs w:val="24"/>
          <w:lang w:eastAsia="en-US"/>
        </w:rPr>
        <w:t xml:space="preserve">, </w:t>
      </w:r>
      <w:r>
        <w:rPr>
          <w:rFonts w:ascii="Times New Roman" w:eastAsia="Arial" w:hAnsi="Times New Roman"/>
          <w:b/>
          <w:bCs/>
          <w:sz w:val="24"/>
          <w:szCs w:val="24"/>
          <w:lang w:eastAsia="en-US"/>
        </w:rPr>
        <w:t>103</w:t>
      </w:r>
      <w:r>
        <w:rPr>
          <w:rFonts w:ascii="Times New Roman" w:eastAsia="Arial" w:hAnsi="Times New Roman"/>
          <w:sz w:val="24"/>
          <w:szCs w:val="24"/>
          <w:lang w:eastAsia="en-US"/>
        </w:rPr>
        <w:t>: 413-419.</w:t>
      </w:r>
    </w:p>
    <w:p w14:paraId="24297332"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Barter, P., Gotto, A. M., LaRosa, J. C., Maroni, J., Szarek, M., Grundy, S. M., Kastelein, J. J., Bittner, V., and Fruchart, J. C., (2007). Treating to New Targets Investigators. HDL cholesterol, very low levels of LDL cholesterol, and cardiovascular events. </w:t>
      </w:r>
      <w:r>
        <w:rPr>
          <w:rFonts w:ascii="Times New Roman" w:hAnsi="Times New Roman"/>
          <w:i/>
          <w:iCs/>
          <w:sz w:val="24"/>
          <w:szCs w:val="24"/>
        </w:rPr>
        <w:t>New England Journal of Medicine</w:t>
      </w:r>
      <w:r>
        <w:rPr>
          <w:rFonts w:ascii="Times New Roman" w:hAnsi="Times New Roman"/>
          <w:sz w:val="24"/>
          <w:szCs w:val="24"/>
        </w:rPr>
        <w:t xml:space="preserve">, </w:t>
      </w:r>
      <w:r>
        <w:rPr>
          <w:rFonts w:ascii="Times New Roman" w:hAnsi="Times New Roman"/>
          <w:b/>
          <w:bCs/>
          <w:sz w:val="24"/>
          <w:szCs w:val="24"/>
        </w:rPr>
        <w:t>357</w:t>
      </w:r>
      <w:r>
        <w:rPr>
          <w:rFonts w:ascii="Times New Roman" w:hAnsi="Times New Roman"/>
          <w:sz w:val="24"/>
          <w:szCs w:val="24"/>
        </w:rPr>
        <w:t>(13): 1301-1310. doi: 10.1056/NEJMoa064278. PMID: 17898099.</w:t>
      </w:r>
    </w:p>
    <w:p w14:paraId="65350E7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Brown, J., and Arthur, J., (2001). Selenium, selenoproteins and human health: a review. </w:t>
      </w:r>
      <w:r>
        <w:rPr>
          <w:rFonts w:ascii="Times New Roman" w:hAnsi="Times New Roman"/>
          <w:i/>
          <w:iCs/>
          <w:sz w:val="24"/>
          <w:szCs w:val="24"/>
        </w:rPr>
        <w:t>Public Health Nutrition</w:t>
      </w:r>
      <w:r>
        <w:rPr>
          <w:rFonts w:ascii="Times New Roman" w:hAnsi="Times New Roman"/>
          <w:sz w:val="24"/>
          <w:szCs w:val="24"/>
        </w:rPr>
        <w:t xml:space="preserve">. </w:t>
      </w:r>
      <w:r>
        <w:rPr>
          <w:rFonts w:ascii="Times New Roman" w:hAnsi="Times New Roman"/>
          <w:b/>
          <w:bCs/>
          <w:sz w:val="24"/>
          <w:szCs w:val="24"/>
        </w:rPr>
        <w:t>2001</w:t>
      </w:r>
      <w:r>
        <w:rPr>
          <w:rFonts w:ascii="Times New Roman" w:hAnsi="Times New Roman"/>
          <w:sz w:val="24"/>
          <w:szCs w:val="24"/>
        </w:rPr>
        <w:t>(2B): 593-599.</w:t>
      </w:r>
    </w:p>
    <w:p w14:paraId="786337D2" w14:textId="78E65966" w:rsidR="005C75C3" w:rsidRDefault="00D42813" w:rsidP="008F0660">
      <w:pPr>
        <w:spacing w:line="360" w:lineRule="auto"/>
        <w:ind w:hanging="360"/>
        <w:jc w:val="both"/>
        <w:rPr>
          <w:rFonts w:ascii="Times New Roman" w:hAnsi="Times New Roman"/>
          <w:sz w:val="24"/>
          <w:szCs w:val="24"/>
        </w:rPr>
      </w:pPr>
      <w:r>
        <w:rPr>
          <w:rFonts w:ascii="Times New Roman" w:hAnsi="Times New Roman"/>
          <w:sz w:val="24"/>
          <w:szCs w:val="24"/>
          <w:lang w:val="es-ES"/>
        </w:rPr>
        <w:t xml:space="preserve">Caetano, A. R., Oliveira, R. D, Celeiro, S. P., Freitas, A. S., Cardoso, S. M., Gonçalves, M. S. T., Baltazar, F., and Almeida-Aguiar, C., (2023). </w:t>
      </w:r>
      <w:r>
        <w:rPr>
          <w:rFonts w:ascii="Times New Roman" w:hAnsi="Times New Roman"/>
          <w:sz w:val="24"/>
          <w:szCs w:val="24"/>
        </w:rPr>
        <w:t xml:space="preserve">Phenolic Compounds Contribution to Portuguese Propolis Anti-Melanoma Activity. </w:t>
      </w:r>
      <w:r>
        <w:rPr>
          <w:rFonts w:ascii="Times New Roman" w:hAnsi="Times New Roman"/>
          <w:i/>
          <w:iCs/>
          <w:sz w:val="24"/>
          <w:szCs w:val="24"/>
        </w:rPr>
        <w:t>Molecules</w:t>
      </w:r>
      <w:r>
        <w:rPr>
          <w:rFonts w:ascii="Times New Roman" w:hAnsi="Times New Roman"/>
          <w:sz w:val="24"/>
          <w:szCs w:val="24"/>
        </w:rPr>
        <w:t xml:space="preserve">, </w:t>
      </w:r>
      <w:r>
        <w:rPr>
          <w:rFonts w:ascii="Times New Roman" w:hAnsi="Times New Roman"/>
          <w:b/>
          <w:bCs/>
          <w:sz w:val="24"/>
          <w:szCs w:val="24"/>
        </w:rPr>
        <w:t>28</w:t>
      </w:r>
      <w:r>
        <w:rPr>
          <w:rFonts w:ascii="Times New Roman" w:hAnsi="Times New Roman"/>
          <w:sz w:val="24"/>
          <w:szCs w:val="24"/>
        </w:rPr>
        <w:t xml:space="preserve">(7): 3107. </w:t>
      </w:r>
    </w:p>
    <w:p w14:paraId="116161D0"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Chung, T. W., Li, S., Lin, C. C., and Tsai, S. W., (2019). Antinociceptive and Anti-Inflammatory Effects of the Citrus Flavanone Naringenin. </w:t>
      </w:r>
      <w:r>
        <w:rPr>
          <w:rFonts w:ascii="Times New Roman" w:hAnsi="Times New Roman"/>
          <w:i/>
          <w:iCs/>
          <w:sz w:val="24"/>
          <w:szCs w:val="24"/>
        </w:rPr>
        <w:t>Tzu Chi Medical Journal</w:t>
      </w:r>
      <w:r>
        <w:rPr>
          <w:rFonts w:ascii="Times New Roman" w:hAnsi="Times New Roman"/>
          <w:sz w:val="24"/>
          <w:szCs w:val="24"/>
        </w:rPr>
        <w:t xml:space="preserve">, </w:t>
      </w:r>
      <w:r>
        <w:rPr>
          <w:rFonts w:ascii="Times New Roman" w:hAnsi="Times New Roman"/>
          <w:b/>
          <w:bCs/>
          <w:sz w:val="24"/>
          <w:szCs w:val="24"/>
        </w:rPr>
        <w:t>31</w:t>
      </w:r>
      <w:r>
        <w:rPr>
          <w:rFonts w:ascii="Times New Roman" w:hAnsi="Times New Roman"/>
          <w:sz w:val="24"/>
          <w:szCs w:val="24"/>
        </w:rPr>
        <w:t xml:space="preserve">: 81–85. </w:t>
      </w:r>
    </w:p>
    <w:p w14:paraId="5FF2190A"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Drexel, H., (2006). Reducing risk by raising HDL-cholesterol: the evidence. </w:t>
      </w:r>
      <w:r>
        <w:rPr>
          <w:rFonts w:ascii="Times New Roman" w:hAnsi="Times New Roman"/>
          <w:i/>
          <w:iCs/>
          <w:sz w:val="24"/>
          <w:szCs w:val="24"/>
        </w:rPr>
        <w:t>European Heart Journal Supplements</w:t>
      </w:r>
      <w:r>
        <w:rPr>
          <w:rFonts w:ascii="Times New Roman" w:hAnsi="Times New Roman"/>
          <w:sz w:val="24"/>
          <w:szCs w:val="24"/>
        </w:rPr>
        <w:t xml:space="preserve">, </w:t>
      </w:r>
      <w:r>
        <w:rPr>
          <w:rFonts w:ascii="Times New Roman" w:hAnsi="Times New Roman"/>
          <w:b/>
          <w:bCs/>
          <w:sz w:val="24"/>
          <w:szCs w:val="24"/>
        </w:rPr>
        <w:t>8</w:t>
      </w:r>
      <w:r>
        <w:rPr>
          <w:rFonts w:ascii="Times New Roman" w:hAnsi="Times New Roman"/>
          <w:sz w:val="24"/>
          <w:szCs w:val="24"/>
        </w:rPr>
        <w:t>(Supplement F): F23–F29. doi:10.1093/eurheartj/sul037.</w:t>
      </w:r>
    </w:p>
    <w:p w14:paraId="65B7827A"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Ezeani, N. N., Alum, E. U., Orji, O. U., and Edwin, N., (2017). The Effect of Ethanol Leaf Extract of </w:t>
      </w:r>
      <w:r>
        <w:rPr>
          <w:rFonts w:ascii="Times New Roman" w:hAnsi="Times New Roman"/>
          <w:i/>
          <w:iCs/>
          <w:sz w:val="24"/>
          <w:szCs w:val="24"/>
        </w:rPr>
        <w:t>Pterocarpus santalinoides</w:t>
      </w:r>
      <w:r>
        <w:rPr>
          <w:rFonts w:ascii="Times New Roman" w:hAnsi="Times New Roman"/>
          <w:sz w:val="24"/>
          <w:szCs w:val="24"/>
        </w:rPr>
        <w:t xml:space="preserve"> (Ntrukpa) on the Lipid Profile of Alloxan-Induced Diabetic Albino Rats. </w:t>
      </w:r>
      <w:r>
        <w:rPr>
          <w:rFonts w:ascii="Times New Roman" w:hAnsi="Times New Roman"/>
          <w:i/>
          <w:iCs/>
          <w:sz w:val="24"/>
          <w:szCs w:val="24"/>
        </w:rPr>
        <w:t>International Digital Organization for Scientific Research Journal of Scientific Research</w:t>
      </w:r>
      <w:r>
        <w:rPr>
          <w:rFonts w:ascii="Times New Roman" w:hAnsi="Times New Roman"/>
          <w:sz w:val="24"/>
          <w:szCs w:val="24"/>
        </w:rPr>
        <w:t xml:space="preserve">, </w:t>
      </w:r>
      <w:r>
        <w:rPr>
          <w:rFonts w:ascii="Times New Roman" w:hAnsi="Times New Roman"/>
          <w:b/>
          <w:bCs/>
          <w:sz w:val="24"/>
          <w:szCs w:val="24"/>
        </w:rPr>
        <w:t>2</w:t>
      </w:r>
      <w:r>
        <w:rPr>
          <w:rFonts w:ascii="Times New Roman" w:hAnsi="Times New Roman"/>
          <w:sz w:val="24"/>
          <w:szCs w:val="24"/>
        </w:rPr>
        <w:t xml:space="preserve">(2): 175-189. </w:t>
      </w:r>
    </w:p>
    <w:p w14:paraId="4C156719"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Ferguson, L. R., (2001). Role of plant polyphenols in genomic stability. </w:t>
      </w:r>
      <w:r>
        <w:rPr>
          <w:rFonts w:ascii="Times New Roman" w:hAnsi="Times New Roman"/>
          <w:i/>
          <w:iCs/>
          <w:sz w:val="24"/>
          <w:szCs w:val="24"/>
        </w:rPr>
        <w:t>Mutation Research</w:t>
      </w:r>
      <w:r>
        <w:rPr>
          <w:rFonts w:ascii="Times New Roman" w:hAnsi="Times New Roman"/>
          <w:sz w:val="24"/>
          <w:szCs w:val="24"/>
        </w:rPr>
        <w:t xml:space="preserve">, </w:t>
      </w:r>
      <w:r>
        <w:rPr>
          <w:rFonts w:ascii="Times New Roman" w:hAnsi="Times New Roman"/>
          <w:b/>
          <w:bCs/>
          <w:sz w:val="24"/>
          <w:szCs w:val="24"/>
        </w:rPr>
        <w:t>475</w:t>
      </w:r>
      <w:r>
        <w:rPr>
          <w:rFonts w:ascii="Times New Roman" w:hAnsi="Times New Roman"/>
          <w:sz w:val="24"/>
          <w:szCs w:val="24"/>
        </w:rPr>
        <w:t>: 89–111.</w:t>
      </w:r>
    </w:p>
    <w:p w14:paraId="6C210FAF"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Friedewald, W. T., Levy, R. I., and Fredrickson, D. S., (1972). “Estimation of the concentration of low–density lipoprotein cholesterol in plasma, without use of preparative ultracentrifuge. </w:t>
      </w:r>
      <w:r>
        <w:rPr>
          <w:rFonts w:ascii="Times New Roman" w:hAnsi="Times New Roman"/>
          <w:i/>
          <w:iCs/>
          <w:sz w:val="24"/>
          <w:szCs w:val="24"/>
        </w:rPr>
        <w:t>Clinical Chemistry</w:t>
      </w:r>
      <w:r>
        <w:rPr>
          <w:rFonts w:ascii="Times New Roman" w:hAnsi="Times New Roman"/>
          <w:sz w:val="24"/>
          <w:szCs w:val="24"/>
        </w:rPr>
        <w:t xml:space="preserve">, </w:t>
      </w:r>
      <w:r>
        <w:rPr>
          <w:rFonts w:ascii="Times New Roman" w:hAnsi="Times New Roman"/>
          <w:b/>
          <w:bCs/>
          <w:sz w:val="24"/>
          <w:szCs w:val="24"/>
        </w:rPr>
        <w:t>18</w:t>
      </w:r>
      <w:r>
        <w:rPr>
          <w:rFonts w:ascii="Times New Roman" w:hAnsi="Times New Roman"/>
          <w:sz w:val="24"/>
          <w:szCs w:val="24"/>
        </w:rPr>
        <w:t>: 499-502.</w:t>
      </w:r>
    </w:p>
    <w:p w14:paraId="45E8CE14" w14:textId="77777777" w:rsidR="005C75C3" w:rsidRDefault="00D42813">
      <w:pPr>
        <w:spacing w:line="360" w:lineRule="auto"/>
        <w:ind w:hanging="360"/>
        <w:jc w:val="both"/>
        <w:rPr>
          <w:rFonts w:ascii="Times New Roman" w:hAnsi="Times New Roman"/>
          <w:sz w:val="24"/>
          <w:szCs w:val="24"/>
        </w:rPr>
      </w:pPr>
      <w:proofErr w:type="spellStart"/>
      <w:r>
        <w:rPr>
          <w:rFonts w:ascii="Times New Roman" w:hAnsi="Times New Roman"/>
          <w:sz w:val="24"/>
          <w:szCs w:val="24"/>
        </w:rPr>
        <w:t>Girawale</w:t>
      </w:r>
      <w:proofErr w:type="spellEnd"/>
      <w:r>
        <w:rPr>
          <w:rFonts w:ascii="Times New Roman" w:hAnsi="Times New Roman"/>
          <w:sz w:val="24"/>
          <w:szCs w:val="24"/>
        </w:rPr>
        <w:t xml:space="preserve">, S. D., Meena, S. N., Nandre, V. S., Waghmode, S. B., and Kodam K. M., (2022). Biosynthesis of vanillic acid by Ochrobactrum anthropi and its applications. </w:t>
      </w:r>
      <w:r>
        <w:rPr>
          <w:rFonts w:ascii="Times New Roman" w:hAnsi="Times New Roman"/>
          <w:i/>
          <w:iCs/>
          <w:sz w:val="24"/>
          <w:szCs w:val="24"/>
        </w:rPr>
        <w:t>Bioorganic and Medicina Chemistry</w:t>
      </w:r>
      <w:r>
        <w:rPr>
          <w:rFonts w:ascii="Times New Roman" w:hAnsi="Times New Roman"/>
          <w:sz w:val="24"/>
          <w:szCs w:val="24"/>
        </w:rPr>
        <w:t xml:space="preserve">, </w:t>
      </w:r>
      <w:r>
        <w:rPr>
          <w:rFonts w:ascii="Times New Roman" w:hAnsi="Times New Roman"/>
          <w:b/>
          <w:bCs/>
          <w:sz w:val="24"/>
          <w:szCs w:val="24"/>
        </w:rPr>
        <w:t>72</w:t>
      </w:r>
      <w:r>
        <w:rPr>
          <w:rFonts w:ascii="Times New Roman" w:hAnsi="Times New Roman"/>
          <w:sz w:val="24"/>
          <w:szCs w:val="24"/>
        </w:rPr>
        <w:t>: 117000.</w:t>
      </w:r>
    </w:p>
    <w:p w14:paraId="0F36BEEB"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Goh, J. X. H., Tan, L. T., Goh, J. K., Chan, K. G., Pusparajah, P., Lee, L. H., and Goh, B. H., (2019). Nobiletin and Derivatives: Functional Compounds from Citrus Fruit Peel for Colon Cancer Chemoprevention. </w:t>
      </w:r>
      <w:r>
        <w:rPr>
          <w:rFonts w:ascii="Times New Roman" w:hAnsi="Times New Roman"/>
          <w:i/>
          <w:sz w:val="24"/>
          <w:szCs w:val="24"/>
        </w:rPr>
        <w:t>Cancers (Basel)</w:t>
      </w:r>
      <w:r>
        <w:rPr>
          <w:rFonts w:ascii="Times New Roman" w:hAnsi="Times New Roman"/>
          <w:sz w:val="24"/>
          <w:szCs w:val="24"/>
        </w:rPr>
        <w:t xml:space="preserve">, </w:t>
      </w:r>
      <w:r>
        <w:rPr>
          <w:rFonts w:ascii="Times New Roman" w:hAnsi="Times New Roman"/>
          <w:b/>
          <w:sz w:val="24"/>
          <w:szCs w:val="24"/>
        </w:rPr>
        <w:t>11</w:t>
      </w:r>
      <w:r>
        <w:rPr>
          <w:rFonts w:ascii="Times New Roman" w:hAnsi="Times New Roman"/>
          <w:sz w:val="24"/>
          <w:szCs w:val="24"/>
        </w:rPr>
        <w:t>(6): 867.</w:t>
      </w:r>
    </w:p>
    <w:p w14:paraId="4246F53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Hagenlocher Y., Feilhauer K., Schäffer M., Bischoff S. C., Lorentz A., (2017). Citrus peel polymethoxyflavones nobiletin and tangeretin suppress LPS- and IgE-mediated activation of human intestinal mast cells. </w:t>
      </w:r>
      <w:r>
        <w:rPr>
          <w:rFonts w:ascii="Times New Roman" w:hAnsi="Times New Roman"/>
          <w:i/>
          <w:iCs/>
          <w:sz w:val="24"/>
          <w:szCs w:val="24"/>
        </w:rPr>
        <w:t xml:space="preserve">European Journal of Nutrition, </w:t>
      </w:r>
      <w:r>
        <w:rPr>
          <w:rFonts w:ascii="Times New Roman" w:hAnsi="Times New Roman"/>
          <w:b/>
          <w:bCs/>
          <w:sz w:val="24"/>
          <w:szCs w:val="24"/>
        </w:rPr>
        <w:t>56</w:t>
      </w:r>
      <w:r>
        <w:rPr>
          <w:rFonts w:ascii="Times New Roman" w:hAnsi="Times New Roman"/>
          <w:sz w:val="24"/>
          <w:szCs w:val="24"/>
        </w:rPr>
        <w:t>(4): 1609–1620. doi: 10.1007/s00394-016-1207-z.</w:t>
      </w:r>
    </w:p>
    <w:p w14:paraId="37393F0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Hartogh, D. J. D., and Tsiani, E., (2019). Antidiabetic Properties of Naringenin: A Citrus Fruit Polyphenol. </w:t>
      </w:r>
      <w:r>
        <w:rPr>
          <w:rFonts w:ascii="Times New Roman" w:hAnsi="Times New Roman"/>
          <w:i/>
          <w:iCs/>
          <w:sz w:val="24"/>
          <w:szCs w:val="24"/>
        </w:rPr>
        <w:t>Biomolecules</w:t>
      </w:r>
      <w:r>
        <w:rPr>
          <w:rFonts w:ascii="Times New Roman" w:hAnsi="Times New Roman"/>
          <w:sz w:val="24"/>
          <w:szCs w:val="24"/>
        </w:rPr>
        <w:t xml:space="preserve">, </w:t>
      </w:r>
      <w:r>
        <w:rPr>
          <w:rFonts w:ascii="Times New Roman" w:hAnsi="Times New Roman"/>
          <w:b/>
          <w:bCs/>
          <w:sz w:val="24"/>
          <w:szCs w:val="24"/>
        </w:rPr>
        <w:t>9</w:t>
      </w:r>
      <w:r>
        <w:rPr>
          <w:rFonts w:ascii="Times New Roman" w:hAnsi="Times New Roman"/>
          <w:sz w:val="24"/>
          <w:szCs w:val="24"/>
        </w:rPr>
        <w:t xml:space="preserve">: 99. </w:t>
      </w:r>
    </w:p>
    <w:p w14:paraId="27685F23" w14:textId="77777777" w:rsidR="00FB25C1" w:rsidRDefault="00D42813" w:rsidP="00FB25C1">
      <w:pPr>
        <w:spacing w:line="360" w:lineRule="auto"/>
        <w:ind w:hanging="360"/>
        <w:jc w:val="both"/>
        <w:rPr>
          <w:rFonts w:ascii="Times New Roman" w:hAnsi="Times New Roman"/>
          <w:sz w:val="24"/>
          <w:szCs w:val="24"/>
        </w:rPr>
      </w:pPr>
      <w:r>
        <w:rPr>
          <w:rFonts w:ascii="Times New Roman" w:hAnsi="Times New Roman"/>
          <w:sz w:val="24"/>
          <w:szCs w:val="24"/>
        </w:rPr>
        <w:t xml:space="preserve">Ihedioha, T. E., Asuzu, I. U., Anaga, A. O., and Ihedioha, J. I., (2019). Hepatoprotective and antioxidant activities of </w:t>
      </w:r>
      <w:r>
        <w:rPr>
          <w:rFonts w:ascii="Times New Roman" w:hAnsi="Times New Roman"/>
          <w:i/>
          <w:iCs/>
          <w:sz w:val="24"/>
          <w:szCs w:val="24"/>
        </w:rPr>
        <w:t>Pterocarpus santalinoides</w:t>
      </w:r>
      <w:r>
        <w:rPr>
          <w:rFonts w:ascii="Times New Roman" w:hAnsi="Times New Roman"/>
          <w:sz w:val="24"/>
          <w:szCs w:val="24"/>
        </w:rPr>
        <w:t xml:space="preserve"> methanol leaf extract.</w:t>
      </w:r>
      <w:r>
        <w:rPr>
          <w:rFonts w:ascii="Times New Roman" w:hAnsi="Times New Roman"/>
          <w:i/>
          <w:iCs/>
          <w:sz w:val="24"/>
          <w:szCs w:val="24"/>
        </w:rPr>
        <w:t xml:space="preserve"> Afrrican Journal of Pharmacy and </w:t>
      </w:r>
      <w:proofErr w:type="spellStart"/>
      <w:r>
        <w:rPr>
          <w:rFonts w:ascii="Times New Roman" w:hAnsi="Times New Roman"/>
          <w:i/>
          <w:iCs/>
          <w:sz w:val="24"/>
          <w:szCs w:val="24"/>
        </w:rPr>
        <w:t>Pharmacolology</w:t>
      </w:r>
      <w:proofErr w:type="spellEnd"/>
      <w:r>
        <w:rPr>
          <w:rFonts w:ascii="Times New Roman" w:hAnsi="Times New Roman"/>
          <w:sz w:val="24"/>
          <w:szCs w:val="24"/>
        </w:rPr>
        <w:t xml:space="preserve">, </w:t>
      </w:r>
      <w:r>
        <w:rPr>
          <w:rFonts w:ascii="Times New Roman" w:hAnsi="Times New Roman"/>
          <w:b/>
          <w:bCs/>
          <w:sz w:val="24"/>
          <w:szCs w:val="24"/>
        </w:rPr>
        <w:t>13</w:t>
      </w:r>
      <w:r>
        <w:rPr>
          <w:rFonts w:ascii="Times New Roman" w:hAnsi="Times New Roman"/>
          <w:sz w:val="24"/>
          <w:szCs w:val="24"/>
        </w:rPr>
        <w:t>(18): 359-373.</w:t>
      </w:r>
    </w:p>
    <w:p w14:paraId="4E9BF076" w14:textId="70487975" w:rsidR="00FB25C1" w:rsidRPr="00803B69" w:rsidRDefault="00FB25C1" w:rsidP="00FB25C1">
      <w:pPr>
        <w:spacing w:line="360" w:lineRule="auto"/>
        <w:ind w:hanging="360"/>
        <w:jc w:val="both"/>
        <w:rPr>
          <w:rFonts w:ascii="Times New Roman" w:hAnsi="Times New Roman"/>
          <w:sz w:val="24"/>
          <w:szCs w:val="24"/>
        </w:rPr>
      </w:pPr>
      <w:proofErr w:type="spellStart"/>
      <w:r w:rsidRPr="00803B69">
        <w:rPr>
          <w:rFonts w:ascii="Times New Roman" w:hAnsi="Times New Roman"/>
          <w:sz w:val="24"/>
          <w:szCs w:val="24"/>
        </w:rPr>
        <w:t>Ihedioha</w:t>
      </w:r>
      <w:proofErr w:type="spellEnd"/>
      <w:r w:rsidRPr="00803B69">
        <w:rPr>
          <w:rFonts w:ascii="Times New Roman" w:hAnsi="Times New Roman"/>
          <w:sz w:val="24"/>
          <w:szCs w:val="24"/>
        </w:rPr>
        <w:t xml:space="preserve">, T. E., </w:t>
      </w:r>
      <w:proofErr w:type="spellStart"/>
      <w:r w:rsidRPr="00803B69">
        <w:rPr>
          <w:rFonts w:ascii="Times New Roman" w:hAnsi="Times New Roman"/>
          <w:sz w:val="24"/>
          <w:szCs w:val="24"/>
        </w:rPr>
        <w:t>Asuzu</w:t>
      </w:r>
      <w:proofErr w:type="spellEnd"/>
      <w:r w:rsidRPr="00803B69">
        <w:rPr>
          <w:rFonts w:ascii="Times New Roman" w:hAnsi="Times New Roman"/>
          <w:sz w:val="24"/>
          <w:szCs w:val="24"/>
        </w:rPr>
        <w:t xml:space="preserve">, I. U., Anaga, A. O., and </w:t>
      </w:r>
      <w:proofErr w:type="spellStart"/>
      <w:r w:rsidRPr="00803B69">
        <w:rPr>
          <w:rFonts w:ascii="Times New Roman" w:hAnsi="Times New Roman"/>
          <w:sz w:val="24"/>
          <w:szCs w:val="24"/>
        </w:rPr>
        <w:t>Ihedioha</w:t>
      </w:r>
      <w:proofErr w:type="spellEnd"/>
      <w:r w:rsidRPr="00803B69">
        <w:rPr>
          <w:rFonts w:ascii="Times New Roman" w:hAnsi="Times New Roman"/>
          <w:sz w:val="24"/>
          <w:szCs w:val="24"/>
        </w:rPr>
        <w:t xml:space="preserve">, J. I., (2021). Blood cellular, serum biochemical, and </w:t>
      </w:r>
      <w:proofErr w:type="spellStart"/>
      <w:r w:rsidRPr="00803B69">
        <w:rPr>
          <w:rFonts w:ascii="Times New Roman" w:hAnsi="Times New Roman"/>
          <w:sz w:val="24"/>
          <w:szCs w:val="24"/>
        </w:rPr>
        <w:t>organosomatic</w:t>
      </w:r>
      <w:proofErr w:type="spellEnd"/>
      <w:r w:rsidRPr="00803B69">
        <w:rPr>
          <w:rFonts w:ascii="Times New Roman" w:hAnsi="Times New Roman"/>
          <w:sz w:val="24"/>
          <w:szCs w:val="24"/>
        </w:rPr>
        <w:t xml:space="preserve"> alterations in albino rats following sub-acute oral administration of varied doses of </w:t>
      </w:r>
      <w:r w:rsidRPr="00803B69">
        <w:rPr>
          <w:rFonts w:ascii="Times New Roman" w:hAnsi="Times New Roman"/>
          <w:i/>
          <w:sz w:val="24"/>
          <w:szCs w:val="24"/>
        </w:rPr>
        <w:t xml:space="preserve">Pterocarpus </w:t>
      </w:r>
      <w:proofErr w:type="spellStart"/>
      <w:r w:rsidRPr="00803B69">
        <w:rPr>
          <w:rFonts w:ascii="Times New Roman" w:hAnsi="Times New Roman"/>
          <w:i/>
          <w:sz w:val="24"/>
          <w:szCs w:val="24"/>
        </w:rPr>
        <w:t>santalinoides</w:t>
      </w:r>
      <w:proofErr w:type="spellEnd"/>
      <w:r w:rsidRPr="00803B69">
        <w:rPr>
          <w:rFonts w:ascii="Times New Roman" w:hAnsi="Times New Roman"/>
          <w:sz w:val="24"/>
          <w:szCs w:val="24"/>
        </w:rPr>
        <w:t xml:space="preserve"> methanolic leaf extract. </w:t>
      </w:r>
      <w:r w:rsidRPr="00803B69">
        <w:rPr>
          <w:rFonts w:ascii="Times New Roman" w:hAnsi="Times New Roman"/>
          <w:i/>
          <w:iCs/>
          <w:sz w:val="24"/>
          <w:szCs w:val="24"/>
        </w:rPr>
        <w:t>Journal of Complementary Medicine Research</w:t>
      </w:r>
      <w:r w:rsidRPr="00803B69">
        <w:rPr>
          <w:rFonts w:ascii="Times New Roman" w:hAnsi="Times New Roman"/>
          <w:sz w:val="24"/>
          <w:szCs w:val="24"/>
        </w:rPr>
        <w:t xml:space="preserve">, </w:t>
      </w:r>
      <w:r w:rsidRPr="00803B69">
        <w:rPr>
          <w:rFonts w:ascii="Times New Roman" w:hAnsi="Times New Roman"/>
          <w:b/>
          <w:bCs/>
          <w:sz w:val="24"/>
          <w:szCs w:val="24"/>
        </w:rPr>
        <w:t>12</w:t>
      </w:r>
      <w:r w:rsidRPr="00803B69">
        <w:rPr>
          <w:rFonts w:ascii="Times New Roman" w:hAnsi="Times New Roman"/>
          <w:sz w:val="24"/>
          <w:szCs w:val="24"/>
        </w:rPr>
        <w:t>(1): 2146-8397.</w:t>
      </w:r>
    </w:p>
    <w:p w14:paraId="7BDEA398" w14:textId="55EA540B" w:rsidR="005C75C3" w:rsidRDefault="00D42813">
      <w:pPr>
        <w:spacing w:line="360" w:lineRule="auto"/>
        <w:ind w:hanging="360"/>
        <w:jc w:val="both"/>
        <w:rPr>
          <w:rFonts w:ascii="Times New Roman" w:hAnsi="Times New Roman"/>
          <w:sz w:val="24"/>
          <w:szCs w:val="24"/>
        </w:rPr>
      </w:pPr>
      <w:proofErr w:type="spellStart"/>
      <w:r>
        <w:rPr>
          <w:rFonts w:ascii="Times New Roman" w:hAnsi="Times New Roman"/>
          <w:sz w:val="24"/>
          <w:szCs w:val="24"/>
        </w:rPr>
        <w:t>Ihedioha</w:t>
      </w:r>
      <w:proofErr w:type="spellEnd"/>
      <w:r>
        <w:rPr>
          <w:rFonts w:ascii="Times New Roman" w:hAnsi="Times New Roman"/>
          <w:sz w:val="24"/>
          <w:szCs w:val="24"/>
        </w:rPr>
        <w:t xml:space="preserve">, T. E., Okechukwu, V. N., and Ihedioha, J. I., (2018). Effects of aqueous leaf infusion of </w:t>
      </w:r>
      <w:r>
        <w:rPr>
          <w:rFonts w:ascii="Times New Roman" w:hAnsi="Times New Roman"/>
          <w:i/>
          <w:iCs/>
          <w:sz w:val="24"/>
          <w:szCs w:val="24"/>
        </w:rPr>
        <w:t>Pterocarpus santalinoides</w:t>
      </w:r>
      <w:r>
        <w:rPr>
          <w:rFonts w:ascii="Times New Roman" w:hAnsi="Times New Roman"/>
          <w:sz w:val="24"/>
          <w:szCs w:val="24"/>
        </w:rPr>
        <w:t xml:space="preserve"> DC on serum lipid profile of guinea pigs (</w:t>
      </w:r>
      <w:r>
        <w:rPr>
          <w:rFonts w:ascii="Times New Roman" w:hAnsi="Times New Roman"/>
          <w:i/>
          <w:iCs/>
          <w:sz w:val="24"/>
          <w:szCs w:val="24"/>
        </w:rPr>
        <w:t>Carvia porcellus</w:t>
      </w:r>
      <w:r>
        <w:rPr>
          <w:rFonts w:ascii="Times New Roman" w:hAnsi="Times New Roman"/>
          <w:sz w:val="24"/>
          <w:szCs w:val="24"/>
        </w:rPr>
        <w:t xml:space="preserve">). </w:t>
      </w:r>
      <w:r>
        <w:rPr>
          <w:rFonts w:ascii="Times New Roman" w:hAnsi="Times New Roman"/>
          <w:i/>
          <w:iCs/>
          <w:sz w:val="24"/>
          <w:szCs w:val="24"/>
        </w:rPr>
        <w:t>Journal of Complementary Medicine Research</w:t>
      </w:r>
      <w:r>
        <w:rPr>
          <w:rFonts w:ascii="Times New Roman" w:hAnsi="Times New Roman"/>
          <w:sz w:val="24"/>
          <w:szCs w:val="24"/>
        </w:rPr>
        <w:t xml:space="preserve"> </w:t>
      </w:r>
      <w:r>
        <w:rPr>
          <w:rFonts w:ascii="Times New Roman" w:hAnsi="Times New Roman"/>
          <w:b/>
          <w:bCs/>
          <w:sz w:val="24"/>
          <w:szCs w:val="24"/>
        </w:rPr>
        <w:t>7</w:t>
      </w:r>
      <w:r>
        <w:rPr>
          <w:rFonts w:ascii="Times New Roman" w:hAnsi="Times New Roman"/>
          <w:sz w:val="24"/>
          <w:szCs w:val="24"/>
        </w:rPr>
        <w:t>(2): 154-160.</w:t>
      </w:r>
    </w:p>
    <w:p w14:paraId="19A71BBD" w14:textId="77777777" w:rsidR="00DD3F1B" w:rsidRDefault="00DD3F1B">
      <w:pPr>
        <w:spacing w:line="360" w:lineRule="auto"/>
        <w:ind w:hanging="360"/>
        <w:jc w:val="both"/>
        <w:rPr>
          <w:rFonts w:ascii="Times New Roman" w:hAnsi="Times New Roman"/>
          <w:sz w:val="24"/>
          <w:szCs w:val="24"/>
        </w:rPr>
      </w:pPr>
    </w:p>
    <w:p w14:paraId="0242AF4D" w14:textId="77777777" w:rsidR="00FB25C1" w:rsidRDefault="00D42813" w:rsidP="00FB25C1">
      <w:pPr>
        <w:spacing w:line="360" w:lineRule="auto"/>
        <w:ind w:hanging="360"/>
        <w:jc w:val="both"/>
        <w:rPr>
          <w:rFonts w:ascii="Times New Roman" w:hAnsi="Times New Roman"/>
          <w:sz w:val="24"/>
          <w:szCs w:val="24"/>
        </w:rPr>
      </w:pPr>
      <w:proofErr w:type="spellStart"/>
      <w:r>
        <w:rPr>
          <w:rFonts w:ascii="Times New Roman" w:hAnsi="Times New Roman"/>
          <w:sz w:val="24"/>
          <w:szCs w:val="24"/>
        </w:rPr>
        <w:lastRenderedPageBreak/>
        <w:t>Ihedioha</w:t>
      </w:r>
      <w:proofErr w:type="spellEnd"/>
      <w:r>
        <w:rPr>
          <w:rFonts w:ascii="Times New Roman" w:hAnsi="Times New Roman"/>
          <w:sz w:val="24"/>
          <w:szCs w:val="24"/>
        </w:rPr>
        <w:t xml:space="preserve">, T. E., Onwuegbuka, L. U., and Ihedioha, J. I., (2017). Hepatoprotective effects of methanol leaf extract of </w:t>
      </w:r>
      <w:r>
        <w:rPr>
          <w:rFonts w:ascii="Times New Roman" w:hAnsi="Times New Roman"/>
          <w:i/>
          <w:iCs/>
          <w:sz w:val="24"/>
          <w:szCs w:val="24"/>
        </w:rPr>
        <w:t>Pterocarpus santalinoides</w:t>
      </w:r>
      <w:r>
        <w:rPr>
          <w:rFonts w:ascii="Times New Roman" w:hAnsi="Times New Roman"/>
          <w:sz w:val="24"/>
          <w:szCs w:val="24"/>
        </w:rPr>
        <w:t xml:space="preserve"> DC on acetaminophen-induced liver damage in albino rats (</w:t>
      </w:r>
      <w:r>
        <w:rPr>
          <w:rFonts w:ascii="Times New Roman" w:hAnsi="Times New Roman"/>
          <w:i/>
          <w:iCs/>
          <w:sz w:val="24"/>
          <w:szCs w:val="24"/>
        </w:rPr>
        <w:t>Rattus norvegicus</w:t>
      </w:r>
      <w:r>
        <w:rPr>
          <w:rFonts w:ascii="Times New Roman" w:hAnsi="Times New Roman"/>
          <w:sz w:val="24"/>
          <w:szCs w:val="24"/>
        </w:rPr>
        <w:t xml:space="preserve">). </w:t>
      </w:r>
      <w:r>
        <w:rPr>
          <w:rFonts w:ascii="Times New Roman" w:hAnsi="Times New Roman"/>
          <w:i/>
          <w:iCs/>
          <w:sz w:val="24"/>
          <w:szCs w:val="24"/>
        </w:rPr>
        <w:t>Nigerian Journal of Animal Production</w:t>
      </w:r>
      <w:r>
        <w:rPr>
          <w:rFonts w:ascii="Times New Roman" w:hAnsi="Times New Roman"/>
          <w:sz w:val="24"/>
          <w:szCs w:val="24"/>
        </w:rPr>
        <w:t xml:space="preserve">, </w:t>
      </w:r>
      <w:r>
        <w:rPr>
          <w:rFonts w:ascii="Times New Roman" w:hAnsi="Times New Roman"/>
          <w:b/>
          <w:bCs/>
          <w:sz w:val="24"/>
          <w:szCs w:val="24"/>
        </w:rPr>
        <w:t>44</w:t>
      </w:r>
      <w:r>
        <w:rPr>
          <w:rFonts w:ascii="Times New Roman" w:hAnsi="Times New Roman"/>
          <w:sz w:val="24"/>
          <w:szCs w:val="24"/>
        </w:rPr>
        <w:t>(5): 34-39.</w:t>
      </w:r>
    </w:p>
    <w:p w14:paraId="0591728D" w14:textId="7E82FD77" w:rsidR="005C75C3" w:rsidRDefault="00D42813" w:rsidP="00FB25C1">
      <w:pPr>
        <w:spacing w:line="360" w:lineRule="auto"/>
        <w:ind w:hanging="360"/>
        <w:jc w:val="both"/>
        <w:rPr>
          <w:rFonts w:ascii="Times New Roman" w:hAnsi="Times New Roman"/>
          <w:sz w:val="24"/>
          <w:szCs w:val="24"/>
        </w:rPr>
      </w:pPr>
      <w:r>
        <w:rPr>
          <w:rFonts w:ascii="Times New Roman" w:hAnsi="Times New Roman"/>
          <w:sz w:val="24"/>
          <w:szCs w:val="24"/>
        </w:rPr>
        <w:t xml:space="preserve">Imanishi, N., Tuji, Y., Katada, Y., Maruhashi, M., Konosu, S., Man-tani, N., Terasawa, K., and Ochiai, H., (2002). Additional inhibitory effect of tea extract on the growth of influenza A and B viruses in MDCK cells. </w:t>
      </w:r>
      <w:r>
        <w:rPr>
          <w:rFonts w:ascii="Times New Roman" w:hAnsi="Times New Roman"/>
          <w:i/>
          <w:iCs/>
          <w:sz w:val="24"/>
          <w:szCs w:val="24"/>
        </w:rPr>
        <w:t>Microbiology and Immunology</w:t>
      </w:r>
      <w:r>
        <w:rPr>
          <w:rFonts w:ascii="Times New Roman" w:hAnsi="Times New Roman"/>
          <w:sz w:val="24"/>
          <w:szCs w:val="24"/>
        </w:rPr>
        <w:t xml:space="preserve">, </w:t>
      </w:r>
      <w:r>
        <w:rPr>
          <w:rFonts w:ascii="Times New Roman" w:hAnsi="Times New Roman"/>
          <w:b/>
          <w:bCs/>
          <w:sz w:val="24"/>
          <w:szCs w:val="24"/>
        </w:rPr>
        <w:t>46</w:t>
      </w:r>
      <w:r>
        <w:rPr>
          <w:rFonts w:ascii="Times New Roman" w:hAnsi="Times New Roman"/>
          <w:sz w:val="24"/>
          <w:szCs w:val="24"/>
        </w:rPr>
        <w:t>: 491–494.</w:t>
      </w:r>
    </w:p>
    <w:p w14:paraId="37E4464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Ishola, I. O., Osele, M. O., Chijioke, M. C., Adeyemi, O. O., (2019). Isorhamnetin enhanced cortico-hippocampal learning and memory capability in mice with scopolamine-induced amnesia: role of antioxidant defense, cholinergic and BDNF signaling. </w:t>
      </w:r>
      <w:r>
        <w:rPr>
          <w:rFonts w:ascii="Times New Roman" w:hAnsi="Times New Roman"/>
          <w:i/>
          <w:iCs/>
          <w:sz w:val="24"/>
          <w:szCs w:val="24"/>
        </w:rPr>
        <w:t>Brain Research</w:t>
      </w:r>
      <w:r>
        <w:rPr>
          <w:rFonts w:ascii="Times New Roman" w:hAnsi="Times New Roman"/>
          <w:sz w:val="24"/>
          <w:szCs w:val="24"/>
        </w:rPr>
        <w:t xml:space="preserve">, </w:t>
      </w:r>
      <w:r>
        <w:rPr>
          <w:rFonts w:ascii="Times New Roman" w:hAnsi="Times New Roman"/>
          <w:b/>
          <w:bCs/>
          <w:sz w:val="24"/>
          <w:szCs w:val="24"/>
        </w:rPr>
        <w:t>1712</w:t>
      </w:r>
      <w:r>
        <w:rPr>
          <w:rFonts w:ascii="Times New Roman" w:hAnsi="Times New Roman"/>
          <w:sz w:val="24"/>
          <w:szCs w:val="24"/>
        </w:rPr>
        <w:t>: 188-196.</w:t>
      </w:r>
    </w:p>
    <w:p w14:paraId="4B687DA3"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Ishtiaq, I., Zeb, A., Badshah, H., Alattar, A., Alshaman, R., and Koh, P. O., (2023). Enhanced cardioprotective activity of ferulic acid-loaded solid lipid nanoparticle in an animal model of myocardial injury. </w:t>
      </w:r>
      <w:r>
        <w:rPr>
          <w:rFonts w:ascii="Times New Roman" w:hAnsi="Times New Roman"/>
          <w:i/>
          <w:iCs/>
          <w:sz w:val="24"/>
          <w:szCs w:val="24"/>
        </w:rPr>
        <w:t>Toxicology and Applied Pharmacology</w:t>
      </w:r>
      <w:r>
        <w:rPr>
          <w:rFonts w:ascii="Times New Roman" w:hAnsi="Times New Roman"/>
          <w:sz w:val="24"/>
          <w:szCs w:val="24"/>
        </w:rPr>
        <w:t xml:space="preserve">, </w:t>
      </w:r>
      <w:r>
        <w:rPr>
          <w:rFonts w:ascii="Times New Roman" w:hAnsi="Times New Roman"/>
          <w:b/>
          <w:bCs/>
          <w:sz w:val="24"/>
          <w:szCs w:val="24"/>
        </w:rPr>
        <w:t>476</w:t>
      </w:r>
      <w:r>
        <w:rPr>
          <w:rFonts w:ascii="Times New Roman" w:hAnsi="Times New Roman"/>
          <w:sz w:val="24"/>
          <w:szCs w:val="24"/>
        </w:rPr>
        <w:t>: 116657.</w:t>
      </w:r>
    </w:p>
    <w:p w14:paraId="02A8B561" w14:textId="256F6C5C"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Jayasooriya, R. G. P. T., Molagoda, I. M. N., Park, C., Jeong, J. W., Choi, Y. H., Moon, D. O., Kim, M. O., and Kim, G. Y., (2018). Molecular chemotherapeutic potential of butein: A concise review. </w:t>
      </w:r>
      <w:r>
        <w:rPr>
          <w:rFonts w:ascii="Times New Roman" w:hAnsi="Times New Roman"/>
          <w:i/>
          <w:iCs/>
          <w:sz w:val="24"/>
          <w:szCs w:val="24"/>
        </w:rPr>
        <w:t>Food and Chemical Toxicology</w:t>
      </w:r>
      <w:r>
        <w:rPr>
          <w:rFonts w:ascii="Times New Roman" w:hAnsi="Times New Roman"/>
          <w:sz w:val="24"/>
          <w:szCs w:val="24"/>
        </w:rPr>
        <w:t xml:space="preserve">, </w:t>
      </w:r>
      <w:r>
        <w:rPr>
          <w:rFonts w:ascii="Times New Roman" w:hAnsi="Times New Roman"/>
          <w:b/>
          <w:bCs/>
          <w:sz w:val="24"/>
          <w:szCs w:val="24"/>
        </w:rPr>
        <w:t>112</w:t>
      </w:r>
      <w:r>
        <w:rPr>
          <w:rFonts w:ascii="Times New Roman" w:hAnsi="Times New Roman"/>
          <w:sz w:val="24"/>
          <w:szCs w:val="24"/>
        </w:rPr>
        <w:t xml:space="preserve">: 1-10. </w:t>
      </w:r>
    </w:p>
    <w:p w14:paraId="3E9CC230" w14:textId="4639613C" w:rsidR="00FB5E9F" w:rsidRDefault="00FB5E9F">
      <w:pPr>
        <w:spacing w:line="360" w:lineRule="auto"/>
        <w:ind w:hanging="360"/>
        <w:jc w:val="both"/>
        <w:rPr>
          <w:rFonts w:ascii="Times New Roman" w:hAnsi="Times New Roman"/>
          <w:sz w:val="24"/>
          <w:szCs w:val="24"/>
        </w:rPr>
      </w:pPr>
      <w:r w:rsidRPr="00803B69">
        <w:rPr>
          <w:rFonts w:ascii="Times New Roman" w:hAnsi="Times New Roman"/>
          <w:sz w:val="24"/>
          <w:szCs w:val="24"/>
        </w:rPr>
        <w:t>Keay, R. W., (1989). Pterocarpus species, Trees of Nigeria, Vol III, Clarendon Press, Oxford, 210pp</w:t>
      </w:r>
    </w:p>
    <w:p w14:paraId="1D42F19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Kelly, D. A., and Nelson, R., (2014). Characterization and quantification by gas chromatography of flavonoids. </w:t>
      </w:r>
      <w:r>
        <w:rPr>
          <w:rFonts w:ascii="Times New Roman" w:hAnsi="Times New Roman"/>
          <w:i/>
          <w:iCs/>
          <w:sz w:val="24"/>
          <w:szCs w:val="24"/>
        </w:rPr>
        <w:t>Journal of the Brazilian Chemical Society</w:t>
      </w:r>
      <w:r>
        <w:rPr>
          <w:rFonts w:ascii="Times New Roman" w:hAnsi="Times New Roman"/>
          <w:sz w:val="24"/>
          <w:szCs w:val="24"/>
        </w:rPr>
        <w:t xml:space="preserve">, </w:t>
      </w:r>
      <w:r>
        <w:rPr>
          <w:rFonts w:ascii="Times New Roman" w:hAnsi="Times New Roman"/>
          <w:b/>
          <w:bCs/>
          <w:sz w:val="24"/>
          <w:szCs w:val="24"/>
        </w:rPr>
        <w:t>25</w:t>
      </w:r>
      <w:r>
        <w:rPr>
          <w:rFonts w:ascii="Times New Roman" w:hAnsi="Times New Roman"/>
          <w:sz w:val="24"/>
          <w:szCs w:val="24"/>
        </w:rPr>
        <w:t>(2): 238-245.</w:t>
      </w:r>
    </w:p>
    <w:p w14:paraId="2C3A7C1B"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Kumari, S., Deori, M., Elancheran, R., Kotoky, J., and Devi, R., (2016). In vitro and in vivo antioxidant, antihyperlipidemic properties and chemical characterization of </w:t>
      </w:r>
      <w:r>
        <w:rPr>
          <w:rFonts w:ascii="Times New Roman" w:hAnsi="Times New Roman"/>
          <w:i/>
          <w:sz w:val="24"/>
          <w:szCs w:val="24"/>
        </w:rPr>
        <w:t>Centella asiatica</w:t>
      </w:r>
      <w:r>
        <w:rPr>
          <w:rFonts w:ascii="Times New Roman" w:hAnsi="Times New Roman"/>
          <w:sz w:val="24"/>
          <w:szCs w:val="24"/>
        </w:rPr>
        <w:t xml:space="preserve"> (L.) </w:t>
      </w:r>
      <w:r>
        <w:rPr>
          <w:rFonts w:ascii="Times New Roman" w:hAnsi="Times New Roman"/>
          <w:i/>
          <w:sz w:val="24"/>
          <w:szCs w:val="24"/>
        </w:rPr>
        <w:t>Frontiers in Pharmacology</w:t>
      </w:r>
      <w:r>
        <w:rPr>
          <w:rFonts w:ascii="Times New Roman" w:hAnsi="Times New Roman"/>
          <w:sz w:val="24"/>
          <w:szCs w:val="24"/>
        </w:rPr>
        <w:t xml:space="preserve">, </w:t>
      </w:r>
      <w:r>
        <w:rPr>
          <w:rFonts w:ascii="Times New Roman" w:hAnsi="Times New Roman"/>
          <w:b/>
          <w:bCs/>
          <w:sz w:val="24"/>
          <w:szCs w:val="24"/>
        </w:rPr>
        <w:t>7</w:t>
      </w:r>
      <w:r>
        <w:rPr>
          <w:rFonts w:ascii="Times New Roman" w:hAnsi="Times New Roman"/>
          <w:sz w:val="24"/>
          <w:szCs w:val="24"/>
        </w:rPr>
        <w:t xml:space="preserve">(13): 1-12.  </w:t>
      </w:r>
    </w:p>
    <w:p w14:paraId="5AB7F146"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Lee, Y. K., Yuk, D. Y., Lee, J. W., Lee, S. Y., Ha, T. Y., Oh, K. W., Yun, Y. P., and Hong, J. T., (2009). (-)-Epigallocatechin-3-gallate prevents lipopolysaccharide-induced elevation of beta-amyloid generation and memory deficiency. </w:t>
      </w:r>
      <w:r>
        <w:rPr>
          <w:rFonts w:ascii="Times New Roman" w:hAnsi="Times New Roman"/>
          <w:i/>
          <w:iCs/>
          <w:sz w:val="24"/>
          <w:szCs w:val="24"/>
        </w:rPr>
        <w:t>Brain Research</w:t>
      </w:r>
      <w:r>
        <w:rPr>
          <w:rFonts w:ascii="Times New Roman" w:hAnsi="Times New Roman"/>
          <w:sz w:val="24"/>
          <w:szCs w:val="24"/>
        </w:rPr>
        <w:t xml:space="preserve">, </w:t>
      </w:r>
      <w:r>
        <w:rPr>
          <w:rFonts w:ascii="Times New Roman" w:hAnsi="Times New Roman"/>
          <w:b/>
          <w:bCs/>
          <w:sz w:val="24"/>
          <w:szCs w:val="24"/>
        </w:rPr>
        <w:t>1250</w:t>
      </w:r>
      <w:r>
        <w:rPr>
          <w:rFonts w:ascii="Times New Roman" w:hAnsi="Times New Roman"/>
          <w:sz w:val="24"/>
          <w:szCs w:val="24"/>
        </w:rPr>
        <w:t>: 164-174.</w:t>
      </w:r>
    </w:p>
    <w:p w14:paraId="5DAFDF9F"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Lee, Y. Y., Lee E. J., Park, J. S., Jang S. E., Kim D. H., and Kim H. S., (2016). Anti-inflammatory and antioxidant mechanism of tangeretin in activated microglia. </w:t>
      </w:r>
      <w:r>
        <w:rPr>
          <w:rFonts w:ascii="Times New Roman" w:hAnsi="Times New Roman"/>
          <w:i/>
          <w:iCs/>
          <w:sz w:val="24"/>
          <w:szCs w:val="24"/>
        </w:rPr>
        <w:t xml:space="preserve">Journal of Neuroimmune Pharmacology, </w:t>
      </w:r>
      <w:r>
        <w:rPr>
          <w:rFonts w:ascii="Times New Roman" w:hAnsi="Times New Roman"/>
          <w:b/>
          <w:bCs/>
          <w:sz w:val="24"/>
          <w:szCs w:val="24"/>
        </w:rPr>
        <w:t>11</w:t>
      </w:r>
      <w:r>
        <w:rPr>
          <w:rFonts w:ascii="Times New Roman" w:hAnsi="Times New Roman"/>
          <w:sz w:val="24"/>
          <w:szCs w:val="24"/>
        </w:rPr>
        <w:t>(2):294–305. doi: 10.1007/s11481-016-9657-x.</w:t>
      </w:r>
    </w:p>
    <w:p w14:paraId="33E312D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Lin, Y., Vermeer, M. A., Bos, W., van Buren, L., Schuurbiers, E., Miret-Catalan, S., and Trautwein, E. A., (2011). Molecular structures of citrus flavonoids determine their effects on lipid metabolism in HepG2 cells by primarily suppressing apoB secretion. </w:t>
      </w:r>
      <w:r>
        <w:rPr>
          <w:rFonts w:ascii="Times New Roman" w:hAnsi="Times New Roman"/>
          <w:i/>
          <w:iCs/>
          <w:sz w:val="24"/>
          <w:szCs w:val="24"/>
        </w:rPr>
        <w:t>Journal of Agricultural and Food Chemistry</w:t>
      </w:r>
      <w:r>
        <w:rPr>
          <w:rFonts w:ascii="Times New Roman" w:hAnsi="Times New Roman"/>
          <w:sz w:val="24"/>
          <w:szCs w:val="24"/>
        </w:rPr>
        <w:t xml:space="preserve">, </w:t>
      </w:r>
      <w:r>
        <w:rPr>
          <w:rFonts w:ascii="Times New Roman" w:hAnsi="Times New Roman"/>
          <w:b/>
          <w:bCs/>
          <w:sz w:val="24"/>
          <w:szCs w:val="24"/>
        </w:rPr>
        <w:t>59</w:t>
      </w:r>
      <w:r>
        <w:rPr>
          <w:rFonts w:ascii="Times New Roman" w:hAnsi="Times New Roman"/>
          <w:sz w:val="24"/>
          <w:szCs w:val="24"/>
        </w:rPr>
        <w:t xml:space="preserve">(9): 4496–4503. doi: 10.1021/jf1044475. </w:t>
      </w:r>
    </w:p>
    <w:p w14:paraId="29562C6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Lin, C., Wei, D., Xin, D., Pan, J., and Huang, M., (2019). Ellagic acid inhibits proliferation and migration of cardiac fibroblasts by down-regulating expression of HDAC1. </w:t>
      </w:r>
      <w:r>
        <w:rPr>
          <w:rFonts w:ascii="Times New Roman" w:hAnsi="Times New Roman"/>
          <w:i/>
          <w:iCs/>
          <w:sz w:val="24"/>
          <w:szCs w:val="24"/>
        </w:rPr>
        <w:t>The Journal of Toxicological Sciences</w:t>
      </w:r>
      <w:r>
        <w:rPr>
          <w:rFonts w:ascii="Times New Roman" w:hAnsi="Times New Roman"/>
          <w:sz w:val="24"/>
          <w:szCs w:val="24"/>
        </w:rPr>
        <w:t xml:space="preserve">, </w:t>
      </w:r>
      <w:r>
        <w:rPr>
          <w:rFonts w:ascii="Times New Roman" w:hAnsi="Times New Roman"/>
          <w:b/>
          <w:bCs/>
          <w:sz w:val="24"/>
          <w:szCs w:val="24"/>
        </w:rPr>
        <w:t>44</w:t>
      </w:r>
      <w:r>
        <w:rPr>
          <w:rFonts w:ascii="Times New Roman" w:hAnsi="Times New Roman"/>
          <w:sz w:val="24"/>
          <w:szCs w:val="24"/>
        </w:rPr>
        <w:t>(6): 425–433.</w:t>
      </w:r>
    </w:p>
    <w:p w14:paraId="67F6C0AF" w14:textId="77777777" w:rsidR="005C75C3" w:rsidRDefault="00D42813">
      <w:pPr>
        <w:spacing w:line="360" w:lineRule="auto"/>
        <w:ind w:hanging="360"/>
        <w:jc w:val="both"/>
        <w:rPr>
          <w:rFonts w:ascii="Times New Roman" w:hAnsi="Times New Roman"/>
          <w:sz w:val="24"/>
          <w:szCs w:val="24"/>
        </w:rPr>
      </w:pPr>
      <w:proofErr w:type="spellStart"/>
      <w:r>
        <w:rPr>
          <w:rFonts w:ascii="Times New Roman" w:hAnsi="Times New Roman"/>
          <w:sz w:val="24"/>
          <w:szCs w:val="24"/>
        </w:rPr>
        <w:t>Lorke</w:t>
      </w:r>
      <w:proofErr w:type="spellEnd"/>
      <w:r>
        <w:rPr>
          <w:rFonts w:ascii="Times New Roman" w:hAnsi="Times New Roman"/>
          <w:sz w:val="24"/>
          <w:szCs w:val="24"/>
        </w:rPr>
        <w:t xml:space="preserve">, D., (1983). A new approach to practical acute toxicity testing. </w:t>
      </w:r>
      <w:r>
        <w:rPr>
          <w:rFonts w:ascii="Times New Roman" w:hAnsi="Times New Roman"/>
          <w:i/>
          <w:iCs/>
          <w:sz w:val="24"/>
          <w:szCs w:val="24"/>
        </w:rPr>
        <w:t>Archives of Toxicology</w:t>
      </w:r>
      <w:r>
        <w:rPr>
          <w:rFonts w:ascii="Times New Roman" w:hAnsi="Times New Roman"/>
          <w:sz w:val="24"/>
          <w:szCs w:val="24"/>
        </w:rPr>
        <w:t xml:space="preserve">, </w:t>
      </w:r>
      <w:r>
        <w:rPr>
          <w:rFonts w:ascii="Times New Roman" w:hAnsi="Times New Roman"/>
          <w:b/>
          <w:bCs/>
          <w:sz w:val="24"/>
          <w:szCs w:val="24"/>
        </w:rPr>
        <w:t>54</w:t>
      </w:r>
      <w:r>
        <w:rPr>
          <w:rFonts w:ascii="Times New Roman" w:hAnsi="Times New Roman"/>
          <w:sz w:val="24"/>
          <w:szCs w:val="24"/>
        </w:rPr>
        <w:t>(4): 275-287.</w:t>
      </w:r>
    </w:p>
    <w:p w14:paraId="004AD969"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Madubuike, G., Maxwell, E., and Ezeigbo, I., (2020). Anti-diarrhoeal activity of </w:t>
      </w:r>
      <w:r>
        <w:rPr>
          <w:rFonts w:ascii="Times New Roman" w:hAnsi="Times New Roman"/>
          <w:i/>
          <w:iCs/>
          <w:sz w:val="24"/>
          <w:szCs w:val="24"/>
        </w:rPr>
        <w:t>Pterocarpus santalinoides</w:t>
      </w:r>
      <w:r>
        <w:rPr>
          <w:rFonts w:ascii="Times New Roman" w:hAnsi="Times New Roman"/>
          <w:sz w:val="24"/>
          <w:szCs w:val="24"/>
        </w:rPr>
        <w:t xml:space="preserve"> leaf extract in mice. </w:t>
      </w:r>
      <w:r>
        <w:rPr>
          <w:rFonts w:ascii="Times New Roman" w:hAnsi="Times New Roman"/>
          <w:i/>
          <w:sz w:val="24"/>
          <w:szCs w:val="24"/>
        </w:rPr>
        <w:t>Continental</w:t>
      </w:r>
      <w:r>
        <w:rPr>
          <w:rFonts w:ascii="Times New Roman" w:hAnsi="Times New Roman"/>
          <w:sz w:val="24"/>
          <w:szCs w:val="24"/>
        </w:rPr>
        <w:t xml:space="preserve"> </w:t>
      </w:r>
      <w:r>
        <w:rPr>
          <w:rFonts w:ascii="Times New Roman" w:hAnsi="Times New Roman"/>
          <w:i/>
          <w:iCs/>
          <w:sz w:val="24"/>
          <w:szCs w:val="24"/>
        </w:rPr>
        <w:t>Journal of Animal and Veterinary Research</w:t>
      </w:r>
      <w:r>
        <w:rPr>
          <w:rFonts w:ascii="Times New Roman" w:hAnsi="Times New Roman"/>
          <w:sz w:val="24"/>
          <w:szCs w:val="24"/>
        </w:rPr>
        <w:t xml:space="preserve">, </w:t>
      </w:r>
      <w:r>
        <w:rPr>
          <w:rFonts w:ascii="Times New Roman" w:hAnsi="Times New Roman"/>
          <w:b/>
          <w:bCs/>
          <w:sz w:val="24"/>
          <w:szCs w:val="24"/>
        </w:rPr>
        <w:t>4</w:t>
      </w:r>
      <w:r>
        <w:rPr>
          <w:rFonts w:ascii="Times New Roman" w:hAnsi="Times New Roman"/>
          <w:sz w:val="24"/>
          <w:szCs w:val="24"/>
        </w:rPr>
        <w:t>(1): 1 - 6.</w:t>
      </w:r>
    </w:p>
    <w:p w14:paraId="528350D5"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Madubuike, K. G., Anaga, A. O., and Asuzu, I. U., (2021). Effect of Methanol Leaf Extract of </w:t>
      </w:r>
      <w:r>
        <w:rPr>
          <w:rFonts w:ascii="Times New Roman" w:hAnsi="Times New Roman"/>
          <w:i/>
          <w:iCs/>
          <w:sz w:val="24"/>
          <w:szCs w:val="24"/>
        </w:rPr>
        <w:t>Pterocarpus santalidoides</w:t>
      </w:r>
      <w:r>
        <w:rPr>
          <w:rFonts w:ascii="Times New Roman" w:hAnsi="Times New Roman"/>
          <w:sz w:val="24"/>
          <w:szCs w:val="24"/>
        </w:rPr>
        <w:t xml:space="preserve"> L’ Herit ex DC on the Antioxidant and Lipid Profile of Wistar Rats.</w:t>
      </w:r>
      <w:r>
        <w:rPr>
          <w:rFonts w:ascii="Times New Roman" w:hAnsi="Times New Roman"/>
          <w:i/>
          <w:iCs/>
          <w:sz w:val="24"/>
          <w:szCs w:val="24"/>
        </w:rPr>
        <w:t xml:space="preserve"> Tropical Journal of Natural Products Research</w:t>
      </w:r>
      <w:r>
        <w:rPr>
          <w:rFonts w:ascii="Times New Roman" w:hAnsi="Times New Roman"/>
          <w:sz w:val="24"/>
          <w:szCs w:val="24"/>
        </w:rPr>
        <w:t xml:space="preserve">, </w:t>
      </w:r>
      <w:r>
        <w:rPr>
          <w:rFonts w:ascii="Times New Roman" w:hAnsi="Times New Roman"/>
          <w:b/>
          <w:sz w:val="24"/>
          <w:szCs w:val="24"/>
        </w:rPr>
        <w:t>5</w:t>
      </w:r>
      <w:r>
        <w:rPr>
          <w:rFonts w:ascii="Times New Roman" w:hAnsi="Times New Roman"/>
          <w:sz w:val="24"/>
          <w:szCs w:val="24"/>
        </w:rPr>
        <w:t>(7): 1286-1290. doi.org/10.26538/tjnpr/v5i7.22</w:t>
      </w:r>
    </w:p>
    <w:p w14:paraId="12C0E45C"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Manu, K. A., and Kuttan, G., (2009). "Immunomodulatory activities of Punarnavine, an alkaloid from </w:t>
      </w:r>
      <w:r>
        <w:rPr>
          <w:rFonts w:ascii="Times New Roman" w:hAnsi="Times New Roman"/>
          <w:i/>
          <w:iCs/>
          <w:sz w:val="24"/>
          <w:szCs w:val="24"/>
        </w:rPr>
        <w:t>Boerhaavia diffusa</w:t>
      </w:r>
      <w:r>
        <w:rPr>
          <w:rFonts w:ascii="Times New Roman" w:hAnsi="Times New Roman"/>
          <w:sz w:val="24"/>
          <w:szCs w:val="24"/>
        </w:rPr>
        <w:t xml:space="preserve">". </w:t>
      </w:r>
      <w:r>
        <w:rPr>
          <w:rFonts w:ascii="Times New Roman" w:hAnsi="Times New Roman"/>
          <w:i/>
          <w:iCs/>
          <w:sz w:val="24"/>
          <w:szCs w:val="24"/>
        </w:rPr>
        <w:t>Immunopharmacology and Immunotoxicology</w:t>
      </w:r>
      <w:r>
        <w:rPr>
          <w:rFonts w:ascii="Times New Roman" w:hAnsi="Times New Roman"/>
          <w:sz w:val="24"/>
          <w:szCs w:val="24"/>
        </w:rPr>
        <w:t xml:space="preserve">, </w:t>
      </w:r>
      <w:r>
        <w:rPr>
          <w:rFonts w:ascii="Times New Roman" w:hAnsi="Times New Roman"/>
          <w:b/>
          <w:bCs/>
          <w:sz w:val="24"/>
          <w:szCs w:val="24"/>
        </w:rPr>
        <w:t>31</w:t>
      </w:r>
      <w:r>
        <w:rPr>
          <w:rFonts w:ascii="Times New Roman" w:hAnsi="Times New Roman"/>
          <w:sz w:val="24"/>
          <w:szCs w:val="24"/>
        </w:rPr>
        <w:t xml:space="preserve"> (3): 377–387. doi:10.1080/08923970802702036. PMID 19555203. S2CID 2066582.</w:t>
      </w:r>
    </w:p>
    <w:p w14:paraId="1F25C2EE"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lang w:val="es-ES"/>
        </w:rPr>
        <w:t xml:space="preserve">Matos, S. L., Paula, H. D., Pedrosa, M. L., Santos, R. C. D., Oliveira, E. L. D., Chianca, D. A Jr., Silva, M. E., (2005). </w:t>
      </w:r>
      <w:r>
        <w:rPr>
          <w:rFonts w:ascii="Times New Roman" w:hAnsi="Times New Roman"/>
          <w:sz w:val="24"/>
          <w:szCs w:val="24"/>
        </w:rPr>
        <w:t xml:space="preserve">Dietary models for inducing hypercholesterolemia in rats. </w:t>
      </w:r>
      <w:r>
        <w:rPr>
          <w:rFonts w:ascii="Times New Roman" w:hAnsi="Times New Roman"/>
          <w:i/>
          <w:iCs/>
          <w:sz w:val="24"/>
          <w:szCs w:val="24"/>
        </w:rPr>
        <w:t>Brazilian Archives of Biology and Technology</w:t>
      </w:r>
      <w:r>
        <w:rPr>
          <w:rFonts w:ascii="Times New Roman" w:hAnsi="Times New Roman"/>
          <w:sz w:val="24"/>
          <w:szCs w:val="24"/>
        </w:rPr>
        <w:t xml:space="preserve">, </w:t>
      </w:r>
      <w:r>
        <w:rPr>
          <w:rFonts w:ascii="Times New Roman" w:hAnsi="Times New Roman"/>
          <w:b/>
          <w:bCs/>
          <w:sz w:val="24"/>
          <w:szCs w:val="24"/>
        </w:rPr>
        <w:t>48</w:t>
      </w:r>
      <w:r>
        <w:rPr>
          <w:rFonts w:ascii="Times New Roman" w:hAnsi="Times New Roman"/>
          <w:sz w:val="24"/>
          <w:szCs w:val="24"/>
        </w:rPr>
        <w:t>: 203–209.</w:t>
      </w:r>
    </w:p>
    <w:p w14:paraId="06B3D9AA"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Mazunder, U. K., and Gupta, R. Y., (2005). Anti-hyperglycemic effect and antioxidant potential of </w:t>
      </w:r>
      <w:r>
        <w:rPr>
          <w:rFonts w:ascii="Times New Roman" w:hAnsi="Times New Roman"/>
          <w:i/>
          <w:iCs/>
          <w:sz w:val="24"/>
          <w:szCs w:val="24"/>
        </w:rPr>
        <w:t>Phyllantus niruri</w:t>
      </w:r>
      <w:r>
        <w:rPr>
          <w:rFonts w:ascii="Times New Roman" w:hAnsi="Times New Roman"/>
          <w:sz w:val="24"/>
          <w:szCs w:val="24"/>
        </w:rPr>
        <w:t xml:space="preserve"> (Euphorbiaceaea) in streptozotocin induced diabetic rats. </w:t>
      </w:r>
      <w:r>
        <w:rPr>
          <w:rFonts w:ascii="Times New Roman" w:hAnsi="Times New Roman"/>
          <w:i/>
          <w:iCs/>
          <w:sz w:val="24"/>
          <w:szCs w:val="24"/>
        </w:rPr>
        <w:t>European Bull Drug Research</w:t>
      </w:r>
      <w:r>
        <w:rPr>
          <w:rFonts w:ascii="Times New Roman" w:hAnsi="Times New Roman"/>
          <w:sz w:val="24"/>
          <w:szCs w:val="24"/>
        </w:rPr>
        <w:t xml:space="preserve">, </w:t>
      </w:r>
      <w:r>
        <w:rPr>
          <w:rFonts w:ascii="Times New Roman" w:hAnsi="Times New Roman"/>
          <w:b/>
          <w:bCs/>
          <w:sz w:val="24"/>
          <w:szCs w:val="24"/>
        </w:rPr>
        <w:t>13</w:t>
      </w:r>
      <w:r>
        <w:rPr>
          <w:rFonts w:ascii="Times New Roman" w:hAnsi="Times New Roman"/>
          <w:sz w:val="24"/>
          <w:szCs w:val="24"/>
        </w:rPr>
        <w:t>: 15–23.</w:t>
      </w:r>
    </w:p>
    <w:p w14:paraId="3CB200E3"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Mutha, R. E., Tatiya, A. U., and Surana, S. J., (2021). Flavonoids as Natural Phenolic Compounds and Their Role in Therapeutics: An Overview. </w:t>
      </w:r>
      <w:r>
        <w:rPr>
          <w:rFonts w:ascii="Times New Roman" w:hAnsi="Times New Roman"/>
          <w:i/>
          <w:sz w:val="24"/>
          <w:szCs w:val="24"/>
        </w:rPr>
        <w:t>Future</w:t>
      </w:r>
      <w:r>
        <w:rPr>
          <w:rFonts w:ascii="Times New Roman" w:hAnsi="Times New Roman"/>
          <w:sz w:val="24"/>
          <w:szCs w:val="24"/>
        </w:rPr>
        <w:t xml:space="preserve"> </w:t>
      </w:r>
      <w:r>
        <w:rPr>
          <w:rFonts w:ascii="Times New Roman" w:hAnsi="Times New Roman"/>
          <w:i/>
          <w:iCs/>
          <w:sz w:val="24"/>
          <w:szCs w:val="24"/>
        </w:rPr>
        <w:t>Journal of Pharmaceutical Sciences</w:t>
      </w:r>
      <w:r>
        <w:rPr>
          <w:rFonts w:ascii="Times New Roman" w:hAnsi="Times New Roman"/>
          <w:sz w:val="24"/>
          <w:szCs w:val="24"/>
        </w:rPr>
        <w:t xml:space="preserve">, </w:t>
      </w:r>
      <w:r>
        <w:rPr>
          <w:rFonts w:ascii="Times New Roman" w:hAnsi="Times New Roman"/>
          <w:bCs/>
          <w:sz w:val="24"/>
          <w:szCs w:val="24"/>
        </w:rPr>
        <w:t>7</w:t>
      </w:r>
      <w:r>
        <w:rPr>
          <w:rFonts w:ascii="Times New Roman" w:hAnsi="Times New Roman"/>
          <w:sz w:val="24"/>
          <w:szCs w:val="24"/>
        </w:rPr>
        <w:t xml:space="preserve">(1): 2510. </w:t>
      </w:r>
    </w:p>
    <w:p w14:paraId="13D8CBCD"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Naeini, F., Namkhah, Z., Ostadrahimi, A., Tutunchi, H., and Hosseinzadeh-Attar, M. J., (2021). A Comprehensive Systematic Review of the Effects of Naringenin, a Citrus-Derived Flavonoid, on Risk Factors for Nonalcoholic Fatty Liver Disease. </w:t>
      </w:r>
      <w:r>
        <w:rPr>
          <w:rFonts w:ascii="Times New Roman" w:hAnsi="Times New Roman"/>
          <w:i/>
          <w:iCs/>
          <w:sz w:val="24"/>
          <w:szCs w:val="24"/>
        </w:rPr>
        <w:t>Advances in Nutrition</w:t>
      </w:r>
      <w:r>
        <w:rPr>
          <w:rFonts w:ascii="Times New Roman" w:hAnsi="Times New Roman"/>
          <w:sz w:val="24"/>
          <w:szCs w:val="24"/>
        </w:rPr>
        <w:t xml:space="preserve">, </w:t>
      </w:r>
      <w:r>
        <w:rPr>
          <w:rFonts w:ascii="Times New Roman" w:hAnsi="Times New Roman"/>
          <w:b/>
          <w:bCs/>
          <w:sz w:val="24"/>
          <w:szCs w:val="24"/>
        </w:rPr>
        <w:t>12</w:t>
      </w:r>
      <w:r>
        <w:rPr>
          <w:rFonts w:ascii="Times New Roman" w:hAnsi="Times New Roman"/>
          <w:sz w:val="24"/>
          <w:szCs w:val="24"/>
        </w:rPr>
        <w:t xml:space="preserve">: 413–428. </w:t>
      </w:r>
    </w:p>
    <w:p w14:paraId="037C8320" w14:textId="77777777" w:rsidR="005C75C3" w:rsidRDefault="00D42813">
      <w:pPr>
        <w:spacing w:line="360" w:lineRule="auto"/>
        <w:ind w:hanging="360"/>
        <w:jc w:val="both"/>
        <w:rPr>
          <w:rFonts w:ascii="Times New Roman" w:hAnsi="Times New Roman"/>
          <w:sz w:val="24"/>
          <w:szCs w:val="24"/>
        </w:rPr>
      </w:pPr>
      <w:proofErr w:type="spellStart"/>
      <w:r>
        <w:rPr>
          <w:rFonts w:ascii="Times New Roman" w:hAnsi="Times New Roman"/>
          <w:sz w:val="24"/>
          <w:szCs w:val="24"/>
        </w:rPr>
        <w:t>Nakayam</w:t>
      </w:r>
      <w:proofErr w:type="spellEnd"/>
      <w:r>
        <w:rPr>
          <w:rFonts w:ascii="Times New Roman" w:hAnsi="Times New Roman"/>
          <w:sz w:val="24"/>
          <w:szCs w:val="24"/>
        </w:rPr>
        <w:t xml:space="preserve">, M., Suzuki, K., Toda, M., Okubo, S., Hara, Y., and Shimamura, T., (1993). Inhibition of the infectivity of infuenza virus by tea polyphenols. </w:t>
      </w:r>
      <w:r>
        <w:rPr>
          <w:rFonts w:ascii="Times New Roman" w:hAnsi="Times New Roman"/>
          <w:i/>
          <w:iCs/>
          <w:sz w:val="24"/>
          <w:szCs w:val="24"/>
        </w:rPr>
        <w:t>Antiviral Research</w:t>
      </w:r>
      <w:r>
        <w:rPr>
          <w:rFonts w:ascii="Times New Roman" w:hAnsi="Times New Roman"/>
          <w:sz w:val="24"/>
          <w:szCs w:val="24"/>
        </w:rPr>
        <w:t xml:space="preserve">, </w:t>
      </w:r>
      <w:r>
        <w:rPr>
          <w:rFonts w:ascii="Times New Roman" w:hAnsi="Times New Roman"/>
          <w:b/>
          <w:bCs/>
          <w:sz w:val="24"/>
          <w:szCs w:val="24"/>
        </w:rPr>
        <w:t>21</w:t>
      </w:r>
      <w:r>
        <w:rPr>
          <w:rFonts w:ascii="Times New Roman" w:hAnsi="Times New Roman"/>
          <w:sz w:val="24"/>
          <w:szCs w:val="24"/>
        </w:rPr>
        <w:t>: 289-299.</w:t>
      </w:r>
    </w:p>
    <w:p w14:paraId="5ABF2130" w14:textId="77777777" w:rsidR="005C75C3" w:rsidRDefault="00D42813">
      <w:pPr>
        <w:spacing w:line="360" w:lineRule="auto"/>
        <w:ind w:hanging="360"/>
        <w:jc w:val="both"/>
      </w:pPr>
      <w:r>
        <w:rPr>
          <w:rFonts w:ascii="Times New Roman" w:hAnsi="Times New Roman"/>
          <w:sz w:val="24"/>
          <w:szCs w:val="24"/>
        </w:rPr>
        <w:t xml:space="preserve">Odeh, I. C., and Tor- Anyiin, T. A., (2014). Phytochemical and Antimicrobial Evaluation of Leaf-Extracts of </w:t>
      </w:r>
      <w:r>
        <w:rPr>
          <w:rFonts w:ascii="Times New Roman" w:hAnsi="Times New Roman"/>
          <w:i/>
          <w:iCs/>
          <w:sz w:val="24"/>
          <w:szCs w:val="24"/>
        </w:rPr>
        <w:t>Pterocarpus Santalinoides</w:t>
      </w:r>
      <w:r>
        <w:rPr>
          <w:rFonts w:ascii="Times New Roman" w:hAnsi="Times New Roman"/>
          <w:sz w:val="24"/>
          <w:szCs w:val="24"/>
        </w:rPr>
        <w:t xml:space="preserve">. </w:t>
      </w:r>
      <w:r>
        <w:rPr>
          <w:rFonts w:ascii="Times New Roman" w:hAnsi="Times New Roman"/>
          <w:i/>
          <w:iCs/>
          <w:sz w:val="24"/>
          <w:szCs w:val="24"/>
        </w:rPr>
        <w:t>European Journal of Medicinal Plants</w:t>
      </w:r>
      <w:r>
        <w:rPr>
          <w:rFonts w:ascii="Times New Roman" w:hAnsi="Times New Roman"/>
          <w:sz w:val="24"/>
          <w:szCs w:val="24"/>
        </w:rPr>
        <w:t xml:space="preserve"> </w:t>
      </w:r>
      <w:r>
        <w:rPr>
          <w:rFonts w:ascii="Times New Roman" w:hAnsi="Times New Roman"/>
          <w:b/>
          <w:bCs/>
          <w:sz w:val="24"/>
          <w:szCs w:val="24"/>
        </w:rPr>
        <w:t>4</w:t>
      </w:r>
      <w:r>
        <w:rPr>
          <w:rFonts w:ascii="Times New Roman" w:hAnsi="Times New Roman"/>
          <w:sz w:val="24"/>
          <w:szCs w:val="24"/>
        </w:rPr>
        <w:t>(1): 105-115. https://doi.org/10.9734/EJMP/2014/5455.</w:t>
      </w:r>
      <w:r>
        <w:t xml:space="preserve"> </w:t>
      </w:r>
    </w:p>
    <w:p w14:paraId="716921F9" w14:textId="77777777" w:rsidR="005C75C3" w:rsidRPr="00CD6270" w:rsidRDefault="00D42813">
      <w:pPr>
        <w:spacing w:line="360" w:lineRule="auto"/>
        <w:ind w:hanging="360"/>
        <w:jc w:val="both"/>
        <w:rPr>
          <w:rFonts w:ascii="Times New Roman" w:hAnsi="Times New Roman"/>
          <w:sz w:val="24"/>
          <w:szCs w:val="24"/>
        </w:rPr>
      </w:pPr>
      <w:r w:rsidRPr="00CD6270">
        <w:rPr>
          <w:rFonts w:ascii="Times New Roman" w:hAnsi="Times New Roman"/>
          <w:sz w:val="24"/>
          <w:szCs w:val="24"/>
        </w:rPr>
        <w:t xml:space="preserve">Offor, C. E., Nwankwegu, N. J., Ugwu-Okechukwu, P. C., Aja, P. M., (2015). The effects of ethanol Leaf extract of </w:t>
      </w:r>
      <w:r w:rsidRPr="00CD6270">
        <w:rPr>
          <w:rFonts w:ascii="Times New Roman" w:hAnsi="Times New Roman"/>
          <w:i/>
          <w:iCs/>
          <w:sz w:val="24"/>
          <w:szCs w:val="24"/>
        </w:rPr>
        <w:t>Pterocarpus santalinoides</w:t>
      </w:r>
      <w:r w:rsidRPr="00CD6270">
        <w:rPr>
          <w:rFonts w:ascii="Times New Roman" w:hAnsi="Times New Roman"/>
          <w:sz w:val="24"/>
          <w:szCs w:val="24"/>
        </w:rPr>
        <w:t xml:space="preserve"> on liver enzymes of albino rats. </w:t>
      </w:r>
      <w:r w:rsidRPr="00CD6270">
        <w:rPr>
          <w:rFonts w:ascii="Times New Roman" w:hAnsi="Times New Roman"/>
          <w:i/>
          <w:iCs/>
          <w:sz w:val="24"/>
          <w:szCs w:val="24"/>
        </w:rPr>
        <w:t>American-Eurasian Journal of Agriculture and Environmental Sciences</w:t>
      </w:r>
      <w:r w:rsidRPr="00CD6270">
        <w:rPr>
          <w:rFonts w:ascii="Times New Roman" w:hAnsi="Times New Roman"/>
          <w:sz w:val="24"/>
          <w:szCs w:val="24"/>
        </w:rPr>
        <w:t xml:space="preserve">, </w:t>
      </w:r>
      <w:r w:rsidRPr="00CD6270">
        <w:rPr>
          <w:rFonts w:ascii="Times New Roman" w:hAnsi="Times New Roman"/>
          <w:b/>
          <w:bCs/>
          <w:sz w:val="24"/>
          <w:szCs w:val="24"/>
        </w:rPr>
        <w:t>15</w:t>
      </w:r>
      <w:r w:rsidRPr="00CD6270">
        <w:rPr>
          <w:rFonts w:ascii="Times New Roman" w:hAnsi="Times New Roman"/>
          <w:sz w:val="24"/>
          <w:szCs w:val="24"/>
        </w:rPr>
        <w:t>(5): 920-922.</w:t>
      </w:r>
    </w:p>
    <w:p w14:paraId="1B734BC1" w14:textId="3ADFF129" w:rsidR="00CD6270" w:rsidRDefault="00D42813" w:rsidP="00DD3F1B">
      <w:pPr>
        <w:spacing w:line="360" w:lineRule="auto"/>
        <w:ind w:hanging="360"/>
        <w:jc w:val="both"/>
        <w:rPr>
          <w:rFonts w:ascii="Times New Roman" w:hAnsi="Times New Roman"/>
          <w:sz w:val="24"/>
          <w:szCs w:val="24"/>
        </w:rPr>
      </w:pPr>
      <w:r>
        <w:rPr>
          <w:rFonts w:ascii="Times New Roman" w:hAnsi="Times New Roman"/>
          <w:sz w:val="24"/>
          <w:szCs w:val="24"/>
        </w:rPr>
        <w:t xml:space="preserve">Okochi, C. V., Udedi, S. C., Asogwa, K. K., Ezenwelu, C. O., Nwolisah, O. S., and Ehichanya, C. A. (2024). Comparative proximate, phytochemical composition and antioxidant activity on aqueous extract of </w:t>
      </w:r>
      <w:r>
        <w:rPr>
          <w:rFonts w:ascii="Times New Roman" w:hAnsi="Times New Roman"/>
          <w:i/>
          <w:iCs/>
          <w:sz w:val="24"/>
          <w:szCs w:val="24"/>
        </w:rPr>
        <w:t>Gongronema latifolium</w:t>
      </w:r>
      <w:r>
        <w:rPr>
          <w:rFonts w:ascii="Times New Roman" w:hAnsi="Times New Roman"/>
          <w:sz w:val="24"/>
          <w:szCs w:val="24"/>
        </w:rPr>
        <w:t xml:space="preserve"> fruit and leaf. </w:t>
      </w:r>
      <w:r w:rsidRPr="00CD6270">
        <w:rPr>
          <w:rFonts w:ascii="Times New Roman" w:hAnsi="Times New Roman"/>
          <w:i/>
          <w:iCs/>
          <w:sz w:val="24"/>
          <w:szCs w:val="24"/>
        </w:rPr>
        <w:t>The Bioscientist Journal</w:t>
      </w:r>
      <w:r>
        <w:rPr>
          <w:rFonts w:ascii="Times New Roman" w:hAnsi="Times New Roman"/>
          <w:sz w:val="24"/>
          <w:szCs w:val="24"/>
        </w:rPr>
        <w:t xml:space="preserve">, </w:t>
      </w:r>
      <w:r w:rsidRPr="00CD6270">
        <w:rPr>
          <w:rFonts w:ascii="Times New Roman" w:hAnsi="Times New Roman"/>
          <w:b/>
          <w:bCs/>
          <w:sz w:val="24"/>
          <w:szCs w:val="24"/>
        </w:rPr>
        <w:t>12</w:t>
      </w:r>
      <w:r>
        <w:rPr>
          <w:rFonts w:ascii="Times New Roman" w:hAnsi="Times New Roman"/>
          <w:sz w:val="24"/>
          <w:szCs w:val="24"/>
        </w:rPr>
        <w:t xml:space="preserve">(2), 137–150. </w:t>
      </w:r>
    </w:p>
    <w:p w14:paraId="3CB9583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Okochi, C. V., Udedi, S. C., Asogwa, K. K., Otovbo, E. J., Obi, M. S., and Ezeaku, U. A. (2025). Therapeutic potential of combined </w:t>
      </w:r>
      <w:r>
        <w:rPr>
          <w:rFonts w:ascii="Times New Roman" w:hAnsi="Times New Roman"/>
          <w:i/>
          <w:iCs/>
          <w:sz w:val="24"/>
          <w:szCs w:val="24"/>
        </w:rPr>
        <w:t>Gongronema latifolium</w:t>
      </w:r>
      <w:r>
        <w:rPr>
          <w:rFonts w:ascii="Times New Roman" w:hAnsi="Times New Roman"/>
          <w:sz w:val="24"/>
          <w:szCs w:val="24"/>
        </w:rPr>
        <w:t xml:space="preserve"> fruit and leaf extracts against oxidative stress and organ damage. </w:t>
      </w:r>
      <w:r>
        <w:rPr>
          <w:rFonts w:ascii="Times New Roman" w:hAnsi="Times New Roman"/>
          <w:i/>
          <w:iCs/>
          <w:sz w:val="24"/>
          <w:szCs w:val="24"/>
        </w:rPr>
        <w:t>Asian Journal of Natural Product biochemistry</w:t>
      </w:r>
      <w:r>
        <w:rPr>
          <w:rFonts w:ascii="Times New Roman" w:hAnsi="Times New Roman"/>
          <w:sz w:val="24"/>
          <w:szCs w:val="24"/>
        </w:rPr>
        <w:t>,</w:t>
      </w:r>
      <w:r>
        <w:t xml:space="preserve"> </w:t>
      </w:r>
      <w:r w:rsidRPr="00CD6270">
        <w:rPr>
          <w:rFonts w:ascii="Times New Roman" w:hAnsi="Times New Roman"/>
          <w:b/>
          <w:bCs/>
          <w:sz w:val="24"/>
          <w:szCs w:val="24"/>
        </w:rPr>
        <w:t>23</w:t>
      </w:r>
      <w:r>
        <w:rPr>
          <w:rFonts w:ascii="Times New Roman" w:hAnsi="Times New Roman"/>
          <w:sz w:val="24"/>
          <w:szCs w:val="24"/>
        </w:rPr>
        <w:t>(1), 38–46.</w:t>
      </w:r>
    </w:p>
    <w:p w14:paraId="2D793268"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Okpo, S. O., Ching, F. P., and Ekeleme, I. C., (2011). Evaluation of the anti-diarrhoeal activity of the aqueous extract from leaves of </w:t>
      </w:r>
      <w:r>
        <w:rPr>
          <w:rFonts w:ascii="Times New Roman" w:hAnsi="Times New Roman"/>
          <w:i/>
          <w:iCs/>
          <w:sz w:val="24"/>
          <w:szCs w:val="24"/>
        </w:rPr>
        <w:t>Pterocarpus santalinoides</w:t>
      </w:r>
      <w:r>
        <w:rPr>
          <w:rFonts w:ascii="Times New Roman" w:hAnsi="Times New Roman"/>
          <w:sz w:val="24"/>
          <w:szCs w:val="24"/>
        </w:rPr>
        <w:t xml:space="preserve">. </w:t>
      </w:r>
      <w:r>
        <w:rPr>
          <w:rFonts w:ascii="Times New Roman" w:hAnsi="Times New Roman"/>
          <w:i/>
          <w:iCs/>
          <w:sz w:val="24"/>
          <w:szCs w:val="24"/>
        </w:rPr>
        <w:t>Research Journal of Pharmaceutical Biological and Chemical Sciences</w:t>
      </w:r>
      <w:r>
        <w:rPr>
          <w:rFonts w:ascii="Times New Roman" w:hAnsi="Times New Roman"/>
          <w:sz w:val="24"/>
          <w:szCs w:val="24"/>
        </w:rPr>
        <w:t xml:space="preserve">, </w:t>
      </w:r>
      <w:r>
        <w:rPr>
          <w:rFonts w:ascii="Times New Roman" w:hAnsi="Times New Roman"/>
          <w:b/>
          <w:sz w:val="24"/>
          <w:szCs w:val="24"/>
        </w:rPr>
        <w:t>2</w:t>
      </w:r>
      <w:r>
        <w:rPr>
          <w:rFonts w:ascii="Times New Roman" w:hAnsi="Times New Roman"/>
          <w:sz w:val="24"/>
          <w:szCs w:val="24"/>
        </w:rPr>
        <w:t>(3): 590-597.</w:t>
      </w:r>
    </w:p>
    <w:p w14:paraId="1D8F9B1F"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Okwu, D. E., (2004). Phytochemicals and vitamin content of indigenous spices of Southeastern Nigeria. </w:t>
      </w:r>
      <w:r>
        <w:rPr>
          <w:rFonts w:ascii="Times New Roman" w:hAnsi="Times New Roman"/>
          <w:i/>
          <w:iCs/>
          <w:sz w:val="24"/>
          <w:szCs w:val="24"/>
        </w:rPr>
        <w:t>Journal of Sustainable Agriculture and Environment</w:t>
      </w:r>
      <w:r>
        <w:rPr>
          <w:rFonts w:ascii="Times New Roman" w:hAnsi="Times New Roman"/>
          <w:sz w:val="24"/>
          <w:szCs w:val="24"/>
        </w:rPr>
        <w:t xml:space="preserve">, </w:t>
      </w:r>
      <w:r>
        <w:rPr>
          <w:rFonts w:ascii="Times New Roman" w:hAnsi="Times New Roman"/>
          <w:b/>
          <w:bCs/>
          <w:sz w:val="24"/>
          <w:szCs w:val="24"/>
        </w:rPr>
        <w:t>6</w:t>
      </w:r>
      <w:r>
        <w:rPr>
          <w:rFonts w:ascii="Times New Roman" w:hAnsi="Times New Roman"/>
          <w:sz w:val="24"/>
          <w:szCs w:val="24"/>
        </w:rPr>
        <w:t>(1): 30-37.</w:t>
      </w:r>
    </w:p>
    <w:p w14:paraId="293EB7D9"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Okwu, D. E., and Ekeke, T., (2003). Phytochemical screening and medicinal composition of chewing sticks in South Eastern Nigeria. </w:t>
      </w:r>
      <w:r>
        <w:rPr>
          <w:rFonts w:ascii="Times New Roman" w:hAnsi="Times New Roman"/>
          <w:i/>
          <w:iCs/>
          <w:sz w:val="24"/>
          <w:szCs w:val="24"/>
        </w:rPr>
        <w:t>Global Journal of Pure and Applied Sciences</w:t>
      </w:r>
      <w:r>
        <w:rPr>
          <w:rFonts w:ascii="Times New Roman" w:hAnsi="Times New Roman"/>
          <w:sz w:val="24"/>
          <w:szCs w:val="24"/>
        </w:rPr>
        <w:t xml:space="preserve">, </w:t>
      </w:r>
      <w:r>
        <w:rPr>
          <w:rFonts w:ascii="Times New Roman" w:hAnsi="Times New Roman"/>
          <w:b/>
          <w:bCs/>
          <w:sz w:val="24"/>
          <w:szCs w:val="24"/>
        </w:rPr>
        <w:t>9</w:t>
      </w:r>
      <w:r>
        <w:rPr>
          <w:rFonts w:ascii="Times New Roman" w:hAnsi="Times New Roman"/>
          <w:sz w:val="24"/>
          <w:szCs w:val="24"/>
        </w:rPr>
        <w:t>: 235-238. DOI: http://dx.doi.org/10.4314/gjpas.v9i2.15962.</w:t>
      </w:r>
    </w:p>
    <w:p w14:paraId="661FD386"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Oliveira, A. R., Domingues, F. C., and Ferreira, S., (2017). The influence of resveratrol adaptation on resistance to antibiotics, benzalkonium chloride, heat and acid stresses of </w:t>
      </w:r>
      <w:r>
        <w:rPr>
          <w:rFonts w:ascii="Times New Roman" w:hAnsi="Times New Roman"/>
          <w:i/>
          <w:iCs/>
          <w:sz w:val="24"/>
          <w:szCs w:val="24"/>
        </w:rPr>
        <w:t>Staphylococcus aureus</w:t>
      </w:r>
      <w:r>
        <w:rPr>
          <w:rFonts w:ascii="Times New Roman" w:hAnsi="Times New Roman"/>
          <w:sz w:val="24"/>
          <w:szCs w:val="24"/>
        </w:rPr>
        <w:t xml:space="preserve"> and </w:t>
      </w:r>
      <w:r>
        <w:rPr>
          <w:rFonts w:ascii="Times New Roman" w:hAnsi="Times New Roman"/>
          <w:i/>
          <w:iCs/>
          <w:sz w:val="24"/>
          <w:szCs w:val="24"/>
        </w:rPr>
        <w:t>Listeria monocytogenes</w:t>
      </w:r>
      <w:r>
        <w:rPr>
          <w:rFonts w:ascii="Times New Roman" w:hAnsi="Times New Roman"/>
          <w:sz w:val="24"/>
          <w:szCs w:val="24"/>
        </w:rPr>
        <w:t xml:space="preserve">. </w:t>
      </w:r>
      <w:r>
        <w:rPr>
          <w:rFonts w:ascii="Times New Roman" w:hAnsi="Times New Roman"/>
          <w:i/>
          <w:iCs/>
          <w:sz w:val="24"/>
          <w:szCs w:val="24"/>
        </w:rPr>
        <w:t>Food Control</w:t>
      </w:r>
      <w:r>
        <w:rPr>
          <w:rFonts w:ascii="Times New Roman" w:hAnsi="Times New Roman"/>
          <w:sz w:val="24"/>
          <w:szCs w:val="24"/>
        </w:rPr>
        <w:t xml:space="preserve">, </w:t>
      </w:r>
      <w:r>
        <w:rPr>
          <w:rFonts w:ascii="Times New Roman" w:hAnsi="Times New Roman"/>
          <w:b/>
          <w:bCs/>
          <w:sz w:val="24"/>
          <w:szCs w:val="24"/>
        </w:rPr>
        <w:t>73</w:t>
      </w:r>
      <w:r>
        <w:rPr>
          <w:rFonts w:ascii="Times New Roman" w:hAnsi="Times New Roman"/>
          <w:sz w:val="24"/>
          <w:szCs w:val="24"/>
        </w:rPr>
        <w:t>(Part B): 1420-1425.</w:t>
      </w:r>
    </w:p>
    <w:p w14:paraId="6E02B7C2"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Ong, K. C., and Khoo, H. E., (1997). Biological effects of myricetin. </w:t>
      </w:r>
      <w:r>
        <w:rPr>
          <w:rFonts w:ascii="Times New Roman" w:hAnsi="Times New Roman"/>
          <w:i/>
          <w:iCs/>
          <w:sz w:val="24"/>
          <w:szCs w:val="24"/>
        </w:rPr>
        <w:t>General Pharmacology</w:t>
      </w:r>
      <w:r>
        <w:rPr>
          <w:rFonts w:ascii="Times New Roman" w:hAnsi="Times New Roman"/>
          <w:sz w:val="24"/>
          <w:szCs w:val="24"/>
        </w:rPr>
        <w:t xml:space="preserve">, </w:t>
      </w:r>
      <w:r>
        <w:rPr>
          <w:rFonts w:ascii="Times New Roman" w:hAnsi="Times New Roman"/>
          <w:b/>
          <w:bCs/>
          <w:sz w:val="24"/>
          <w:szCs w:val="24"/>
        </w:rPr>
        <w:t>29</w:t>
      </w:r>
      <w:r>
        <w:rPr>
          <w:rFonts w:ascii="Times New Roman" w:hAnsi="Times New Roman"/>
          <w:sz w:val="24"/>
          <w:szCs w:val="24"/>
        </w:rPr>
        <w:t>: 121–126.</w:t>
      </w:r>
    </w:p>
    <w:p w14:paraId="795085E2"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Osuagwu, G. C. E., and Akomas, C. B., (2013). Antimicrobial activity of the leaves of three species of Nigerian </w:t>
      </w:r>
      <w:r>
        <w:rPr>
          <w:rFonts w:ascii="Times New Roman" w:hAnsi="Times New Roman"/>
          <w:i/>
          <w:iCs/>
          <w:sz w:val="24"/>
          <w:szCs w:val="24"/>
        </w:rPr>
        <w:t>Pterocarpus</w:t>
      </w:r>
      <w:r>
        <w:rPr>
          <w:rFonts w:ascii="Times New Roman" w:hAnsi="Times New Roman"/>
          <w:sz w:val="24"/>
          <w:szCs w:val="24"/>
        </w:rPr>
        <w:t xml:space="preserve"> (Jacq.), </w:t>
      </w:r>
      <w:r>
        <w:rPr>
          <w:rFonts w:ascii="Times New Roman" w:hAnsi="Times New Roman"/>
          <w:i/>
          <w:iCs/>
          <w:sz w:val="24"/>
          <w:szCs w:val="24"/>
        </w:rPr>
        <w:t>International Journal of Medicinal and Aromatic Plants</w:t>
      </w:r>
      <w:r>
        <w:rPr>
          <w:rFonts w:ascii="Times New Roman" w:hAnsi="Times New Roman"/>
          <w:sz w:val="24"/>
          <w:szCs w:val="24"/>
        </w:rPr>
        <w:t xml:space="preserve">, </w:t>
      </w:r>
      <w:r>
        <w:rPr>
          <w:rFonts w:ascii="Times New Roman" w:hAnsi="Times New Roman"/>
          <w:b/>
          <w:bCs/>
          <w:sz w:val="24"/>
          <w:szCs w:val="24"/>
        </w:rPr>
        <w:t>3</w:t>
      </w:r>
      <w:r>
        <w:rPr>
          <w:rFonts w:ascii="Times New Roman" w:hAnsi="Times New Roman"/>
          <w:sz w:val="24"/>
          <w:szCs w:val="24"/>
        </w:rPr>
        <w:t>(2): 178-183.</w:t>
      </w:r>
    </w:p>
    <w:p w14:paraId="5CE71BCE" w14:textId="77CE5D1E" w:rsidR="005C75C3" w:rsidRDefault="00D42813" w:rsidP="00AC7582">
      <w:pPr>
        <w:spacing w:line="360" w:lineRule="auto"/>
        <w:ind w:hanging="360"/>
        <w:jc w:val="both"/>
        <w:rPr>
          <w:rFonts w:ascii="Times New Roman" w:hAnsi="Times New Roman"/>
          <w:sz w:val="24"/>
          <w:szCs w:val="24"/>
        </w:rPr>
      </w:pPr>
      <w:r>
        <w:rPr>
          <w:rFonts w:ascii="Times New Roman" w:hAnsi="Times New Roman"/>
          <w:sz w:val="24"/>
          <w:szCs w:val="24"/>
        </w:rPr>
        <w:t xml:space="preserve">Owoyele, B. V., Oguntoye, S. O., Dare, K., Ogunbiyi, B. A., Aruboula, E. A., and Soladoye, A. O., (2008). Analgesic, anti-inflammatory and antipyretic activities from flavonoid fractions of Chromolaena odorata. </w:t>
      </w:r>
      <w:r>
        <w:rPr>
          <w:rFonts w:ascii="Times New Roman" w:hAnsi="Times New Roman"/>
          <w:i/>
          <w:iCs/>
          <w:sz w:val="24"/>
          <w:szCs w:val="24"/>
        </w:rPr>
        <w:t>Journal of Medicinal Plants Research</w:t>
      </w:r>
      <w:r>
        <w:rPr>
          <w:rFonts w:ascii="Times New Roman" w:hAnsi="Times New Roman"/>
          <w:sz w:val="24"/>
          <w:szCs w:val="24"/>
        </w:rPr>
        <w:t>,</w:t>
      </w:r>
      <w:r>
        <w:rPr>
          <w:rFonts w:ascii="Times New Roman" w:hAnsi="Times New Roman"/>
          <w:b/>
          <w:bCs/>
          <w:sz w:val="24"/>
          <w:szCs w:val="24"/>
        </w:rPr>
        <w:t xml:space="preserve"> 2</w:t>
      </w:r>
      <w:r>
        <w:rPr>
          <w:rFonts w:ascii="Times New Roman" w:hAnsi="Times New Roman"/>
          <w:sz w:val="24"/>
          <w:szCs w:val="24"/>
        </w:rPr>
        <w:t>: 219-225.</w:t>
      </w:r>
    </w:p>
    <w:p w14:paraId="2922A4AD"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Panche, A. N., Diwan, A. D., and Chandra, S. R., (2016). Flavonoids: an overview. </w:t>
      </w:r>
      <w:r>
        <w:rPr>
          <w:rFonts w:ascii="Times New Roman" w:hAnsi="Times New Roman"/>
          <w:i/>
          <w:iCs/>
          <w:sz w:val="24"/>
          <w:szCs w:val="24"/>
        </w:rPr>
        <w:t>Journal of Nutritional Sciences</w:t>
      </w:r>
      <w:r>
        <w:rPr>
          <w:rFonts w:ascii="Times New Roman" w:hAnsi="Times New Roman"/>
          <w:sz w:val="24"/>
          <w:szCs w:val="24"/>
        </w:rPr>
        <w:t>,</w:t>
      </w:r>
      <w:r>
        <w:rPr>
          <w:rFonts w:ascii="Times New Roman" w:hAnsi="Times New Roman"/>
          <w:b/>
          <w:bCs/>
          <w:sz w:val="24"/>
          <w:szCs w:val="24"/>
        </w:rPr>
        <w:t xml:space="preserve"> 5</w:t>
      </w:r>
      <w:r>
        <w:rPr>
          <w:rFonts w:ascii="Times New Roman" w:hAnsi="Times New Roman"/>
          <w:sz w:val="24"/>
          <w:szCs w:val="24"/>
        </w:rPr>
        <w:t xml:space="preserve">: 47. </w:t>
      </w:r>
    </w:p>
    <w:p w14:paraId="31143779"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Park, E. S., Moon, W. S., Song, M. J., Kim, M. N., Chung, K. H., and Yoon, J. S., (2001). Antimicrobial Activity of Phenol and Benzoic Acid Derivatives. </w:t>
      </w:r>
      <w:r>
        <w:rPr>
          <w:rFonts w:ascii="Times New Roman" w:hAnsi="Times New Roman"/>
          <w:i/>
          <w:iCs/>
          <w:sz w:val="24"/>
          <w:szCs w:val="24"/>
        </w:rPr>
        <w:t>International Biodeterioration and Biodegradation</w:t>
      </w:r>
      <w:r>
        <w:rPr>
          <w:rFonts w:ascii="Times New Roman" w:hAnsi="Times New Roman"/>
          <w:sz w:val="24"/>
          <w:szCs w:val="24"/>
        </w:rPr>
        <w:t>,</w:t>
      </w:r>
      <w:r>
        <w:rPr>
          <w:rFonts w:ascii="Times New Roman" w:hAnsi="Times New Roman"/>
          <w:b/>
          <w:bCs/>
          <w:sz w:val="24"/>
          <w:szCs w:val="24"/>
        </w:rPr>
        <w:t xml:space="preserve"> 47</w:t>
      </w:r>
      <w:r>
        <w:rPr>
          <w:rFonts w:ascii="Times New Roman" w:hAnsi="Times New Roman"/>
          <w:sz w:val="24"/>
          <w:szCs w:val="24"/>
        </w:rPr>
        <w:t>(4): 209-214.</w:t>
      </w:r>
    </w:p>
    <w:p w14:paraId="6FA0E06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Park, S. A., Seo, Y. J., </w:t>
      </w:r>
      <w:proofErr w:type="gramStart"/>
      <w:r>
        <w:rPr>
          <w:rFonts w:ascii="Times New Roman" w:hAnsi="Times New Roman"/>
          <w:sz w:val="24"/>
          <w:szCs w:val="24"/>
        </w:rPr>
        <w:t>Kim,  L.</w:t>
      </w:r>
      <w:proofErr w:type="gramEnd"/>
      <w:r>
        <w:rPr>
          <w:rFonts w:ascii="Times New Roman" w:hAnsi="Times New Roman"/>
          <w:sz w:val="24"/>
          <w:szCs w:val="24"/>
        </w:rPr>
        <w:t xml:space="preserve"> K., Kim, H. J., Yoon, K. D., and Heo, T. H., (2023). Butein Inhibits Cell Growth by Blocking the IL-6/IL-6Rα Interaction in Human Ovarian Cancer and by Regulation of the IL-6/STAT3/FoxO3a Pathway. </w:t>
      </w:r>
      <w:r>
        <w:rPr>
          <w:rFonts w:ascii="Times New Roman" w:hAnsi="Times New Roman"/>
          <w:i/>
          <w:iCs/>
          <w:sz w:val="24"/>
          <w:szCs w:val="24"/>
        </w:rPr>
        <w:t>International Journal of Molecular Sciences</w:t>
      </w:r>
      <w:r>
        <w:rPr>
          <w:rFonts w:ascii="Times New Roman" w:hAnsi="Times New Roman"/>
          <w:sz w:val="24"/>
          <w:szCs w:val="24"/>
        </w:rPr>
        <w:t xml:space="preserve">, </w:t>
      </w:r>
      <w:r>
        <w:rPr>
          <w:rFonts w:ascii="Times New Roman" w:hAnsi="Times New Roman"/>
          <w:b/>
          <w:bCs/>
          <w:sz w:val="24"/>
          <w:szCs w:val="24"/>
        </w:rPr>
        <w:t>24</w:t>
      </w:r>
      <w:r>
        <w:rPr>
          <w:rFonts w:ascii="Times New Roman" w:hAnsi="Times New Roman"/>
          <w:sz w:val="24"/>
          <w:szCs w:val="24"/>
        </w:rPr>
        <w:t xml:space="preserve">(7):6038. </w:t>
      </w:r>
    </w:p>
    <w:p w14:paraId="09CD487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Perron, N. R., and Julia, B. L., (2009). A Review of the Antioxidant Mechanisms of Polyphenol Compounds Related to Iron Binding. </w:t>
      </w:r>
      <w:r>
        <w:rPr>
          <w:rFonts w:ascii="Times New Roman" w:hAnsi="Times New Roman"/>
          <w:i/>
          <w:sz w:val="24"/>
          <w:szCs w:val="24"/>
        </w:rPr>
        <w:t>Cell Biochemistry and Biophysics</w:t>
      </w:r>
      <w:r>
        <w:rPr>
          <w:rFonts w:ascii="Times New Roman" w:hAnsi="Times New Roman"/>
          <w:sz w:val="24"/>
          <w:szCs w:val="24"/>
        </w:rPr>
        <w:t xml:space="preserve">, </w:t>
      </w:r>
      <w:r>
        <w:rPr>
          <w:rFonts w:ascii="Times New Roman" w:hAnsi="Times New Roman"/>
          <w:b/>
          <w:bCs/>
          <w:sz w:val="24"/>
          <w:szCs w:val="24"/>
        </w:rPr>
        <w:t>53</w:t>
      </w:r>
      <w:r>
        <w:rPr>
          <w:rFonts w:ascii="Times New Roman" w:hAnsi="Times New Roman"/>
          <w:sz w:val="24"/>
          <w:szCs w:val="24"/>
        </w:rPr>
        <w:t xml:space="preserve">: 75–100. </w:t>
      </w:r>
    </w:p>
    <w:p w14:paraId="236141D0"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Pietta, P. G., (2000); Flavonoids as anti-oxidants. </w:t>
      </w:r>
      <w:r>
        <w:rPr>
          <w:rFonts w:ascii="Times New Roman" w:hAnsi="Times New Roman"/>
          <w:i/>
          <w:iCs/>
          <w:sz w:val="24"/>
          <w:szCs w:val="24"/>
        </w:rPr>
        <w:t>Journal of Natural Products</w:t>
      </w:r>
      <w:r>
        <w:rPr>
          <w:rFonts w:ascii="Times New Roman" w:hAnsi="Times New Roman"/>
          <w:sz w:val="24"/>
          <w:szCs w:val="24"/>
        </w:rPr>
        <w:t xml:space="preserve">, </w:t>
      </w:r>
      <w:r>
        <w:rPr>
          <w:rFonts w:ascii="Times New Roman" w:hAnsi="Times New Roman"/>
          <w:b/>
          <w:bCs/>
          <w:sz w:val="24"/>
          <w:szCs w:val="24"/>
        </w:rPr>
        <w:t>63</w:t>
      </w:r>
      <w:r>
        <w:rPr>
          <w:rFonts w:ascii="Times New Roman" w:hAnsi="Times New Roman"/>
          <w:sz w:val="24"/>
          <w:szCs w:val="24"/>
        </w:rPr>
        <w:t>: 1035–1042.</w:t>
      </w:r>
    </w:p>
    <w:p w14:paraId="6526A0D3"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Poppenga, R. H., (2007). Herbal medicine: potential for intoxication and interactions with conventional drugs. In: Wynn S, Fougere B (eds.) Veterinary Herbal Medicine. Mosby Incorporated. Missouri USA. Pp: 183-207.</w:t>
      </w:r>
    </w:p>
    <w:p w14:paraId="15F4BDCF"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Rahmani, A. H., Alsahli, M. A., Almatroudi, A., Almogbel, M. A., Khan, A. A., Anwar, S., and Almatroodi, S. A., (2022). The Potential Role of Apigenin in Cancer Prevention and Treatment. </w:t>
      </w:r>
      <w:r>
        <w:rPr>
          <w:rFonts w:ascii="Times New Roman" w:hAnsi="Times New Roman"/>
          <w:i/>
          <w:iCs/>
          <w:sz w:val="24"/>
          <w:szCs w:val="24"/>
        </w:rPr>
        <w:t>Molecules</w:t>
      </w:r>
      <w:r>
        <w:rPr>
          <w:rFonts w:ascii="Times New Roman" w:hAnsi="Times New Roman"/>
          <w:sz w:val="24"/>
          <w:szCs w:val="24"/>
        </w:rPr>
        <w:t xml:space="preserve">, </w:t>
      </w:r>
      <w:r>
        <w:rPr>
          <w:rFonts w:ascii="Times New Roman" w:hAnsi="Times New Roman"/>
          <w:b/>
          <w:bCs/>
          <w:sz w:val="24"/>
          <w:szCs w:val="24"/>
        </w:rPr>
        <w:t>27</w:t>
      </w:r>
      <w:r>
        <w:rPr>
          <w:rFonts w:ascii="Times New Roman" w:hAnsi="Times New Roman"/>
          <w:sz w:val="24"/>
          <w:szCs w:val="24"/>
        </w:rPr>
        <w:t>: 6051.</w:t>
      </w:r>
    </w:p>
    <w:p w14:paraId="69226B0A"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Rashed, K., (2021). International Journal of Biomedical and Advance Research Biological Properties of Naringenin: A Review QR Code. </w:t>
      </w:r>
      <w:r>
        <w:rPr>
          <w:rFonts w:ascii="Times New Roman" w:hAnsi="Times New Roman"/>
          <w:i/>
          <w:iCs/>
          <w:sz w:val="24"/>
          <w:szCs w:val="24"/>
        </w:rPr>
        <w:t>International Journal of Biomedical and Advanced Research</w:t>
      </w:r>
      <w:r>
        <w:rPr>
          <w:rFonts w:ascii="Times New Roman" w:hAnsi="Times New Roman"/>
          <w:sz w:val="24"/>
          <w:szCs w:val="24"/>
        </w:rPr>
        <w:t xml:space="preserve">, </w:t>
      </w:r>
      <w:r>
        <w:rPr>
          <w:rFonts w:ascii="Times New Roman" w:hAnsi="Times New Roman"/>
          <w:b/>
          <w:bCs/>
          <w:sz w:val="24"/>
          <w:szCs w:val="24"/>
        </w:rPr>
        <w:t>12</w:t>
      </w:r>
      <w:r>
        <w:rPr>
          <w:rFonts w:ascii="Times New Roman" w:hAnsi="Times New Roman"/>
          <w:sz w:val="24"/>
          <w:szCs w:val="24"/>
        </w:rPr>
        <w:t>: 12.</w:t>
      </w:r>
    </w:p>
    <w:p w14:paraId="68714B5A"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Rauf, A., Shariati, M. A., Imran, M., Bashir, K., Khan, S. A., Mitra, S., Bin Emran, T., Badalova, K., Uddin, M. S., Mubarak, M. S., Aljohani, A. S. M., Alhumaydhi, F. A., Derkho, M., Korpayev, S., and Zengin, G., (2022). Comprehensive review on naringenin and naringin polyphenols as a potent anticancer agent. </w:t>
      </w:r>
      <w:r>
        <w:rPr>
          <w:rFonts w:ascii="Times New Roman" w:hAnsi="Times New Roman"/>
          <w:i/>
          <w:iCs/>
          <w:sz w:val="24"/>
          <w:szCs w:val="24"/>
        </w:rPr>
        <w:t>Environmental Science and Pollution Research International</w:t>
      </w:r>
      <w:r>
        <w:rPr>
          <w:rFonts w:ascii="Times New Roman" w:hAnsi="Times New Roman"/>
          <w:sz w:val="24"/>
          <w:szCs w:val="24"/>
        </w:rPr>
        <w:t xml:space="preserve">, </w:t>
      </w:r>
      <w:r>
        <w:rPr>
          <w:rFonts w:ascii="Times New Roman" w:hAnsi="Times New Roman"/>
          <w:b/>
          <w:bCs/>
          <w:sz w:val="24"/>
          <w:szCs w:val="24"/>
        </w:rPr>
        <w:t>29</w:t>
      </w:r>
      <w:r>
        <w:rPr>
          <w:rFonts w:ascii="Times New Roman" w:hAnsi="Times New Roman"/>
          <w:sz w:val="24"/>
          <w:szCs w:val="24"/>
        </w:rPr>
        <w:t xml:space="preserve">(21): 31025-31041. </w:t>
      </w:r>
    </w:p>
    <w:p w14:paraId="5D64AB0A"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Robak, K., and Gryglewski, R. J., (1988). Flavonoids are scavengers of superoxide anions. </w:t>
      </w:r>
      <w:r>
        <w:rPr>
          <w:rFonts w:ascii="Times New Roman" w:hAnsi="Times New Roman"/>
          <w:i/>
          <w:iCs/>
          <w:sz w:val="24"/>
          <w:szCs w:val="24"/>
        </w:rPr>
        <w:t>Journal of Biochemical Pharmacology</w:t>
      </w:r>
      <w:r>
        <w:rPr>
          <w:rFonts w:ascii="Times New Roman" w:hAnsi="Times New Roman"/>
          <w:sz w:val="24"/>
          <w:szCs w:val="24"/>
        </w:rPr>
        <w:t xml:space="preserve">, </w:t>
      </w:r>
      <w:r>
        <w:rPr>
          <w:rFonts w:ascii="Times New Roman" w:hAnsi="Times New Roman"/>
          <w:b/>
          <w:bCs/>
          <w:sz w:val="24"/>
          <w:szCs w:val="24"/>
        </w:rPr>
        <w:t>37</w:t>
      </w:r>
      <w:r>
        <w:rPr>
          <w:rFonts w:ascii="Times New Roman" w:hAnsi="Times New Roman"/>
          <w:sz w:val="24"/>
          <w:szCs w:val="24"/>
        </w:rPr>
        <w:t>: 837–841.</w:t>
      </w:r>
    </w:p>
    <w:p w14:paraId="7A027552"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Samy, C. K. T., Dankwa, K., Stephen, Y. G., and Archibald, S., (2011). Antimalarial activity of </w:t>
      </w:r>
      <w:r>
        <w:rPr>
          <w:rFonts w:ascii="Times New Roman" w:hAnsi="Times New Roman"/>
          <w:i/>
          <w:iCs/>
          <w:sz w:val="24"/>
          <w:szCs w:val="24"/>
        </w:rPr>
        <w:t>Cryptolepis anguinolenta</w:t>
      </w:r>
      <w:r>
        <w:rPr>
          <w:rFonts w:ascii="Times New Roman" w:hAnsi="Times New Roman"/>
          <w:sz w:val="24"/>
          <w:szCs w:val="24"/>
        </w:rPr>
        <w:t xml:space="preserve"> based herbal capsules in </w:t>
      </w:r>
      <w:r>
        <w:rPr>
          <w:rFonts w:ascii="Times New Roman" w:hAnsi="Times New Roman"/>
          <w:i/>
          <w:sz w:val="24"/>
          <w:szCs w:val="24"/>
        </w:rPr>
        <w:t>Plasmodium berghei</w:t>
      </w:r>
      <w:r>
        <w:rPr>
          <w:rFonts w:ascii="Times New Roman" w:hAnsi="Times New Roman"/>
          <w:sz w:val="24"/>
          <w:szCs w:val="24"/>
        </w:rPr>
        <w:t xml:space="preserve"> infected mice. </w:t>
      </w:r>
      <w:r>
        <w:rPr>
          <w:rFonts w:ascii="Times New Roman" w:hAnsi="Times New Roman"/>
          <w:i/>
          <w:sz w:val="24"/>
          <w:szCs w:val="24"/>
        </w:rPr>
        <w:t>International Research Journal of pharmacy</w:t>
      </w:r>
      <w:r>
        <w:rPr>
          <w:rFonts w:ascii="Times New Roman" w:hAnsi="Times New Roman"/>
          <w:sz w:val="24"/>
          <w:szCs w:val="24"/>
        </w:rPr>
        <w:t>,</w:t>
      </w:r>
      <w:r>
        <w:rPr>
          <w:rFonts w:ascii="Times New Roman" w:hAnsi="Times New Roman"/>
          <w:b/>
          <w:bCs/>
          <w:sz w:val="24"/>
          <w:szCs w:val="24"/>
        </w:rPr>
        <w:t xml:space="preserve"> 2</w:t>
      </w:r>
      <w:r>
        <w:rPr>
          <w:rFonts w:ascii="Times New Roman" w:hAnsi="Times New Roman"/>
          <w:sz w:val="24"/>
          <w:szCs w:val="24"/>
        </w:rPr>
        <w:t>(5): 127-131.</w:t>
      </w:r>
    </w:p>
    <w:p w14:paraId="4B5BD10F"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Schulz, V., Hansel, R., and Tyler, V. E., (2001). Rational phytotherapy—a physician’s guide to herbal medicine. 4th edition, Springer-Verleg, Berlin. </w:t>
      </w:r>
    </w:p>
    <w:p w14:paraId="1C701979" w14:textId="77777777" w:rsidR="005C75C3" w:rsidRDefault="00D42813">
      <w:pPr>
        <w:spacing w:line="360" w:lineRule="auto"/>
        <w:ind w:hanging="360"/>
        <w:jc w:val="both"/>
        <w:rPr>
          <w:rFonts w:ascii="Times New Roman" w:hAnsi="Times New Roman"/>
          <w:sz w:val="24"/>
          <w:szCs w:val="24"/>
        </w:rPr>
      </w:pPr>
      <w:r>
        <w:rPr>
          <w:rFonts w:ascii="Times New Roman" w:eastAsia="Arial" w:hAnsi="Times New Roman"/>
          <w:sz w:val="24"/>
          <w:szCs w:val="24"/>
        </w:rPr>
        <w:t xml:space="preserve">Sichaem, J., Nguyen, H. H., Nguyen, V. H., Mac, D. H., Mai, D. T., Nguyen, H. C., Tran, T. N., Pham, N. K., Nguyen, H. H., Niamnont, N., and Duong, T. H., (2021). A new labdane-type diterpenoid from the leaves of </w:t>
      </w:r>
      <w:r>
        <w:rPr>
          <w:rFonts w:ascii="Times New Roman" w:eastAsia="Arial" w:hAnsi="Times New Roman"/>
          <w:i/>
          <w:iCs/>
          <w:sz w:val="24"/>
          <w:szCs w:val="24"/>
        </w:rPr>
        <w:t>Vitex negundo L</w:t>
      </w:r>
      <w:r>
        <w:rPr>
          <w:rFonts w:ascii="Times New Roman" w:eastAsia="Arial" w:hAnsi="Times New Roman"/>
          <w:sz w:val="24"/>
          <w:szCs w:val="24"/>
        </w:rPr>
        <w:t xml:space="preserve">. </w:t>
      </w:r>
      <w:r>
        <w:rPr>
          <w:rFonts w:ascii="Times New Roman" w:eastAsia="Arial" w:hAnsi="Times New Roman"/>
          <w:i/>
          <w:iCs/>
          <w:sz w:val="24"/>
          <w:szCs w:val="24"/>
        </w:rPr>
        <w:t>Natural Product Research</w:t>
      </w:r>
      <w:r>
        <w:rPr>
          <w:rFonts w:ascii="Times New Roman" w:eastAsia="Arial" w:hAnsi="Times New Roman"/>
          <w:sz w:val="24"/>
          <w:szCs w:val="24"/>
        </w:rPr>
        <w:t xml:space="preserve">, </w:t>
      </w:r>
      <w:r>
        <w:rPr>
          <w:rFonts w:ascii="Times New Roman" w:eastAsia="Arial" w:hAnsi="Times New Roman"/>
          <w:b/>
          <w:bCs/>
          <w:sz w:val="24"/>
          <w:szCs w:val="24"/>
        </w:rPr>
        <w:t>35</w:t>
      </w:r>
      <w:r>
        <w:rPr>
          <w:rFonts w:ascii="Times New Roman" w:eastAsia="Arial" w:hAnsi="Times New Roman"/>
          <w:sz w:val="24"/>
          <w:szCs w:val="24"/>
        </w:rPr>
        <w:t>(14): 2329-2334. doi: 10.1080/14786419.2019.1672687. Epub 2019 Oct 4. PMID: 31583894.</w:t>
      </w:r>
    </w:p>
    <w:p w14:paraId="480E02FC"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Shamsudin, N. F., Ahmed, Q. U., Mahmood, S., Ali Ahah, S. A., Khatib, A., Makhtat, S., Alsharif, M. A., Parveen, H., and Zakaria, Z. A., (2022). Antibacterial effects of flavonoids and their structure-activity relationship: A comparative interpretation. </w:t>
      </w:r>
      <w:r>
        <w:rPr>
          <w:rFonts w:ascii="Times New Roman" w:hAnsi="Times New Roman"/>
          <w:i/>
          <w:iCs/>
          <w:sz w:val="24"/>
          <w:szCs w:val="24"/>
        </w:rPr>
        <w:t>Molecules</w:t>
      </w:r>
      <w:r>
        <w:rPr>
          <w:rFonts w:ascii="Times New Roman" w:hAnsi="Times New Roman"/>
          <w:sz w:val="24"/>
          <w:szCs w:val="24"/>
        </w:rPr>
        <w:t xml:space="preserve">, </w:t>
      </w:r>
      <w:r>
        <w:rPr>
          <w:rFonts w:ascii="Times New Roman" w:hAnsi="Times New Roman"/>
          <w:b/>
          <w:bCs/>
          <w:sz w:val="24"/>
          <w:szCs w:val="24"/>
        </w:rPr>
        <w:t>27</w:t>
      </w:r>
      <w:r>
        <w:rPr>
          <w:rFonts w:ascii="Times New Roman" w:hAnsi="Times New Roman"/>
          <w:sz w:val="24"/>
          <w:szCs w:val="24"/>
        </w:rPr>
        <w:t>: 1149.</w:t>
      </w:r>
    </w:p>
    <w:p w14:paraId="5C955EF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Sreeja, S., and Sreeja, S., (2009). "An in vitro study on antiproliferative and antiestrogenic effects of </w:t>
      </w:r>
      <w:r>
        <w:rPr>
          <w:rFonts w:ascii="Times New Roman" w:hAnsi="Times New Roman"/>
          <w:i/>
          <w:iCs/>
          <w:sz w:val="24"/>
          <w:szCs w:val="24"/>
        </w:rPr>
        <w:t>Boerhaavia diffusa</w:t>
      </w:r>
      <w:r>
        <w:rPr>
          <w:rFonts w:ascii="Times New Roman" w:hAnsi="Times New Roman"/>
          <w:sz w:val="24"/>
          <w:szCs w:val="24"/>
        </w:rPr>
        <w:t xml:space="preserve"> L. extracts". </w:t>
      </w:r>
      <w:r>
        <w:rPr>
          <w:rFonts w:ascii="Times New Roman" w:hAnsi="Times New Roman"/>
          <w:i/>
          <w:iCs/>
          <w:sz w:val="24"/>
          <w:szCs w:val="24"/>
        </w:rPr>
        <w:t>Journal of Ethnopharmacology,</w:t>
      </w:r>
      <w:r>
        <w:rPr>
          <w:rFonts w:ascii="Times New Roman" w:hAnsi="Times New Roman"/>
          <w:sz w:val="24"/>
          <w:szCs w:val="24"/>
        </w:rPr>
        <w:t xml:space="preserve"> </w:t>
      </w:r>
      <w:r>
        <w:rPr>
          <w:rFonts w:ascii="Times New Roman" w:hAnsi="Times New Roman"/>
          <w:b/>
          <w:bCs/>
          <w:sz w:val="24"/>
          <w:szCs w:val="24"/>
        </w:rPr>
        <w:t>126</w:t>
      </w:r>
      <w:r>
        <w:rPr>
          <w:rFonts w:ascii="Times New Roman" w:hAnsi="Times New Roman"/>
          <w:sz w:val="24"/>
          <w:szCs w:val="24"/>
        </w:rPr>
        <w:t xml:space="preserve"> (2): 221–225. </w:t>
      </w:r>
      <w:proofErr w:type="gramStart"/>
      <w:r>
        <w:rPr>
          <w:rFonts w:ascii="Times New Roman" w:hAnsi="Times New Roman"/>
          <w:sz w:val="24"/>
          <w:szCs w:val="24"/>
        </w:rPr>
        <w:t>doi:10.1016/j.jep</w:t>
      </w:r>
      <w:proofErr w:type="gramEnd"/>
      <w:r>
        <w:rPr>
          <w:rFonts w:ascii="Times New Roman" w:hAnsi="Times New Roman"/>
          <w:sz w:val="24"/>
          <w:szCs w:val="24"/>
        </w:rPr>
        <w:t xml:space="preserve">.2009.08.041. PMID 19723573. </w:t>
      </w:r>
    </w:p>
    <w:p w14:paraId="69689593"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Suba, V., Murugesan, T., Pal, M., Mandal, S. C., and Saha, B. P., (2004). Antiulcer activity of methanol fraction of </w:t>
      </w:r>
      <w:r>
        <w:rPr>
          <w:rFonts w:ascii="Times New Roman" w:hAnsi="Times New Roman"/>
          <w:i/>
          <w:sz w:val="24"/>
          <w:szCs w:val="24"/>
        </w:rPr>
        <w:t>barleria lupulina</w:t>
      </w:r>
      <w:r>
        <w:rPr>
          <w:rFonts w:ascii="Times New Roman" w:hAnsi="Times New Roman"/>
          <w:sz w:val="24"/>
          <w:szCs w:val="24"/>
        </w:rPr>
        <w:t xml:space="preserve"> lindl. In animal models. </w:t>
      </w:r>
      <w:r>
        <w:rPr>
          <w:rFonts w:ascii="Times New Roman" w:hAnsi="Times New Roman"/>
          <w:i/>
          <w:sz w:val="24"/>
          <w:szCs w:val="24"/>
        </w:rPr>
        <w:t>Phytotherapy Research</w:t>
      </w:r>
      <w:r>
        <w:rPr>
          <w:rFonts w:ascii="Times New Roman" w:hAnsi="Times New Roman"/>
          <w:sz w:val="24"/>
          <w:szCs w:val="24"/>
        </w:rPr>
        <w:t xml:space="preserve">, </w:t>
      </w:r>
      <w:r>
        <w:rPr>
          <w:rFonts w:ascii="Times New Roman" w:hAnsi="Times New Roman"/>
          <w:b/>
          <w:sz w:val="24"/>
          <w:szCs w:val="24"/>
        </w:rPr>
        <w:t>18</w:t>
      </w:r>
      <w:r>
        <w:rPr>
          <w:rFonts w:ascii="Times New Roman" w:hAnsi="Times New Roman"/>
          <w:sz w:val="24"/>
          <w:szCs w:val="24"/>
        </w:rPr>
        <w:t xml:space="preserve">: 925–929. </w:t>
      </w:r>
    </w:p>
    <w:p w14:paraId="6C3F078F"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Sun, M.Y., Ye, Y., Xiao, L., Rahman, K., Xia, W., and Zhang, H., (2016). Daidzein: A review of pharmacological effects. </w:t>
      </w:r>
      <w:r>
        <w:rPr>
          <w:rFonts w:ascii="Times New Roman" w:hAnsi="Times New Roman"/>
          <w:i/>
          <w:iCs/>
          <w:sz w:val="24"/>
          <w:szCs w:val="24"/>
        </w:rPr>
        <w:t>African Journal of Traditional, Complementary and Alternative Medicines</w:t>
      </w:r>
      <w:r>
        <w:rPr>
          <w:rFonts w:ascii="Times New Roman" w:hAnsi="Times New Roman"/>
          <w:sz w:val="24"/>
          <w:szCs w:val="24"/>
        </w:rPr>
        <w:t xml:space="preserve">, </w:t>
      </w:r>
      <w:r>
        <w:rPr>
          <w:rFonts w:ascii="Times New Roman" w:hAnsi="Times New Roman"/>
          <w:b/>
          <w:bCs/>
          <w:sz w:val="24"/>
          <w:szCs w:val="24"/>
        </w:rPr>
        <w:t>13</w:t>
      </w:r>
      <w:r>
        <w:rPr>
          <w:rFonts w:ascii="Times New Roman" w:hAnsi="Times New Roman"/>
          <w:sz w:val="24"/>
          <w:szCs w:val="24"/>
        </w:rPr>
        <w:t>: 117–132.</w:t>
      </w:r>
    </w:p>
    <w:p w14:paraId="4911ED03"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Sundaram, R., Shanthi, P., and Sachdanandam, P., (2014). Effect of tangeretin, a polymethoxylated flavone on glucose metabolism in streptozotocin-induced diabetic rats. </w:t>
      </w:r>
      <w:r>
        <w:rPr>
          <w:rFonts w:ascii="Times New Roman" w:hAnsi="Times New Roman"/>
          <w:i/>
          <w:iCs/>
          <w:sz w:val="24"/>
          <w:szCs w:val="24"/>
        </w:rPr>
        <w:t>Phytomedicine</w:t>
      </w:r>
      <w:r>
        <w:rPr>
          <w:rFonts w:ascii="Times New Roman" w:hAnsi="Times New Roman"/>
          <w:sz w:val="24"/>
          <w:szCs w:val="24"/>
        </w:rPr>
        <w:t xml:space="preserve">, </w:t>
      </w:r>
      <w:r>
        <w:rPr>
          <w:rFonts w:ascii="Times New Roman" w:hAnsi="Times New Roman"/>
          <w:b/>
          <w:bCs/>
          <w:sz w:val="24"/>
          <w:szCs w:val="24"/>
        </w:rPr>
        <w:t>21</w:t>
      </w:r>
      <w:r>
        <w:rPr>
          <w:rFonts w:ascii="Times New Roman" w:hAnsi="Times New Roman"/>
          <w:sz w:val="24"/>
          <w:szCs w:val="24"/>
        </w:rPr>
        <w:t>(6): 793–799. doi: 10.1016/j.phymed.2014.01.007.</w:t>
      </w:r>
    </w:p>
    <w:p w14:paraId="4FBE73DD"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Syahputra, R. A., Harahap, U., Dalimunthe, A., Nasution, M. P., and Satria, D., (2022). The role of flavonoids asa cardiopretective strategy against doxorubicin-induced cardiotoxicity: A review. </w:t>
      </w:r>
      <w:r>
        <w:rPr>
          <w:rFonts w:ascii="Times New Roman" w:hAnsi="Times New Roman"/>
          <w:i/>
          <w:iCs/>
          <w:sz w:val="24"/>
          <w:szCs w:val="24"/>
        </w:rPr>
        <w:t>Molecules</w:t>
      </w:r>
      <w:r>
        <w:rPr>
          <w:rFonts w:ascii="Times New Roman" w:hAnsi="Times New Roman"/>
          <w:sz w:val="24"/>
          <w:szCs w:val="24"/>
        </w:rPr>
        <w:t xml:space="preserve">, </w:t>
      </w:r>
      <w:r>
        <w:rPr>
          <w:rFonts w:ascii="Times New Roman" w:hAnsi="Times New Roman"/>
          <w:b/>
          <w:bCs/>
          <w:sz w:val="24"/>
          <w:szCs w:val="24"/>
        </w:rPr>
        <w:t>27</w:t>
      </w:r>
      <w:r>
        <w:rPr>
          <w:rFonts w:ascii="Times New Roman" w:hAnsi="Times New Roman"/>
          <w:sz w:val="24"/>
          <w:szCs w:val="24"/>
        </w:rPr>
        <w:t>: 1320.</w:t>
      </w:r>
    </w:p>
    <w:p w14:paraId="586FD514"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Tietz Fundamentals of Clinical Chemistry, 6th edition. Saunders Elsevier, Missouri. pp. 422-427.</w:t>
      </w:r>
    </w:p>
    <w:p w14:paraId="554E3A67"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Tietze, L. F., (1996). Domino Reactions in Organic Synthesis. Chemical Reviews, 96(1): 115-136.</w:t>
      </w:r>
    </w:p>
    <w:p w14:paraId="35236EF7"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Tietze, N. W., Finley, P. R., and Pruden, E. L., (1990). Clinical Guide to Laboratory Tests. 2nd Edition, WB. Saunders, Philadelphia, 304-306.</w:t>
      </w:r>
    </w:p>
    <w:p w14:paraId="2B64C2A3"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Tiwari, R. H., and Sinha, M., (2010). Veterinary Toxicology. Jaipur, India: Oxford Book Company. 2010. p. 133–174.</w:t>
      </w:r>
    </w:p>
    <w:p w14:paraId="538BB6F0"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Trinder, P., (1969). Determination of glucose in blood using glucose oxidase with an alternative oxygen acceptor. Annals of Clinical Biochemistry, 6: 24-27.</w:t>
      </w:r>
    </w:p>
    <w:p w14:paraId="44669FA0"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Ugoeze, K.C., </w:t>
      </w:r>
      <w:proofErr w:type="spellStart"/>
      <w:r>
        <w:rPr>
          <w:rFonts w:ascii="Times New Roman" w:hAnsi="Times New Roman"/>
          <w:sz w:val="24"/>
          <w:szCs w:val="24"/>
        </w:rPr>
        <w:t>Oluigbo</w:t>
      </w:r>
      <w:proofErr w:type="spellEnd"/>
      <w:r>
        <w:rPr>
          <w:rFonts w:ascii="Times New Roman" w:hAnsi="Times New Roman"/>
          <w:sz w:val="24"/>
          <w:szCs w:val="24"/>
        </w:rPr>
        <w:t xml:space="preserve">, K.E., and Chinko, B.C., (2020). Phytomedicinal and Nutraceutical Benefits of the GC-FID Quantified Phytocomponents of the Aqueous Extract of Azadirachtaindica Leaves. </w:t>
      </w:r>
      <w:r>
        <w:rPr>
          <w:rFonts w:ascii="Times New Roman" w:hAnsi="Times New Roman"/>
          <w:i/>
          <w:iCs/>
          <w:sz w:val="24"/>
          <w:szCs w:val="24"/>
        </w:rPr>
        <w:t>Journal of Pharmacy and Pharmacology Research</w:t>
      </w:r>
      <w:r>
        <w:rPr>
          <w:rFonts w:ascii="Times New Roman" w:hAnsi="Times New Roman"/>
          <w:sz w:val="24"/>
          <w:szCs w:val="24"/>
        </w:rPr>
        <w:t xml:space="preserve">, </w:t>
      </w:r>
      <w:r>
        <w:rPr>
          <w:rFonts w:ascii="Times New Roman" w:hAnsi="Times New Roman"/>
          <w:b/>
          <w:bCs/>
          <w:sz w:val="24"/>
          <w:szCs w:val="24"/>
        </w:rPr>
        <w:t>4</w:t>
      </w:r>
      <w:r>
        <w:rPr>
          <w:rFonts w:ascii="Times New Roman" w:hAnsi="Times New Roman"/>
          <w:sz w:val="24"/>
          <w:szCs w:val="24"/>
        </w:rPr>
        <w:t>(4): 149- 163.</w:t>
      </w:r>
    </w:p>
    <w:p w14:paraId="3006A580"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Ukwueze, S. E., Anozie, R. C., and Ezealisiji, K. M., (2018). Preliminary Report on the Isolation and Phytochemical Evaluation of Antimicrobial Constituents from the Leaves of Nturukpa- a Common Nigerian Herb (</w:t>
      </w:r>
      <w:r>
        <w:rPr>
          <w:rFonts w:ascii="Times New Roman" w:hAnsi="Times New Roman"/>
          <w:i/>
          <w:iCs/>
          <w:sz w:val="24"/>
          <w:szCs w:val="24"/>
        </w:rPr>
        <w:t>Pterocarpus santalinoides</w:t>
      </w:r>
      <w:r>
        <w:rPr>
          <w:rFonts w:ascii="Times New Roman" w:hAnsi="Times New Roman"/>
          <w:sz w:val="24"/>
          <w:szCs w:val="24"/>
        </w:rPr>
        <w:t xml:space="preserve"> DC). </w:t>
      </w:r>
      <w:r>
        <w:rPr>
          <w:rFonts w:ascii="Times New Roman" w:hAnsi="Times New Roman"/>
          <w:i/>
          <w:iCs/>
          <w:sz w:val="24"/>
          <w:szCs w:val="24"/>
        </w:rPr>
        <w:t>The Pharmaceutical and Chemical Journal</w:t>
      </w:r>
      <w:r>
        <w:rPr>
          <w:rFonts w:ascii="Times New Roman" w:hAnsi="Times New Roman"/>
          <w:sz w:val="24"/>
          <w:szCs w:val="24"/>
        </w:rPr>
        <w:t xml:space="preserve">, </w:t>
      </w:r>
      <w:r>
        <w:rPr>
          <w:rFonts w:ascii="Times New Roman" w:hAnsi="Times New Roman"/>
          <w:b/>
          <w:bCs/>
          <w:sz w:val="24"/>
          <w:szCs w:val="24"/>
        </w:rPr>
        <w:t>5</w:t>
      </w:r>
      <w:r>
        <w:rPr>
          <w:rFonts w:ascii="Times New Roman" w:hAnsi="Times New Roman"/>
          <w:sz w:val="24"/>
          <w:szCs w:val="24"/>
        </w:rPr>
        <w:t>(1): 117-122.</w:t>
      </w:r>
    </w:p>
    <w:p w14:paraId="0A07FA51"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lastRenderedPageBreak/>
        <w:t xml:space="preserve">Utkina, N. K., and Kulesh, N. I., (2012). Antioxidant activity of polyphenols and polyphenol complex from the far-eastern tree </w:t>
      </w:r>
      <w:r>
        <w:rPr>
          <w:rFonts w:ascii="Times New Roman" w:hAnsi="Times New Roman"/>
          <w:i/>
          <w:iCs/>
          <w:sz w:val="24"/>
          <w:szCs w:val="24"/>
        </w:rPr>
        <w:t>Maackia amurensis</w:t>
      </w:r>
      <w:r>
        <w:rPr>
          <w:rFonts w:ascii="Times New Roman" w:hAnsi="Times New Roman"/>
          <w:sz w:val="24"/>
          <w:szCs w:val="24"/>
        </w:rPr>
        <w:t xml:space="preserve">, </w:t>
      </w:r>
      <w:r>
        <w:rPr>
          <w:rFonts w:ascii="Times New Roman" w:hAnsi="Times New Roman"/>
          <w:i/>
          <w:iCs/>
          <w:sz w:val="24"/>
          <w:szCs w:val="24"/>
        </w:rPr>
        <w:t>Pharmacetical and Chemical Journal</w:t>
      </w:r>
      <w:r>
        <w:rPr>
          <w:rFonts w:ascii="Times New Roman" w:hAnsi="Times New Roman"/>
          <w:sz w:val="24"/>
          <w:szCs w:val="24"/>
        </w:rPr>
        <w:t xml:space="preserve">, </w:t>
      </w:r>
      <w:r>
        <w:rPr>
          <w:rFonts w:ascii="Times New Roman" w:hAnsi="Times New Roman"/>
          <w:b/>
          <w:bCs/>
          <w:sz w:val="24"/>
          <w:szCs w:val="24"/>
        </w:rPr>
        <w:t>46</w:t>
      </w:r>
      <w:r>
        <w:rPr>
          <w:rFonts w:ascii="Times New Roman" w:hAnsi="Times New Roman"/>
          <w:sz w:val="24"/>
          <w:szCs w:val="24"/>
        </w:rPr>
        <w:t>: 488–491.</w:t>
      </w:r>
    </w:p>
    <w:p w14:paraId="6F1AAE98"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Vaiyapuri S., Ali M. S., Moraes L. A., Sage, T., Lewis, K. R., Jones, C. I., Gibbins, J.M., (2013). Tangeretin regulates platelet function through inhibition of phosphoinositide 3-kinase and cyclic nucleotide signaling. </w:t>
      </w:r>
      <w:r>
        <w:rPr>
          <w:rFonts w:ascii="Times New Roman" w:hAnsi="Times New Roman"/>
          <w:i/>
          <w:iCs/>
          <w:sz w:val="24"/>
          <w:szCs w:val="24"/>
        </w:rPr>
        <w:t xml:space="preserve">Arteriosclerosis, Thrombosis, and Vascular Biology, </w:t>
      </w:r>
      <w:r>
        <w:rPr>
          <w:rFonts w:ascii="Times New Roman" w:hAnsi="Times New Roman"/>
          <w:b/>
          <w:bCs/>
          <w:sz w:val="24"/>
          <w:szCs w:val="24"/>
        </w:rPr>
        <w:t>33</w:t>
      </w:r>
      <w:r>
        <w:rPr>
          <w:rFonts w:ascii="Times New Roman" w:hAnsi="Times New Roman"/>
          <w:sz w:val="24"/>
          <w:szCs w:val="24"/>
        </w:rPr>
        <w:t>(12): 2740–2749. doi: 10.1161/ATVBAHA.113.301988.</w:t>
      </w:r>
    </w:p>
    <w:p w14:paraId="04B62517"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Wooley, J. G., (2001). Plant Alkaloids. </w:t>
      </w:r>
      <w:r>
        <w:rPr>
          <w:rFonts w:ascii="Times New Roman" w:hAnsi="Times New Roman"/>
          <w:i/>
          <w:iCs/>
          <w:sz w:val="24"/>
          <w:szCs w:val="24"/>
        </w:rPr>
        <w:t>Encyclopedia of Life Sciences</w:t>
      </w:r>
      <w:r>
        <w:rPr>
          <w:rFonts w:ascii="Times New Roman" w:hAnsi="Times New Roman"/>
          <w:sz w:val="24"/>
          <w:szCs w:val="24"/>
        </w:rPr>
        <w:t>. Nature Publishing Leicester Group, UK.</w:t>
      </w:r>
    </w:p>
    <w:p w14:paraId="5AB98F56"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Wu, X., Song, M., Gao, Z., Sun, Y., Wang, M., Li, F., Zheng, J., and Xiao, H., (2017). Nobiletin and its colonic metabolites suppress colitis-associated colon carcinogenesis by down-regulating iNOS, inducing antioxidative enzymes and arresting cell cycle progression. </w:t>
      </w:r>
      <w:r>
        <w:rPr>
          <w:rFonts w:ascii="Times New Roman" w:hAnsi="Times New Roman"/>
          <w:i/>
          <w:iCs/>
          <w:sz w:val="24"/>
          <w:szCs w:val="24"/>
        </w:rPr>
        <w:t>Journal of Nutritional Biochemistry</w:t>
      </w:r>
      <w:r>
        <w:rPr>
          <w:rFonts w:ascii="Times New Roman" w:hAnsi="Times New Roman"/>
          <w:sz w:val="24"/>
          <w:szCs w:val="24"/>
        </w:rPr>
        <w:t xml:space="preserve">, </w:t>
      </w:r>
      <w:r>
        <w:rPr>
          <w:rFonts w:ascii="Times New Roman" w:hAnsi="Times New Roman"/>
          <w:b/>
          <w:bCs/>
          <w:sz w:val="24"/>
          <w:szCs w:val="24"/>
        </w:rPr>
        <w:t>42</w:t>
      </w:r>
      <w:r>
        <w:rPr>
          <w:rFonts w:ascii="Times New Roman" w:hAnsi="Times New Roman"/>
          <w:sz w:val="24"/>
          <w:szCs w:val="24"/>
        </w:rPr>
        <w:t>: 17-25.</w:t>
      </w:r>
    </w:p>
    <w:p w14:paraId="1BBCC7FC" w14:textId="77777777" w:rsidR="005C75C3" w:rsidRDefault="00D42813">
      <w:pPr>
        <w:spacing w:line="360" w:lineRule="auto"/>
        <w:ind w:hanging="360"/>
        <w:jc w:val="both"/>
        <w:rPr>
          <w:rFonts w:ascii="Times New Roman" w:hAnsi="Times New Roman"/>
          <w:sz w:val="24"/>
          <w:szCs w:val="24"/>
        </w:rPr>
      </w:pPr>
      <w:r>
        <w:rPr>
          <w:rFonts w:ascii="Times New Roman" w:hAnsi="Times New Roman"/>
          <w:sz w:val="24"/>
          <w:szCs w:val="24"/>
        </w:rPr>
        <w:t xml:space="preserve">Zhao, Z and Liu, Y., (2008). Cardiovascular protective effect of isorhamnetin. </w:t>
      </w:r>
      <w:r>
        <w:rPr>
          <w:rFonts w:ascii="Times New Roman" w:hAnsi="Times New Roman"/>
          <w:i/>
          <w:iCs/>
          <w:sz w:val="24"/>
          <w:szCs w:val="24"/>
          <w:lang w:val="es-ES"/>
        </w:rPr>
        <w:t>Medical Recapitulate</w:t>
      </w:r>
      <w:r>
        <w:rPr>
          <w:rFonts w:ascii="Times New Roman" w:hAnsi="Times New Roman"/>
          <w:sz w:val="24"/>
          <w:szCs w:val="24"/>
          <w:lang w:val="es-ES"/>
        </w:rPr>
        <w:t xml:space="preserve">, </w:t>
      </w:r>
      <w:r>
        <w:rPr>
          <w:rFonts w:ascii="Times New Roman" w:hAnsi="Times New Roman"/>
          <w:b/>
          <w:bCs/>
          <w:sz w:val="24"/>
          <w:szCs w:val="24"/>
          <w:lang w:val="es-ES"/>
        </w:rPr>
        <w:t>15</w:t>
      </w:r>
      <w:r>
        <w:rPr>
          <w:rFonts w:ascii="Times New Roman" w:hAnsi="Times New Roman"/>
          <w:sz w:val="24"/>
          <w:szCs w:val="24"/>
          <w:lang w:val="es-ES"/>
        </w:rPr>
        <w:t>: 2321-2323.</w:t>
      </w:r>
    </w:p>
    <w:p w14:paraId="209CFD08" w14:textId="77777777" w:rsidR="005C75C3" w:rsidRDefault="005C75C3" w:rsidP="00CD6270">
      <w:pPr>
        <w:spacing w:line="360" w:lineRule="auto"/>
        <w:jc w:val="both"/>
        <w:rPr>
          <w:rFonts w:ascii="Times New Roman" w:hAnsi="Times New Roman"/>
          <w:sz w:val="24"/>
          <w:szCs w:val="24"/>
        </w:rPr>
      </w:pPr>
    </w:p>
    <w:sectPr w:rsidR="005C75C3">
      <w:headerReference w:type="even" r:id="rId11"/>
      <w:headerReference w:type="default" r:id="rId12"/>
      <w:footerReference w:type="even" r:id="rId13"/>
      <w:footerReference w:type="default" r:id="rId14"/>
      <w:headerReference w:type="first" r:id="rId15"/>
      <w:type w:val="continuous"/>
      <w:pgSz w:w="11906" w:h="16838" w:code="9"/>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43FBE" w14:textId="77777777" w:rsidR="001E342A" w:rsidRDefault="001E342A">
      <w:pPr>
        <w:spacing w:after="0" w:line="240" w:lineRule="auto"/>
      </w:pPr>
      <w:r>
        <w:separator/>
      </w:r>
    </w:p>
  </w:endnote>
  <w:endnote w:type="continuationSeparator" w:id="0">
    <w:p w14:paraId="42C99685" w14:textId="77777777" w:rsidR="001E342A" w:rsidRDefault="001E3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mbria"/>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EFF82" w14:textId="77777777" w:rsidR="005C75C3" w:rsidRDefault="005C7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41FEB" w14:textId="77777777" w:rsidR="005C75C3" w:rsidRDefault="00D42813">
    <w:pPr>
      <w:pStyle w:val="Footer"/>
      <w:jc w:val="center"/>
    </w:pPr>
    <w:r>
      <w:fldChar w:fldCharType="begin"/>
    </w:r>
    <w:r>
      <w:instrText xml:space="preserve"> PAGE   \* MERGEFORMAT </w:instrText>
    </w:r>
    <w:r>
      <w:fldChar w:fldCharType="separate"/>
    </w:r>
    <w:r>
      <w:rPr>
        <w:noProof/>
      </w:rPr>
      <w:t>1</w:t>
    </w:r>
    <w:r>
      <w:rPr>
        <w:noProof/>
      </w:rPr>
      <w:fldChar w:fldCharType="end"/>
    </w:r>
  </w:p>
  <w:p w14:paraId="5E095BA0" w14:textId="77777777" w:rsidR="005C75C3" w:rsidRDefault="005C75C3">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A899F" w14:textId="77777777" w:rsidR="001E342A" w:rsidRDefault="001E342A">
      <w:pPr>
        <w:spacing w:after="0" w:line="240" w:lineRule="auto"/>
      </w:pPr>
      <w:r>
        <w:separator/>
      </w:r>
    </w:p>
  </w:footnote>
  <w:footnote w:type="continuationSeparator" w:id="0">
    <w:p w14:paraId="159A16A9" w14:textId="77777777" w:rsidR="001E342A" w:rsidRDefault="001E3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14C26" w14:textId="77777777" w:rsidR="005C75C3" w:rsidRDefault="00000000">
    <w:pPr>
      <w:pStyle w:val="Header"/>
    </w:pPr>
    <w:r>
      <w:rPr>
        <w:noProof/>
      </w:rPr>
      <w:pict w14:anchorId="455821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098" o:spid="_x0000_s1027" type="#_x0000_t136" style="position:absolute;margin-left:0;margin-top:0;width:535.3pt;height:100.95pt;rotation:-45;z-index:-251658752;visibility:visible;mso-wrap-distance-left:0;mso-wrap-distance-right: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19AC1" w14:textId="77777777" w:rsidR="005C75C3" w:rsidRDefault="00000000">
    <w:pPr>
      <w:jc w:val="center"/>
    </w:pPr>
    <w:r>
      <w:rPr>
        <w:noProof/>
      </w:rPr>
      <w:pict w14:anchorId="6108F6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099" o:spid="_x0000_s1026" type="#_x0000_t136" style="position:absolute;left:0;text-align:left;margin-left:0;margin-top:0;width:535.3pt;height:100.95pt;rotation:-45;z-index:-251657728;visibility:visible;mso-wrap-distance-left:0;mso-wrap-distance-right: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E3C31" w14:textId="77777777" w:rsidR="005C75C3" w:rsidRDefault="00000000">
    <w:pPr>
      <w:pStyle w:val="Header"/>
    </w:pPr>
    <w:r>
      <w:rPr>
        <w:noProof/>
      </w:rPr>
      <w:pict w14:anchorId="2FECFF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4100" o:spid="_x0000_s1025" type="#_x0000_t136" style="position:absolute;margin-left:0;margin-top:0;width:535.3pt;height:100.95pt;rotation:-45;z-index:-251659776;visibility:visible;mso-wrap-distance-left:0;mso-wrap-distance-right: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221257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000002"/>
    <w:multiLevelType w:val="hybridMultilevel"/>
    <w:tmpl w:val="00000000"/>
    <w:lvl w:ilvl="0" w:tplc="04090013">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2" w15:restartNumberingAfterBreak="0">
    <w:nsid w:val="00000003"/>
    <w:multiLevelType w:val="hybridMultilevel"/>
    <w:tmpl w:val="B39FBBC0"/>
    <w:lvl w:ilvl="0" w:tplc="04090013">
      <w:start w:val="1"/>
      <w:numFmt w:val="upperRoman"/>
      <w:lvlText w:val="%1."/>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0000004"/>
    <w:multiLevelType w:val="hybridMultilevel"/>
    <w:tmpl w:val="00000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0000005"/>
    <w:multiLevelType w:val="hybridMultilevel"/>
    <w:tmpl w:val="00000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0000006"/>
    <w:multiLevelType w:val="hybridMultilevel"/>
    <w:tmpl w:val="000000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0000007"/>
    <w:multiLevelType w:val="hybridMultilevel"/>
    <w:tmpl w:val="57DD048C"/>
    <w:lvl w:ilvl="0" w:tplc="04090013">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7" w15:restartNumberingAfterBreak="0">
    <w:nsid w:val="00000008"/>
    <w:multiLevelType w:val="multilevel"/>
    <w:tmpl w:val="D5C8D402"/>
    <w:lvl w:ilvl="0">
      <w:start w:val="1"/>
      <w:numFmt w:val="decimal"/>
      <w:lvlText w:val="%1."/>
      <w:lvlJc w:val="left"/>
      <w:pPr>
        <w:ind w:left="720" w:hanging="360"/>
      </w:pPr>
      <w:rPr>
        <w:rFonts w:ascii="Times New Roman" w:eastAsia="SimSun" w:hAnsi="Times New Roman" w:cs="Times New Roman"/>
      </w:rPr>
    </w:lvl>
    <w:lvl w:ilvl="1">
      <w:start w:val="8"/>
      <w:numFmt w:val="decimal"/>
      <w:isLgl/>
      <w:lvlText w:val="%1.%2"/>
      <w:lvlJc w:val="left"/>
      <w:pPr>
        <w:ind w:left="117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0000009"/>
    <w:multiLevelType w:val="hybridMultilevel"/>
    <w:tmpl w:val="1C822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000000A"/>
    <w:multiLevelType w:val="hybridMultilevel"/>
    <w:tmpl w:val="288A9E4E"/>
    <w:lvl w:ilvl="0" w:tplc="0409001B">
      <w:start w:val="1"/>
      <w:numFmt w:val="lowerRoman"/>
      <w:lvlText w:val="%1."/>
      <w:lvlJc w:val="righ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000000B"/>
    <w:multiLevelType w:val="hybridMultilevel"/>
    <w:tmpl w:val="91500FCA"/>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000000C"/>
    <w:multiLevelType w:val="hybridMultilevel"/>
    <w:tmpl w:val="B1220B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2" w15:restartNumberingAfterBreak="0">
    <w:nsid w:val="0000000D"/>
    <w:multiLevelType w:val="hybridMultilevel"/>
    <w:tmpl w:val="1224754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000000E"/>
    <w:multiLevelType w:val="hybridMultilevel"/>
    <w:tmpl w:val="FFDA5D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000000F"/>
    <w:multiLevelType w:val="multilevel"/>
    <w:tmpl w:val="9B64E66A"/>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00000010"/>
    <w:multiLevelType w:val="multilevel"/>
    <w:tmpl w:val="A2FE51C3"/>
    <w:lvl w:ilvl="0">
      <w:start w:val="1"/>
      <w:numFmt w:val="upperRoman"/>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0000011"/>
    <w:multiLevelType w:val="hybridMultilevel"/>
    <w:tmpl w:val="00000000"/>
    <w:lvl w:ilvl="0" w:tplc="04090013">
      <w:start w:val="1"/>
      <w:numFmt w:val="upperRoman"/>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36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36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360"/>
      </w:pPr>
    </w:lvl>
  </w:abstractNum>
  <w:abstractNum w:abstractNumId="17" w15:restartNumberingAfterBreak="0">
    <w:nsid w:val="64C51A5B"/>
    <w:multiLevelType w:val="hybridMultilevel"/>
    <w:tmpl w:val="00000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0770578">
    <w:abstractNumId w:val="14"/>
  </w:num>
  <w:num w:numId="2" w16cid:durableId="191026483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9381486">
    <w:abstractNumId w:val="3"/>
  </w:num>
  <w:num w:numId="4" w16cid:durableId="14998">
    <w:abstractNumId w:val="11"/>
  </w:num>
  <w:num w:numId="5" w16cid:durableId="260336149">
    <w:abstractNumId w:val="6"/>
  </w:num>
  <w:num w:numId="6" w16cid:durableId="1045252355">
    <w:abstractNumId w:val="13"/>
  </w:num>
  <w:num w:numId="7" w16cid:durableId="2057927126">
    <w:abstractNumId w:val="15"/>
  </w:num>
  <w:num w:numId="8" w16cid:durableId="115222984">
    <w:abstractNumId w:val="16"/>
  </w:num>
  <w:num w:numId="9" w16cid:durableId="1823425042">
    <w:abstractNumId w:val="17"/>
  </w:num>
  <w:num w:numId="10" w16cid:durableId="869296991">
    <w:abstractNumId w:val="0"/>
  </w:num>
  <w:num w:numId="11" w16cid:durableId="739601296">
    <w:abstractNumId w:val="1"/>
  </w:num>
  <w:num w:numId="12" w16cid:durableId="1091896966">
    <w:abstractNumId w:val="2"/>
  </w:num>
  <w:num w:numId="13" w16cid:durableId="1336809008">
    <w:abstractNumId w:val="4"/>
  </w:num>
  <w:num w:numId="14" w16cid:durableId="1924602069">
    <w:abstractNumId w:val="5"/>
  </w:num>
  <w:num w:numId="15" w16cid:durableId="740176826">
    <w:abstractNumId w:val="7"/>
  </w:num>
  <w:num w:numId="16" w16cid:durableId="7182893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23603103">
    <w:abstractNumId w:val="8"/>
  </w:num>
  <w:num w:numId="18" w16cid:durableId="1055548480">
    <w:abstractNumId w:val="9"/>
  </w:num>
  <w:num w:numId="19" w16cid:durableId="228733117">
    <w:abstractNumId w:val="12"/>
  </w:num>
  <w:num w:numId="20" w16cid:durableId="81318543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proofState w:spelling="clean" w:grammar="clean"/>
  <w:defaultTabStop w:val="720"/>
  <w:doNotShadeFormData/>
  <w:characterSpacingControl w:val="doNotCompress"/>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5C3"/>
    <w:rsid w:val="0009188B"/>
    <w:rsid w:val="000B5F0A"/>
    <w:rsid w:val="001E342A"/>
    <w:rsid w:val="00245883"/>
    <w:rsid w:val="00251762"/>
    <w:rsid w:val="0028689C"/>
    <w:rsid w:val="002C1D9F"/>
    <w:rsid w:val="0037649F"/>
    <w:rsid w:val="00376742"/>
    <w:rsid w:val="003F27AA"/>
    <w:rsid w:val="00406A88"/>
    <w:rsid w:val="0044378F"/>
    <w:rsid w:val="004A1552"/>
    <w:rsid w:val="004B7016"/>
    <w:rsid w:val="004E0751"/>
    <w:rsid w:val="00543AE1"/>
    <w:rsid w:val="00550527"/>
    <w:rsid w:val="005C57D9"/>
    <w:rsid w:val="005C75C3"/>
    <w:rsid w:val="00654FAB"/>
    <w:rsid w:val="00684138"/>
    <w:rsid w:val="006F272A"/>
    <w:rsid w:val="0077141B"/>
    <w:rsid w:val="007B4302"/>
    <w:rsid w:val="008C2FC9"/>
    <w:rsid w:val="008F0660"/>
    <w:rsid w:val="009821D4"/>
    <w:rsid w:val="00997AD9"/>
    <w:rsid w:val="00A617D2"/>
    <w:rsid w:val="00A763A4"/>
    <w:rsid w:val="00AA6F63"/>
    <w:rsid w:val="00AC7582"/>
    <w:rsid w:val="00AF2896"/>
    <w:rsid w:val="00B7198D"/>
    <w:rsid w:val="00C10733"/>
    <w:rsid w:val="00C1696E"/>
    <w:rsid w:val="00C2635C"/>
    <w:rsid w:val="00CB473A"/>
    <w:rsid w:val="00CD6270"/>
    <w:rsid w:val="00D40724"/>
    <w:rsid w:val="00D42813"/>
    <w:rsid w:val="00D644A8"/>
    <w:rsid w:val="00DC48AF"/>
    <w:rsid w:val="00DD3F1B"/>
    <w:rsid w:val="00F80D28"/>
    <w:rsid w:val="00FB25C1"/>
    <w:rsid w:val="00FB5E9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B901B4E"/>
  <w15:docId w15:val="{FC3F05C2-1E16-46CC-B7B5-535070C81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rPr>
  </w:style>
  <w:style w:type="paragraph" w:styleId="Heading1">
    <w:name w:val="heading 1"/>
    <w:basedOn w:val="Normal"/>
    <w:next w:val="Normal"/>
    <w:link w:val="Heading1Char"/>
    <w:uiPriority w:val="9"/>
    <w:qFormat/>
    <w:pPr>
      <w:keepNext/>
      <w:keepLines/>
      <w:spacing w:before="480" w:after="0"/>
      <w:outlineLvl w:val="0"/>
    </w:pPr>
    <w:rPr>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b/>
      <w:bCs/>
      <w:color w:val="4F81BD"/>
      <w:sz w:val="26"/>
      <w:szCs w:val="26"/>
    </w:rPr>
  </w:style>
  <w:style w:type="paragraph" w:styleId="Heading3">
    <w:name w:val="heading 3"/>
    <w:basedOn w:val="Normal"/>
    <w:next w:val="Normal"/>
    <w:link w:val="Heading3Char"/>
    <w:uiPriority w:val="9"/>
    <w:semiHidden/>
    <w:unhideWhenUsed/>
    <w:qFormat/>
    <w:pPr>
      <w:keepNext/>
      <w:keepLines/>
      <w:spacing w:before="200" w:after="0"/>
      <w:outlineLvl w:val="2"/>
    </w:pPr>
    <w:rPr>
      <w:b/>
      <w:bCs/>
      <w:color w:val="4F81BD"/>
    </w:rPr>
  </w:style>
  <w:style w:type="paragraph" w:styleId="Heading4">
    <w:name w:val="heading 4"/>
    <w:basedOn w:val="Normal"/>
    <w:next w:val="Normal"/>
    <w:link w:val="Heading4Char"/>
    <w:uiPriority w:val="9"/>
    <w:semiHidden/>
    <w:unhideWhenUsed/>
    <w:qFormat/>
    <w:pPr>
      <w:keepNext/>
      <w:keepLines/>
      <w:spacing w:before="80" w:after="40" w:line="259" w:lineRule="auto"/>
      <w:outlineLvl w:val="3"/>
    </w:pPr>
    <w:rPr>
      <w:rFonts w:ascii="Aptos" w:hAnsi="Aptos"/>
      <w:i/>
      <w:iCs/>
      <w:color w:val="0F4761"/>
      <w:kern w:val="2"/>
      <w:lang w:eastAsia="en-US"/>
    </w:rPr>
  </w:style>
  <w:style w:type="paragraph" w:styleId="Heading5">
    <w:name w:val="heading 5"/>
    <w:basedOn w:val="Normal"/>
    <w:next w:val="Normal"/>
    <w:link w:val="Heading5Char"/>
    <w:uiPriority w:val="9"/>
    <w:semiHidden/>
    <w:unhideWhenUsed/>
    <w:qFormat/>
    <w:pPr>
      <w:keepNext/>
      <w:keepLines/>
      <w:spacing w:before="80" w:after="40" w:line="259" w:lineRule="auto"/>
      <w:outlineLvl w:val="4"/>
    </w:pPr>
    <w:rPr>
      <w:rFonts w:ascii="Aptos" w:hAnsi="Aptos"/>
      <w:color w:val="0F4761"/>
      <w:kern w:val="2"/>
      <w:lang w:eastAsia="en-US"/>
    </w:rPr>
  </w:style>
  <w:style w:type="paragraph" w:styleId="Heading6">
    <w:name w:val="heading 6"/>
    <w:basedOn w:val="Normal"/>
    <w:next w:val="Normal"/>
    <w:link w:val="Heading6Char"/>
    <w:uiPriority w:val="9"/>
    <w:semiHidden/>
    <w:unhideWhenUsed/>
    <w:qFormat/>
    <w:pPr>
      <w:keepNext/>
      <w:keepLines/>
      <w:spacing w:before="40" w:after="0" w:line="259" w:lineRule="auto"/>
      <w:outlineLvl w:val="5"/>
    </w:pPr>
    <w:rPr>
      <w:rFonts w:ascii="Aptos" w:hAnsi="Aptos"/>
      <w:i/>
      <w:iCs/>
      <w:color w:val="595959"/>
      <w:kern w:val="2"/>
      <w:lang w:eastAsia="en-US"/>
    </w:rPr>
  </w:style>
  <w:style w:type="paragraph" w:styleId="Heading7">
    <w:name w:val="heading 7"/>
    <w:basedOn w:val="Normal"/>
    <w:next w:val="Normal"/>
    <w:link w:val="Heading7Char"/>
    <w:uiPriority w:val="9"/>
    <w:qFormat/>
    <w:pPr>
      <w:keepNext/>
      <w:keepLines/>
      <w:spacing w:before="40" w:after="0" w:line="259" w:lineRule="auto"/>
      <w:outlineLvl w:val="6"/>
    </w:pPr>
    <w:rPr>
      <w:rFonts w:ascii="Aptos" w:hAnsi="Aptos"/>
      <w:color w:val="595959"/>
      <w:kern w:val="2"/>
      <w:lang w:eastAsia="en-US"/>
    </w:rPr>
  </w:style>
  <w:style w:type="paragraph" w:styleId="Heading8">
    <w:name w:val="heading 8"/>
    <w:basedOn w:val="Normal"/>
    <w:next w:val="Normal"/>
    <w:link w:val="Heading8Char"/>
    <w:uiPriority w:val="9"/>
    <w:qFormat/>
    <w:pPr>
      <w:keepNext/>
      <w:keepLines/>
      <w:spacing w:before="200" w:after="0"/>
      <w:outlineLvl w:val="7"/>
    </w:pPr>
    <w:rPr>
      <w:color w:val="404040"/>
      <w:sz w:val="20"/>
      <w:szCs w:val="20"/>
    </w:rPr>
  </w:style>
  <w:style w:type="paragraph" w:styleId="Heading9">
    <w:name w:val="heading 9"/>
    <w:basedOn w:val="Normal"/>
    <w:next w:val="Normal"/>
    <w:link w:val="Heading9Char"/>
    <w:uiPriority w:val="9"/>
    <w:qFormat/>
    <w:pPr>
      <w:keepNext/>
      <w:keepLines/>
      <w:spacing w:after="0" w:line="259" w:lineRule="auto"/>
      <w:outlineLvl w:val="8"/>
    </w:pPr>
    <w:rPr>
      <w:rFonts w:ascii="Aptos" w:hAnsi="Aptos"/>
      <w:color w:val="272727"/>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b/>
      <w:bCs/>
      <w:color w:val="365F91"/>
      <w:sz w:val="28"/>
      <w:szCs w:val="28"/>
    </w:rPr>
  </w:style>
  <w:style w:type="character" w:customStyle="1" w:styleId="Heading2Char">
    <w:name w:val="Heading 2 Char"/>
    <w:link w:val="Heading2"/>
    <w:uiPriority w:val="9"/>
    <w:rPr>
      <w:b/>
      <w:bCs/>
      <w:color w:val="4F81BD"/>
      <w:sz w:val="26"/>
      <w:szCs w:val="26"/>
    </w:rPr>
  </w:style>
  <w:style w:type="character" w:customStyle="1" w:styleId="Heading3Char">
    <w:name w:val="Heading 3 Char"/>
    <w:link w:val="Heading3"/>
    <w:uiPriority w:val="9"/>
    <w:rPr>
      <w:b/>
      <w:bCs/>
      <w:color w:val="4F81BD"/>
    </w:rPr>
  </w:style>
  <w:style w:type="character" w:customStyle="1" w:styleId="Heading8Char">
    <w:name w:val="Heading 8 Char"/>
    <w:link w:val="Heading8"/>
    <w:uiPriority w:val="9"/>
    <w:rPr>
      <w:color w:val="404040"/>
      <w:sz w:val="20"/>
      <w:szCs w:val="20"/>
    </w:rPr>
  </w:style>
  <w:style w:type="paragraph" w:styleId="ListParagraph">
    <w:name w:val="List Paragraph"/>
    <w:basedOn w:val="Normal"/>
    <w:uiPriority w:val="34"/>
    <w:qFormat/>
    <w:pPr>
      <w:ind w:left="720"/>
      <w:contextualSpacing/>
    </w:pPr>
  </w:style>
  <w:style w:type="character" w:styleId="Emphasis">
    <w:name w:val="Emphasis"/>
    <w:uiPriority w:val="20"/>
    <w:qFormat/>
    <w:rPr>
      <w:rFonts w:ascii="Calibri" w:eastAsia="SimSun" w:hAnsi="Calibri" w:cs="Times New Roman"/>
      <w:i/>
      <w:iCs/>
      <w:sz w:val="21"/>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sz w:val="24"/>
      <w:szCs w:val="24"/>
      <w:lang w:eastAsia="en-US"/>
    </w:rPr>
  </w:style>
  <w:style w:type="paragraph" w:styleId="Footer">
    <w:name w:val="footer"/>
    <w:basedOn w:val="Normal"/>
    <w:link w:val="FooterChar"/>
    <w:uiPriority w:val="99"/>
    <w:pPr>
      <w:tabs>
        <w:tab w:val="center" w:pos="4680"/>
        <w:tab w:val="right" w:pos="9360"/>
      </w:tabs>
      <w:spacing w:after="0" w:line="240" w:lineRule="auto"/>
    </w:pPr>
    <w:rPr>
      <w:rFonts w:ascii="Times New Roman" w:hAnsi="Times New Roman"/>
      <w:sz w:val="21"/>
    </w:rPr>
  </w:style>
  <w:style w:type="character" w:customStyle="1" w:styleId="FooterChar">
    <w:name w:val="Footer Char"/>
    <w:basedOn w:val="DefaultParagraphFont"/>
    <w:link w:val="Footer"/>
    <w:uiPriority w:val="99"/>
    <w:rPr>
      <w:rFonts w:ascii="Times New Roman" w:hAnsi="Times New Roman"/>
      <w:sz w:val="21"/>
      <w:szCs w:val="22"/>
      <w:lang w:val="en-US" w:eastAsia="zh-CN"/>
    </w:rPr>
  </w:style>
  <w:style w:type="paragraph" w:customStyle="1" w:styleId="referencescopy1">
    <w:name w:val="&quot;referencescopy1&quot;"/>
    <w:basedOn w:val="Normal"/>
    <w:uiPriority w:val="99"/>
    <w:pPr>
      <w:spacing w:before="100" w:beforeAutospacing="1" w:after="100" w:afterAutospacing="1" w:line="240" w:lineRule="auto"/>
    </w:pPr>
    <w:rPr>
      <w:rFonts w:ascii="Times New Roman" w:eastAsia="Times New Roman" w:hAnsi="Times New Roman"/>
      <w:sz w:val="24"/>
      <w:szCs w:val="24"/>
    </w:rPr>
  </w:style>
  <w:style w:type="character" w:styleId="HTMLCode">
    <w:name w:val="HTML Code"/>
    <w:rPr>
      <w:rFonts w:ascii="Courier New" w:eastAsia="Times New Roman" w:hAnsi="Courier New" w:cs="Courier New"/>
      <w:sz w:val="20"/>
      <w:szCs w:val="20"/>
    </w:rPr>
  </w:style>
  <w:style w:type="paragraph" w:styleId="Header">
    <w:name w:val="header"/>
    <w:basedOn w:val="Normal"/>
    <w:link w:val="HeaderChar"/>
    <w:uiPriority w:val="99"/>
    <w:pPr>
      <w:tabs>
        <w:tab w:val="center" w:pos="4680"/>
        <w:tab w:val="right" w:pos="9360"/>
      </w:tabs>
      <w:spacing w:after="0" w:line="240" w:lineRule="auto"/>
    </w:pPr>
    <w:rPr>
      <w:rFonts w:ascii="Times New Roman" w:hAnsi="Times New Roman"/>
      <w:sz w:val="21"/>
    </w:rPr>
  </w:style>
  <w:style w:type="character" w:customStyle="1" w:styleId="HeaderChar">
    <w:name w:val="Header Char"/>
    <w:basedOn w:val="DefaultParagraphFont"/>
    <w:link w:val="Header"/>
    <w:uiPriority w:val="99"/>
    <w:rPr>
      <w:rFonts w:ascii="Times New Roman" w:hAnsi="Times New Roman"/>
      <w:sz w:val="21"/>
      <w:szCs w:val="22"/>
      <w:lang w:val="en-US" w:eastAsia="zh-CN"/>
    </w:rPr>
  </w:style>
  <w:style w:type="character" w:styleId="HTMLCite">
    <w:name w:val="HTML Cite"/>
    <w:rPr>
      <w:rFonts w:ascii="Times New Roman" w:eastAsia="SimSun" w:hAnsi="Times New Roman" w:cs="Times New Roman"/>
      <w:i/>
      <w:sz w:val="21"/>
    </w:rPr>
  </w:style>
  <w:style w:type="character" w:styleId="Strong">
    <w:name w:val="Strong"/>
    <w:qFormat/>
    <w:rPr>
      <w:rFonts w:ascii="Times New Roman" w:eastAsia="SimSun" w:hAnsi="Times New Roman" w:cs="Times New Roman"/>
      <w:b/>
      <w:sz w:val="21"/>
    </w:rPr>
  </w:style>
  <w:style w:type="character" w:styleId="Hyperlink">
    <w:name w:val="Hyperlink"/>
    <w:rPr>
      <w:rFonts w:ascii="Times New Roman" w:eastAsia="SimSun" w:hAnsi="Times New Roman" w:cs="Times New Roman"/>
      <w:color w:val="0000FF"/>
      <w:sz w:val="21"/>
      <w:u w:val="single"/>
    </w:rPr>
  </w:style>
  <w:style w:type="paragraph" w:styleId="NoSpacing">
    <w:name w:val="No Spacing"/>
    <w:uiPriority w:val="1"/>
    <w:qFormat/>
    <w:rPr>
      <w:rFonts w:ascii="Times New Roman" w:hAnsi="Times New Roman"/>
      <w:sz w:val="21"/>
      <w:lang w:val="en-US" w:eastAsia="zh-CN"/>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en-US" w:eastAsia="zh-CN"/>
    </w:rPr>
  </w:style>
  <w:style w:type="table" w:styleId="TableGrid">
    <w:name w:val="Table Grid"/>
    <w:basedOn w:val="TableNormal"/>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Pr>
      <w:rFonts w:ascii="Aptos" w:hAnsi="Aptos"/>
      <w:i/>
      <w:iCs/>
      <w:color w:val="0F4761"/>
      <w:kern w:val="2"/>
      <w:sz w:val="22"/>
      <w:szCs w:val="22"/>
      <w:lang w:val="en-US" w:eastAsia="en-US"/>
    </w:rPr>
  </w:style>
  <w:style w:type="character" w:customStyle="1" w:styleId="Heading5Char">
    <w:name w:val="Heading 5 Char"/>
    <w:basedOn w:val="DefaultParagraphFont"/>
    <w:link w:val="Heading5"/>
    <w:uiPriority w:val="9"/>
    <w:rPr>
      <w:rFonts w:ascii="Aptos" w:hAnsi="Aptos"/>
      <w:color w:val="0F4761"/>
      <w:kern w:val="2"/>
      <w:sz w:val="22"/>
      <w:szCs w:val="22"/>
      <w:lang w:val="en-US" w:eastAsia="en-US"/>
    </w:rPr>
  </w:style>
  <w:style w:type="character" w:customStyle="1" w:styleId="Heading6Char">
    <w:name w:val="Heading 6 Char"/>
    <w:basedOn w:val="DefaultParagraphFont"/>
    <w:link w:val="Heading6"/>
    <w:uiPriority w:val="9"/>
    <w:rPr>
      <w:rFonts w:ascii="Aptos" w:hAnsi="Aptos"/>
      <w:i/>
      <w:iCs/>
      <w:color w:val="595959"/>
      <w:kern w:val="2"/>
      <w:sz w:val="22"/>
      <w:szCs w:val="22"/>
      <w:lang w:val="en-US" w:eastAsia="en-US"/>
    </w:rPr>
  </w:style>
  <w:style w:type="character" w:customStyle="1" w:styleId="Heading7Char">
    <w:name w:val="Heading 7 Char"/>
    <w:basedOn w:val="DefaultParagraphFont"/>
    <w:link w:val="Heading7"/>
    <w:uiPriority w:val="9"/>
    <w:rPr>
      <w:rFonts w:ascii="Aptos" w:hAnsi="Aptos"/>
      <w:color w:val="595959"/>
      <w:kern w:val="2"/>
      <w:sz w:val="22"/>
      <w:szCs w:val="22"/>
      <w:lang w:val="en-US" w:eastAsia="en-US"/>
    </w:rPr>
  </w:style>
  <w:style w:type="character" w:customStyle="1" w:styleId="Heading9Char">
    <w:name w:val="Heading 9 Char"/>
    <w:basedOn w:val="DefaultParagraphFont"/>
    <w:link w:val="Heading9"/>
    <w:uiPriority w:val="9"/>
    <w:rPr>
      <w:rFonts w:ascii="Aptos" w:hAnsi="Aptos"/>
      <w:color w:val="272727"/>
      <w:kern w:val="2"/>
      <w:sz w:val="22"/>
      <w:szCs w:val="22"/>
      <w:lang w:val="en-US" w:eastAsia="en-US"/>
    </w:rPr>
  </w:style>
  <w:style w:type="paragraph" w:styleId="Title">
    <w:name w:val="Title"/>
    <w:basedOn w:val="Normal"/>
    <w:next w:val="Normal"/>
    <w:link w:val="TitleChar"/>
    <w:uiPriority w:val="10"/>
    <w:qFormat/>
    <w:pPr>
      <w:spacing w:after="80" w:line="240" w:lineRule="auto"/>
      <w:contextualSpacing/>
    </w:pPr>
    <w:rPr>
      <w:rFonts w:ascii="Aptos Display" w:hAnsi="Aptos Display"/>
      <w:spacing w:val="-10"/>
      <w:kern w:val="28"/>
      <w:sz w:val="56"/>
      <w:szCs w:val="56"/>
      <w:lang w:eastAsia="en-US"/>
    </w:rPr>
  </w:style>
  <w:style w:type="character" w:customStyle="1" w:styleId="TitleChar">
    <w:name w:val="Title Char"/>
    <w:basedOn w:val="DefaultParagraphFont"/>
    <w:link w:val="Title"/>
    <w:uiPriority w:val="10"/>
    <w:rPr>
      <w:rFonts w:ascii="Aptos Display" w:hAnsi="Aptos Display"/>
      <w:spacing w:val="-10"/>
      <w:kern w:val="28"/>
      <w:sz w:val="56"/>
      <w:szCs w:val="56"/>
      <w:lang w:val="en-US" w:eastAsia="en-US"/>
    </w:rPr>
  </w:style>
  <w:style w:type="paragraph" w:styleId="Subtitle">
    <w:name w:val="Subtitle"/>
    <w:basedOn w:val="Normal"/>
    <w:next w:val="Normal"/>
    <w:link w:val="SubtitleChar"/>
    <w:uiPriority w:val="11"/>
    <w:qFormat/>
    <w:pPr>
      <w:numPr>
        <w:ilvl w:val="1"/>
      </w:numPr>
      <w:spacing w:after="160" w:line="259" w:lineRule="auto"/>
    </w:pPr>
    <w:rPr>
      <w:rFonts w:ascii="Aptos" w:hAnsi="Aptos"/>
      <w:color w:val="595959"/>
      <w:spacing w:val="15"/>
      <w:kern w:val="2"/>
      <w:sz w:val="28"/>
      <w:szCs w:val="28"/>
      <w:lang w:eastAsia="en-US"/>
    </w:rPr>
  </w:style>
  <w:style w:type="character" w:customStyle="1" w:styleId="SubtitleChar">
    <w:name w:val="Subtitle Char"/>
    <w:basedOn w:val="DefaultParagraphFont"/>
    <w:link w:val="Subtitle"/>
    <w:uiPriority w:val="11"/>
    <w:rPr>
      <w:rFonts w:ascii="Aptos" w:hAnsi="Aptos"/>
      <w:color w:val="595959"/>
      <w:spacing w:val="15"/>
      <w:kern w:val="2"/>
      <w:sz w:val="28"/>
      <w:szCs w:val="28"/>
      <w:lang w:val="en-US" w:eastAsia="en-US"/>
    </w:rPr>
  </w:style>
  <w:style w:type="paragraph" w:styleId="Quote">
    <w:name w:val="Quote"/>
    <w:basedOn w:val="Normal"/>
    <w:next w:val="Normal"/>
    <w:link w:val="QuoteChar"/>
    <w:uiPriority w:val="29"/>
    <w:qFormat/>
    <w:pPr>
      <w:spacing w:before="160" w:after="160" w:line="259" w:lineRule="auto"/>
      <w:jc w:val="center"/>
    </w:pPr>
    <w:rPr>
      <w:rFonts w:ascii="Aptos" w:eastAsia="Aptos" w:hAnsi="Aptos" w:cs="Arial"/>
      <w:i/>
      <w:iCs/>
      <w:color w:val="404040"/>
      <w:kern w:val="2"/>
      <w:lang w:eastAsia="en-US"/>
    </w:rPr>
  </w:style>
  <w:style w:type="character" w:customStyle="1" w:styleId="QuoteChar">
    <w:name w:val="Quote Char"/>
    <w:basedOn w:val="DefaultParagraphFont"/>
    <w:link w:val="Quote"/>
    <w:uiPriority w:val="29"/>
    <w:rPr>
      <w:rFonts w:ascii="Aptos" w:eastAsia="Aptos" w:hAnsi="Aptos" w:cs="Arial"/>
      <w:i/>
      <w:iCs/>
      <w:color w:val="404040"/>
      <w:kern w:val="2"/>
      <w:sz w:val="22"/>
      <w:szCs w:val="22"/>
      <w:lang w:val="en-US" w:eastAsia="en-US"/>
    </w:rPr>
  </w:style>
  <w:style w:type="character" w:styleId="IntenseEmphasis">
    <w:name w:val="Intense Emphasis"/>
    <w:basedOn w:val="DefaultParagraphFont"/>
    <w:uiPriority w:val="21"/>
    <w:qFormat/>
    <w:rPr>
      <w:i/>
      <w:iCs/>
      <w:color w:val="0F4761"/>
    </w:rPr>
  </w:style>
  <w:style w:type="paragraph" w:styleId="IntenseQuote">
    <w:name w:val="Intense Quote"/>
    <w:basedOn w:val="Normal"/>
    <w:next w:val="Normal"/>
    <w:link w:val="IntenseQuoteChar"/>
    <w:uiPriority w:val="30"/>
    <w:qFormat/>
    <w:pPr>
      <w:pBdr>
        <w:top w:val="single" w:sz="4" w:space="10" w:color="0F4761"/>
        <w:bottom w:val="single" w:sz="4" w:space="10" w:color="0F4761"/>
      </w:pBdr>
      <w:spacing w:before="360" w:after="360" w:line="259" w:lineRule="auto"/>
      <w:ind w:left="864" w:right="864"/>
      <w:jc w:val="center"/>
    </w:pPr>
    <w:rPr>
      <w:rFonts w:ascii="Aptos" w:eastAsia="Aptos" w:hAnsi="Aptos" w:cs="Arial"/>
      <w:i/>
      <w:iCs/>
      <w:color w:val="0F4761"/>
      <w:kern w:val="2"/>
      <w:lang w:eastAsia="en-US"/>
    </w:rPr>
  </w:style>
  <w:style w:type="character" w:customStyle="1" w:styleId="IntenseQuoteChar">
    <w:name w:val="Intense Quote Char"/>
    <w:basedOn w:val="DefaultParagraphFont"/>
    <w:link w:val="IntenseQuote"/>
    <w:uiPriority w:val="30"/>
    <w:rPr>
      <w:rFonts w:ascii="Aptos" w:eastAsia="Aptos" w:hAnsi="Aptos" w:cs="Arial"/>
      <w:i/>
      <w:iCs/>
      <w:color w:val="0F4761"/>
      <w:kern w:val="2"/>
      <w:sz w:val="22"/>
      <w:szCs w:val="22"/>
      <w:lang w:val="en-US" w:eastAsia="en-US"/>
    </w:rPr>
  </w:style>
  <w:style w:type="character" w:styleId="IntenseReference">
    <w:name w:val="Intense Reference"/>
    <w:basedOn w:val="DefaultParagraphFont"/>
    <w:uiPriority w:val="32"/>
    <w:qFormat/>
    <w:rPr>
      <w:b/>
      <w:bCs/>
      <w:smallCaps/>
      <w:color w:val="0F4761"/>
      <w:spacing w:val="5"/>
    </w:rPr>
  </w:style>
  <w:style w:type="table" w:customStyle="1" w:styleId="TableGrid1">
    <w:name w:val="Table Grid1"/>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Pr>
      <w:rFonts w:ascii="Aptos" w:eastAsia="Aptos" w:hAnsi="Aptos" w:cs="Arial"/>
      <w:kern w:val="2"/>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95D66D-29ED-4B61-A119-EC653A9105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30</Pages>
  <Words>8949</Words>
  <Characters>51010</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TECNO KG5j</dc:creator>
  <cp:keywords/>
  <dc:description/>
  <cp:lastModifiedBy>Editor-90</cp:lastModifiedBy>
  <cp:revision>23</cp:revision>
  <cp:lastPrinted>2026-03-05T11:05:00Z</cp:lastPrinted>
  <dcterms:created xsi:type="dcterms:W3CDTF">2026-03-05T02:22:00Z</dcterms:created>
  <dcterms:modified xsi:type="dcterms:W3CDTF">2026-06-18T09:53:00Z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017ab82e7d8a4cd39736618acb9b4f3c</vt:lpwstr>
  </property>
</Properties>
</file>