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FAB3D" w14:textId="77777777" w:rsidR="00D30A60" w:rsidRPr="00D30A60" w:rsidRDefault="00D30A60" w:rsidP="005A185A">
      <w:pPr>
        <w:spacing w:before="100" w:beforeAutospacing="1" w:after="100" w:afterAutospacing="1" w:line="240" w:lineRule="auto"/>
        <w:jc w:val="both"/>
        <w:outlineLvl w:val="0"/>
        <w:rPr>
          <w:rFonts w:ascii="Times New Roman" w:eastAsia="Times New Roman" w:hAnsi="Times New Roman" w:cs="Times New Roman"/>
          <w:b/>
          <w:bCs/>
          <w:i/>
          <w:iCs/>
          <w:kern w:val="36"/>
          <w:sz w:val="48"/>
          <w:szCs w:val="48"/>
          <w:u w:val="single"/>
          <w:lang w:val="en-US" w:eastAsia="en-GB"/>
        </w:rPr>
      </w:pPr>
      <w:r w:rsidRPr="00D30A60">
        <w:rPr>
          <w:rFonts w:ascii="Times New Roman" w:eastAsia="Times New Roman" w:hAnsi="Times New Roman" w:cs="Times New Roman"/>
          <w:b/>
          <w:bCs/>
          <w:i/>
          <w:iCs/>
          <w:kern w:val="36"/>
          <w:sz w:val="48"/>
          <w:szCs w:val="48"/>
          <w:u w:val="single"/>
          <w:lang w:val="en-US" w:eastAsia="en-GB"/>
        </w:rPr>
        <w:t>Review Article</w:t>
      </w:r>
    </w:p>
    <w:p w14:paraId="380917FB" w14:textId="77777777" w:rsidR="00562A7E" w:rsidRPr="005A185A" w:rsidRDefault="00562A7E" w:rsidP="005A185A">
      <w:pPr>
        <w:spacing w:before="100" w:beforeAutospacing="1" w:after="100" w:afterAutospacing="1" w:line="240" w:lineRule="auto"/>
        <w:jc w:val="both"/>
        <w:outlineLvl w:val="0"/>
        <w:rPr>
          <w:rFonts w:ascii="Times New Roman" w:eastAsia="Times New Roman" w:hAnsi="Times New Roman" w:cs="Times New Roman"/>
          <w:b/>
          <w:bCs/>
          <w:kern w:val="36"/>
          <w:sz w:val="32"/>
          <w:szCs w:val="32"/>
          <w:lang w:eastAsia="en-GB"/>
        </w:rPr>
      </w:pPr>
      <w:r w:rsidRPr="005A185A">
        <w:rPr>
          <w:rFonts w:ascii="Times New Roman" w:eastAsia="Times New Roman" w:hAnsi="Times New Roman" w:cs="Times New Roman"/>
          <w:b/>
          <w:bCs/>
          <w:kern w:val="36"/>
          <w:sz w:val="32"/>
          <w:szCs w:val="32"/>
          <w:lang w:eastAsia="en-GB"/>
        </w:rPr>
        <w:t>Bluetongue Virus in Sheep: From Vector-Borne Transmission Dynamics to Genomic Surveillance, Vaccination and One Health Control Strategies</w:t>
      </w:r>
    </w:p>
    <w:p w14:paraId="4FE9C356"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Abstract</w:t>
      </w:r>
    </w:p>
    <w:p w14:paraId="55F79B3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remains one of the most consequential vector-borne viral diseases of sheep. Its importance has grown as outbreaks have repeatedly breached older assumptions about climatic and geographical limits, while genomic surveillance has revealed complex patterns of serotype emergence, reassortment and transboundary spread. The emergence of bluetongue virus serotype 8 in north-western Europe in 2006, the re-emergence of serotype 8 in France, the severe serotype 3 epidemic that began in the Netherlands in 2023, and the subsequent detection of serotype 12 in Europe have together reshaped the scientific and policy understanding of bluetongue risk. This critical narrative review synthesises contemporary evidence on bluetongue virus biology, ovine disease expression,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-borne transmission, between-farm spread, diagnostic and genomic surveillance, vaccination and One Health control. The review argues that disease impact in sheep is not determined by virus presence alone. It emerges from the interaction of serotype, strain phenotype, sheep susceptibility, flock management, vector competence, climatic suitability, landscape structure, animal movements, surveillance sensitivity and the timing of vaccine deployment. Whole-genome sequencing now plays a central role in distinguishing new incursions from local persistence, detecting reassortment and interpreting unusual serotype emergence. Yet sequencing has greatest value when coupled with field epidemiology, mortality monitoring, midge surveillance and rapid vaccine decision-making. Inactivated vaccines remain the most practical emergency-control tool where matched products are available, but their protective value is constrained by serotype specificity, incomplete coverage, delayed rollout and uneven field-effectiveness data. Newer vaccine platforms offer credible opportunities for broader protection and differentiation of infected from vaccinated animals, although stronger field validation is needed. A One Health perspective is warranted despite the absence of zoonotic infection because bluetongue links climate change, livestock welfare, rural economies, wildlife interfaces, trade and ecosystem management. Future control will depend on earlier warning systems, better vector competence evidence, adaptive vaccine strategies, harmonised genomic standards and decision frameworks that translate surveillance signals into timely action for flocks and regions.</w:t>
      </w:r>
    </w:p>
    <w:p w14:paraId="1709CF0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Keywords:</w:t>
      </w:r>
      <w:r w:rsidRPr="00562A7E">
        <w:rPr>
          <w:rFonts w:ascii="Times New Roman" w:eastAsia="Times New Roman" w:hAnsi="Times New Roman" w:cs="Times New Roman"/>
          <w:sz w:val="24"/>
          <w:szCs w:val="24"/>
          <w:lang w:eastAsia="en-GB"/>
        </w:rPr>
        <w:t xml:space="preserve"> bluetongue virus; sheep;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vector-borne disease; genomic surveillance; vaccination; One Health; BTV-3; BTV-8; BTV-12; arbovirus</w:t>
      </w:r>
    </w:p>
    <w:p w14:paraId="6E579DF9"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1. Introduction</w:t>
      </w:r>
    </w:p>
    <w:p w14:paraId="32544B46"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1.1 Bluetongue in sheep as a re-emerging arboviral problem</w:t>
      </w:r>
    </w:p>
    <w:p w14:paraId="66D892F8"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is an arthropod-borne disease of domestic and wild ruminants caused by bluetongue virus (BTV), an </w:t>
      </w:r>
      <w:proofErr w:type="spellStart"/>
      <w:r w:rsidRPr="00562A7E">
        <w:rPr>
          <w:rFonts w:ascii="Times New Roman" w:eastAsia="Times New Roman" w:hAnsi="Times New Roman" w:cs="Times New Roman"/>
          <w:sz w:val="24"/>
          <w:szCs w:val="24"/>
          <w:lang w:eastAsia="en-GB"/>
        </w:rPr>
        <w:t>orbivirus</w:t>
      </w:r>
      <w:proofErr w:type="spellEnd"/>
      <w:r w:rsidRPr="00562A7E">
        <w:rPr>
          <w:rFonts w:ascii="Times New Roman" w:eastAsia="Times New Roman" w:hAnsi="Times New Roman" w:cs="Times New Roman"/>
          <w:sz w:val="24"/>
          <w:szCs w:val="24"/>
          <w:lang w:eastAsia="en-GB"/>
        </w:rPr>
        <w:t xml:space="preserve"> with a ten-segment double-stranded RNA genome and substantial antigenic diversity (MacLachlan et al., 2015; Patel &amp; Roy, 2014). In sheep (</w:t>
      </w:r>
      <w:r w:rsidRPr="00562A7E">
        <w:rPr>
          <w:rFonts w:ascii="Times New Roman" w:eastAsia="Times New Roman" w:hAnsi="Times New Roman" w:cs="Times New Roman"/>
          <w:i/>
          <w:iCs/>
          <w:sz w:val="24"/>
          <w:szCs w:val="24"/>
          <w:lang w:eastAsia="en-GB"/>
        </w:rPr>
        <w:t xml:space="preserve">Ovis </w:t>
      </w:r>
      <w:proofErr w:type="spellStart"/>
      <w:r w:rsidRPr="00562A7E">
        <w:rPr>
          <w:rFonts w:ascii="Times New Roman" w:eastAsia="Times New Roman" w:hAnsi="Times New Roman" w:cs="Times New Roman"/>
          <w:i/>
          <w:iCs/>
          <w:sz w:val="24"/>
          <w:szCs w:val="24"/>
          <w:lang w:eastAsia="en-GB"/>
        </w:rPr>
        <w:lastRenderedPageBreak/>
        <w:t>aries</w:t>
      </w:r>
      <w:proofErr w:type="spellEnd"/>
      <w:r w:rsidRPr="00562A7E">
        <w:rPr>
          <w:rFonts w:ascii="Times New Roman" w:eastAsia="Times New Roman" w:hAnsi="Times New Roman" w:cs="Times New Roman"/>
          <w:sz w:val="24"/>
          <w:szCs w:val="24"/>
          <w:lang w:eastAsia="en-GB"/>
        </w:rPr>
        <w:t>), infection can produce severe disease characterised by fever, depression, facial and lingual oedema, oral erosions, nasal discharge, respiratory distress, coronitis, lameness, wasting and death. The precise clinical picture differs between viral strains, sheep breeds, age groups, immune backgrounds and environmental settings, which is why outbreak severity cannot be inferred from serotype alone (Caporale et al., 2014; MacLachlan et al., 2009). The burden of bluetongue in sheep therefore extends well beyond mortality. It includes pain, prolonged convalescence, reduced productivity, reproductive losses, movement restrictions, vaccination expenditure and disruption of regional livestock markets (Elbers et al., 2008b; Velthuis et al., 2010).</w:t>
      </w:r>
    </w:p>
    <w:p w14:paraId="7F3446DB" w14:textId="2A53145C" w:rsidR="008C2B0E" w:rsidRPr="005A185A"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For much of the twentieth century, European bluetongue risk was often associated with warmer southern regions where </w:t>
      </w:r>
      <w:r w:rsidRPr="00562A7E">
        <w:rPr>
          <w:rFonts w:ascii="Times New Roman" w:eastAsia="Times New Roman" w:hAnsi="Times New Roman" w:cs="Times New Roman"/>
          <w:i/>
          <w:iCs/>
          <w:sz w:val="24"/>
          <w:szCs w:val="24"/>
          <w:lang w:eastAsia="en-GB"/>
        </w:rPr>
        <w:t xml:space="preserve">Culicoides </w:t>
      </w:r>
      <w:proofErr w:type="spellStart"/>
      <w:r w:rsidRPr="00562A7E">
        <w:rPr>
          <w:rFonts w:ascii="Times New Roman" w:eastAsia="Times New Roman" w:hAnsi="Times New Roman" w:cs="Times New Roman"/>
          <w:i/>
          <w:iCs/>
          <w:sz w:val="24"/>
          <w:szCs w:val="24"/>
          <w:lang w:eastAsia="en-GB"/>
        </w:rPr>
        <w:t>imicola</w:t>
      </w:r>
      <w:proofErr w:type="spellEnd"/>
      <w:r w:rsidRPr="00562A7E">
        <w:rPr>
          <w:rFonts w:ascii="Times New Roman" w:eastAsia="Times New Roman" w:hAnsi="Times New Roman" w:cs="Times New Roman"/>
          <w:sz w:val="24"/>
          <w:szCs w:val="24"/>
          <w:lang w:eastAsia="en-GB"/>
        </w:rPr>
        <w:t xml:space="preserve"> was established. That view became progressively less defensible during Mediterranean incursions involving several serotypes and collapsed as a practical assumption after BTV serotype 8 (BTV-8) emerged in north-western Europe in 2006 (Mellor et al., 2008; </w:t>
      </w:r>
      <w:proofErr w:type="spellStart"/>
      <w:r w:rsidRPr="00562A7E">
        <w:rPr>
          <w:rFonts w:ascii="Times New Roman" w:eastAsia="Times New Roman" w:hAnsi="Times New Roman" w:cs="Times New Roman"/>
          <w:sz w:val="24"/>
          <w:szCs w:val="24"/>
          <w:lang w:eastAsia="en-GB"/>
        </w:rPr>
        <w:t>Mintiens</w:t>
      </w:r>
      <w:proofErr w:type="spellEnd"/>
      <w:r w:rsidRPr="00562A7E">
        <w:rPr>
          <w:rFonts w:ascii="Times New Roman" w:eastAsia="Times New Roman" w:hAnsi="Times New Roman" w:cs="Times New Roman"/>
          <w:sz w:val="24"/>
          <w:szCs w:val="24"/>
          <w:lang w:eastAsia="en-GB"/>
        </w:rPr>
        <w:t xml:space="preserve"> et al., 2008). The BTV-8 epidemic showed that temperate indigenous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populations could sustain transmission and that dense, connected livestock landscapes could support rapid viral expansion (Elbers et al., 2008a; Wilson &amp; Mellor, 2008). Subsequent climate, vector and phylogeographic studies have reinforced the same conclusion: bluetongue risk is dynamic, context-dependent and sensitive to ecological change (</w:t>
      </w:r>
      <w:proofErr w:type="spellStart"/>
      <w:r w:rsidRPr="00562A7E">
        <w:rPr>
          <w:rFonts w:ascii="Times New Roman" w:eastAsia="Times New Roman" w:hAnsi="Times New Roman" w:cs="Times New Roman"/>
          <w:sz w:val="24"/>
          <w:szCs w:val="24"/>
          <w:lang w:eastAsia="en-GB"/>
        </w:rPr>
        <w:t>Guis</w:t>
      </w:r>
      <w:proofErr w:type="spellEnd"/>
      <w:r w:rsidRPr="00562A7E">
        <w:rPr>
          <w:rFonts w:ascii="Times New Roman" w:eastAsia="Times New Roman" w:hAnsi="Times New Roman" w:cs="Times New Roman"/>
          <w:sz w:val="24"/>
          <w:szCs w:val="24"/>
          <w:lang w:eastAsia="en-GB"/>
        </w:rPr>
        <w:t xml:space="preserve"> et al., 2012; Jacquot et al., 2017; Jones et al., 2019).</w:t>
      </w:r>
      <w:r w:rsidR="005A185A">
        <w:rPr>
          <w:rFonts w:ascii="Times New Roman" w:eastAsia="Times New Roman" w:hAnsi="Times New Roman" w:cs="Times New Roman"/>
          <w:sz w:val="24"/>
          <w:szCs w:val="24"/>
          <w:lang w:eastAsia="en-GB"/>
        </w:rPr>
        <w:t xml:space="preserve"> </w:t>
      </w:r>
      <w:r w:rsidR="00000000" w:rsidRPr="005A185A">
        <w:rPr>
          <w:bCs/>
          <w:highlight w:val="yellow"/>
        </w:rPr>
        <w:t>Recent parameterisation work further indicates that many BTV transmission models still depend heavily on evidence from the 2006-2009 BTV-8 European epidemic, which supports cautious adaptation of modelling assumptions when newer serotypes and settings are assessed (de Klerk et al., 2024).</w:t>
      </w:r>
    </w:p>
    <w:p w14:paraId="138F4A07"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Sheep remain central to the bluetongue problem because they often show more severe clinical disease than cattle and goats, even though cattle can be epidemiologically important hosts by sustaining viraemia with limited or absent clinical recognition (MacLachlan et al., 2015;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This separation between visible disease burden and transmission contribution complicates surveillance. A system that relies mainly on clinical sheep disease may detect outbreaks only after transmission is established, while a system that focuses too heavily on cattle infection may underestimate immediate animal-welfare consequences. The BTV-3 epidemic in the Netherlands made this tension visible: sheep experienced striking excess mortality, while infection was also detected across other ruminant groups (Santman-Berends et al., 2024; van den Brink et al., 2024).</w:t>
      </w:r>
    </w:p>
    <w:p w14:paraId="7B17BBCA"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1.2 From the BTV-8 lesson to the BTV-3 and BTV-12 era</w:t>
      </w:r>
    </w:p>
    <w:p w14:paraId="588C3F00"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emergence of BTV-8 in Belgium, France, Germany and the Netherlands in 2006 remains a defining event in European veterinary epidemiology. Field observations documented clinical disease in both sheep and cattle, with sheep suffering substantial morbidity and case fatality in affected flocks, while later economic analyses showed that the epidemics generated large direct and indirect financial losses (Elbers et al., 2008a, 2008b; Velthuis et al., 2010). Investigations into possible introduction routes could not identify a clear source, illustrating the difficulty of resolving entry pathways for vector-borne viruses in highly connected trade and transport systems (</w:t>
      </w:r>
      <w:proofErr w:type="spellStart"/>
      <w:r w:rsidRPr="00562A7E">
        <w:rPr>
          <w:rFonts w:ascii="Times New Roman" w:eastAsia="Times New Roman" w:hAnsi="Times New Roman" w:cs="Times New Roman"/>
          <w:sz w:val="24"/>
          <w:szCs w:val="24"/>
          <w:lang w:eastAsia="en-GB"/>
        </w:rPr>
        <w:t>Mintiens</w:t>
      </w:r>
      <w:proofErr w:type="spellEnd"/>
      <w:r w:rsidRPr="00562A7E">
        <w:rPr>
          <w:rFonts w:ascii="Times New Roman" w:eastAsia="Times New Roman" w:hAnsi="Times New Roman" w:cs="Times New Roman"/>
          <w:sz w:val="24"/>
          <w:szCs w:val="24"/>
          <w:lang w:eastAsia="en-GB"/>
        </w:rPr>
        <w:t xml:space="preserve"> et al., 2008). The later re-emergence of BTV-8 in France added another layer of complexity, because experimental evidence suggested reduced viraemia, pathogenicity and vector competence compared with the earlier epidemic strain (Flannery et al., 2019). The same serotype may therefore not behave identically across time, place and strain background.</w:t>
      </w:r>
    </w:p>
    <w:p w14:paraId="68E7D330" w14:textId="654B0321" w:rsidR="008C2B0E" w:rsidRPr="005A185A"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The BTV-3 epidemic that began in the Netherlands in September 2023 again altered the risk landscape. Whole-genome sequencing confirmed BTV-3, and retrospective testing did not indicate extensive circulation before the first recognised outbreak, supporting a recent emergence rather than long-standing undetected spread (Holwerda et al., 2024). Spatial analysis showed rapid between-location spread and suggested that both midge dispersal and livestock movement plausibly contributed to the observed epidemic pattern (Boender et al., 2024). Clinical and pathological investigations documented severe disease in sheep, and mortality analysis estimated more than 55,000 excess sheep deaths between September and December 2023 (Santman-Berends et al., 2024; van den Brink et al., 2024). The outbreak demonstrated that severe bluetongue incursions remain possible even in regions with advanced veterinary infrastructure.</w:t>
      </w:r>
      <w:r w:rsidR="005A185A">
        <w:rPr>
          <w:rFonts w:ascii="Times New Roman" w:eastAsia="Times New Roman" w:hAnsi="Times New Roman" w:cs="Times New Roman"/>
          <w:sz w:val="24"/>
          <w:szCs w:val="24"/>
          <w:lang w:eastAsia="en-GB"/>
        </w:rPr>
        <w:t xml:space="preserve"> </w:t>
      </w:r>
      <w:r w:rsidR="00000000" w:rsidRPr="005A185A">
        <w:rPr>
          <w:bCs/>
          <w:highlight w:val="yellow"/>
        </w:rPr>
        <w:t xml:space="preserve">Contemporaneous surveillance in western Germany confirmed BTV-3 in an infected sheep and detected BTV-3 RNA in a </w:t>
      </w:r>
      <w:r w:rsidR="00000000" w:rsidRPr="005A185A">
        <w:rPr>
          <w:bCs/>
          <w:i/>
          <w:highlight w:val="yellow"/>
        </w:rPr>
        <w:t>C. obsoletus</w:t>
      </w:r>
      <w:r w:rsidR="00000000" w:rsidRPr="005A185A">
        <w:rPr>
          <w:bCs/>
          <w:highlight w:val="yellow"/>
        </w:rPr>
        <w:t xml:space="preserve"> group midge pool, indicating that neighbouring regions can show early cross-border signals before wider seasonal amplification (Voigt et al., 2024).</w:t>
      </w:r>
    </w:p>
    <w:p w14:paraId="209DD27F"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detection of BTV serotype 12 (BTV-12) in the Netherlands in 2024 added a further warning. BTV-12 had not previously been reported in Europe, and genomic comparison indicated close relatedness to viruses from the Middle East, although the route of introduction remained unresolved (van den Brom et al., 2025). This event underlines the growing value of whole-genome surveillance. Serotype determination is essential, but it is no longer enough. Contemporary bluetongue preparedness must be able to recognise unexpected serotypes, interpret genome constellations, assess possible reassortment and connect viral identity quickly to vaccine and movement decisions.</w:t>
      </w:r>
    </w:p>
    <w:p w14:paraId="61A127DA"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Table 1 summarises selected epidemiological turning points that have shaped current bluetongue control in sheep. These events are not simply historical markers. Each exposed a different weakness in preparedness: geographical complacency before BTV-8, underestimation of indigenous vector capacity during BTV-8, uncertainty about changing viral phenotype during re-emergence, delayed protection during BTV-3, and the challenge of novel-serotype recognition during BTV-12 detection.</w:t>
      </w:r>
    </w:p>
    <w:p w14:paraId="7E82CE9A"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1. Selected epidemiological turning points shaping current bluetongue control in sheep</w:t>
      </w:r>
    </w:p>
    <w:tbl>
      <w:tblPr>
        <w:tblStyle w:val="TableGrid"/>
        <w:tblW w:w="0" w:type="auto"/>
        <w:tblLook w:val="04A0" w:firstRow="1" w:lastRow="0" w:firstColumn="1" w:lastColumn="0" w:noHBand="0" w:noVBand="1"/>
      </w:tblPr>
      <w:tblGrid>
        <w:gridCol w:w="2301"/>
        <w:gridCol w:w="3585"/>
        <w:gridCol w:w="3356"/>
      </w:tblGrid>
      <w:tr w:rsidR="00562A7E" w:rsidRPr="00562A7E" w14:paraId="4860973F" w14:textId="77777777" w:rsidTr="00562A7E">
        <w:tc>
          <w:tcPr>
            <w:tcW w:w="0" w:type="auto"/>
            <w:hideMark/>
          </w:tcPr>
          <w:p w14:paraId="7B3CE62C"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Period or event</w:t>
            </w:r>
          </w:p>
        </w:tc>
        <w:tc>
          <w:tcPr>
            <w:tcW w:w="0" w:type="auto"/>
            <w:hideMark/>
          </w:tcPr>
          <w:p w14:paraId="6A572C7A"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Main lesson for sheep health and control</w:t>
            </w:r>
          </w:p>
        </w:tc>
        <w:tc>
          <w:tcPr>
            <w:tcW w:w="0" w:type="auto"/>
            <w:hideMark/>
          </w:tcPr>
          <w:p w14:paraId="2D524653"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Continuing implication</w:t>
            </w:r>
          </w:p>
        </w:tc>
      </w:tr>
      <w:tr w:rsidR="00562A7E" w:rsidRPr="00562A7E" w14:paraId="1F8212D1" w14:textId="77777777" w:rsidTr="00562A7E">
        <w:tc>
          <w:tcPr>
            <w:tcW w:w="0" w:type="auto"/>
            <w:hideMark/>
          </w:tcPr>
          <w:p w14:paraId="3C973576"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Mediterranean and European incursions before 2006</w:t>
            </w:r>
          </w:p>
        </w:tc>
        <w:tc>
          <w:tcPr>
            <w:tcW w:w="0" w:type="auto"/>
            <w:hideMark/>
          </w:tcPr>
          <w:p w14:paraId="0FEAC716"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Bluetongue in Europe involved multiple serotypes and routes of entry, weakening static geographical assumptions about risk.</w:t>
            </w:r>
          </w:p>
        </w:tc>
        <w:tc>
          <w:tcPr>
            <w:tcW w:w="0" w:type="auto"/>
            <w:hideMark/>
          </w:tcPr>
          <w:p w14:paraId="3CE45AF4"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Surveillance must remain sensitive to new incursions rather than monitor only historically endemic zones.</w:t>
            </w:r>
          </w:p>
        </w:tc>
      </w:tr>
      <w:tr w:rsidR="00562A7E" w:rsidRPr="00562A7E" w14:paraId="30D68584" w14:textId="77777777" w:rsidTr="00562A7E">
        <w:tc>
          <w:tcPr>
            <w:tcW w:w="0" w:type="auto"/>
            <w:hideMark/>
          </w:tcPr>
          <w:p w14:paraId="5C189D09"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BTV-8 emergence in north-western Europe from 2006</w:t>
            </w:r>
          </w:p>
        </w:tc>
        <w:tc>
          <w:tcPr>
            <w:tcW w:w="0" w:type="auto"/>
            <w:hideMark/>
          </w:tcPr>
          <w:p w14:paraId="374D5C8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Temperate indigenous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populations can sustain transmission, and sheep can experience substantial morbidity and mortality.</w:t>
            </w:r>
          </w:p>
        </w:tc>
        <w:tc>
          <w:tcPr>
            <w:tcW w:w="0" w:type="auto"/>
            <w:hideMark/>
          </w:tcPr>
          <w:p w14:paraId="2DE477D9"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competence and seasonal suitability must be assessed locally, including outside traditional risk zones.</w:t>
            </w:r>
          </w:p>
        </w:tc>
      </w:tr>
      <w:tr w:rsidR="00562A7E" w:rsidRPr="00562A7E" w14:paraId="0BD9A9DD" w14:textId="77777777" w:rsidTr="00562A7E">
        <w:tc>
          <w:tcPr>
            <w:tcW w:w="0" w:type="auto"/>
            <w:hideMark/>
          </w:tcPr>
          <w:p w14:paraId="30CCEFF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Economic and trade consequences of BTV-8</w:t>
            </w:r>
          </w:p>
        </w:tc>
        <w:tc>
          <w:tcPr>
            <w:tcW w:w="0" w:type="auto"/>
            <w:hideMark/>
          </w:tcPr>
          <w:p w14:paraId="411DEC55"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Direct flock losses were compounded by movement restrictions, vaccination costs and market disruption.</w:t>
            </w:r>
          </w:p>
        </w:tc>
        <w:tc>
          <w:tcPr>
            <w:tcW w:w="0" w:type="auto"/>
            <w:hideMark/>
          </w:tcPr>
          <w:p w14:paraId="3400556B"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Control policy must account for farm economics as well as clinical disease.</w:t>
            </w:r>
          </w:p>
        </w:tc>
      </w:tr>
      <w:tr w:rsidR="00562A7E" w:rsidRPr="00562A7E" w14:paraId="5DD911FB" w14:textId="77777777" w:rsidTr="00562A7E">
        <w:tc>
          <w:tcPr>
            <w:tcW w:w="0" w:type="auto"/>
            <w:hideMark/>
          </w:tcPr>
          <w:p w14:paraId="38563B68"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Re-emergent BTV-8 in France</w:t>
            </w:r>
          </w:p>
        </w:tc>
        <w:tc>
          <w:tcPr>
            <w:tcW w:w="0" w:type="auto"/>
            <w:hideMark/>
          </w:tcPr>
          <w:p w14:paraId="5F31E07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Viral phenotype may change, with altered viraemia, pathogenicity and vector competence.</w:t>
            </w:r>
          </w:p>
        </w:tc>
        <w:tc>
          <w:tcPr>
            <w:tcW w:w="0" w:type="auto"/>
            <w:hideMark/>
          </w:tcPr>
          <w:p w14:paraId="177E2834"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Historical serotype behaviour should not be assumed to predict future field impact.</w:t>
            </w:r>
          </w:p>
        </w:tc>
      </w:tr>
      <w:tr w:rsidR="00562A7E" w:rsidRPr="00562A7E" w14:paraId="5E34B9A2" w14:textId="77777777" w:rsidTr="00562A7E">
        <w:tc>
          <w:tcPr>
            <w:tcW w:w="0" w:type="auto"/>
            <w:hideMark/>
          </w:tcPr>
          <w:p w14:paraId="6B93A1C6"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BTV-3 emergence in the Netherlands from 2023</w:t>
            </w:r>
          </w:p>
        </w:tc>
        <w:tc>
          <w:tcPr>
            <w:tcW w:w="0" w:type="auto"/>
            <w:hideMark/>
          </w:tcPr>
          <w:p w14:paraId="19B20FBC"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Severe sheep mortality can develop rapidly in highly connected temperate livestock systems.</w:t>
            </w:r>
          </w:p>
        </w:tc>
        <w:tc>
          <w:tcPr>
            <w:tcW w:w="0" w:type="auto"/>
            <w:hideMark/>
          </w:tcPr>
          <w:p w14:paraId="5F125ADD"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Emergency vaccination, mortality monitoring and genomic confirmation need to be linked earlier in the epidemic curve.</w:t>
            </w:r>
          </w:p>
        </w:tc>
      </w:tr>
      <w:tr w:rsidR="00562A7E" w:rsidRPr="00562A7E" w14:paraId="69D43834" w14:textId="77777777" w:rsidTr="00562A7E">
        <w:tc>
          <w:tcPr>
            <w:tcW w:w="0" w:type="auto"/>
            <w:hideMark/>
          </w:tcPr>
          <w:p w14:paraId="27C26487"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BTV-12 detection in the Netherlands in 2024</w:t>
            </w:r>
          </w:p>
        </w:tc>
        <w:tc>
          <w:tcPr>
            <w:tcW w:w="0" w:type="auto"/>
            <w:hideMark/>
          </w:tcPr>
          <w:p w14:paraId="67975F5D"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Novel serotypes can appear in Europe, and genomic comparison may suggest distant relatedness while leaving routes unresolved.</w:t>
            </w:r>
          </w:p>
        </w:tc>
        <w:tc>
          <w:tcPr>
            <w:tcW w:w="0" w:type="auto"/>
            <w:hideMark/>
          </w:tcPr>
          <w:p w14:paraId="35326833"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Whole-genome surveillance is essential for serotype recognition, source inference and vaccine preparedness.</w:t>
            </w:r>
          </w:p>
        </w:tc>
      </w:tr>
    </w:tbl>
    <w:p w14:paraId="0D7D0E44"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Sources: Boender et al. (2024); Elbers et al. (2008a, 2008b); Flannery et al. (2019); Holwerda et al. (2024); Mellor et al. (2008); </w:t>
      </w:r>
      <w:proofErr w:type="spellStart"/>
      <w:r w:rsidRPr="00562A7E">
        <w:rPr>
          <w:rFonts w:ascii="Times New Roman" w:eastAsia="Times New Roman" w:hAnsi="Times New Roman" w:cs="Times New Roman"/>
          <w:sz w:val="24"/>
          <w:szCs w:val="24"/>
          <w:lang w:eastAsia="en-GB"/>
        </w:rPr>
        <w:t>Mintiens</w:t>
      </w:r>
      <w:proofErr w:type="spellEnd"/>
      <w:r w:rsidRPr="00562A7E">
        <w:rPr>
          <w:rFonts w:ascii="Times New Roman" w:eastAsia="Times New Roman" w:hAnsi="Times New Roman" w:cs="Times New Roman"/>
          <w:sz w:val="24"/>
          <w:szCs w:val="24"/>
          <w:lang w:eastAsia="en-GB"/>
        </w:rPr>
        <w:t xml:space="preserve"> et al. (2008); Santman-Berends et al. (2024); van den Brink et al. (2024); van den Brom et al. (2025); Velthuis et al. (2010).</w:t>
      </w:r>
    </w:p>
    <w:p w14:paraId="11990559"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1.3 The need for integrated vector, genomic, vaccine and One Health control</w:t>
      </w:r>
    </w:p>
    <w:p w14:paraId="366ED51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control in sheep has often been divided into separate technical domains: clinical diagnosis, vector surveillance, animal movement regulation, vaccination and outbreak reporting. The evidence now indicates that those domains are too interdependent to be managed as separate tracks. Vector competence studies show that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species vary in susceptibility to infection and transmission, while ecological studies show that midge abundance and seasonal activity are shaped by temperature, moisture, host distribution, breeding substrates and land use (Carpenter et al., 2015;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Purse et al., 2015). Genomic analyses can reveal virus movement, reassortment and incursion history, but their interpretation depends on epidemiological metadata and representative sampling that are often incomplete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Sanders et al., 2022). Vaccination can greatly reduce disease impact when matched products are available, yet its effectiveness depends on serotype match, timing, coverage, farmer uptake and the ability to interpret post-vaccination surveillance (Dijkstra et al., 2025; Feenstra &amp; van Rijn, 2017).</w:t>
      </w:r>
    </w:p>
    <w:p w14:paraId="54F292B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 One Health framing is appropriate even though bluetongue is not zoonotic. The justification does not rest on direct human infection. It rests on the connections among climate change, vector ecology, livestock welfare, rural livelihoods, food systems, wildlife interfaces and transboundary governance (MacLachlan &amp; Mayo, 2013; Ruder et al., 2015; Samy &amp; Peterson, 2016). Bluetongue control decisions influence animal movement, trade, farmer income, vaccine logistics, carcass disposal, public trust and veterinary workload. At the same time, climatic shifts, land-use change, water management and livestock distribution influence future transmission risk. For sheep systems, where welfare consequences can be acute and visible, control must combine biological precision with feasible farm-level implementation.</w:t>
      </w:r>
    </w:p>
    <w:p w14:paraId="01CD193B" w14:textId="77777777" w:rsidR="005A185A" w:rsidRDefault="00000000" w:rsidP="005A185A">
      <w:pPr>
        <w:jc w:val="both"/>
        <w:rPr>
          <w:b/>
          <w:highlight w:val="yellow"/>
        </w:rPr>
      </w:pPr>
      <w:r>
        <w:rPr>
          <w:b/>
          <w:highlight w:val="yellow"/>
        </w:rPr>
        <w:t>Research gap</w:t>
      </w:r>
    </w:p>
    <w:p w14:paraId="78F2BCB5" w14:textId="5B164E77" w:rsidR="008C2B0E" w:rsidRPr="005A185A" w:rsidRDefault="00000000" w:rsidP="005A185A">
      <w:pPr>
        <w:jc w:val="both"/>
        <w:rPr>
          <w:bCs/>
        </w:rPr>
      </w:pPr>
      <w:r w:rsidRPr="005A185A">
        <w:rPr>
          <w:bCs/>
          <w:highlight w:val="yellow"/>
        </w:rPr>
        <w:t>Although recent evidence has improved understanding of BTV emergence, vector involvement, genomic surveillance and vaccination, the reviewed literature remains fragmented across technical domains and does not yet provide a fully integrated sheep-centred framework that links surveillance signals to timely field action.</w:t>
      </w:r>
    </w:p>
    <w:p w14:paraId="133E6A3C"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lastRenderedPageBreak/>
        <w:t>1.4 Scope and objectives</w:t>
      </w:r>
    </w:p>
    <w:p w14:paraId="5C7E4AA6"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This review critically evaluates bluetongue virus in sheep from the linked perspectives of vector-borne transmission dynamics, clinical disease, genomic surveillance, vaccination and One Health control. Its objectives are to synthesise recent evidence on BTV emergence and spread, identify strengths and weaknesses in current surveillance and vaccine strategies, clarify how sheep-specific disease burdens should inform policy, and propose research and practice priorities for more anticipatory and integrated bluetongue management.</w:t>
      </w:r>
    </w:p>
    <w:p w14:paraId="7402ADC0"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2. Methods for Literature Selection</w:t>
      </w:r>
    </w:p>
    <w:p w14:paraId="25D08AB9" w14:textId="42C8E0B6"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The literature search covered publications from January 2006 to </w:t>
      </w:r>
      <w:r w:rsidR="005A185A">
        <w:rPr>
          <w:rFonts w:ascii="Times New Roman" w:eastAsia="Times New Roman" w:hAnsi="Times New Roman" w:cs="Times New Roman"/>
          <w:sz w:val="24"/>
          <w:szCs w:val="24"/>
          <w:lang w:eastAsia="en-GB"/>
        </w:rPr>
        <w:t>February</w:t>
      </w:r>
      <w:r w:rsidRPr="00562A7E">
        <w:rPr>
          <w:rFonts w:ascii="Times New Roman" w:eastAsia="Times New Roman" w:hAnsi="Times New Roman" w:cs="Times New Roman"/>
          <w:sz w:val="24"/>
          <w:szCs w:val="24"/>
          <w:lang w:eastAsia="en-GB"/>
        </w:rPr>
        <w:t xml:space="preserve"> 2026, with selected older classic studies included only where they provided essential context for climate-related emergence or foundational concepts in BTV epidemiology. The start year was selected because the 2006 BTV-8 emergence in north-western Europe marks the beginning of the modern temperate-zone bluetongue surveillance and control era. Searches were conducted in Web of Science, Scopus, Google Scholar and PubMed, supplemented by field-specific indexing databases appropriate to veterinary virology, livestock health, entomology, agriculture and global health: CAB Abstracts, </w:t>
      </w:r>
      <w:proofErr w:type="spellStart"/>
      <w:r w:rsidRPr="00562A7E">
        <w:rPr>
          <w:rFonts w:ascii="Times New Roman" w:eastAsia="Times New Roman" w:hAnsi="Times New Roman" w:cs="Times New Roman"/>
          <w:sz w:val="24"/>
          <w:szCs w:val="24"/>
          <w:lang w:eastAsia="en-GB"/>
        </w:rPr>
        <w:t>VetMed</w:t>
      </w:r>
      <w:proofErr w:type="spellEnd"/>
      <w:r w:rsidRPr="00562A7E">
        <w:rPr>
          <w:rFonts w:ascii="Times New Roman" w:eastAsia="Times New Roman" w:hAnsi="Times New Roman" w:cs="Times New Roman"/>
          <w:sz w:val="24"/>
          <w:szCs w:val="24"/>
          <w:lang w:eastAsia="en-GB"/>
        </w:rPr>
        <w:t xml:space="preserve"> Resource, AGRICOLA, Zoological Record, Global Health and Biological Abstracts.</w:t>
      </w:r>
    </w:p>
    <w:p w14:paraId="4C66AB4E"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Search terms were adapted to the syntax of each database and combined controlled vocabulary, where available, with free-text terms. Core search strings included “bluetongue virus” OR BTV OR bluetongue combined with sheep OR ovine OR “</w:t>
      </w:r>
      <w:r w:rsidRPr="00562A7E">
        <w:rPr>
          <w:rFonts w:ascii="Times New Roman" w:eastAsia="Times New Roman" w:hAnsi="Times New Roman" w:cs="Times New Roman"/>
          <w:i/>
          <w:iCs/>
          <w:sz w:val="24"/>
          <w:szCs w:val="24"/>
          <w:lang w:eastAsia="en-GB"/>
        </w:rPr>
        <w:t xml:space="preserve">Ovis </w:t>
      </w:r>
      <w:proofErr w:type="spellStart"/>
      <w:r w:rsidRPr="00562A7E">
        <w:rPr>
          <w:rFonts w:ascii="Times New Roman" w:eastAsia="Times New Roman" w:hAnsi="Times New Roman" w:cs="Times New Roman"/>
          <w:i/>
          <w:iCs/>
          <w:sz w:val="24"/>
          <w:szCs w:val="24"/>
          <w:lang w:eastAsia="en-GB"/>
        </w:rPr>
        <w:t>aries</w:t>
      </w:r>
      <w:proofErr w:type="spellEnd"/>
      <w:r w:rsidRPr="00562A7E">
        <w:rPr>
          <w:rFonts w:ascii="Times New Roman" w:eastAsia="Times New Roman" w:hAnsi="Times New Roman" w:cs="Times New Roman"/>
          <w:sz w:val="24"/>
          <w:szCs w:val="24"/>
          <w:lang w:eastAsia="en-GB"/>
        </w:rPr>
        <w:t xml:space="preserve">” OR “small ruminant”; “bluetongue virus” OR BTV combined with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OR midge OR “vector competence” OR “vectorial capacity” OR “extrinsic incubation”; BTV-3 OR “serotype 3” OR BTV-8 OR BTV-12 combined with Europe OR Netherlands OR outbreak OR mortality OR “excess mortality”; “bluetongue virus” combined with “whole genome sequencing” OR “genomic surveillance” OR </w:t>
      </w:r>
      <w:proofErr w:type="spellStart"/>
      <w:r w:rsidRPr="00562A7E">
        <w:rPr>
          <w:rFonts w:ascii="Times New Roman" w:eastAsia="Times New Roman" w:hAnsi="Times New Roman" w:cs="Times New Roman"/>
          <w:sz w:val="24"/>
          <w:szCs w:val="24"/>
          <w:lang w:eastAsia="en-GB"/>
        </w:rPr>
        <w:t>phylogeograph</w:t>
      </w:r>
      <w:proofErr w:type="spellEnd"/>
      <w:r w:rsidRPr="00562A7E">
        <w:rPr>
          <w:rFonts w:ascii="Times New Roman" w:eastAsia="Times New Roman" w:hAnsi="Times New Roman" w:cs="Times New Roman"/>
          <w:sz w:val="24"/>
          <w:szCs w:val="24"/>
          <w:lang w:eastAsia="en-GB"/>
        </w:rPr>
        <w:t>* OR reassort* OR segment*; “bluetongue virus” combined with vaccine* OR inactivated OR “live attenuated” OR recombinant OR DIVA OR “viral vector”; and bluetongue combined with “One Health” OR climate OR movement OR trade OR welfare OR surveillance. Reference lists of influential articles were screened by backward citation tracking, and forward citation searches were used to identify more recent studies that had expanded or challenged earlier findings.</w:t>
      </w:r>
    </w:p>
    <w:p w14:paraId="19C6AFD9"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 narrative rather than systematic review design was adopted because the topic crosses mechanistic virology, clinical pathology, vector biology, spatial epidemiology, genomic surveillance, vaccine science and policy. These fields use heterogeneous methods and outcome measures, so a single pooled effect estimate would have limited interpretive value. Narrative reviews are appropriate where the aim is critical synthesis across diverse evidence streams, provided the search boundaries, inclusion criteria and interpretive logic are explicit (Green et al., 2006; Sukhera, 2022). The approach used here therefore prioritised conceptual integration, methodological comparison and policy relevance rather than formal meta-analysis.</w:t>
      </w:r>
    </w:p>
    <w:p w14:paraId="7654C98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Inclusion criteria were peer-reviewed journal articles with verifiable DOI metadata that addressed BTV epidemiology, sheep disease, vector ecology, diagnostics, genomic surveillance, vaccination, transmission modelling or control policy. Original research, critical reviews and authoritative scientific risk assessments with DOI registration were eligible. </w:t>
      </w:r>
      <w:r w:rsidRPr="00562A7E">
        <w:rPr>
          <w:rFonts w:ascii="Times New Roman" w:eastAsia="Times New Roman" w:hAnsi="Times New Roman" w:cs="Times New Roman"/>
          <w:sz w:val="24"/>
          <w:szCs w:val="24"/>
          <w:lang w:eastAsia="en-GB"/>
        </w:rPr>
        <w:lastRenderedPageBreak/>
        <w:t>Studies were prioritised when they reported outbreak field data, experimentally evaluated pathogenesis, vector competence or vaccine performance, provided whole-genome or phylogeographic analysis, developed spatial or climatic transmission models, or directly informed sheep health and control decisions. Influential studies were selected on the basis of methodological rigour, relevance to sheep or small-ruminant systems, geographical importance, contribution to outbreak interpretation, and continued use in contemporary scientific or policy discussions.</w:t>
      </w:r>
    </w:p>
    <w:p w14:paraId="2DC36A7A"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Exclusion criteria were books, book chapters, conference papers, trade publications, patents, preprints, non-peer-reviewed material, studies without verifiable DOI metadata, articles focused solely on unrelated </w:t>
      </w:r>
      <w:proofErr w:type="spellStart"/>
      <w:r w:rsidRPr="00562A7E">
        <w:rPr>
          <w:rFonts w:ascii="Times New Roman" w:eastAsia="Times New Roman" w:hAnsi="Times New Roman" w:cs="Times New Roman"/>
          <w:sz w:val="24"/>
          <w:szCs w:val="24"/>
          <w:lang w:eastAsia="en-GB"/>
        </w:rPr>
        <w:t>orbiviruses</w:t>
      </w:r>
      <w:proofErr w:type="spellEnd"/>
      <w:r w:rsidRPr="00562A7E">
        <w:rPr>
          <w:rFonts w:ascii="Times New Roman" w:eastAsia="Times New Roman" w:hAnsi="Times New Roman" w:cs="Times New Roman"/>
          <w:sz w:val="24"/>
          <w:szCs w:val="24"/>
          <w:lang w:eastAsia="en-GB"/>
        </w:rPr>
        <w:t xml:space="preserve"> unless directly relevant to BTV comparison, and reports in which implications for sheep could not be inferred. Institutional material was considered only where it had clear scientific relevance and DOI traceability. English-language publications were used as the primary evidence base; non-English publications were considered only if an English abstract and complete DOI-verifiable metadata were available and the article contributed unique epidemiological or control information. Records were exported to a reference manager, where duplicates were removed using DOI, title, author and year matching, followed by manual verification of near-duplicate records and corrected online-first metadata. Screening proceeded from title and abstract assessment to full-text evaluation, with particular attention to whether claims about serotype, vector species, vaccine effect or outbreak severity were supported by primary data rather than secondary repetition.</w:t>
      </w:r>
    </w:p>
    <w:p w14:paraId="3CD893AD"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3. Virus Biology and Disease Expression in Sheep</w:t>
      </w:r>
    </w:p>
    <w:p w14:paraId="5BA62704"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3.1 Taxonomy, genome segmentation and antigenic diversity</w:t>
      </w:r>
    </w:p>
    <w:p w14:paraId="1033B61F"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virus is an </w:t>
      </w:r>
      <w:proofErr w:type="spellStart"/>
      <w:r w:rsidRPr="00562A7E">
        <w:rPr>
          <w:rFonts w:ascii="Times New Roman" w:eastAsia="Times New Roman" w:hAnsi="Times New Roman" w:cs="Times New Roman"/>
          <w:sz w:val="24"/>
          <w:szCs w:val="24"/>
          <w:lang w:eastAsia="en-GB"/>
        </w:rPr>
        <w:t>orbivirus</w:t>
      </w:r>
      <w:proofErr w:type="spellEnd"/>
      <w:r w:rsidRPr="00562A7E">
        <w:rPr>
          <w:rFonts w:ascii="Times New Roman" w:eastAsia="Times New Roman" w:hAnsi="Times New Roman" w:cs="Times New Roman"/>
          <w:sz w:val="24"/>
          <w:szCs w:val="24"/>
          <w:lang w:eastAsia="en-GB"/>
        </w:rPr>
        <w:t xml:space="preserve"> with ten segments of double-stranded RNA encoding structural and non-structural proteins that support replication, host interaction, immune recognition and vector transmission (Patel &amp; Roy, 2014). Outer-capsid proteins, especially VP2 and VP5, are central to serotype specificity and neutralising antibody responses, while more conserved internal proteins are useful for group-specific diagnosis (Feenstra &amp; van Rijn, 2017; MacLachlan et al., 2015). This genome architecture has direct epidemiological significance. Segmented viruses can reassort when different strains infect the same host or vector, producing new genome constellations with possible changes in replication, virulence or transmissibility (Sanders et al., 2022).</w:t>
      </w:r>
    </w:p>
    <w:p w14:paraId="2ADE8BC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antigenic diversity of BTV has expanded over time, with many serotypes reported across Africa, Asia, Europe, the Middle East, Australia and the Americas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This diversity is not a taxonomic detail of interest only to virologists. It directly shapes vaccination, because protection is generally strongest against homologous serotypes and may be incomplete or inconsistent across heterologous serotypes (Feenstra &amp; van Rijn, 2017; McVey &amp; MacLachlan, 2015). For sheep producers and veterinary authorities, the detection of a new serotype immediately affects vaccine availability, movement policy, diagnostic strategy and outbreak forecasting. The detection of BTV-12 in the Netherlands in 2024, soon after the BTV-3 epidemic, illustrates how serotype diversity can complicate control planning in regions already responding to one major outbreak (van den Brom et al., 2025).</w:t>
      </w:r>
    </w:p>
    <w:p w14:paraId="36A5BDFE"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Genome segmentation also means that whole-genome sequencing has become more than a confirmatory tool. Serotype identification, usually linked to genome segment 2, is necessary but cannot alone reveal reassortment in other segments that may influence virus fitness or transmission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Sanders et al., 2022). Experimental work has shown that reassortment can alter phenotypic traits in both mammalian hosts and arthropod vectors (Sanders et al., 2022). For sheep health, this matters because clinical severity may differ among strains within the same serotype, and because vaccine planning based only on serotype may miss other genomic features that influence field behaviour.</w:t>
      </w:r>
    </w:p>
    <w:p w14:paraId="0F768B8C"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 xml:space="preserve">3.2 Pathogenesis in </w:t>
      </w:r>
      <w:r w:rsidRPr="00562A7E">
        <w:rPr>
          <w:rFonts w:ascii="Times New Roman" w:eastAsia="Times New Roman" w:hAnsi="Times New Roman" w:cs="Times New Roman"/>
          <w:b/>
          <w:bCs/>
          <w:i/>
          <w:iCs/>
          <w:sz w:val="27"/>
          <w:szCs w:val="27"/>
          <w:lang w:eastAsia="en-GB"/>
        </w:rPr>
        <w:t xml:space="preserve">Ovis </w:t>
      </w:r>
      <w:proofErr w:type="spellStart"/>
      <w:r w:rsidRPr="00562A7E">
        <w:rPr>
          <w:rFonts w:ascii="Times New Roman" w:eastAsia="Times New Roman" w:hAnsi="Times New Roman" w:cs="Times New Roman"/>
          <w:b/>
          <w:bCs/>
          <w:i/>
          <w:iCs/>
          <w:sz w:val="27"/>
          <w:szCs w:val="27"/>
          <w:lang w:eastAsia="en-GB"/>
        </w:rPr>
        <w:t>aries</w:t>
      </w:r>
      <w:proofErr w:type="spellEnd"/>
      <w:r w:rsidRPr="00562A7E">
        <w:rPr>
          <w:rFonts w:ascii="Times New Roman" w:eastAsia="Times New Roman" w:hAnsi="Times New Roman" w:cs="Times New Roman"/>
          <w:b/>
          <w:bCs/>
          <w:sz w:val="27"/>
          <w:szCs w:val="27"/>
          <w:lang w:eastAsia="en-GB"/>
        </w:rPr>
        <w:t xml:space="preserve"> and determinants of disease severity</w:t>
      </w:r>
    </w:p>
    <w:p w14:paraId="51D43E4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pathogenesis of bluetongue in sheep is strongly associated with infection of endothelial and mononuclear phagocytic cells, resulting in vascular injury, increased permeability, oedema, haemorrhage, thrombosis and tissue damage (MacLachlan et al., 2009). The clinical syndrome reflects this vascular pathology. Fever, depression, salivation, facial swelling, oral ulceration, cyanosis of the tongue in severe cases, respiratory signs, coronitis, lameness and reproductive losses have all been described, although not every outbreak produces the same presentation (MacLachlan et al., 2009; van den Brink et al., 2024). The name “bluetongue” can therefore be misleading if taken literally, because a visibly cyanotic tongue is neither necessary nor consistently observed in affected sheep (MacLachlan et al., 2015).</w:t>
      </w:r>
    </w:p>
    <w:p w14:paraId="5665B0AF"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Disease severity depends on both viral and host factors. Experimental and field evidence indicates that strain differences can influence clinical outcome, while breed, age, physiological status, immune history and concurrent stressors shape susceptibility and recovery (Caporale et al., 2014;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European meat and wool breeds may suffer severe disease in particular epidemic settings, whereas some indigenous breeds in historically endemic areas may show lower apparent severity, although comparisons are complicated by prior immunity, husbandry and reporting differences (MacLachlan et al., 2015;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The Dutch BTV-3 epidemic confirmed that severe ovine disease can occur in contemporary European sheep systems, with clinical and pathological findings including fever, mucosal lesions, oedema, lameness and death (van den Brink et al., 2024).</w:t>
      </w:r>
    </w:p>
    <w:p w14:paraId="16381EB1"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Population-level mortality data are essential because clinical descriptions alone cannot quantify outbreak burden. During the Dutch BTV-3 outbreak, mortality analysis estimated more than 55,000 excess sheep deaths between September and December 2023, with marked increases in infected areas and especially in notified sheep flocks (Santman-Berends et al., 2024). In 2024, despite the availability of inactivated BTV-3 vaccines, more than 65,000 excess sheep deaths were recorded during the epidemic period, although vaccination was associated with a significant reduction in mortality and the impact per farm was lower than in 2023 (Dijkstra et al., 2025). These findings make an important practical point: vaccine value should not be judged only by sterilising immunity or PCR negativity. Reductions in death, clinical severity and welfare compromise are meaningful outcomes in sheep populations.</w:t>
      </w:r>
    </w:p>
    <w:p w14:paraId="01FE1C1C"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3.3 Reservoirs, amplifiers and multispecies interfaces</w:t>
      </w:r>
    </w:p>
    <w:p w14:paraId="0C890D4E"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epidemiology in sheep cannot be understood by studying sheep alone. Cattle often develop subclinical or mild infection but can sustain viraemia sufficient to infect biting midges, making them important maintenance or amplifier hosts in mixed livestock landscapes (MacLachlan et al., 2015; Ruder et al., 2015). Goats, camelids and wild ruminants may also </w:t>
      </w:r>
      <w:r w:rsidRPr="00562A7E">
        <w:rPr>
          <w:rFonts w:ascii="Times New Roman" w:eastAsia="Times New Roman" w:hAnsi="Times New Roman" w:cs="Times New Roman"/>
          <w:sz w:val="24"/>
          <w:szCs w:val="24"/>
          <w:lang w:eastAsia="en-GB"/>
        </w:rPr>
        <w:lastRenderedPageBreak/>
        <w:t>become infected, although their roles vary by species, region and husbandry system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van den Brink et al., 2024). In the Dutch BTV-3 epidemic, infection was confirmed in sheep, cattle, goats, alpaca and/or llama holdings, and one dog was also reported, illustrating the breadth of susceptible or exposed host interfaces while keeping sheep at the centre of severe clinical impact (van den Brink et al., 2024).</w:t>
      </w:r>
    </w:p>
    <w:p w14:paraId="00D0267C"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reservoir question has immediate consequences for surveillance. If sheep are monitored mainly because they show disease, while cattle are monitored through serology or movement testing, the resulting picture of transmission may be uneven. Silent or weakly clinical infection in cattle can allow virus circulation before sheep outbreaks become obvious (EFSA AHAW Panel, 2017; MacLachlan et al., 2015). Conversely, sheep mortality can provide an early signal of severe clinical impact even when the transmission network involves multiple host species (Santman-Berends et al., 2024). A balanced surveillance design should therefore include host groups according to their epidemiological contribution and clinical vulnerability rather than assign responsibility to one “sentinel” species.</w:t>
      </w:r>
    </w:p>
    <w:p w14:paraId="4C610F8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Wildlife adds further uncertainty. In North America, BTV and epizootic haemorrhagic disease viruses circulate across domestic and wild ruminant interfaces, and the ecological lessons are relevant even where species assemblages differ (Ruder et al., 2015). Wildlife may not always drive sheep outbreaks, but it can complicate freedom claims, provide additional feeding sources for vectors and create surveillance blind spots. The multispecies nature of bluetongue is one reason why control should be planned at landscape scale rather than only at individual flock level.</w:t>
      </w:r>
    </w:p>
    <w:p w14:paraId="429E3465"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4. Vector-Borne Transmission Dynamics</w:t>
      </w:r>
    </w:p>
    <w:p w14:paraId="4A4CF07D"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 xml:space="preserve">4.1 </w:t>
      </w:r>
      <w:r w:rsidRPr="00562A7E">
        <w:rPr>
          <w:rFonts w:ascii="Times New Roman" w:eastAsia="Times New Roman" w:hAnsi="Times New Roman" w:cs="Times New Roman"/>
          <w:b/>
          <w:bCs/>
          <w:i/>
          <w:iCs/>
          <w:sz w:val="27"/>
          <w:szCs w:val="27"/>
          <w:lang w:eastAsia="en-GB"/>
        </w:rPr>
        <w:t>Culicoides</w:t>
      </w:r>
      <w:r w:rsidRPr="00562A7E">
        <w:rPr>
          <w:rFonts w:ascii="Times New Roman" w:eastAsia="Times New Roman" w:hAnsi="Times New Roman" w:cs="Times New Roman"/>
          <w:b/>
          <w:bCs/>
          <w:sz w:val="27"/>
          <w:szCs w:val="27"/>
          <w:lang w:eastAsia="en-GB"/>
        </w:rPr>
        <w:t xml:space="preserve"> bionomics and vector competence</w:t>
      </w:r>
    </w:p>
    <w:p w14:paraId="04B2D789"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virus is transmitted primarily by </w:t>
      </w:r>
      <w:proofErr w:type="spellStart"/>
      <w:r w:rsidRPr="00562A7E">
        <w:rPr>
          <w:rFonts w:ascii="Times New Roman" w:eastAsia="Times New Roman" w:hAnsi="Times New Roman" w:cs="Times New Roman"/>
          <w:sz w:val="24"/>
          <w:szCs w:val="24"/>
          <w:lang w:eastAsia="en-GB"/>
        </w:rPr>
        <w:t>haematophagous</w:t>
      </w:r>
      <w:proofErr w:type="spellEnd"/>
      <w:r w:rsidRPr="00562A7E">
        <w:rPr>
          <w:rFonts w:ascii="Times New Roman" w:eastAsia="Times New Roman" w:hAnsi="Times New Roman" w:cs="Times New Roman"/>
          <w:sz w:val="24"/>
          <w:szCs w:val="24"/>
          <w:lang w:eastAsia="en-GB"/>
        </w:rPr>
        <w:t xml:space="preserve"> female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biting midges. Vector competence refers to the ability of a midge species to acquire virus during blood feeding, support viral replication and dissemination, and transmit infectious virus during later feeding (Carpenter et al., 2015). This definition matters. Detection of viral RNA in field-collected midges does not by itself prove transmission competence, because it may reflect a recent infectious blood meal rather than disseminated infection. Strong inference requires the combined interpretation of field detection, parity status, host-feeding behaviour, virus isolation or dissemination evidence, and laboratory transmission studies (Carpenter et al., 2015; Purse et al., 2015).</w:t>
      </w:r>
    </w:p>
    <w:p w14:paraId="5C035A5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Historically, </w:t>
      </w:r>
      <w:r w:rsidRPr="00562A7E">
        <w:rPr>
          <w:rFonts w:ascii="Times New Roman" w:eastAsia="Times New Roman" w:hAnsi="Times New Roman" w:cs="Times New Roman"/>
          <w:i/>
          <w:iCs/>
          <w:sz w:val="24"/>
          <w:szCs w:val="24"/>
          <w:lang w:eastAsia="en-GB"/>
        </w:rPr>
        <w:t xml:space="preserve">Culicoides </w:t>
      </w:r>
      <w:proofErr w:type="spellStart"/>
      <w:r w:rsidRPr="00562A7E">
        <w:rPr>
          <w:rFonts w:ascii="Times New Roman" w:eastAsia="Times New Roman" w:hAnsi="Times New Roman" w:cs="Times New Roman"/>
          <w:i/>
          <w:iCs/>
          <w:sz w:val="24"/>
          <w:szCs w:val="24"/>
          <w:lang w:eastAsia="en-GB"/>
        </w:rPr>
        <w:t>imicola</w:t>
      </w:r>
      <w:proofErr w:type="spellEnd"/>
      <w:r w:rsidRPr="00562A7E">
        <w:rPr>
          <w:rFonts w:ascii="Times New Roman" w:eastAsia="Times New Roman" w:hAnsi="Times New Roman" w:cs="Times New Roman"/>
          <w:sz w:val="24"/>
          <w:szCs w:val="24"/>
          <w:lang w:eastAsia="en-GB"/>
        </w:rPr>
        <w:t xml:space="preserve"> has been a major vector in Africa, the Mediterranean Basin and parts of Asia. The BTV-8 epidemic in northern Europe showed, however, that indigenous temperate species could sustain transmission beyond the range of </w:t>
      </w:r>
      <w:r w:rsidRPr="00562A7E">
        <w:rPr>
          <w:rFonts w:ascii="Times New Roman" w:eastAsia="Times New Roman" w:hAnsi="Times New Roman" w:cs="Times New Roman"/>
          <w:i/>
          <w:iCs/>
          <w:sz w:val="24"/>
          <w:szCs w:val="24"/>
          <w:lang w:eastAsia="en-GB"/>
        </w:rPr>
        <w:t xml:space="preserve">C. </w:t>
      </w:r>
      <w:proofErr w:type="spellStart"/>
      <w:r w:rsidRPr="00562A7E">
        <w:rPr>
          <w:rFonts w:ascii="Times New Roman" w:eastAsia="Times New Roman" w:hAnsi="Times New Roman" w:cs="Times New Roman"/>
          <w:i/>
          <w:iCs/>
          <w:sz w:val="24"/>
          <w:szCs w:val="24"/>
          <w:lang w:eastAsia="en-GB"/>
        </w:rPr>
        <w:t>imicola</w:t>
      </w:r>
      <w:proofErr w:type="spellEnd"/>
      <w:r w:rsidRPr="00562A7E">
        <w:rPr>
          <w:rFonts w:ascii="Times New Roman" w:eastAsia="Times New Roman" w:hAnsi="Times New Roman" w:cs="Times New Roman"/>
          <w:sz w:val="24"/>
          <w:szCs w:val="24"/>
          <w:lang w:eastAsia="en-GB"/>
        </w:rPr>
        <w:t xml:space="preserve"> (Mellor et al., 2008; Wilson &amp; Mellor, 2008). Species in the </w:t>
      </w:r>
      <w:r w:rsidRPr="00562A7E">
        <w:rPr>
          <w:rFonts w:ascii="Times New Roman" w:eastAsia="Times New Roman" w:hAnsi="Times New Roman" w:cs="Times New Roman"/>
          <w:i/>
          <w:iCs/>
          <w:sz w:val="24"/>
          <w:szCs w:val="24"/>
          <w:lang w:eastAsia="en-GB"/>
        </w:rPr>
        <w:t>Culicoides obsoletus</w:t>
      </w:r>
      <w:r w:rsidRPr="00562A7E">
        <w:rPr>
          <w:rFonts w:ascii="Times New Roman" w:eastAsia="Times New Roman" w:hAnsi="Times New Roman" w:cs="Times New Roman"/>
          <w:sz w:val="24"/>
          <w:szCs w:val="24"/>
          <w:lang w:eastAsia="en-GB"/>
        </w:rPr>
        <w:t xml:space="preserve"> complex and related groups have received particular attention because of their abundance, host associations and field implication in European outbreaks (Carpenter et al., 2013; Purse et al., 2015). Laboratory studies with pre-alpine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populations have demonstrated competence for BTV serotypes 1, 4 and 8, reinforcing the view that local vector populations may be epidemiologically important even in regions once considered marginal (</w:t>
      </w:r>
      <w:proofErr w:type="spellStart"/>
      <w:r w:rsidRPr="00562A7E">
        <w:rPr>
          <w:rFonts w:ascii="Times New Roman" w:eastAsia="Times New Roman" w:hAnsi="Times New Roman" w:cs="Times New Roman"/>
          <w:sz w:val="24"/>
          <w:szCs w:val="24"/>
          <w:lang w:eastAsia="en-GB"/>
        </w:rPr>
        <w:t>Paslaru</w:t>
      </w:r>
      <w:proofErr w:type="spellEnd"/>
      <w:r w:rsidRPr="00562A7E">
        <w:rPr>
          <w:rFonts w:ascii="Times New Roman" w:eastAsia="Times New Roman" w:hAnsi="Times New Roman" w:cs="Times New Roman"/>
          <w:sz w:val="24"/>
          <w:szCs w:val="24"/>
          <w:lang w:eastAsia="en-GB"/>
        </w:rPr>
        <w:t xml:space="preserve"> et al., 2018).</w:t>
      </w:r>
    </w:p>
    <w:p w14:paraId="07AE997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 xml:space="preserve">Recent Dutch data from the BTV-3 epidemic support a broad view of vector involvement. Investigation of midges collected during 2023–2024 detected BTV genomic material in pools assigned to </w:t>
      </w:r>
      <w:r w:rsidRPr="00562A7E">
        <w:rPr>
          <w:rFonts w:ascii="Times New Roman" w:eastAsia="Times New Roman" w:hAnsi="Times New Roman" w:cs="Times New Roman"/>
          <w:i/>
          <w:iCs/>
          <w:sz w:val="24"/>
          <w:szCs w:val="24"/>
          <w:lang w:eastAsia="en-GB"/>
        </w:rPr>
        <w:t>C. obsoletus/</w:t>
      </w:r>
      <w:proofErr w:type="spellStart"/>
      <w:r w:rsidRPr="00562A7E">
        <w:rPr>
          <w:rFonts w:ascii="Times New Roman" w:eastAsia="Times New Roman" w:hAnsi="Times New Roman" w:cs="Times New Roman"/>
          <w:i/>
          <w:iCs/>
          <w:sz w:val="24"/>
          <w:szCs w:val="24"/>
          <w:lang w:eastAsia="en-GB"/>
        </w:rPr>
        <w:t>scoticus</w:t>
      </w:r>
      <w:proofErr w:type="spellEnd"/>
      <w:r w:rsidRPr="00562A7E">
        <w:rPr>
          <w:rFonts w:ascii="Times New Roman" w:eastAsia="Times New Roman" w:hAnsi="Times New Roman" w:cs="Times New Roman"/>
          <w:sz w:val="24"/>
          <w:szCs w:val="24"/>
          <w:lang w:eastAsia="en-GB"/>
        </w:rPr>
        <w:t xml:space="preserve">, </w:t>
      </w:r>
      <w:r w:rsidRPr="00562A7E">
        <w:rPr>
          <w:rFonts w:ascii="Times New Roman" w:eastAsia="Times New Roman" w:hAnsi="Times New Roman" w:cs="Times New Roman"/>
          <w:i/>
          <w:iCs/>
          <w:sz w:val="24"/>
          <w:szCs w:val="24"/>
          <w:lang w:eastAsia="en-GB"/>
        </w:rPr>
        <w:t xml:space="preserve">C. </w:t>
      </w:r>
      <w:proofErr w:type="spellStart"/>
      <w:r w:rsidRPr="00562A7E">
        <w:rPr>
          <w:rFonts w:ascii="Times New Roman" w:eastAsia="Times New Roman" w:hAnsi="Times New Roman" w:cs="Times New Roman"/>
          <w:i/>
          <w:iCs/>
          <w:sz w:val="24"/>
          <w:szCs w:val="24"/>
          <w:lang w:eastAsia="en-GB"/>
        </w:rPr>
        <w:t>chiopterus</w:t>
      </w:r>
      <w:proofErr w:type="spellEnd"/>
      <w:r w:rsidRPr="00562A7E">
        <w:rPr>
          <w:rFonts w:ascii="Times New Roman" w:eastAsia="Times New Roman" w:hAnsi="Times New Roman" w:cs="Times New Roman"/>
          <w:sz w:val="24"/>
          <w:szCs w:val="24"/>
          <w:lang w:eastAsia="en-GB"/>
        </w:rPr>
        <w:t xml:space="preserve">, </w:t>
      </w:r>
      <w:r w:rsidRPr="00562A7E">
        <w:rPr>
          <w:rFonts w:ascii="Times New Roman" w:eastAsia="Times New Roman" w:hAnsi="Times New Roman" w:cs="Times New Roman"/>
          <w:i/>
          <w:iCs/>
          <w:sz w:val="24"/>
          <w:szCs w:val="24"/>
          <w:lang w:eastAsia="en-GB"/>
        </w:rPr>
        <w:t xml:space="preserve">C. </w:t>
      </w:r>
      <w:proofErr w:type="spellStart"/>
      <w:r w:rsidRPr="00562A7E">
        <w:rPr>
          <w:rFonts w:ascii="Times New Roman" w:eastAsia="Times New Roman" w:hAnsi="Times New Roman" w:cs="Times New Roman"/>
          <w:i/>
          <w:iCs/>
          <w:sz w:val="24"/>
          <w:szCs w:val="24"/>
          <w:lang w:eastAsia="en-GB"/>
        </w:rPr>
        <w:t>dewulfi</w:t>
      </w:r>
      <w:proofErr w:type="spellEnd"/>
      <w:r w:rsidRPr="00562A7E">
        <w:rPr>
          <w:rFonts w:ascii="Times New Roman" w:eastAsia="Times New Roman" w:hAnsi="Times New Roman" w:cs="Times New Roman"/>
          <w:sz w:val="24"/>
          <w:szCs w:val="24"/>
          <w:lang w:eastAsia="en-GB"/>
        </w:rPr>
        <w:t xml:space="preserve"> and </w:t>
      </w:r>
      <w:r w:rsidRPr="00562A7E">
        <w:rPr>
          <w:rFonts w:ascii="Times New Roman" w:eastAsia="Times New Roman" w:hAnsi="Times New Roman" w:cs="Times New Roman"/>
          <w:i/>
          <w:iCs/>
          <w:sz w:val="24"/>
          <w:szCs w:val="24"/>
          <w:lang w:eastAsia="en-GB"/>
        </w:rPr>
        <w:t>C. punctatus</w:t>
      </w:r>
      <w:r w:rsidRPr="00562A7E">
        <w:rPr>
          <w:rFonts w:ascii="Times New Roman" w:eastAsia="Times New Roman" w:hAnsi="Times New Roman" w:cs="Times New Roman"/>
          <w:sz w:val="24"/>
          <w:szCs w:val="24"/>
          <w:lang w:eastAsia="en-GB"/>
        </w:rPr>
        <w:t>, and the authors interpreted these ruminant-associated species as likely involved in BTV-3 transmission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This evidence does not eliminate the need for experimental transmission studies, but it does show that multiple common temperate species were exposed during the epidemic and may have contributed to spread. Operationally, this argues against surveillance focused too narrowly on a single vector species.</w:t>
      </w:r>
    </w:p>
    <w:p w14:paraId="50418753"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4.2 Climatic, landscape and farm-level determinants</w:t>
      </w:r>
    </w:p>
    <w:p w14:paraId="7CF15DF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Temperature influences BTV transmission by affecting midge survival, biting frequency, development rate and the extrinsic incubation period of the virus (Brand &amp; Keeling, 2017; Purse et al., 2005). Warmer conditions can increase transmission potential when they accelerate viral replication and midge activity, although extreme heat or drought may reduce vector survival or larval habitat suitability (</w:t>
      </w:r>
      <w:proofErr w:type="spellStart"/>
      <w:r w:rsidRPr="00562A7E">
        <w:rPr>
          <w:rFonts w:ascii="Times New Roman" w:eastAsia="Times New Roman" w:hAnsi="Times New Roman" w:cs="Times New Roman"/>
          <w:sz w:val="24"/>
          <w:szCs w:val="24"/>
          <w:lang w:eastAsia="en-GB"/>
        </w:rPr>
        <w:t>Guis</w:t>
      </w:r>
      <w:proofErr w:type="spellEnd"/>
      <w:r w:rsidRPr="00562A7E">
        <w:rPr>
          <w:rFonts w:ascii="Times New Roman" w:eastAsia="Times New Roman" w:hAnsi="Times New Roman" w:cs="Times New Roman"/>
          <w:sz w:val="24"/>
          <w:szCs w:val="24"/>
          <w:lang w:eastAsia="en-GB"/>
        </w:rPr>
        <w:t xml:space="preserve"> et al., 2012; Purse et al., 2015). This non-linear relationship explains why risk cannot be inferred from average temperature alone. Seasonal windows of suitability, humidity, soil moisture, organic substrates and host availability all influence whether transmission becomes sustained.</w:t>
      </w:r>
    </w:p>
    <w:p w14:paraId="52AF566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Climate change has increased concern that bluetongue risk will extend into higher latitudes and longer seasonal windows. Modelling studies have projected changes in global and European suitability, including northward shifts and lengthening transmission periods under future climate scenarios (Jones et al., 2019; Samy &amp; Peterson, 2016). These projections should not be read as deterministic outbreak maps. Viral introduction, livestock density, vector communities and control measures remain decisive. They do, however, support earlier seasonal preparedness, especially where winter no longer reliably interrupts vector activity or where spring vector emergence overlaps with unvaccinated susceptible sheep populations.</w:t>
      </w:r>
    </w:p>
    <w:p w14:paraId="2B937156"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Landscape structure shapes vector breeding sites, adult midge dispersal, host-vector contact and farm connectivity. Local-scale modelling has shown that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distribution can vary substantially with environmental features such as livestock density, vegetation, hydrology and land cover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Phylogeographic and spatial analyses indicate that bluetongue spread in Europe is influenced by climatic, landscape and vertebrate host factors, with environmental heterogeneity contributing to variation in epidemic velocity (Jacquot et al., 2017; Nicolas et al., 2018). Farm practices such as housing, manure management, shearing, grazing location and proximity to cattle or wet habitats may therefore alter risk, although the direction and size of these effects vary by region and vector species.</w:t>
      </w:r>
    </w:p>
    <w:p w14:paraId="526FACA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Recent BTV-3 serological evidence suggests that management factors can influence infection risk in sheep flocks. In Dutch sheep after the first epidemic year, indoor housing was associated with lower seroprevalence, while summer shearing was associated with higher within-farm prevalence among positive farms (Santman-Berends et al., 2026). These associations should be interpreted cautiously because observational data cannot fully separate behaviour, farm type, vector exposure and reporting patterns. Still, they are biologically plausible and useful for risk communication, particularly where vaccination cannot be completed before peak vector activity.</w:t>
      </w:r>
    </w:p>
    <w:p w14:paraId="213EAC21"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4.3 Between-farm spread, animal movement and overwintering</w:t>
      </w:r>
    </w:p>
    <w:p w14:paraId="7C5E2954"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Between-farm spread reflects the combined effects of vector dispersal, host movement and local amplification. Modelling studies show that both animal movements and vector movements can contribute to livestock vector-borne disease transmission, with their relative importance shaped by movement restrictions, farm density, vector abundance and landscape configuration (Sumner et al., 2017; Turner et al., 2012). Animal transport can move viraemic hosts beyond the usual flight range of midges, while wind-assisted dispersal or cumulative short-range vector movement can connect farms across wider areas (</w:t>
      </w:r>
      <w:proofErr w:type="spellStart"/>
      <w:r w:rsidRPr="00562A7E">
        <w:rPr>
          <w:rFonts w:ascii="Times New Roman" w:eastAsia="Times New Roman" w:hAnsi="Times New Roman" w:cs="Times New Roman"/>
          <w:sz w:val="24"/>
          <w:szCs w:val="24"/>
          <w:lang w:eastAsia="en-GB"/>
        </w:rPr>
        <w:t>Mignotte</w:t>
      </w:r>
      <w:proofErr w:type="spellEnd"/>
      <w:r w:rsidRPr="00562A7E">
        <w:rPr>
          <w:rFonts w:ascii="Times New Roman" w:eastAsia="Times New Roman" w:hAnsi="Times New Roman" w:cs="Times New Roman"/>
          <w:sz w:val="24"/>
          <w:szCs w:val="24"/>
          <w:lang w:eastAsia="en-GB"/>
        </w:rPr>
        <w:t xml:space="preserve"> et al., 2021; Turner et al., 2012).</w:t>
      </w:r>
    </w:p>
    <w:p w14:paraId="4364765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2023 BTV-3 epidemic in the Netherlands provides a clear contemporary example. Spatial analysis suggested transmission over distances of several tens of kilometres and indicated that both midge dispersal and animal movement were plausible contributors to the epidemic pattern (Boender et al., 2024). This matters for policy. Movement restrictions alone may be insufficient once vector-borne spread is widespread, but vector-focused measures alone may also be insufficient if viraemic animals move during the early phase of an epidemic. Effective control requires movement regulation, diagnostic testing, vaccination and communication to be synchronised with the seasonal vector window.</w:t>
      </w:r>
    </w:p>
    <w:p w14:paraId="001C1CE8"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Overwintering remains one of the more difficult questions in temperate bluetongue epidemiology. BTV may persist between vector seasons through mechanisms that include prolonged host viraemia, low-level vector activity during mild periods, infection of long-lived adult midges, or reintroduction in the following season (EFSA AHAW Panel, 2017; MacLachlan &amp; Guthrie, 2010). Distinguishing overwintering from reintroduction requires genomic comparison, temporal sampling and surveillance continuity across winter. For sheep health, winter should therefore be treated as a preparedness period rather than a pause in epidemiological relevance.</w:t>
      </w:r>
    </w:p>
    <w:p w14:paraId="518DA016"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Table 2 links major transmission drivers to practical control points. Its central message is that no single intervention addresses all drivers. Vaccination protects animals from disease, movement controls reduce long-distance host-mediated spread, housing may reduce exposure under some conditions, and vector surveillance improves timing. Each measure is partial unless connected to the others.</w:t>
      </w:r>
    </w:p>
    <w:p w14:paraId="4143417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2. Transmission drivers and control leverage points in bluetongue virus epidemics affecting sheep</w:t>
      </w:r>
    </w:p>
    <w:tbl>
      <w:tblPr>
        <w:tblStyle w:val="TableGrid"/>
        <w:tblW w:w="0" w:type="auto"/>
        <w:tblLook w:val="04A0" w:firstRow="1" w:lastRow="0" w:firstColumn="1" w:lastColumn="0" w:noHBand="0" w:noVBand="1"/>
      </w:tblPr>
      <w:tblGrid>
        <w:gridCol w:w="1982"/>
        <w:gridCol w:w="3725"/>
        <w:gridCol w:w="3535"/>
      </w:tblGrid>
      <w:tr w:rsidR="00562A7E" w:rsidRPr="00562A7E" w14:paraId="0F446020" w14:textId="77777777" w:rsidTr="00B622C8">
        <w:tc>
          <w:tcPr>
            <w:tcW w:w="0" w:type="auto"/>
            <w:hideMark/>
          </w:tcPr>
          <w:p w14:paraId="4C3423F0"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Transmission driver</w:t>
            </w:r>
          </w:p>
        </w:tc>
        <w:tc>
          <w:tcPr>
            <w:tcW w:w="0" w:type="auto"/>
            <w:hideMark/>
          </w:tcPr>
          <w:p w14:paraId="07538BA0"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Technical interpretation</w:t>
            </w:r>
          </w:p>
        </w:tc>
        <w:tc>
          <w:tcPr>
            <w:tcW w:w="0" w:type="auto"/>
            <w:hideMark/>
          </w:tcPr>
          <w:p w14:paraId="2B204002"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Control leverage point</w:t>
            </w:r>
          </w:p>
        </w:tc>
      </w:tr>
      <w:tr w:rsidR="00562A7E" w:rsidRPr="00562A7E" w14:paraId="15080859" w14:textId="77777777" w:rsidTr="00B622C8">
        <w:tc>
          <w:tcPr>
            <w:tcW w:w="0" w:type="auto"/>
            <w:hideMark/>
          </w:tcPr>
          <w:p w14:paraId="4D286578"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competence</w:t>
            </w:r>
          </w:p>
        </w:tc>
        <w:tc>
          <w:tcPr>
            <w:tcW w:w="0" w:type="auto"/>
            <w:hideMark/>
          </w:tcPr>
          <w:p w14:paraId="21C98F20"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Local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species differ in their capacity to acquire, replicate and transmit BTV; RNA detection alone is not equivalent to proven competence.</w:t>
            </w:r>
          </w:p>
        </w:tc>
        <w:tc>
          <w:tcPr>
            <w:tcW w:w="0" w:type="auto"/>
            <w:hideMark/>
          </w:tcPr>
          <w:p w14:paraId="4C8492F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Combine field trapping, parity assessment, molecular testing and laboratory competence studies for locally relevant risk assessment.</w:t>
            </w:r>
          </w:p>
        </w:tc>
      </w:tr>
      <w:tr w:rsidR="00562A7E" w:rsidRPr="00562A7E" w14:paraId="46D04ADF" w14:textId="77777777" w:rsidTr="00B622C8">
        <w:tc>
          <w:tcPr>
            <w:tcW w:w="0" w:type="auto"/>
            <w:hideMark/>
          </w:tcPr>
          <w:p w14:paraId="7034EB49"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Temperature and seasonality</w:t>
            </w:r>
          </w:p>
        </w:tc>
        <w:tc>
          <w:tcPr>
            <w:tcW w:w="0" w:type="auto"/>
            <w:hideMark/>
          </w:tcPr>
          <w:p w14:paraId="39334F20"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Temperature influences midge activity, survival and viral incubation, creating seasonal transmission windows that may lengthen under climate change.</w:t>
            </w:r>
          </w:p>
        </w:tc>
        <w:tc>
          <w:tcPr>
            <w:tcW w:w="0" w:type="auto"/>
            <w:hideMark/>
          </w:tcPr>
          <w:p w14:paraId="006F3EF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Time vaccination, movement regulation and enhanced surveillance before seasonal vector amplification.</w:t>
            </w:r>
          </w:p>
        </w:tc>
      </w:tr>
      <w:tr w:rsidR="00562A7E" w:rsidRPr="00562A7E" w14:paraId="218EAC42" w14:textId="77777777" w:rsidTr="00B622C8">
        <w:tc>
          <w:tcPr>
            <w:tcW w:w="0" w:type="auto"/>
            <w:hideMark/>
          </w:tcPr>
          <w:p w14:paraId="3FD53A7C"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Landscape and host density</w:t>
            </w:r>
          </w:p>
        </w:tc>
        <w:tc>
          <w:tcPr>
            <w:tcW w:w="0" w:type="auto"/>
            <w:hideMark/>
          </w:tcPr>
          <w:p w14:paraId="7231747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Land cover, hydrology, livestock density and farm proximity shape </w:t>
            </w:r>
            <w:r w:rsidRPr="00562A7E">
              <w:rPr>
                <w:rFonts w:ascii="Times New Roman" w:eastAsia="Times New Roman" w:hAnsi="Times New Roman" w:cs="Times New Roman"/>
                <w:sz w:val="24"/>
                <w:szCs w:val="24"/>
                <w:lang w:eastAsia="en-GB"/>
              </w:rPr>
              <w:lastRenderedPageBreak/>
              <w:t>vector abundance and host-vector contact.</w:t>
            </w:r>
          </w:p>
        </w:tc>
        <w:tc>
          <w:tcPr>
            <w:tcW w:w="0" w:type="auto"/>
            <w:hideMark/>
          </w:tcPr>
          <w:p w14:paraId="6E4D2B9A"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 xml:space="preserve">Use spatial risk mapping to prioritise vaccination, sentinel </w:t>
            </w:r>
            <w:r w:rsidRPr="00562A7E">
              <w:rPr>
                <w:rFonts w:ascii="Times New Roman" w:eastAsia="Times New Roman" w:hAnsi="Times New Roman" w:cs="Times New Roman"/>
                <w:sz w:val="24"/>
                <w:szCs w:val="24"/>
                <w:lang w:eastAsia="en-GB"/>
              </w:rPr>
              <w:lastRenderedPageBreak/>
              <w:t>surveillance and farmer communication.</w:t>
            </w:r>
          </w:p>
        </w:tc>
      </w:tr>
      <w:tr w:rsidR="00562A7E" w:rsidRPr="00562A7E" w14:paraId="192D84B8" w14:textId="77777777" w:rsidTr="00B622C8">
        <w:tc>
          <w:tcPr>
            <w:tcW w:w="0" w:type="auto"/>
            <w:hideMark/>
          </w:tcPr>
          <w:p w14:paraId="7973167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Animal movement and vector dispersal</w:t>
            </w:r>
          </w:p>
        </w:tc>
        <w:tc>
          <w:tcPr>
            <w:tcW w:w="0" w:type="auto"/>
            <w:hideMark/>
          </w:tcPr>
          <w:p w14:paraId="4F3115A4"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Viraemic livestock can move virus over long distances, while midges support local and regional spread.</w:t>
            </w:r>
          </w:p>
        </w:tc>
        <w:tc>
          <w:tcPr>
            <w:tcW w:w="0" w:type="auto"/>
            <w:hideMark/>
          </w:tcPr>
          <w:p w14:paraId="291802BB"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Coordinate movement controls with diagnostic testing, vector surveillance and rapid genomic confirmation.</w:t>
            </w:r>
          </w:p>
        </w:tc>
      </w:tr>
      <w:tr w:rsidR="00562A7E" w:rsidRPr="00562A7E" w14:paraId="6CA133A9" w14:textId="77777777" w:rsidTr="00B622C8">
        <w:tc>
          <w:tcPr>
            <w:tcW w:w="0" w:type="auto"/>
            <w:hideMark/>
          </w:tcPr>
          <w:p w14:paraId="024956F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Farm microhabitats and management</w:t>
            </w:r>
          </w:p>
        </w:tc>
        <w:tc>
          <w:tcPr>
            <w:tcW w:w="0" w:type="auto"/>
            <w:hideMark/>
          </w:tcPr>
          <w:p w14:paraId="52993C0F"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Housing, manure, grazing location, shearing and mixed-species contact may alter exposure.</w:t>
            </w:r>
          </w:p>
        </w:tc>
        <w:tc>
          <w:tcPr>
            <w:tcW w:w="0" w:type="auto"/>
            <w:hideMark/>
          </w:tcPr>
          <w:p w14:paraId="5BA1E37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Develop flock-specific mitigation plans that complement vaccination without overstating insecticide or housing effects.</w:t>
            </w:r>
          </w:p>
        </w:tc>
      </w:tr>
    </w:tbl>
    <w:p w14:paraId="7F47C0E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Sources: Boender et al. (2024); Brand and Keeling (2017); Carpenter et al. (2015); Jones et al. (2019);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w:t>
      </w:r>
      <w:proofErr w:type="spellStart"/>
      <w:r w:rsidRPr="00562A7E">
        <w:rPr>
          <w:rFonts w:ascii="Times New Roman" w:eastAsia="Times New Roman" w:hAnsi="Times New Roman" w:cs="Times New Roman"/>
          <w:sz w:val="24"/>
          <w:szCs w:val="24"/>
          <w:lang w:eastAsia="en-GB"/>
        </w:rPr>
        <w:t>Mignotte</w:t>
      </w:r>
      <w:proofErr w:type="spellEnd"/>
      <w:r w:rsidRPr="00562A7E">
        <w:rPr>
          <w:rFonts w:ascii="Times New Roman" w:eastAsia="Times New Roman" w:hAnsi="Times New Roman" w:cs="Times New Roman"/>
          <w:sz w:val="24"/>
          <w:szCs w:val="24"/>
          <w:lang w:eastAsia="en-GB"/>
        </w:rPr>
        <w:t xml:space="preserve"> et al. (2021); </w:t>
      </w:r>
      <w:proofErr w:type="spellStart"/>
      <w:r w:rsidRPr="00562A7E">
        <w:rPr>
          <w:rFonts w:ascii="Times New Roman" w:eastAsia="Times New Roman" w:hAnsi="Times New Roman" w:cs="Times New Roman"/>
          <w:sz w:val="24"/>
          <w:szCs w:val="24"/>
          <w:lang w:eastAsia="en-GB"/>
        </w:rPr>
        <w:t>Paslaru</w:t>
      </w:r>
      <w:proofErr w:type="spellEnd"/>
      <w:r w:rsidRPr="00562A7E">
        <w:rPr>
          <w:rFonts w:ascii="Times New Roman" w:eastAsia="Times New Roman" w:hAnsi="Times New Roman" w:cs="Times New Roman"/>
          <w:sz w:val="24"/>
          <w:szCs w:val="24"/>
          <w:lang w:eastAsia="en-GB"/>
        </w:rPr>
        <w:t xml:space="preserve"> et al. (2018); Purse et al. (2015); Santman-Berends et al. (2026); Sumner et al. (2017); Turner et al. (2012);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w:t>
      </w:r>
    </w:p>
    <w:p w14:paraId="7EBFFD9C"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5. Genomic and Diagnostic Surveillance</w:t>
      </w:r>
    </w:p>
    <w:p w14:paraId="26714395"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5.1 Clinical recognition, serology and molecular detection</w:t>
      </w:r>
    </w:p>
    <w:p w14:paraId="623A72FC"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Clinical surveillance in sheep is indispensable, but it is not sufficient. Bluetongue signs overlap with several infectious, toxic, traumatic and nutritional conditions, and early cases may be missed when signs are mild, atypical or attributed to foot disease, respiratory disease or heat stress (MacLachlan et al., 2009; van den Brink et al., 2024). A severe outbreak in sheep may also be a late signal in a transmission process that already involves cattle, goats or vectors. Clinical suspicion should therefore trigger laboratory confirmation, but absence of reported clinical disease should not be equated with absence of transmission.</w:t>
      </w:r>
    </w:p>
    <w:p w14:paraId="775A0EC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Reverse transcription PCR is central to early confirmation because it can detect viral RNA in blood or tissue before seroconversion or in animals with non-specific signs. Serotype-specific real-time RT-PCR assays have been developed for several serotypes, and broader group-specific molecular assays are widely used in diagnostic pathways (Hoffmann et al., 2009;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Serology, including competitive enzyme-linked immunosorbent assays directed at conserved BTV antigens, is valuable for demonstrating exposure and estimating population-level seroprevalence, although it cannot by itself identify the infecting serotype without additional neutralisation or molecular data (EFSA AHAW Panel, 2017;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w:t>
      </w:r>
    </w:p>
    <w:p w14:paraId="54F6C5D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Dutch BTV-3 response illustrates how diagnostic layers work together. Initial clinical suspicion in sheep was followed by laboratory confirmation and whole-genome sequencing, while subsequent serological surveys quantified between-farm and within-farm exposure after the first epidemic year (Holwerda et al., 2024; Santman-Berends et al., 2026). Such combined use of clinical reporting, PCR, sequencing and serology is more informative than any single method. PCR identifies active or recent infection, serology reveals cumulative exposure, sequencing clarifies viral identity and relatedness, and mortality monitoring measures real-world impact.</w:t>
      </w:r>
    </w:p>
    <w:p w14:paraId="1A1063DC"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5.2 Whole-genome sequencing, reassortment and phylogeography</w:t>
      </w:r>
    </w:p>
    <w:p w14:paraId="01D39C7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Whole-genome sequencing has become a defining tool of modern bluetongue surveillance. Because BTV has ten genome segments, sequencing all segments can identify reassortment, distinguish closely related strains and support inference about incursion routes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Sanders et al., 2022). In the BTV-3 emergence in the Netherlands, whole-genome sequencing confirmed the serotype and supported assessment of relatedness to other BTV-3 strains, while retrospective testing did not reveal earlier circulation (Holwerda et al., 2024). In the later BTV-12 detection, genome comparison suggested high similarity to Middle Eastern viruses, even though the introduction route remained unknown (van den Brom et al., 2025).</w:t>
      </w:r>
    </w:p>
    <w:p w14:paraId="2E26DEF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Phylogeographic approaches connect viral genetic data with spatial and environmental information. Analyses of BTV spread in Europe have shown that climatic, landscape and host factors can leave signatures in viral movement patterns (Jacquot et al., 2017). Global evolutionary analyses likewise indicate that BTV emergence reflects complex interactions among viral diversity, host distribution and transboundary movement rather than simple linear spread from a single source region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For sheep control, the value of these methods lies in their ability to distinguish local persistence from repeated introduction, evaluate whether outbreaks in separate regions are linked, and assess whether vaccine policy should anticipate a single dominant strain or multiple co-circulating lineages.</w:t>
      </w:r>
    </w:p>
    <w:p w14:paraId="2443AF9A"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limitations are equally important. Genomic surveillance is only as reliable as its sampling frame. Sequencing biased towards severe sheep cases may overrepresent clinically dramatic lineages, while sequencing biased towards cattle surveillance may miss strains that cause disproportionate sheep morbidity. Sparse vector sampling limits inference about vector-associated selection or reassortment. Delayed sequence sharing, incomplete metadata and inconsistent segment coverage reduce comparability across countries. A robust genomic system for bluetongue should therefore include representative host species, vectors, temporal sampling across seasons, metadata on vaccination and animal movements, and standardised reporting of genome segments.</w:t>
      </w:r>
    </w:p>
    <w:p w14:paraId="53B46E93"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5.3 Integrated surveillance architecture for sheep systems</w:t>
      </w:r>
    </w:p>
    <w:p w14:paraId="4C02F01E"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An effective surveillance architecture for bluetongue in sheep should combine passive clinical reporting, targeted active surveillance, sentinel animals, mortality monitoring, vector trapping, serology and sequencing. Routine livestock data can reveal abnormal mortality or production patterns, as demonstrated by the use of routinely collected cattle census information for health surveillance in the Netherlands (Santman-Berends et al., 2016). Similar approaches are valuable for sheep, particularly when clinical notifications undercount affected flocks or diagnostic access varies regionally. During the BTV-3 epidemic, excess mortality analysis provided a population-level measure of impact that could not be captured by confirmed case counts alone (Santman-Berends et al., 2024).</w:t>
      </w:r>
    </w:p>
    <w:p w14:paraId="27C28C4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surveillance adds a different type of information. Midge trapping can identify seasonal activity, species composition, parity status and viral RNA detection in field populations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Interpretation must be cautious because trap catches vary with method, location, weather and host proximity, and because PCR positivity in pools does not necessarily establish transmission competence. Still, when vector data are interpreted alongside host infection, climate and clinical signals, they can improve the timing of warnings and control measures.</w:t>
      </w:r>
    </w:p>
    <w:p w14:paraId="6D8BA640"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Surveillance should also be tied to action thresholds. A PCR-positive sheep in a previously free area, detection of viral RNA in parous midge pools, a sharp increase in sheep mortality, or genomic identification of a novel serotype may each justify a different response. Scientific risk assessments have emphasised surveillance, safe movement and control in bluetongue management, but implementation depends on how quickly data streams are converted into decisions (EFSA AHAW Panel, 2017). For sheep farmers, a delayed interpretation can mean the difference between vaccinating before exposure and vaccinating after the epidemic peak.</w:t>
      </w:r>
    </w:p>
    <w:p w14:paraId="2175E32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Table 3 summarises major surveillance components and their interpretive value. The practical weakness it highlights is familiar: surveillance outputs are often used to confirm what has already happened, when their greatest value lies in triggering earlier preventive action.</w:t>
      </w:r>
    </w:p>
    <w:p w14:paraId="429748D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3. Surveillance components and interpretive value in bluetongue control for sheep systems</w:t>
      </w:r>
    </w:p>
    <w:tbl>
      <w:tblPr>
        <w:tblStyle w:val="TableGrid"/>
        <w:tblW w:w="0" w:type="auto"/>
        <w:tblLook w:val="04A0" w:firstRow="1" w:lastRow="0" w:firstColumn="1" w:lastColumn="0" w:noHBand="0" w:noVBand="1"/>
      </w:tblPr>
      <w:tblGrid>
        <w:gridCol w:w="1793"/>
        <w:gridCol w:w="2361"/>
        <w:gridCol w:w="2604"/>
        <w:gridCol w:w="2484"/>
      </w:tblGrid>
      <w:tr w:rsidR="00562A7E" w:rsidRPr="00562A7E" w14:paraId="78856BC8" w14:textId="77777777" w:rsidTr="00B622C8">
        <w:tc>
          <w:tcPr>
            <w:tcW w:w="0" w:type="auto"/>
            <w:hideMark/>
          </w:tcPr>
          <w:p w14:paraId="40D18657"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Surveillance component</w:t>
            </w:r>
          </w:p>
        </w:tc>
        <w:tc>
          <w:tcPr>
            <w:tcW w:w="0" w:type="auto"/>
            <w:hideMark/>
          </w:tcPr>
          <w:p w14:paraId="411BA095"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Information generated</w:t>
            </w:r>
          </w:p>
        </w:tc>
        <w:tc>
          <w:tcPr>
            <w:tcW w:w="0" w:type="auto"/>
            <w:hideMark/>
          </w:tcPr>
          <w:p w14:paraId="5BEC39F6"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Key limitation</w:t>
            </w:r>
          </w:p>
        </w:tc>
        <w:tc>
          <w:tcPr>
            <w:tcW w:w="0" w:type="auto"/>
            <w:hideMark/>
          </w:tcPr>
          <w:p w14:paraId="1078774C"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Decision value</w:t>
            </w:r>
          </w:p>
        </w:tc>
      </w:tr>
      <w:tr w:rsidR="00562A7E" w:rsidRPr="00562A7E" w14:paraId="3E55108F" w14:textId="77777777" w:rsidTr="00B622C8">
        <w:tc>
          <w:tcPr>
            <w:tcW w:w="0" w:type="auto"/>
            <w:hideMark/>
          </w:tcPr>
          <w:p w14:paraId="3184DB4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Clinical reporting in sheep</w:t>
            </w:r>
          </w:p>
        </w:tc>
        <w:tc>
          <w:tcPr>
            <w:tcW w:w="0" w:type="auto"/>
            <w:hideMark/>
          </w:tcPr>
          <w:p w14:paraId="50DE1EB8"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Detects visible disease, welfare impact and severe flock-level events.</w:t>
            </w:r>
          </w:p>
        </w:tc>
        <w:tc>
          <w:tcPr>
            <w:tcW w:w="0" w:type="auto"/>
            <w:hideMark/>
          </w:tcPr>
          <w:p w14:paraId="744D5B7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Under-detects mild disease and may occur after transmission is established.</w:t>
            </w:r>
          </w:p>
        </w:tc>
        <w:tc>
          <w:tcPr>
            <w:tcW w:w="0" w:type="auto"/>
            <w:hideMark/>
          </w:tcPr>
          <w:p w14:paraId="56BA261D"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Triggers urgent diagnostic confirmation and flock-level intervention.</w:t>
            </w:r>
          </w:p>
        </w:tc>
      </w:tr>
      <w:tr w:rsidR="00562A7E" w:rsidRPr="00562A7E" w14:paraId="35DC41AC" w14:textId="77777777" w:rsidTr="00B622C8">
        <w:tc>
          <w:tcPr>
            <w:tcW w:w="0" w:type="auto"/>
            <w:hideMark/>
          </w:tcPr>
          <w:p w14:paraId="6069189C"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RT-PCR testing</w:t>
            </w:r>
          </w:p>
        </w:tc>
        <w:tc>
          <w:tcPr>
            <w:tcW w:w="0" w:type="auto"/>
            <w:hideMark/>
          </w:tcPr>
          <w:p w14:paraId="3AE210A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Confirms viral RNA in clinically affected or sampled animals.</w:t>
            </w:r>
          </w:p>
        </w:tc>
        <w:tc>
          <w:tcPr>
            <w:tcW w:w="0" w:type="auto"/>
            <w:hideMark/>
          </w:tcPr>
          <w:p w14:paraId="0DA4E947"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PCR positivity does not alone define infectiousness or population exposure.</w:t>
            </w:r>
          </w:p>
        </w:tc>
        <w:tc>
          <w:tcPr>
            <w:tcW w:w="0" w:type="auto"/>
            <w:hideMark/>
          </w:tcPr>
          <w:p w14:paraId="0A95F4C8"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Supports case confirmation, movement decisions and sample selection for sequencing.</w:t>
            </w:r>
          </w:p>
        </w:tc>
      </w:tr>
      <w:tr w:rsidR="00562A7E" w:rsidRPr="00562A7E" w14:paraId="092EAB8B" w14:textId="77777777" w:rsidTr="00B622C8">
        <w:tc>
          <w:tcPr>
            <w:tcW w:w="0" w:type="auto"/>
            <w:hideMark/>
          </w:tcPr>
          <w:p w14:paraId="5DD032FB"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Serology</w:t>
            </w:r>
          </w:p>
        </w:tc>
        <w:tc>
          <w:tcPr>
            <w:tcW w:w="0" w:type="auto"/>
            <w:hideMark/>
          </w:tcPr>
          <w:p w14:paraId="1740BCAD"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Estimates cumulative exposure and population susceptibility.</w:t>
            </w:r>
          </w:p>
        </w:tc>
        <w:tc>
          <w:tcPr>
            <w:tcW w:w="0" w:type="auto"/>
            <w:hideMark/>
          </w:tcPr>
          <w:p w14:paraId="2992E52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Serotype inference may require additional testing; vaccination can complicate interpretation.</w:t>
            </w:r>
          </w:p>
        </w:tc>
        <w:tc>
          <w:tcPr>
            <w:tcW w:w="0" w:type="auto"/>
            <w:hideMark/>
          </w:tcPr>
          <w:p w14:paraId="036D0A3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Guides risk mapping, vaccine targeting and post-epidemic evaluation.</w:t>
            </w:r>
          </w:p>
        </w:tc>
      </w:tr>
      <w:tr w:rsidR="00562A7E" w:rsidRPr="00562A7E" w14:paraId="688A5498" w14:textId="77777777" w:rsidTr="00B622C8">
        <w:tc>
          <w:tcPr>
            <w:tcW w:w="0" w:type="auto"/>
            <w:hideMark/>
          </w:tcPr>
          <w:p w14:paraId="5E779DC1"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Whole-genome sequencing</w:t>
            </w:r>
          </w:p>
        </w:tc>
        <w:tc>
          <w:tcPr>
            <w:tcW w:w="0" w:type="auto"/>
            <w:hideMark/>
          </w:tcPr>
          <w:p w14:paraId="2DEBE00A"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Identifies serotype, lineage, reassortment and relatedness among outbreaks.</w:t>
            </w:r>
          </w:p>
        </w:tc>
        <w:tc>
          <w:tcPr>
            <w:tcW w:w="0" w:type="auto"/>
            <w:hideMark/>
          </w:tcPr>
          <w:p w14:paraId="4CFE9AD3"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Requires representative sampling and complete metadata.</w:t>
            </w:r>
          </w:p>
        </w:tc>
        <w:tc>
          <w:tcPr>
            <w:tcW w:w="0" w:type="auto"/>
            <w:hideMark/>
          </w:tcPr>
          <w:p w14:paraId="5E867D86"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Distinguishes incursion, persistence and linked spread; informs vaccine matching.</w:t>
            </w:r>
          </w:p>
        </w:tc>
      </w:tr>
      <w:tr w:rsidR="00562A7E" w:rsidRPr="00562A7E" w14:paraId="778675C7" w14:textId="77777777" w:rsidTr="00B622C8">
        <w:tc>
          <w:tcPr>
            <w:tcW w:w="0" w:type="auto"/>
            <w:hideMark/>
          </w:tcPr>
          <w:p w14:paraId="1DDC4009"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trapping and testing</w:t>
            </w:r>
          </w:p>
        </w:tc>
        <w:tc>
          <w:tcPr>
            <w:tcW w:w="0" w:type="auto"/>
            <w:hideMark/>
          </w:tcPr>
          <w:p w14:paraId="25915391"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Characterises midge species, seasonal activity and viral RNA in vectors.</w:t>
            </w:r>
          </w:p>
        </w:tc>
        <w:tc>
          <w:tcPr>
            <w:tcW w:w="0" w:type="auto"/>
            <w:hideMark/>
          </w:tcPr>
          <w:p w14:paraId="533FA14A"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Trap bias and RNA detection complicate inference about transmission competence.</w:t>
            </w:r>
          </w:p>
        </w:tc>
        <w:tc>
          <w:tcPr>
            <w:tcW w:w="0" w:type="auto"/>
            <w:hideMark/>
          </w:tcPr>
          <w:p w14:paraId="4B1B75E3"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Improves seasonal warning, local risk assessment and vector research prioritisation.</w:t>
            </w:r>
          </w:p>
        </w:tc>
      </w:tr>
      <w:tr w:rsidR="00562A7E" w:rsidRPr="00562A7E" w14:paraId="1478EA72" w14:textId="77777777" w:rsidTr="00B622C8">
        <w:tc>
          <w:tcPr>
            <w:tcW w:w="0" w:type="auto"/>
            <w:hideMark/>
          </w:tcPr>
          <w:p w14:paraId="7C615E35"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Mortality and production monitoring</w:t>
            </w:r>
          </w:p>
        </w:tc>
        <w:tc>
          <w:tcPr>
            <w:tcW w:w="0" w:type="auto"/>
            <w:hideMark/>
          </w:tcPr>
          <w:p w14:paraId="3E680E77"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Quantifies real-world impact beyond confirmed cases.</w:t>
            </w:r>
          </w:p>
        </w:tc>
        <w:tc>
          <w:tcPr>
            <w:tcW w:w="0" w:type="auto"/>
            <w:hideMark/>
          </w:tcPr>
          <w:p w14:paraId="38FFC4C5"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Attribution requires careful temporal and spatial comparison.</w:t>
            </w:r>
          </w:p>
        </w:tc>
        <w:tc>
          <w:tcPr>
            <w:tcW w:w="0" w:type="auto"/>
            <w:hideMark/>
          </w:tcPr>
          <w:p w14:paraId="472C95BA"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Measures outbreak burden and vaccine field effectiveness.</w:t>
            </w:r>
          </w:p>
        </w:tc>
      </w:tr>
    </w:tbl>
    <w:p w14:paraId="7DC6E42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Sources: Dijkstra et al. (2025); EFSA AHAW Panel (2017); Hoffmann et al. (2009); Holwerda et al. (2024); Santman-Berends et al. (2016, 2024, 2026);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van den Brom et al. (2025).</w:t>
      </w:r>
    </w:p>
    <w:p w14:paraId="522B12EB"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lastRenderedPageBreak/>
        <w:t>6. Vaccination and Immune Control</w:t>
      </w:r>
    </w:p>
    <w:p w14:paraId="5981931E"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6.1 Conventional vaccine platforms and safety trade-offs</w:t>
      </w:r>
    </w:p>
    <w:p w14:paraId="5AF5C641"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Vaccination is the most powerful direct tool for reducing bluetongue disease in sheep when a vaccine matches the circulating serotype and is administered before substantial exposure. Modified live vaccines have historically been used in some endemic regions because they can induce strong immunity and may be practical where multiple serotypes circulate. They also carry recognised risks, including residual virulence, reassortment, vaccine-virus spread through vectors and complications for surveillance (Feenstra &amp; van Rijn, 2017; McVey &amp; MacLachlan, 2015). These risks are especially important in regions attempting to maintain or regain freedom from particular serotypes.</w:t>
      </w:r>
    </w:p>
    <w:p w14:paraId="21C39C1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Inactivated vaccines have been central to European emergency responses because they do not replicate and have a more favourable safety profile for non-endemic or recently invaded regions (Feenstra &amp; van Rijn, 2017). Studies of inactivated vaccines against BTV-8 demonstrated protective efficacy in sheep and cattle, including reduction or prevention of viraemia and clinical disease after homologous challenge (</w:t>
      </w:r>
      <w:proofErr w:type="spellStart"/>
      <w:r w:rsidRPr="00562A7E">
        <w:rPr>
          <w:rFonts w:ascii="Times New Roman" w:eastAsia="Times New Roman" w:hAnsi="Times New Roman" w:cs="Times New Roman"/>
          <w:sz w:val="24"/>
          <w:szCs w:val="24"/>
          <w:lang w:eastAsia="en-GB"/>
        </w:rPr>
        <w:t>Eschbaumer</w:t>
      </w:r>
      <w:proofErr w:type="spellEnd"/>
      <w:r w:rsidRPr="00562A7E">
        <w:rPr>
          <w:rFonts w:ascii="Times New Roman" w:eastAsia="Times New Roman" w:hAnsi="Times New Roman" w:cs="Times New Roman"/>
          <w:sz w:val="24"/>
          <w:szCs w:val="24"/>
          <w:lang w:eastAsia="en-GB"/>
        </w:rPr>
        <w:t xml:space="preserve"> et al., 2009; </w:t>
      </w:r>
      <w:proofErr w:type="spellStart"/>
      <w:r w:rsidRPr="00562A7E">
        <w:rPr>
          <w:rFonts w:ascii="Times New Roman" w:eastAsia="Times New Roman" w:hAnsi="Times New Roman" w:cs="Times New Roman"/>
          <w:sz w:val="24"/>
          <w:szCs w:val="24"/>
          <w:lang w:eastAsia="en-GB"/>
        </w:rPr>
        <w:t>Wäckerlin</w:t>
      </w:r>
      <w:proofErr w:type="spellEnd"/>
      <w:r w:rsidRPr="00562A7E">
        <w:rPr>
          <w:rFonts w:ascii="Times New Roman" w:eastAsia="Times New Roman" w:hAnsi="Times New Roman" w:cs="Times New Roman"/>
          <w:sz w:val="24"/>
          <w:szCs w:val="24"/>
          <w:lang w:eastAsia="en-GB"/>
        </w:rPr>
        <w:t xml:space="preserve"> et al., 2010). Bivalent inactivated vaccines against BTV-2 and BTV-4 have also been evaluated in cattle, showing the feasibility of multivalent formulations under defined conditions (Savini et al., 2009). However, inactivated vaccines still require correct serotype matching, sufficient antigen content, booster schedules and enough time for immunity to develop before vector exposure.</w:t>
      </w:r>
    </w:p>
    <w:p w14:paraId="68479DC1"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Vaccine safety is not merely theoretical. Detection and isolation of BTV from commercial vaccine batches in some contexts has underlined the importance of manufacturing quality, batch testing and regulatory oversight (</w:t>
      </w:r>
      <w:proofErr w:type="spellStart"/>
      <w:r w:rsidRPr="00562A7E">
        <w:rPr>
          <w:rFonts w:ascii="Times New Roman" w:eastAsia="Times New Roman" w:hAnsi="Times New Roman" w:cs="Times New Roman"/>
          <w:sz w:val="24"/>
          <w:szCs w:val="24"/>
          <w:lang w:eastAsia="en-GB"/>
        </w:rPr>
        <w:t>Bumbarov</w:t>
      </w:r>
      <w:proofErr w:type="spellEnd"/>
      <w:r w:rsidRPr="00562A7E">
        <w:rPr>
          <w:rFonts w:ascii="Times New Roman" w:eastAsia="Times New Roman" w:hAnsi="Times New Roman" w:cs="Times New Roman"/>
          <w:sz w:val="24"/>
          <w:szCs w:val="24"/>
          <w:lang w:eastAsia="en-GB"/>
        </w:rPr>
        <w:t xml:space="preserve"> et al., 2016). During emergencies, authorities may need to accelerate access to vaccines while maintaining confidence in product safety and effectiveness. For sheep farmers, the immediate question is whether vaccination will reduce disease and death during the current vector season; for regulators, the additional concern is whether emergency deployment will complicate surveillance, trade or long-term control.</w:t>
      </w:r>
    </w:p>
    <w:p w14:paraId="1E7BE3EF"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6.2 Serotype specificity, BTV-3 field effectiveness and deployment</w:t>
      </w:r>
    </w:p>
    <w:p w14:paraId="11E4141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main limitation of bluetongue vaccination is serotype specificity. Neutralising antibodies directed against outer-capsid proteins generally provide strongest protection against homologous serotypes, while cross-protection is often incomplete or unreliable (Feenstra &amp; van Rijn, 2017; MacLachlan et al., 2015). Vaccine banks and procurement strategies must therefore anticipate likely serotypes, but bluetongue emergence repeatedly produces surprises. The BTV-3 epidemic in the Netherlands exposed this vulnerability because matched vaccines were not already embedded in routine flock health programmes when the outbreak began (Dijkstra et al., 2025; Holwerda et al., 2024).</w:t>
      </w:r>
    </w:p>
    <w:p w14:paraId="75E3FFD6"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Field evaluation of BTV-3 vaccination in Dutch sheep flocks in 2024 found that vaccination with inactivated vaccines reduced excess mortality but did not fully prevent disease or halt transmission (Dijkstra et al., 2025). This is an important, realistic finding. Emergency vaccination may still be valuable even when it does not produce sterilising immunity, because reducing mortality, clinical severity and welfare burden is a meaningful outcome in sheep </w:t>
      </w:r>
      <w:r w:rsidRPr="00562A7E">
        <w:rPr>
          <w:rFonts w:ascii="Times New Roman" w:eastAsia="Times New Roman" w:hAnsi="Times New Roman" w:cs="Times New Roman"/>
          <w:sz w:val="24"/>
          <w:szCs w:val="24"/>
          <w:lang w:eastAsia="en-GB"/>
        </w:rPr>
        <w:lastRenderedPageBreak/>
        <w:t>populations. At the same time, partial protection complicates interpretation of post-vaccination surveillance. Infection in vaccinated animals may reflect exposure before immunity developed, incomplete individual response, vaccine handling problems, uneven flock coverage or intense vector challenge.</w:t>
      </w:r>
    </w:p>
    <w:p w14:paraId="46DA9F24"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Timing is critical. Sheep must be vaccinated sufficiently before vector season or epidemic acceleration to develop protective immunity. Delays caused by vaccine supply, regulatory authorisation, distribution logistics, farmer uncertainty or incomplete flock records can sharply reduce population-level effect. Post-epidemic serological evidence from Dutch sheep showed substantial remaining susceptibility after the first epidemic year, with marked variation between and within farms (Santman-Berends et al., 2026). This heterogeneity argues for risk-based vaccination planning rather than assuming that natural exposure after an outbreak has created uniform regional immunity.</w:t>
      </w:r>
    </w:p>
    <w:p w14:paraId="4C17FF38"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6.3 Next-generation vaccines and DIVA-compatible strategies</w:t>
      </w:r>
    </w:p>
    <w:p w14:paraId="4FA6EAB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Next-generation vaccine platforms aim to address limitations of conventional live attenuated and inactivated vaccines. Viral-vectored vaccines, subunit vaccines, virus-like particles and strategies incorporating conserved antigens may improve safety, support differentiation of infected from vaccinated animals, or broaden protection beyond a single serotype (Feenstra &amp; van Rijn, 2017; Jiménez-Cabello et al., 2021). A differentiating infected from vaccinated animals, or DIVA-compatible, strategy is particularly attractive where vaccination must coexist with trade-sensitive surveillance and freedom claims.</w:t>
      </w:r>
    </w:p>
    <w:p w14:paraId="5186A95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Experimental work with viral vector platforms is encouraging. Modified vaccinia Ankara (MVA)-based approaches expressing BTV proteins have produced protective responses, and co-expression of VP2, NS1 and the N-terminal region of NS2 by an MVA vector provided complete protection in sheep against virulent BTV-4M challenge in an experimental study (Jiménez-Cabello et al., 2024). Such findings support continued investment in platforms that combine serotype-specific neutralising antigens with additional immune targets. However, experimental protection does not automatically translate into field readiness. Candidate vaccines must still be evaluated for duration of immunity, safety in pregnant ewes and diverse breeds, compatibility with maternal antibodies, scalability, cost, thermostability, regulatory acceptability and performance under high vector challenge.</w:t>
      </w:r>
    </w:p>
    <w:p w14:paraId="361A95E4"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strategic goal should not be to replace inactivated vaccines immediately. Inactivated vaccines remain the most practical emergency instrument when a matched product is available. Newer platforms may be most valuable where multiple serotypes co-circulate, where DIVA surveillance is essential, or where antigenic updating needs to be rapid. For sheep, the ideal future vaccine would reduce clinical disease and viraemia, protect before the seasonal vector peak, be safe in breeding animals, allow surveillance discrimination and remain affordable for farms with different economic margins.</w:t>
      </w:r>
    </w:p>
    <w:p w14:paraId="34F5234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Table 4 compares vaccine platforms and their likely operational roles. Its practical implication is that vaccine strategy should be matched to epidemiological setting. Endemic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regions, newly invaded regions and emergency outbreak zones have different risk-benefit profiles.</w:t>
      </w:r>
    </w:p>
    <w:p w14:paraId="3B56E6EF"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4. Vaccine platforms and operational roles in bluetongue control</w:t>
      </w:r>
    </w:p>
    <w:tbl>
      <w:tblPr>
        <w:tblStyle w:val="TableGrid"/>
        <w:tblW w:w="0" w:type="auto"/>
        <w:tblLook w:val="04A0" w:firstRow="1" w:lastRow="0" w:firstColumn="1" w:lastColumn="0" w:noHBand="0" w:noVBand="1"/>
      </w:tblPr>
      <w:tblGrid>
        <w:gridCol w:w="1850"/>
        <w:gridCol w:w="2652"/>
        <w:gridCol w:w="2475"/>
        <w:gridCol w:w="2265"/>
      </w:tblGrid>
      <w:tr w:rsidR="00562A7E" w:rsidRPr="00562A7E" w14:paraId="799DA100" w14:textId="77777777" w:rsidTr="00B622C8">
        <w:tc>
          <w:tcPr>
            <w:tcW w:w="0" w:type="auto"/>
            <w:hideMark/>
          </w:tcPr>
          <w:p w14:paraId="0FE622A3"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lastRenderedPageBreak/>
              <w:t>Vaccine platform</w:t>
            </w:r>
          </w:p>
        </w:tc>
        <w:tc>
          <w:tcPr>
            <w:tcW w:w="0" w:type="auto"/>
            <w:hideMark/>
          </w:tcPr>
          <w:p w14:paraId="0ACB8974"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Main strengths</w:t>
            </w:r>
          </w:p>
        </w:tc>
        <w:tc>
          <w:tcPr>
            <w:tcW w:w="0" w:type="auto"/>
            <w:hideMark/>
          </w:tcPr>
          <w:p w14:paraId="3D64F07F"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Principal constraints</w:t>
            </w:r>
          </w:p>
        </w:tc>
        <w:tc>
          <w:tcPr>
            <w:tcW w:w="0" w:type="auto"/>
            <w:hideMark/>
          </w:tcPr>
          <w:p w14:paraId="646B0B4E" w14:textId="77777777" w:rsidR="00562A7E" w:rsidRPr="00562A7E" w:rsidRDefault="00562A7E" w:rsidP="005A185A">
            <w:pPr>
              <w:jc w:val="both"/>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Likely operational role</w:t>
            </w:r>
          </w:p>
        </w:tc>
      </w:tr>
      <w:tr w:rsidR="00562A7E" w:rsidRPr="00562A7E" w14:paraId="3D8E1BEA" w14:textId="77777777" w:rsidTr="00B622C8">
        <w:tc>
          <w:tcPr>
            <w:tcW w:w="0" w:type="auto"/>
            <w:hideMark/>
          </w:tcPr>
          <w:p w14:paraId="2F366BE5"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Modified live vaccines</w:t>
            </w:r>
          </w:p>
        </w:tc>
        <w:tc>
          <w:tcPr>
            <w:tcW w:w="0" w:type="auto"/>
            <w:hideMark/>
          </w:tcPr>
          <w:p w14:paraId="55D60370"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Strong immunogenicity and practical use in some endemic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settings.</w:t>
            </w:r>
          </w:p>
        </w:tc>
        <w:tc>
          <w:tcPr>
            <w:tcW w:w="0" w:type="auto"/>
            <w:hideMark/>
          </w:tcPr>
          <w:p w14:paraId="0E4EB1F6"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Risks include residual virulence, reassortment, vector transmission and surveillance complications.</w:t>
            </w:r>
          </w:p>
        </w:tc>
        <w:tc>
          <w:tcPr>
            <w:tcW w:w="0" w:type="auto"/>
            <w:hideMark/>
          </w:tcPr>
          <w:p w14:paraId="7C0DEEC6"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Selective use where benefits outweigh risks and regulatory systems can manage safety concerns.</w:t>
            </w:r>
          </w:p>
        </w:tc>
      </w:tr>
      <w:tr w:rsidR="00562A7E" w:rsidRPr="00562A7E" w14:paraId="16F9B51F" w14:textId="77777777" w:rsidTr="00B622C8">
        <w:tc>
          <w:tcPr>
            <w:tcW w:w="0" w:type="auto"/>
            <w:hideMark/>
          </w:tcPr>
          <w:p w14:paraId="0FD1AEC3"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Inactivated homologous vaccines</w:t>
            </w:r>
          </w:p>
        </w:tc>
        <w:tc>
          <w:tcPr>
            <w:tcW w:w="0" w:type="auto"/>
            <w:hideMark/>
          </w:tcPr>
          <w:p w14:paraId="7A2A1EA4"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Favourable safety profile and strong role in emergency control when serotype-matched.</w:t>
            </w:r>
          </w:p>
        </w:tc>
        <w:tc>
          <w:tcPr>
            <w:tcW w:w="0" w:type="auto"/>
            <w:hideMark/>
          </w:tcPr>
          <w:p w14:paraId="3CE6756F"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Require serotype matching, boosters, timely deployment and adequate coverage.</w:t>
            </w:r>
          </w:p>
        </w:tc>
        <w:tc>
          <w:tcPr>
            <w:tcW w:w="0" w:type="auto"/>
            <w:hideMark/>
          </w:tcPr>
          <w:p w14:paraId="703406E7"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First-line emergency and preventive tool in non-endemic or recently invaded regions.</w:t>
            </w:r>
          </w:p>
        </w:tc>
      </w:tr>
      <w:tr w:rsidR="00562A7E" w:rsidRPr="00562A7E" w14:paraId="5DF7554C" w14:textId="77777777" w:rsidTr="00B622C8">
        <w:tc>
          <w:tcPr>
            <w:tcW w:w="0" w:type="auto"/>
            <w:hideMark/>
          </w:tcPr>
          <w:p w14:paraId="04A61AA4"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Multivalent inactivated vaccines</w:t>
            </w:r>
          </w:p>
        </w:tc>
        <w:tc>
          <w:tcPr>
            <w:tcW w:w="0" w:type="auto"/>
            <w:hideMark/>
          </w:tcPr>
          <w:p w14:paraId="7358B7C7"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Can target more than one serotype where epidemiologically justified.</w:t>
            </w:r>
          </w:p>
        </w:tc>
        <w:tc>
          <w:tcPr>
            <w:tcW w:w="0" w:type="auto"/>
            <w:hideMark/>
          </w:tcPr>
          <w:p w14:paraId="2D8F41F5"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Antigenic competition, production complexity and updating needs may arise.</w:t>
            </w:r>
          </w:p>
        </w:tc>
        <w:tc>
          <w:tcPr>
            <w:tcW w:w="0" w:type="auto"/>
            <w:hideMark/>
          </w:tcPr>
          <w:p w14:paraId="6BE226CC"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Regional programmes where a predictable set of serotypes circulates.</w:t>
            </w:r>
          </w:p>
        </w:tc>
      </w:tr>
      <w:tr w:rsidR="00562A7E" w:rsidRPr="00562A7E" w14:paraId="164F479B" w14:textId="77777777" w:rsidTr="00B622C8">
        <w:tc>
          <w:tcPr>
            <w:tcW w:w="0" w:type="auto"/>
            <w:hideMark/>
          </w:tcPr>
          <w:p w14:paraId="749021BE"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Viral-vectored and recombinant vaccines</w:t>
            </w:r>
          </w:p>
        </w:tc>
        <w:tc>
          <w:tcPr>
            <w:tcW w:w="0" w:type="auto"/>
            <w:hideMark/>
          </w:tcPr>
          <w:p w14:paraId="586B6DC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Potential for DIVA compatibility, improved safety and flexible antigen design.</w:t>
            </w:r>
          </w:p>
        </w:tc>
        <w:tc>
          <w:tcPr>
            <w:tcW w:w="0" w:type="auto"/>
            <w:hideMark/>
          </w:tcPr>
          <w:p w14:paraId="2C5E8F8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Field effectiveness, licensing, cost and duration of immunity require further validation.</w:t>
            </w:r>
          </w:p>
        </w:tc>
        <w:tc>
          <w:tcPr>
            <w:tcW w:w="0" w:type="auto"/>
            <w:hideMark/>
          </w:tcPr>
          <w:p w14:paraId="42B4348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Future strategic vaccines for trade-sensitive regions and complex serotype landscapes.</w:t>
            </w:r>
          </w:p>
        </w:tc>
      </w:tr>
      <w:tr w:rsidR="00562A7E" w:rsidRPr="00562A7E" w14:paraId="18EF63A3" w14:textId="77777777" w:rsidTr="00B622C8">
        <w:tc>
          <w:tcPr>
            <w:tcW w:w="0" w:type="auto"/>
            <w:hideMark/>
          </w:tcPr>
          <w:p w14:paraId="7A7AB9C1"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Conserved-antigen or broadened-protection approaches</w:t>
            </w:r>
          </w:p>
        </w:tc>
        <w:tc>
          <w:tcPr>
            <w:tcW w:w="0" w:type="auto"/>
            <w:hideMark/>
          </w:tcPr>
          <w:p w14:paraId="51352702"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May reduce dependence on exact serotype matching.</w:t>
            </w:r>
          </w:p>
        </w:tc>
        <w:tc>
          <w:tcPr>
            <w:tcW w:w="0" w:type="auto"/>
            <w:hideMark/>
          </w:tcPr>
          <w:p w14:paraId="7F266857"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Correlates of protection and breadth of efficacy remain uncertain.</w:t>
            </w:r>
          </w:p>
        </w:tc>
        <w:tc>
          <w:tcPr>
            <w:tcW w:w="0" w:type="auto"/>
            <w:hideMark/>
          </w:tcPr>
          <w:p w14:paraId="7F7DD207" w14:textId="77777777" w:rsidR="00562A7E" w:rsidRPr="00562A7E" w:rsidRDefault="00562A7E" w:rsidP="005A185A">
            <w:pPr>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Research priority rather than immediate replacement for matched vaccines.</w:t>
            </w:r>
          </w:p>
        </w:tc>
      </w:tr>
    </w:tbl>
    <w:p w14:paraId="32CE18E4"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Sources: </w:t>
      </w:r>
      <w:proofErr w:type="spellStart"/>
      <w:r w:rsidRPr="00562A7E">
        <w:rPr>
          <w:rFonts w:ascii="Times New Roman" w:eastAsia="Times New Roman" w:hAnsi="Times New Roman" w:cs="Times New Roman"/>
          <w:sz w:val="24"/>
          <w:szCs w:val="24"/>
          <w:lang w:eastAsia="en-GB"/>
        </w:rPr>
        <w:t>Bumbarov</w:t>
      </w:r>
      <w:proofErr w:type="spellEnd"/>
      <w:r w:rsidRPr="00562A7E">
        <w:rPr>
          <w:rFonts w:ascii="Times New Roman" w:eastAsia="Times New Roman" w:hAnsi="Times New Roman" w:cs="Times New Roman"/>
          <w:sz w:val="24"/>
          <w:szCs w:val="24"/>
          <w:lang w:eastAsia="en-GB"/>
        </w:rPr>
        <w:t xml:space="preserve"> et al. (2016); Dijkstra et al. (2025); </w:t>
      </w:r>
      <w:proofErr w:type="spellStart"/>
      <w:r w:rsidRPr="00562A7E">
        <w:rPr>
          <w:rFonts w:ascii="Times New Roman" w:eastAsia="Times New Roman" w:hAnsi="Times New Roman" w:cs="Times New Roman"/>
          <w:sz w:val="24"/>
          <w:szCs w:val="24"/>
          <w:lang w:eastAsia="en-GB"/>
        </w:rPr>
        <w:t>Eschbaumer</w:t>
      </w:r>
      <w:proofErr w:type="spellEnd"/>
      <w:r w:rsidRPr="00562A7E">
        <w:rPr>
          <w:rFonts w:ascii="Times New Roman" w:eastAsia="Times New Roman" w:hAnsi="Times New Roman" w:cs="Times New Roman"/>
          <w:sz w:val="24"/>
          <w:szCs w:val="24"/>
          <w:lang w:eastAsia="en-GB"/>
        </w:rPr>
        <w:t xml:space="preserve"> et al. (2009); Feenstra and van Rijn (2017); Jiménez-Cabello et al. (2021, 2024); McVey and MacLachlan (2015); Savini et al. (2009); </w:t>
      </w:r>
      <w:proofErr w:type="spellStart"/>
      <w:r w:rsidRPr="00562A7E">
        <w:rPr>
          <w:rFonts w:ascii="Times New Roman" w:eastAsia="Times New Roman" w:hAnsi="Times New Roman" w:cs="Times New Roman"/>
          <w:sz w:val="24"/>
          <w:szCs w:val="24"/>
          <w:lang w:eastAsia="en-GB"/>
        </w:rPr>
        <w:t>Wäckerlin</w:t>
      </w:r>
      <w:proofErr w:type="spellEnd"/>
      <w:r w:rsidRPr="00562A7E">
        <w:rPr>
          <w:rFonts w:ascii="Times New Roman" w:eastAsia="Times New Roman" w:hAnsi="Times New Roman" w:cs="Times New Roman"/>
          <w:sz w:val="24"/>
          <w:szCs w:val="24"/>
          <w:lang w:eastAsia="en-GB"/>
        </w:rPr>
        <w:t xml:space="preserve"> et al. (2010).</w:t>
      </w:r>
    </w:p>
    <w:p w14:paraId="279DB0E8"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7. One Health Control Strategies for a Non-Zoonotic Arbovirus</w:t>
      </w:r>
    </w:p>
    <w:p w14:paraId="67987218"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7.1 Why a One Health framing is appropriate despite absent zoonotic transmission</w:t>
      </w:r>
    </w:p>
    <w:p w14:paraId="5E5DFD4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Bluetongue does not infect humans, but a One Health framework remains scientifically useful because the disease is produced by interactions among animals, vectors, climate, ecosystems and human-managed livestock systems (MacLachlan &amp; Mayo, 2013; Samy &amp; Peterson, 2016). The absence of zoonotic transmission should not exclude a disease from One Health analysis when its emergence is climate-sensitive, its control depends on landscape and vector ecology, and its consequences affect food systems, trade and rural livelihoods. Bluetongue is a strong example of an animal disease whose drivers and impacts cross disciplinary boundaries.</w:t>
      </w:r>
    </w:p>
    <w:p w14:paraId="56CB531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Climate change is central to this framing. Studies have linked changing climatic suitability to altered bluetongue risk, including longer transmission seasons and potential shifts into areas </w:t>
      </w:r>
      <w:r w:rsidRPr="00562A7E">
        <w:rPr>
          <w:rFonts w:ascii="Times New Roman" w:eastAsia="Times New Roman" w:hAnsi="Times New Roman" w:cs="Times New Roman"/>
          <w:sz w:val="24"/>
          <w:szCs w:val="24"/>
          <w:lang w:eastAsia="en-GB"/>
        </w:rPr>
        <w:lastRenderedPageBreak/>
        <w:t>where sheep populations may be immunologically naïve (</w:t>
      </w:r>
      <w:proofErr w:type="spellStart"/>
      <w:r w:rsidRPr="00562A7E">
        <w:rPr>
          <w:rFonts w:ascii="Times New Roman" w:eastAsia="Times New Roman" w:hAnsi="Times New Roman" w:cs="Times New Roman"/>
          <w:sz w:val="24"/>
          <w:szCs w:val="24"/>
          <w:lang w:eastAsia="en-GB"/>
        </w:rPr>
        <w:t>Guis</w:t>
      </w:r>
      <w:proofErr w:type="spellEnd"/>
      <w:r w:rsidRPr="00562A7E">
        <w:rPr>
          <w:rFonts w:ascii="Times New Roman" w:eastAsia="Times New Roman" w:hAnsi="Times New Roman" w:cs="Times New Roman"/>
          <w:sz w:val="24"/>
          <w:szCs w:val="24"/>
          <w:lang w:eastAsia="en-GB"/>
        </w:rPr>
        <w:t xml:space="preserve"> et al., 2012; Jones et al., 2019; Purse et al., 2005). Land use, water management, livestock density and wildlife interfaces further shape where vectors breed and feed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Ruder et al., 2015). Control decisions also have human consequences. Movement restrictions affect markets, vaccination costs are borne by producers or governments, and sheep mortality has both economic and welfare significance (van den Brink et al., 2024; Velthuis et al., 2010).</w:t>
      </w:r>
    </w:p>
    <w:p w14:paraId="51400E5F"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 One Health approach should therefore be used as an organising principle rather than a slogan. Veterinary virologists, entomologists, epidemiologists, climatologists, wildlife ecologists, social scientists, regulators and farmers each hold part of the control problem. Without coordination, the system becomes reactive: clinical disease triggers diagnostics, diagnostics trigger sequencing, sequencing identifies serotype, and only then do vaccination and movement decisions accelerate. A better system moves those steps earlier and connects them before severe sheep losses accumulate.</w:t>
      </w:r>
    </w:p>
    <w:p w14:paraId="21742B01"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7.2 Integrated risk management in sheep farms and landscapes</w:t>
      </w:r>
    </w:p>
    <w:p w14:paraId="00A28CB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At flock level, bluetongue risk management should be built around vaccination where available, surveillance awareness, reduction of peak vector exposure and early veterinary investigation of compatible signs. Housing sheep during periods of peak midge activity may reduce exposure in some settings, but it is not a universal solution because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behaviour varies by species, housing structure and microclimate (Purse et al., 2015; Santman-Berends et al., 2026). Insecticide use may reduce biting pressure under particular conditions, but it rarely provides reliable stand-alone protection at population scale and may raise cost, environmental and resistance concerns (EFSA AHAW Panel, 2017). Farm hygiene, manure and slurry management, drainage around high-risk areas, and avoidance of unnecessary animal movement during transmission periods can complement vaccination and surveillance, but they should not be presented as substitutes.</w:t>
      </w:r>
    </w:p>
    <w:p w14:paraId="76FC5F81"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Risk management should also account for the flock calendar. Breeding, lambing, shearing, grazing movements and sales can alter susceptibility and exposure. Observational evidence associating indoor housing with lower BTV-3 seroprevalence and summer shearing with higher within-farm prevalence suggests that husbandry timing may influence transmission risk, although causal pathways require further study (Santman-Berends et al., 2026). Flock-level advice should therefore be practical and probabilistic rather than overconfident. Farmers need clear explanations of what measures can reasonably reduce risk, which measures have uncertain effect, and why vaccination remains necessary even when management changes are adopted.</w:t>
      </w:r>
    </w:p>
    <w:p w14:paraId="4AE8C5B6"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At landscape scale, control requires identifying where susceptible sheep, competent vectors and likely viral introduction pathways overlap. Spatial models can help prioritise surveillance and vaccination, but they should be updated with current vector, climate, host and genomic data (Jacquot et al., 2017; Nicolas et al., 2018). During fast-moving epidemics, regional risk maps should support decisions rather than merely describe past spread. A map that identifies areas likely to enter the transmission zone before vaccine immunity develops is more useful than a retrospective map of confirmed cases.</w:t>
      </w:r>
    </w:p>
    <w:p w14:paraId="5EF5A112"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7.3 Regional equity and implementation under endemic and incursion settings</w:t>
      </w:r>
    </w:p>
    <w:p w14:paraId="10311419"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 xml:space="preserve">Bluetongue control differs sharply between endemic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regions and newly invaded temperate regions. In India and other endemic settings, many serotypes have been reported and sheep disease occurs against a background of complex host, vector and management conditions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In such regions, vaccine matching, surveillance coverage and laboratory capacity remain persistent challenges. In newly invaded regions, the immediate challenge is often rapid recognition, emergency authorisation of matched vaccines, farmer communication and protection of susceptible flocks before seasonal amplification (Dijkstra et al., 2025; Holwerda et al., 2024).</w:t>
      </w:r>
    </w:p>
    <w:p w14:paraId="45DCAD6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Equity matters because control capacity is uneven. Smallholders and extensive sheep systems may have less access to rapid diagnostics, cold chains, veterinary advice and compensation, while intensive systems may face high absolute losses because of animal density and market integration. Vaccine strategies developed for well-resourced European systems may not transfer directly to regions with multiple co-circulating serotypes, different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fauna or limited laboratory infrastructure. Conversely, endemic-region experience with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risk can inform preparedness in Europe as novel serotypes emerge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w:t>
      </w:r>
    </w:p>
    <w:p w14:paraId="3DF5AD66"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Transboundary coordination is essential. BTV does not respect administrative borders, and vector-borne spread may continue despite local control if neighbouring regions have delayed detection or different vaccination policies. International data sharing should include genomic sequences, serotype reports, vector findings, vaccine availability, field-effectiveness evidence and animal movement risk. Such coordination is particularly important when novel serotypes such as BTV-12 appear in regions where vaccine stocks and diagnostic assays may not be immediately aligned (van den Brom et al., 2025).</w:t>
      </w:r>
    </w:p>
    <w:p w14:paraId="1509FF7E"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8. Research Priorities</w:t>
      </w:r>
    </w:p>
    <w:p w14:paraId="3B9B4BA8"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8.1 Vector competence under field-realistic conditions</w:t>
      </w:r>
    </w:p>
    <w:p w14:paraId="4FB23F6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A major research priority is to improve understanding of vector competence under field-realistic conditions. Laboratory competence studies are essential, but they often use controlled temperatures, virus doses and colony or locally collected midges that may not capture ecological variability (Carpenter et al., 2015; </w:t>
      </w:r>
      <w:proofErr w:type="spellStart"/>
      <w:r w:rsidRPr="00562A7E">
        <w:rPr>
          <w:rFonts w:ascii="Times New Roman" w:eastAsia="Times New Roman" w:hAnsi="Times New Roman" w:cs="Times New Roman"/>
          <w:sz w:val="24"/>
          <w:szCs w:val="24"/>
          <w:lang w:eastAsia="en-GB"/>
        </w:rPr>
        <w:t>Paslaru</w:t>
      </w:r>
      <w:proofErr w:type="spellEnd"/>
      <w:r w:rsidRPr="00562A7E">
        <w:rPr>
          <w:rFonts w:ascii="Times New Roman" w:eastAsia="Times New Roman" w:hAnsi="Times New Roman" w:cs="Times New Roman"/>
          <w:sz w:val="24"/>
          <w:szCs w:val="24"/>
          <w:lang w:eastAsia="en-GB"/>
        </w:rPr>
        <w:t xml:space="preserve"> et al., 2018). Field studies detect viral RNA in midges, but interpretation is limited unless data include parity, blood-meal status, species-level identification and, ideally, evidence of disseminated infection or infectious virus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Bridging this gap requires coordinated designs that pair field trapping with experimental infection and environmental measurement.</w:t>
      </w:r>
    </w:p>
    <w:p w14:paraId="043818CF"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Particular attention should be given to species complexes that are difficult to identify morphologically but may differ in behaviour and competence. The </w:t>
      </w:r>
      <w:r w:rsidRPr="00562A7E">
        <w:rPr>
          <w:rFonts w:ascii="Times New Roman" w:eastAsia="Times New Roman" w:hAnsi="Times New Roman" w:cs="Times New Roman"/>
          <w:i/>
          <w:iCs/>
          <w:sz w:val="24"/>
          <w:szCs w:val="24"/>
          <w:lang w:eastAsia="en-GB"/>
        </w:rPr>
        <w:t>C. obsoletus</w:t>
      </w:r>
      <w:r w:rsidRPr="00562A7E">
        <w:rPr>
          <w:rFonts w:ascii="Times New Roman" w:eastAsia="Times New Roman" w:hAnsi="Times New Roman" w:cs="Times New Roman"/>
          <w:sz w:val="24"/>
          <w:szCs w:val="24"/>
          <w:lang w:eastAsia="en-GB"/>
        </w:rPr>
        <w:t xml:space="preserve"> complex is epidemiologically important in Europe, and landscape genetic evidence indicates high dispersal capacity in </w:t>
      </w:r>
      <w:r w:rsidRPr="00562A7E">
        <w:rPr>
          <w:rFonts w:ascii="Times New Roman" w:eastAsia="Times New Roman" w:hAnsi="Times New Roman" w:cs="Times New Roman"/>
          <w:i/>
          <w:iCs/>
          <w:sz w:val="24"/>
          <w:szCs w:val="24"/>
          <w:lang w:eastAsia="en-GB"/>
        </w:rPr>
        <w:t>C. obsoletus</w:t>
      </w:r>
      <w:r w:rsidRPr="00562A7E">
        <w:rPr>
          <w:rFonts w:ascii="Times New Roman" w:eastAsia="Times New Roman" w:hAnsi="Times New Roman" w:cs="Times New Roman"/>
          <w:sz w:val="24"/>
          <w:szCs w:val="24"/>
          <w:lang w:eastAsia="en-GB"/>
        </w:rPr>
        <w:t>, supporting its possible contribution to regional spread (</w:t>
      </w:r>
      <w:proofErr w:type="spellStart"/>
      <w:r w:rsidRPr="00562A7E">
        <w:rPr>
          <w:rFonts w:ascii="Times New Roman" w:eastAsia="Times New Roman" w:hAnsi="Times New Roman" w:cs="Times New Roman"/>
          <w:sz w:val="24"/>
          <w:szCs w:val="24"/>
          <w:lang w:eastAsia="en-GB"/>
        </w:rPr>
        <w:t>Mignotte</w:t>
      </w:r>
      <w:proofErr w:type="spellEnd"/>
      <w:r w:rsidRPr="00562A7E">
        <w:rPr>
          <w:rFonts w:ascii="Times New Roman" w:eastAsia="Times New Roman" w:hAnsi="Times New Roman" w:cs="Times New Roman"/>
          <w:sz w:val="24"/>
          <w:szCs w:val="24"/>
          <w:lang w:eastAsia="en-GB"/>
        </w:rPr>
        <w:t xml:space="preserve"> et al., 2021). However, local vector communities vary, and competence for one BTV serotype should not be assumed for another. Future work should examine BTV-3 and other emerging serotypes across multiple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species, temperatures and geographic populations.</w:t>
      </w:r>
    </w:p>
    <w:p w14:paraId="771C795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Vector research should also include overwintering mechanisms, larval habitat ecology and host-feeding patterns. These processes determine whether surveillance can identify risk before clinical cases occur. For sheep systems, the most useful vector studies will be those that translate entomological findings into operational guidance, including when to vaccinate, when to intensify surveillance and which farm environments require targeted mitigation.</w:t>
      </w:r>
    </w:p>
    <w:p w14:paraId="1A68DF85"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8.2 Genomic surveillance standards and data integration</w:t>
      </w:r>
    </w:p>
    <w:p w14:paraId="4453B92C"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Genomic surveillance should move from opportunistic sequencing towards standardised, representative sampling. The value of whole-genome sequencing in the BTV-3 and BTV-12 events is clear, but interpretation of source, persistence and reassortment depends on sampling density and metadata quality (Holwerda et al., 2024; van den Brom et al., 2025). Minimum metadata should include host species, date, location, clinical status, vaccination status, sample type, diagnostic cycle threshold where appropriate, and epidemiological links. Vector-derived sequences should include midge species, trapping method, pool size, parity or physiological status and environmental context.</w:t>
      </w:r>
    </w:p>
    <w:p w14:paraId="5AF3AE3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Reassortment surveillance requires complete or near-complete genome data. Segment 2 typing is necessary for serotype identification, but it is insufficient for understanding genome constellations and their possible phenotypic implications (Sanders et al., 2022). Global analyses of BTV emergence show the value of combining evolutionary and epidemiological data, but they also reveal uneven geographical representation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Future systems should encourage rapid deposition of curated sequences and metadata while protecting legitimate privacy and trade concerns.</w:t>
      </w:r>
    </w:p>
    <w:p w14:paraId="5170518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research frontier is not simply faster sequencing. It is better integration of sequencing with decisions. Genomic findings should be linked to vaccine strain selection, movement tracing, vector studies and outbreak communication. A sequence that identifies a novel serotype has immediate practical value only if laboratories can update assays, regulators can evaluate vaccine options, and farmers receive timely advice.</w:t>
      </w:r>
    </w:p>
    <w:p w14:paraId="5CF442B7"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8.3 Vaccine effectiveness, immune correlates and next-generation platforms</w:t>
      </w:r>
    </w:p>
    <w:p w14:paraId="21B059CC"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Vaccine research should prioritise field effectiveness as well as experimental efficacy. Challenge studies provide critical evidence of protection, but field performance depends on coverage, timing, flock demographics, maternal antibodies, concurrent disease, vector pressure and farmer adherence (</w:t>
      </w:r>
      <w:proofErr w:type="spellStart"/>
      <w:r w:rsidRPr="00562A7E">
        <w:rPr>
          <w:rFonts w:ascii="Times New Roman" w:eastAsia="Times New Roman" w:hAnsi="Times New Roman" w:cs="Times New Roman"/>
          <w:sz w:val="24"/>
          <w:szCs w:val="24"/>
          <w:lang w:eastAsia="en-GB"/>
        </w:rPr>
        <w:t>Eschbaumer</w:t>
      </w:r>
      <w:proofErr w:type="spellEnd"/>
      <w:r w:rsidRPr="00562A7E">
        <w:rPr>
          <w:rFonts w:ascii="Times New Roman" w:eastAsia="Times New Roman" w:hAnsi="Times New Roman" w:cs="Times New Roman"/>
          <w:sz w:val="24"/>
          <w:szCs w:val="24"/>
          <w:lang w:eastAsia="en-GB"/>
        </w:rPr>
        <w:t xml:space="preserve"> et al., 2009; </w:t>
      </w:r>
      <w:proofErr w:type="spellStart"/>
      <w:r w:rsidRPr="00562A7E">
        <w:rPr>
          <w:rFonts w:ascii="Times New Roman" w:eastAsia="Times New Roman" w:hAnsi="Times New Roman" w:cs="Times New Roman"/>
          <w:sz w:val="24"/>
          <w:szCs w:val="24"/>
          <w:lang w:eastAsia="en-GB"/>
        </w:rPr>
        <w:t>Wäckerlin</w:t>
      </w:r>
      <w:proofErr w:type="spellEnd"/>
      <w:r w:rsidRPr="00562A7E">
        <w:rPr>
          <w:rFonts w:ascii="Times New Roman" w:eastAsia="Times New Roman" w:hAnsi="Times New Roman" w:cs="Times New Roman"/>
          <w:sz w:val="24"/>
          <w:szCs w:val="24"/>
          <w:lang w:eastAsia="en-GB"/>
        </w:rPr>
        <w:t xml:space="preserve"> et al., 2010). The Dutch BTV-3 vaccine evaluation is especially valuable because it assessed mortality reduction under real epidemic conditions (Dijkstra et al., 2025). Similar studies should be embedded prospectively in future vaccination campaigns, with standardised recording of vaccine product, batch, schedule, flock size, prior exposure and outcomes.</w:t>
      </w:r>
    </w:p>
    <w:p w14:paraId="0571AF7E"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Immune correlates of protection also require refinement. Neutralising antibodies are important, but cellular immunity and responses to conserved proteins may contribute to protection or reduction in disease severity (Feenstra &amp; van Rijn, 2017; Jiménez-Cabello et al., 2021). Newer platforms expressing combinations of outer-capsid and non-structural proteins are promising, including MVA-based approaches that have shown strong experimental protection (Jiménez-Cabello et al., 2024). These platforms should be tested against diverse strains, in sheep breeds representative of field populations, and under conditions relevant to emergency deployment.</w:t>
      </w:r>
    </w:p>
    <w:p w14:paraId="75663A14"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Vaccine policy research is equally important. Questions of who pays, how vaccine banks are maintained, how emergency authorisations are triggered, and how DIVA-compatible strategies affect trade determine whether scientifically effective vaccines become epidemiologically effective interventions. In sheep systems with narrow margins, even a good vaccine may fail at population level if procurement and communication are delayed.</w:t>
      </w:r>
    </w:p>
    <w:p w14:paraId="6DCF1224"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8.4 Socio-ecological modelling and decision support</w:t>
      </w:r>
    </w:p>
    <w:p w14:paraId="3BF7D91A"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Models have substantially improved understanding of bluetongue transmission, but decision support remains underdeveloped. Transmission models incorporating vector and animal movement can estimate the relative contribution of different pathways and evaluate control scenarios (Sumner et al., 2017; Turner et al., 2012). Climate and landscape models can anticipate shifts in suitability and epidemic velocity (Jacquot et al., 2017; Jones et al., 2019; Nicolas et al., 2018). Yet many model outputs remain difficult for field decision-makers to use because they are uncertain, spatially coarse or disconnected from vaccine logistics.</w:t>
      </w:r>
    </w:p>
    <w:p w14:paraId="2E50952F"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Future modelling should be organised around operational questions. These include where vaccines should be prioritised when supply is limited, how early movement controls must be imposed to alter epidemic trajectory, which areas are likely to remain susceptible after a partial epidemic, and when vector surveillance indicates that seasonal risk has declined enough to adjust restrictions. Models should also include behavioural and economic factors, because farmer uptake of vaccination and reporting is shaped by trust, perceived risk, cost and previous outbreak experience.</w:t>
      </w:r>
    </w:p>
    <w:p w14:paraId="647804A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most useful decision systems will combine real-time climate data, vector surveillance, animal movement records, diagnostic results, genomic sequences and flock demographics. Such integration is technically demanding, but the alternative is repeated reactive response. The BTV-3 experience shows that severe sheep losses can occur before conventional systems fully mobilise; decision support must therefore become more anticipatory.</w:t>
      </w:r>
    </w:p>
    <w:p w14:paraId="6B56D5E0"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9. Policy and Practice Implications</w:t>
      </w:r>
    </w:p>
    <w:p w14:paraId="7D57EB75"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9.1 Flock health, welfare and contingency planning</w:t>
      </w:r>
    </w:p>
    <w:p w14:paraId="30F0D5BA"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For sheep producers and veterinary authorities, bluetongue contingency planning should begin before the vector season. Flocks in at-risk areas should have vaccination plans, diagnostic pathways, mortality recording systems and communication channels in place before clinical signs appear. The severity of BTV-3 disease in Dutch sheep, including substantial excess mortality, shows that waiting for local confirmation may be too late for optimal protection (Santman-Berends et al., 2024; van den Brink et al., 2024). Emergency plans should therefore define pre-agreed triggers for vaccine ordering, farmer alerts, movement advice and enhanced surveillance.</w:t>
      </w:r>
    </w:p>
    <w:p w14:paraId="2243FB8B"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Welfare should be treated as a central outcome. Bluetongue can cause painful oral lesions, lameness, respiratory distress and prolonged recovery even when animals survive (MacLachlan et al., 2009; van den Brink et al., 2024). Control assessment should therefore include clinical severity, duration of illness, culling, reproductive losses and welfare interventions, not only mortality and confirmed infections. Veterinary guidance should also address supportive care, humane decision-making and differential diagnosis.</w:t>
      </w:r>
    </w:p>
    <w:p w14:paraId="2515B51A"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Flock-level records are critical. Accurate data on vaccination dates, batch numbers, animal groups, deaths, clinical signs and movements allow better interpretation of vaccine effectiveness and outbreak impact. The BTV-3 vaccine evaluation in the Netherlands was limited in part by incomplete vaccine registration, showing how data gaps reduce the precision of field-effectiveness estimates (Dijkstra et al., 2025). Vaccination campaigns should therefore be designed as surveillance opportunities, with simple recording systems that farmers can realistically use.</w:t>
      </w:r>
    </w:p>
    <w:p w14:paraId="4CD1635D" w14:textId="77777777" w:rsidR="00562A7E" w:rsidRPr="00562A7E" w:rsidRDefault="00562A7E" w:rsidP="005A185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9.2 Surveillance-to-action thresholds and communication</w:t>
      </w:r>
    </w:p>
    <w:p w14:paraId="17DDB41D"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Surveillance is valuable only if it changes decisions. Authorities should therefore define how different signals will trigger action: a clinical suspect in sheep, a PCR-confirmed case, a positive vector pool, detection of a novel serotype, a mortality anomaly, or genomic evidence of a new lineage. Scientific guidance on surveillance, control and safe movement provides a foundation, but local thresholds must account for vector season, vaccine availability, host density and regional susceptibility (EFSA AHAW Panel, 2017). Without clear thresholds, data may accumulate while control remains delayed.</w:t>
      </w:r>
    </w:p>
    <w:p w14:paraId="2F538165"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Communication must be technically accurate and practically usable. Farmers should understand that vaccination may reduce mortality without completely preventing infection, that cattle may contribute to transmission despite mild disease, and that vector control measures are supportive rather than fully protective. The BTV-3 outbreak showed that rapid spatial spread can occur in dense livestock regions, making timely communication essential (Boender et al., 2024). Messages should avoid false reassurance when cases are geographically near but not yet confirmed locally, because vector-borne spread does not follow administrative borders neatly.</w:t>
      </w:r>
    </w:p>
    <w:p w14:paraId="3197D6C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Genomic communication deserves special care. Announcing a novel serotype or </w:t>
      </w:r>
      <w:proofErr w:type="spellStart"/>
      <w:r w:rsidRPr="00562A7E">
        <w:rPr>
          <w:rFonts w:ascii="Times New Roman" w:eastAsia="Times New Roman" w:hAnsi="Times New Roman" w:cs="Times New Roman"/>
          <w:sz w:val="24"/>
          <w:szCs w:val="24"/>
          <w:lang w:eastAsia="en-GB"/>
        </w:rPr>
        <w:t>reassortant</w:t>
      </w:r>
      <w:proofErr w:type="spellEnd"/>
      <w:r w:rsidRPr="00562A7E">
        <w:rPr>
          <w:rFonts w:ascii="Times New Roman" w:eastAsia="Times New Roman" w:hAnsi="Times New Roman" w:cs="Times New Roman"/>
          <w:sz w:val="24"/>
          <w:szCs w:val="24"/>
          <w:lang w:eastAsia="en-GB"/>
        </w:rPr>
        <w:t xml:space="preserve"> virus without explaining implications can create confusion, while delayed communication can undermine trust. Genomic findings should be translated into clear statements about diagnostic confidence, relatedness to known strains, vaccine relevance and remaining uncertainty. The BTV-12 detection in the Netherlands demonstrates both the power of sequencing and the limits of source inference when introduction routes remain unresolved (van den Brom et al., 2025).</w:t>
      </w:r>
    </w:p>
    <w:p w14:paraId="2916ACDD"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10. Conclusions</w:t>
      </w:r>
    </w:p>
    <w:p w14:paraId="65F272B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Bluetongue virus in sheep is best understood as a climate-sensitive, vector-borne and genomically dynamic disease system rather than a fixed set of serotypes in predefined risk zones. The recent history of BTV-8, BTV-3 and BTV-12 shows that temperate livestock regions can experience sudden incursions, severe sheep mortality and unexpected serotype emergence despite advanced veterinary infrastructure. Sheep are central to this challenge because they often carry the greatest clinical and welfare burden, while cattle, goats, wildlife and vectors shape the wider transmission network.</w:t>
      </w:r>
    </w:p>
    <w:p w14:paraId="212723C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Several conclusions follow from the evidence reviewed here. First, transmission depends on local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ecology, climate, landscape and host management, which makes regional surveillance indispensable. Second, whole-genome sequencing is now essential for recognising novel incursions, reassortment and viral relatedness, but sequencing must be </w:t>
      </w:r>
      <w:r w:rsidRPr="00562A7E">
        <w:rPr>
          <w:rFonts w:ascii="Times New Roman" w:eastAsia="Times New Roman" w:hAnsi="Times New Roman" w:cs="Times New Roman"/>
          <w:sz w:val="24"/>
          <w:szCs w:val="24"/>
          <w:lang w:eastAsia="en-GB"/>
        </w:rPr>
        <w:lastRenderedPageBreak/>
        <w:t>integrated with epidemiological metadata and field surveillance. Third, vaccination remains the cornerstone of disease mitigation in sheep where matched vaccines are available, yet its effectiveness depends on timing, coverage, serotype match and accurate field recording. Fourth, One Health control is appropriate because bluetongue connects animal health, climate change, ecosystems, trade, rural livelihoods and welfare, even without zoonotic infection.</w:t>
      </w:r>
    </w:p>
    <w:p w14:paraId="75937E13"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Future preparedness should move from reactive outbreak confirmation to anticipatory risk management. This requires earlier seasonal warning, vaccine strategies that can adapt to emerging serotypes, stronger vector competence evidence, harmonised genomic standards, integrated mortality and movement data, and communication systems that help farmers act before severe losses occur. Bluetongue control in sheep will not be achieved by any single technology. It will depend on how effectively virology, entomology, epidemiology, vaccination, policy and farm practice are brought together.</w:t>
      </w:r>
    </w:p>
    <w:p w14:paraId="36588C60"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11. Limitations</w:t>
      </w:r>
    </w:p>
    <w:p w14:paraId="7E0E00E2"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This review used a critical narrative approach rather than formal meta-analysis. That design allowed synthesis across virology, vector ecology, genomic surveillance, vaccination and policy, but it did not produce pooled quantitative estimates of vaccine efficacy, vector competence, mortality risk or intervention effect. The heterogeneity of outbreak settings, serotypes, vector species, diagnostic methods and livestock systems would make such pooled estimates difficult to interpret without narrower eligibility criteria.</w:t>
      </w:r>
    </w:p>
    <w:p w14:paraId="7A44DF46" w14:textId="77777777" w:rsidR="00562A7E" w:rsidRP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review was also constrained by uneven evidence across regions and serotypes. European BTV-8 and BTV-3 evidence is comparatively rich, while data from many endemic or resource-limited regions remain less accessible, less standardised or less frequently linked to complete genomic and vector metadata. Field-effectiveness evidence for newer vaccines, especially under high vector challenge and across diverse sheep production systems, remains limited. Similarly, detection of BTV RNA in field-collected midges is useful but does not always establish transmission competence, leaving uncertainty about the relative contribution of individual vector species during outbreaks.</w:t>
      </w:r>
    </w:p>
    <w:p w14:paraId="3F368654" w14:textId="77777777" w:rsidR="00562A7E" w:rsidRDefault="00562A7E"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Finally, the review emphasised peer-reviewed sources with verifiable DOI metadata. This improved traceability and reduced the risk of unsupported claims, but it may have excluded timely operational information from outbreak bulletins, field reports and national surveillance updates that had not yet entered the peer-reviewed literature. The conclusions should therefore be interpreted as a synthesis of the published scientific evidence base rather than a substitute for real-time veterinary risk assessment during active outbreaks.</w:t>
      </w:r>
    </w:p>
    <w:p w14:paraId="29CC0EC5" w14:textId="77777777" w:rsidR="009713B8" w:rsidRPr="000839CE" w:rsidRDefault="009713B8" w:rsidP="005A185A">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145F75A2" w14:textId="77777777" w:rsidR="009713B8" w:rsidRPr="000839CE" w:rsidRDefault="009713B8" w:rsidP="005A185A">
      <w:pPr>
        <w:spacing w:after="0" w:line="240" w:lineRule="auto"/>
        <w:jc w:val="both"/>
        <w:rPr>
          <w:rFonts w:ascii="Times New Roman" w:hAnsi="Times New Roman" w:cs="Times New Roman"/>
        </w:rPr>
      </w:pPr>
    </w:p>
    <w:p w14:paraId="2D308811" w14:textId="77777777" w:rsidR="009713B8" w:rsidRPr="000839CE" w:rsidRDefault="009713B8" w:rsidP="005A185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9E0C134" w14:textId="77777777" w:rsidR="009713B8" w:rsidRPr="00562A7E" w:rsidRDefault="009713B8" w:rsidP="005A185A">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7E60B73C" w14:textId="77777777" w:rsidR="00562A7E" w:rsidRPr="00562A7E" w:rsidRDefault="00562A7E" w:rsidP="005A185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References</w:t>
      </w:r>
    </w:p>
    <w:p w14:paraId="5F6286B6"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Alkhamis</w:t>
      </w:r>
      <w:proofErr w:type="spellEnd"/>
      <w:r w:rsidRPr="00562A7E">
        <w:rPr>
          <w:rFonts w:ascii="Times New Roman" w:hAnsi="Times New Roman" w:cs="Times New Roman"/>
          <w:sz w:val="24"/>
        </w:rPr>
        <w:t>, M. A., Aguilar-Vega, C., Fountain-Jones, N. M., Lin, K., Perez, A. M., &amp; Sánchez-Vizcaíno, J. M. (2020). Global emergence and evolutionary dynamics of bluetongue virus. Scientific Reports, 10(1), 21677. https://doi.org/10.1038/s41598-020-78673-9</w:t>
      </w:r>
    </w:p>
    <w:p w14:paraId="61D6CF27"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Boender, G.-J., </w:t>
      </w:r>
      <w:proofErr w:type="spellStart"/>
      <w:r w:rsidRPr="00562A7E">
        <w:rPr>
          <w:rFonts w:ascii="Times New Roman" w:hAnsi="Times New Roman" w:cs="Times New Roman"/>
          <w:sz w:val="24"/>
        </w:rPr>
        <w:t>Hagenaars</w:t>
      </w:r>
      <w:proofErr w:type="spellEnd"/>
      <w:r w:rsidRPr="00562A7E">
        <w:rPr>
          <w:rFonts w:ascii="Times New Roman" w:hAnsi="Times New Roman" w:cs="Times New Roman"/>
          <w:sz w:val="24"/>
        </w:rPr>
        <w:t xml:space="preserve">, T. J., Holwerda, M.,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van Rijn, P. A., van der Spek, A. N., &amp; Elbers, A. R. W. (2024). Spatial transmission characteristics of the bluetongue virus serotype 3 epidemic in The Netherlands, 2023. Viruses, 16(4), 625. https://doi.org/10.3390/v16040625</w:t>
      </w:r>
    </w:p>
    <w:p w14:paraId="08D5FF9C"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Brand, S. P. C., &amp; Keeling, M. J. (2017). The impact of temperature changes on vector-borne disease transmission: Culicoides midges and bluetongue virus. Journal of the Royal Society Interface, 14(128), 20160481. https://doi.org/10.1098/rsif.2016.0481</w:t>
      </w:r>
    </w:p>
    <w:p w14:paraId="14BBC17E"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Bumbarov, V., Golender, N., </w:t>
      </w:r>
      <w:proofErr w:type="spellStart"/>
      <w:r w:rsidRPr="00562A7E">
        <w:rPr>
          <w:rFonts w:ascii="Times New Roman" w:hAnsi="Times New Roman" w:cs="Times New Roman"/>
          <w:sz w:val="24"/>
        </w:rPr>
        <w:t>Erster</w:t>
      </w:r>
      <w:proofErr w:type="spellEnd"/>
      <w:r w:rsidRPr="00562A7E">
        <w:rPr>
          <w:rFonts w:ascii="Times New Roman" w:hAnsi="Times New Roman" w:cs="Times New Roman"/>
          <w:sz w:val="24"/>
        </w:rPr>
        <w:t xml:space="preserve">, O., &amp; </w:t>
      </w:r>
      <w:proofErr w:type="spellStart"/>
      <w:r w:rsidRPr="00562A7E">
        <w:rPr>
          <w:rFonts w:ascii="Times New Roman" w:hAnsi="Times New Roman" w:cs="Times New Roman"/>
          <w:sz w:val="24"/>
        </w:rPr>
        <w:t>Khinich</w:t>
      </w:r>
      <w:proofErr w:type="spellEnd"/>
      <w:r w:rsidRPr="00562A7E">
        <w:rPr>
          <w:rFonts w:ascii="Times New Roman" w:hAnsi="Times New Roman" w:cs="Times New Roman"/>
          <w:sz w:val="24"/>
        </w:rPr>
        <w:t>, Y. (2016). Detection and isolation of bluetongue virus from commercial vaccine batches. Vaccine, 34(28), 3317–3323. https://doi.org/10.1016/j.vaccine.2016.03.097</w:t>
      </w:r>
    </w:p>
    <w:p w14:paraId="01FAACA2"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Caporale, M., Di Gialleonardo, L., Janowicz, A., Wilkie, G., Shaw, A., Savini, G., van Rijn, P. A., Mertens, P., Di Ventura, M., &amp; </w:t>
      </w:r>
      <w:proofErr w:type="spellStart"/>
      <w:r w:rsidRPr="00562A7E">
        <w:rPr>
          <w:rFonts w:ascii="Times New Roman" w:hAnsi="Times New Roman" w:cs="Times New Roman"/>
          <w:sz w:val="24"/>
        </w:rPr>
        <w:t>Palmarini</w:t>
      </w:r>
      <w:proofErr w:type="spellEnd"/>
      <w:r w:rsidRPr="00562A7E">
        <w:rPr>
          <w:rFonts w:ascii="Times New Roman" w:hAnsi="Times New Roman" w:cs="Times New Roman"/>
          <w:sz w:val="24"/>
        </w:rPr>
        <w:t>, M. (2014). Virus and host factors affecting the clinical outcome of bluetongue virus infection. Journal of Virology, 88(18), 10399–10411. https://doi.org/10.1128/JVI.01641-14</w:t>
      </w:r>
    </w:p>
    <w:p w14:paraId="08BD7CA0"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Carpenter, S., </w:t>
      </w:r>
      <w:proofErr w:type="spellStart"/>
      <w:r w:rsidRPr="00562A7E">
        <w:rPr>
          <w:rFonts w:ascii="Times New Roman" w:hAnsi="Times New Roman" w:cs="Times New Roman"/>
          <w:sz w:val="24"/>
        </w:rPr>
        <w:t>Groschup</w:t>
      </w:r>
      <w:proofErr w:type="spellEnd"/>
      <w:r w:rsidRPr="00562A7E">
        <w:rPr>
          <w:rFonts w:ascii="Times New Roman" w:hAnsi="Times New Roman" w:cs="Times New Roman"/>
          <w:sz w:val="24"/>
        </w:rPr>
        <w:t>, M. H., Garros, C., Felippe-Bauer, M. L., &amp; Purse, B. V. (2013). Culicoides biting midges, arboviruses and public health in Europe. Antiviral Research, 100(1), 102–113. https://doi.org/10.1016/j.antiviral.2013.07.020</w:t>
      </w:r>
    </w:p>
    <w:p w14:paraId="6862BB53"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Carpenter, S., Veronesi, E., Mullens, B., &amp; Venter, G. (2015). Vector competence of Culicoides for arboviruses: Three major periods of research, their influence on current studies and future directions. Revue Scientifique et Technique de </w:t>
      </w:r>
      <w:proofErr w:type="spellStart"/>
      <w:r w:rsidRPr="00562A7E">
        <w:rPr>
          <w:rFonts w:ascii="Times New Roman" w:hAnsi="Times New Roman" w:cs="Times New Roman"/>
          <w:sz w:val="24"/>
        </w:rPr>
        <w:t>l’OIE</w:t>
      </w:r>
      <w:proofErr w:type="spellEnd"/>
      <w:r w:rsidRPr="00562A7E">
        <w:rPr>
          <w:rFonts w:ascii="Times New Roman" w:hAnsi="Times New Roman" w:cs="Times New Roman"/>
          <w:sz w:val="24"/>
        </w:rPr>
        <w:t>, 34(1), 97–112. https://doi.org/10.20506/rst.34.1.2347</w:t>
      </w:r>
    </w:p>
    <w:p w14:paraId="2EB94EA3"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Dijkstra, E., Santman-Berends, I. M. G. A., Stegeman, A., van den Brink, K. M. J. A., van Schaik, G., &amp; van den Brom, R. (2025). Evaluating the effect of vaccination on the impact of BTV-3 in Dutch sheep flocks in 2024. Veterinary Microbiology, 309, 110652. https://doi.org/10.1016/j.vetmic.2025.110652</w:t>
      </w:r>
    </w:p>
    <w:p w14:paraId="160A9890" w14:textId="77777777" w:rsidR="008C2B0E" w:rsidRPr="00F35B33" w:rsidRDefault="00000000" w:rsidP="005A185A">
      <w:pPr>
        <w:jc w:val="both"/>
        <w:rPr>
          <w:bCs/>
        </w:rPr>
      </w:pPr>
      <w:r w:rsidRPr="00F35B33">
        <w:rPr>
          <w:bCs/>
          <w:highlight w:val="yellow"/>
        </w:rPr>
        <w:t>de Klerk, J., Tildesley, M., Robbins, A., &amp; Gorsich, E. (2024). Parameterisation of a bluetongue virus mathematical model using a systematic literature review. Preventive Veterinary Medicine, 232, 106328. https://doi.org/10.1016/j.prevetmed.2024.106328</w:t>
      </w:r>
    </w:p>
    <w:p w14:paraId="2F8B7B85"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EFSA Panel on Animal Health and Welfare. (2017). Bluetongue: Control, surveillance and safe movement of animals. EFSA Journal, 15(3), e04698. https://doi.org/10.2903/j.efsa.2017.4698</w:t>
      </w:r>
    </w:p>
    <w:p w14:paraId="150E616E"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lastRenderedPageBreak/>
        <w:t xml:space="preserve">Elbers, A. R. W., Backx, A., </w:t>
      </w:r>
      <w:proofErr w:type="spellStart"/>
      <w:r w:rsidRPr="00562A7E">
        <w:rPr>
          <w:rFonts w:ascii="Times New Roman" w:hAnsi="Times New Roman" w:cs="Times New Roman"/>
          <w:sz w:val="24"/>
        </w:rPr>
        <w:t>Méroc</w:t>
      </w:r>
      <w:proofErr w:type="spellEnd"/>
      <w:r w:rsidRPr="00562A7E">
        <w:rPr>
          <w:rFonts w:ascii="Times New Roman" w:hAnsi="Times New Roman" w:cs="Times New Roman"/>
          <w:sz w:val="24"/>
        </w:rPr>
        <w:t xml:space="preserve">, E., Gerbier, G., Staubach, C., Hendrickx, G., van der Spek, A. N., &amp; </w:t>
      </w:r>
      <w:proofErr w:type="spellStart"/>
      <w:r w:rsidRPr="00562A7E">
        <w:rPr>
          <w:rFonts w:ascii="Times New Roman" w:hAnsi="Times New Roman" w:cs="Times New Roman"/>
          <w:sz w:val="24"/>
        </w:rPr>
        <w:t>Mintiens</w:t>
      </w:r>
      <w:proofErr w:type="spellEnd"/>
      <w:r w:rsidRPr="00562A7E">
        <w:rPr>
          <w:rFonts w:ascii="Times New Roman" w:hAnsi="Times New Roman" w:cs="Times New Roman"/>
          <w:sz w:val="24"/>
        </w:rPr>
        <w:t>, K. (2008a). Field observations during the bluetongue serotype 8 epidemic in 2006. I. Detection of first outbreaks and clinical signs in sheep and cattle in Belgium, France and the Netherlands. Preventive Veterinary Medicine, 87(1–2), 21–30. https://doi.org/10.1016/j.prevetmed.2008.06.004</w:t>
      </w:r>
    </w:p>
    <w:p w14:paraId="63BC70B5"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Elbers, A. R. W., Backx, A., </w:t>
      </w:r>
      <w:proofErr w:type="spellStart"/>
      <w:r w:rsidRPr="00562A7E">
        <w:rPr>
          <w:rFonts w:ascii="Times New Roman" w:hAnsi="Times New Roman" w:cs="Times New Roman"/>
          <w:sz w:val="24"/>
        </w:rPr>
        <w:t>Mintiens</w:t>
      </w:r>
      <w:proofErr w:type="spellEnd"/>
      <w:r w:rsidRPr="00562A7E">
        <w:rPr>
          <w:rFonts w:ascii="Times New Roman" w:hAnsi="Times New Roman" w:cs="Times New Roman"/>
          <w:sz w:val="24"/>
        </w:rPr>
        <w:t>, K., Gerbier, G., Staubach, C., Hendrickx, G., &amp; van der Spek, A. N. (2008b). Field observations during the bluetongue serotype 8 epidemic in 2006. II. Morbidity and mortality rate, case fatality and clinical recovery in sheep and cattle in the Netherlands. Preventive Veterinary Medicine, 87(1–2), 31–40. https://doi.org/10.1016/j.prevetmed.2008.06.003</w:t>
      </w:r>
    </w:p>
    <w:p w14:paraId="4F3CAEFD"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Eschbaumer</w:t>
      </w:r>
      <w:proofErr w:type="spellEnd"/>
      <w:r w:rsidRPr="00562A7E">
        <w:rPr>
          <w:rFonts w:ascii="Times New Roman" w:hAnsi="Times New Roman" w:cs="Times New Roman"/>
          <w:sz w:val="24"/>
        </w:rPr>
        <w:t xml:space="preserve">, M., Hoffmann, B., König, P., Teifke, J. P., Gethmann, J. M., &amp; </w:t>
      </w:r>
      <w:proofErr w:type="spellStart"/>
      <w:r w:rsidRPr="00562A7E">
        <w:rPr>
          <w:rFonts w:ascii="Times New Roman" w:hAnsi="Times New Roman" w:cs="Times New Roman"/>
          <w:sz w:val="24"/>
        </w:rPr>
        <w:t>Conraths</w:t>
      </w:r>
      <w:proofErr w:type="spellEnd"/>
      <w:r w:rsidRPr="00562A7E">
        <w:rPr>
          <w:rFonts w:ascii="Times New Roman" w:hAnsi="Times New Roman" w:cs="Times New Roman"/>
          <w:sz w:val="24"/>
        </w:rPr>
        <w:t>, F. J. (2009). Efficacy of three inactivated vaccines against bluetongue virus serotype 8 in sheep. Vaccine, 27(31), 4169–4175. https://doi.org/10.1016/j.vaccine.2009.04.056</w:t>
      </w:r>
    </w:p>
    <w:p w14:paraId="6611F494"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Feenstra, F., &amp; van Rijn, P. A. (2017). Current and next-generation bluetongue vaccines: Requirements, strategies, and prospects for different field situations. Critical Reviews in Microbiology, 43(2), 142–155. https://doi.org/10.1080/1040841X.2016.1186005</w:t>
      </w:r>
    </w:p>
    <w:p w14:paraId="59E0B558"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Flannery, J., Sanz-Bernardo, B., Ashby, M., Brown, H., Carpenter, S., Cooke, L., Corla, A., Frost, L., Gubbins, S., Hicks, H., Qureshi, M., Rajko-Nenow, P., Sanders, C., Tully, M., </w:t>
      </w:r>
      <w:proofErr w:type="spellStart"/>
      <w:r w:rsidRPr="00562A7E">
        <w:rPr>
          <w:rFonts w:ascii="Times New Roman" w:hAnsi="Times New Roman" w:cs="Times New Roman"/>
          <w:sz w:val="24"/>
        </w:rPr>
        <w:t>Bréard</w:t>
      </w:r>
      <w:proofErr w:type="spellEnd"/>
      <w:r w:rsidRPr="00562A7E">
        <w:rPr>
          <w:rFonts w:ascii="Times New Roman" w:hAnsi="Times New Roman" w:cs="Times New Roman"/>
          <w:sz w:val="24"/>
        </w:rPr>
        <w:t xml:space="preserve">, E., </w:t>
      </w:r>
      <w:proofErr w:type="spellStart"/>
      <w:r w:rsidRPr="00562A7E">
        <w:rPr>
          <w:rFonts w:ascii="Times New Roman" w:hAnsi="Times New Roman" w:cs="Times New Roman"/>
          <w:sz w:val="24"/>
        </w:rPr>
        <w:t>Sailleau</w:t>
      </w:r>
      <w:proofErr w:type="spellEnd"/>
      <w:r w:rsidRPr="00562A7E">
        <w:rPr>
          <w:rFonts w:ascii="Times New Roman" w:hAnsi="Times New Roman" w:cs="Times New Roman"/>
          <w:sz w:val="24"/>
        </w:rPr>
        <w:t>, C., Zientara, S., Darpel, K., &amp; Batten, C. (2019). Evidence of reduced viremia, pathogenicity and vector competence in a re-emerging European strain of bluetongue virus serotype 8 in sheep. Transboundary and Emerging Diseases, 66(3), 1177–1185. https://doi.org/10.1111/tbed.13131</w:t>
      </w:r>
    </w:p>
    <w:p w14:paraId="1C99DA2C"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Green, B. N., Johnson, C. D., &amp; Adams, A. (2006). Writing narrative literature reviews for peer-reviewed journals: Secrets of the trade. Journal of Chiropractic Medicine, 5(3), 101–117. https://doi.org/10.1016/S0899-3467(07)60142-6</w:t>
      </w:r>
    </w:p>
    <w:p w14:paraId="55537E5C"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Guis</w:t>
      </w:r>
      <w:proofErr w:type="spellEnd"/>
      <w:r w:rsidRPr="00562A7E">
        <w:rPr>
          <w:rFonts w:ascii="Times New Roman" w:hAnsi="Times New Roman" w:cs="Times New Roman"/>
          <w:sz w:val="24"/>
        </w:rPr>
        <w:t xml:space="preserve">, H., </w:t>
      </w:r>
      <w:proofErr w:type="spellStart"/>
      <w:r w:rsidRPr="00562A7E">
        <w:rPr>
          <w:rFonts w:ascii="Times New Roman" w:hAnsi="Times New Roman" w:cs="Times New Roman"/>
          <w:sz w:val="24"/>
        </w:rPr>
        <w:t>Caminade</w:t>
      </w:r>
      <w:proofErr w:type="spellEnd"/>
      <w:r w:rsidRPr="00562A7E">
        <w:rPr>
          <w:rFonts w:ascii="Times New Roman" w:hAnsi="Times New Roman" w:cs="Times New Roman"/>
          <w:sz w:val="24"/>
        </w:rPr>
        <w:t>, C., Calvete, C., Morse, A. P., Tran, A., &amp; Baylis, M. (2012). Modelling the effects of past and future climate on the risk of bluetongue emergence in Europe. Journal of the Royal Society Interface, 9(67), 339–350. https://doi.org/10.1098/rsif.2011.0255</w:t>
      </w:r>
    </w:p>
    <w:p w14:paraId="7F2367FC"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Hoffmann, B., </w:t>
      </w:r>
      <w:proofErr w:type="spellStart"/>
      <w:r w:rsidRPr="00562A7E">
        <w:rPr>
          <w:rFonts w:ascii="Times New Roman" w:hAnsi="Times New Roman" w:cs="Times New Roman"/>
          <w:sz w:val="24"/>
        </w:rPr>
        <w:t>Eschbaumer</w:t>
      </w:r>
      <w:proofErr w:type="spellEnd"/>
      <w:r w:rsidRPr="00562A7E">
        <w:rPr>
          <w:rFonts w:ascii="Times New Roman" w:hAnsi="Times New Roman" w:cs="Times New Roman"/>
          <w:sz w:val="24"/>
        </w:rPr>
        <w:t>, M., &amp; Beer, M. (2009). Real-time quantitative reverse transcription-PCR assays specifically detecting bluetongue virus serotypes 1, 6, and 8. Journal of Clinical Microbiology, 47(9), 2992–2994. https://doi.org/10.1128/JCM.00599-09</w:t>
      </w:r>
    </w:p>
    <w:p w14:paraId="0C592337"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Holwerda, M., Santman-Berends, I. M. G. A., </w:t>
      </w:r>
      <w:proofErr w:type="spellStart"/>
      <w:r w:rsidRPr="00562A7E">
        <w:rPr>
          <w:rFonts w:ascii="Times New Roman" w:hAnsi="Times New Roman" w:cs="Times New Roman"/>
          <w:sz w:val="24"/>
        </w:rPr>
        <w:t>Harders</w:t>
      </w:r>
      <w:proofErr w:type="spellEnd"/>
      <w:r w:rsidRPr="00562A7E">
        <w:rPr>
          <w:rFonts w:ascii="Times New Roman" w:hAnsi="Times New Roman" w:cs="Times New Roman"/>
          <w:sz w:val="24"/>
        </w:rPr>
        <w:t xml:space="preserve">, F., Engelsma, M., </w:t>
      </w:r>
      <w:proofErr w:type="spellStart"/>
      <w:r w:rsidRPr="00562A7E">
        <w:rPr>
          <w:rFonts w:ascii="Times New Roman" w:hAnsi="Times New Roman" w:cs="Times New Roman"/>
          <w:sz w:val="24"/>
        </w:rPr>
        <w:t>Vloet</w:t>
      </w:r>
      <w:proofErr w:type="spellEnd"/>
      <w:r w:rsidRPr="00562A7E">
        <w:rPr>
          <w:rFonts w:ascii="Times New Roman" w:hAnsi="Times New Roman" w:cs="Times New Roman"/>
          <w:sz w:val="24"/>
        </w:rPr>
        <w:t xml:space="preserve">, R. P. M., Dijkstra, E., van Gennip, R. G. P., Mars, M. H.,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xml:space="preserve">, M., </w:t>
      </w:r>
      <w:proofErr w:type="spellStart"/>
      <w:r w:rsidRPr="00562A7E">
        <w:rPr>
          <w:rFonts w:ascii="Times New Roman" w:hAnsi="Times New Roman" w:cs="Times New Roman"/>
          <w:sz w:val="24"/>
        </w:rPr>
        <w:t>Roos</w:t>
      </w:r>
      <w:proofErr w:type="spellEnd"/>
      <w:r w:rsidRPr="00562A7E">
        <w:rPr>
          <w:rFonts w:ascii="Times New Roman" w:hAnsi="Times New Roman" w:cs="Times New Roman"/>
          <w:sz w:val="24"/>
        </w:rPr>
        <w:t>, L., van den Brom, R., &amp; van Rijn, P. A. (2024). Emergence of bluetongue virus serotype 3, the Netherlands, September 2023. Emerging Infectious Diseases, 30(8), 1552–1561. https://doi.org/10.3201/eid3008.231331</w:t>
      </w:r>
    </w:p>
    <w:p w14:paraId="52A8A16A"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Jacquot, M., Nomikou, K., </w:t>
      </w:r>
      <w:proofErr w:type="spellStart"/>
      <w:r w:rsidRPr="00562A7E">
        <w:rPr>
          <w:rFonts w:ascii="Times New Roman" w:hAnsi="Times New Roman" w:cs="Times New Roman"/>
          <w:sz w:val="24"/>
        </w:rPr>
        <w:t>Palmarini</w:t>
      </w:r>
      <w:proofErr w:type="spellEnd"/>
      <w:r w:rsidRPr="00562A7E">
        <w:rPr>
          <w:rFonts w:ascii="Times New Roman" w:hAnsi="Times New Roman" w:cs="Times New Roman"/>
          <w:sz w:val="24"/>
        </w:rPr>
        <w:t>, M., Mertens, P., &amp; Biek, R. (2017). Bluetongue virus spread in Europe is a consequence of climatic, landscape and vertebrate host factors as revealed by phylogeographic inference. Proceedings of the Royal Society B: Biological Sciences, 284(1864), 20170919. https://doi.org/10.1098/rspb.2017.0919</w:t>
      </w:r>
    </w:p>
    <w:p w14:paraId="2A452E56"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lastRenderedPageBreak/>
        <w:t>Jiménez-Cabello, L., Utrilla-Trigo, S., Calvo-Pinilla, E., Lorenzo, G., Illescas-Amo, M., Benavides, J., Moreno, S., Marín-López, A., Nogales, A., &amp; Ortego, J. (2024). Co-expression of VP2, NS1 and NS2-Nt proteins by an MVA viral vector induces complete protection against bluetongue virus. Frontiers in Immunology, 15, 1440407. https://doi.org/10.3389/fimmu.2024.1440407</w:t>
      </w:r>
    </w:p>
    <w:p w14:paraId="3B0F5004"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Jiménez-Cabello, L., Utrilla-Trigo, S., Calvo-Pinilla, E., Moreno, S., Nogales, A., Ortego, J., &amp; Marín-López, A. (2021). Viral vector vaccines against bluetongue virus. Microorganisms, 9(1), 42. https://doi.org/10.3390/microorganisms9010042</w:t>
      </w:r>
    </w:p>
    <w:p w14:paraId="557D7AD3"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Jones, A. E., Turner, J., </w:t>
      </w:r>
      <w:proofErr w:type="spellStart"/>
      <w:r w:rsidRPr="00562A7E">
        <w:rPr>
          <w:rFonts w:ascii="Times New Roman" w:hAnsi="Times New Roman" w:cs="Times New Roman"/>
          <w:sz w:val="24"/>
        </w:rPr>
        <w:t>Caminade</w:t>
      </w:r>
      <w:proofErr w:type="spellEnd"/>
      <w:r w:rsidRPr="00562A7E">
        <w:rPr>
          <w:rFonts w:ascii="Times New Roman" w:hAnsi="Times New Roman" w:cs="Times New Roman"/>
          <w:sz w:val="24"/>
        </w:rPr>
        <w:t xml:space="preserve">, C., Heath, A. E., </w:t>
      </w:r>
      <w:proofErr w:type="spellStart"/>
      <w:r w:rsidRPr="00562A7E">
        <w:rPr>
          <w:rFonts w:ascii="Times New Roman" w:hAnsi="Times New Roman" w:cs="Times New Roman"/>
          <w:sz w:val="24"/>
        </w:rPr>
        <w:t>Wardeh</w:t>
      </w:r>
      <w:proofErr w:type="spellEnd"/>
      <w:r w:rsidRPr="00562A7E">
        <w:rPr>
          <w:rFonts w:ascii="Times New Roman" w:hAnsi="Times New Roman" w:cs="Times New Roman"/>
          <w:sz w:val="24"/>
        </w:rPr>
        <w:t xml:space="preserve">, M., </w:t>
      </w:r>
      <w:proofErr w:type="spellStart"/>
      <w:r w:rsidRPr="00562A7E">
        <w:rPr>
          <w:rFonts w:ascii="Times New Roman" w:hAnsi="Times New Roman" w:cs="Times New Roman"/>
          <w:sz w:val="24"/>
        </w:rPr>
        <w:t>Kluiters</w:t>
      </w:r>
      <w:proofErr w:type="spellEnd"/>
      <w:r w:rsidRPr="00562A7E">
        <w:rPr>
          <w:rFonts w:ascii="Times New Roman" w:hAnsi="Times New Roman" w:cs="Times New Roman"/>
          <w:sz w:val="24"/>
        </w:rPr>
        <w:t>, G., Diggle, P., Morse, A. P., &amp; Baylis, M. (2019). Bluetongue risk under future climates. Nature Climate Change, 9(2), 153–157. https://doi.org/10.1038/s41558-018-0376-6</w:t>
      </w:r>
    </w:p>
    <w:p w14:paraId="49DDD488"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Kluiters</w:t>
      </w:r>
      <w:proofErr w:type="spellEnd"/>
      <w:r w:rsidRPr="00562A7E">
        <w:rPr>
          <w:rFonts w:ascii="Times New Roman" w:hAnsi="Times New Roman" w:cs="Times New Roman"/>
          <w:sz w:val="24"/>
        </w:rPr>
        <w:t xml:space="preserve">, G., Sugden, D., </w:t>
      </w:r>
      <w:proofErr w:type="spellStart"/>
      <w:r w:rsidRPr="00562A7E">
        <w:rPr>
          <w:rFonts w:ascii="Times New Roman" w:hAnsi="Times New Roman" w:cs="Times New Roman"/>
          <w:sz w:val="24"/>
        </w:rPr>
        <w:t>Guis</w:t>
      </w:r>
      <w:proofErr w:type="spellEnd"/>
      <w:r w:rsidRPr="00562A7E">
        <w:rPr>
          <w:rFonts w:ascii="Times New Roman" w:hAnsi="Times New Roman" w:cs="Times New Roman"/>
          <w:sz w:val="24"/>
        </w:rPr>
        <w:t>, H., McIntyre, K. M., Labuschagne, K., Vilar, M. J., &amp; Baylis, M. (2013). Modelling the spatial distribution of Culicoides biting midges at the local scale. Journal of Applied Ecology, 50(1), 232–242. https://doi.org/10.1111/1365-2664.12030</w:t>
      </w:r>
    </w:p>
    <w:p w14:paraId="5E2F441D"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MacLachlan, N. J., Drew, C. P., Darpel, K. E., &amp; Worwa, G. (2009). The pathology and pathogenesis of bluetongue. Journal of Comparative Pathology, 141(1), 1–16. https://doi.org/10.1016/j.jcpa.2009.04.003</w:t>
      </w:r>
    </w:p>
    <w:p w14:paraId="5654FD27"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MacLachlan, N. J., &amp; Guthrie, A. J. (2010). Re-emergence of bluetongue, African horse sickness, and other </w:t>
      </w:r>
      <w:proofErr w:type="spellStart"/>
      <w:r w:rsidRPr="00562A7E">
        <w:rPr>
          <w:rFonts w:ascii="Times New Roman" w:hAnsi="Times New Roman" w:cs="Times New Roman"/>
          <w:sz w:val="24"/>
        </w:rPr>
        <w:t>orbivirus</w:t>
      </w:r>
      <w:proofErr w:type="spellEnd"/>
      <w:r w:rsidRPr="00562A7E">
        <w:rPr>
          <w:rFonts w:ascii="Times New Roman" w:hAnsi="Times New Roman" w:cs="Times New Roman"/>
          <w:sz w:val="24"/>
        </w:rPr>
        <w:t xml:space="preserve"> diseases. Veterinary Research, 41, 35. https://doi.org/10.1051/vetres/2010007</w:t>
      </w:r>
    </w:p>
    <w:p w14:paraId="15809B3C"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MacLachlan, N. J., &amp; Mayo, C. E. (2013). Potential strategies for control of bluetongue, a globally emerging, Culicoides-transmitted viral disease of ruminant livestock and wildlife. Antiviral Research, 99(2), 79–90. https://doi.org/10.1016/j.antiviral.2013.04.021</w:t>
      </w:r>
    </w:p>
    <w:p w14:paraId="01D00D04"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MacLachlan, N. J., Mayo, C. E., Daniels, P. W., Savini, G., Zientara, S., &amp; Gibbs, E. P. J. (2015). Bluetongue. Revue Scientifique et Technique de </w:t>
      </w:r>
      <w:proofErr w:type="spellStart"/>
      <w:r w:rsidRPr="00562A7E">
        <w:rPr>
          <w:rFonts w:ascii="Times New Roman" w:hAnsi="Times New Roman" w:cs="Times New Roman"/>
          <w:sz w:val="24"/>
        </w:rPr>
        <w:t>l’OIE</w:t>
      </w:r>
      <w:proofErr w:type="spellEnd"/>
      <w:r w:rsidRPr="00562A7E">
        <w:rPr>
          <w:rFonts w:ascii="Times New Roman" w:hAnsi="Times New Roman" w:cs="Times New Roman"/>
          <w:sz w:val="24"/>
        </w:rPr>
        <w:t>, 34(2), 329–340. https://doi.org/10.20506/rst.34.2.2360</w:t>
      </w:r>
    </w:p>
    <w:p w14:paraId="258FF91E"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McVey, D. S., &amp; MacLachlan, N. J. (2015). Vaccines for prevention of bluetongue and epizootic hemorrhagic disease in livestock: A North American perspective. Vector-Borne and Zoonotic Diseases, 15(6), 385–396. https://doi.org/10.1089/vbz.2014.1698</w:t>
      </w:r>
    </w:p>
    <w:p w14:paraId="1F54C341"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Mellor, P. S., Carpenter, S., Harrup, L., Baylis, M., &amp; Mertens, P. P. C. (2008). Bluetongue in Europe and the Mediterranean Basin: History of occurrence prior to 2006. Preventive Veterinary Medicine, 87(1–2), 4–20. https://doi.org/10.1016/j.prevetmed.2008.06.002</w:t>
      </w:r>
    </w:p>
    <w:p w14:paraId="11D34672"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Mignotte</w:t>
      </w:r>
      <w:proofErr w:type="spellEnd"/>
      <w:r w:rsidRPr="00562A7E">
        <w:rPr>
          <w:rFonts w:ascii="Times New Roman" w:hAnsi="Times New Roman" w:cs="Times New Roman"/>
          <w:sz w:val="24"/>
        </w:rPr>
        <w:t xml:space="preserve">, A., Garros, C., </w:t>
      </w:r>
      <w:proofErr w:type="spellStart"/>
      <w:r w:rsidRPr="00562A7E">
        <w:rPr>
          <w:rFonts w:ascii="Times New Roman" w:hAnsi="Times New Roman" w:cs="Times New Roman"/>
          <w:sz w:val="24"/>
        </w:rPr>
        <w:t>Dellicour</w:t>
      </w:r>
      <w:proofErr w:type="spellEnd"/>
      <w:r w:rsidRPr="00562A7E">
        <w:rPr>
          <w:rFonts w:ascii="Times New Roman" w:hAnsi="Times New Roman" w:cs="Times New Roman"/>
          <w:sz w:val="24"/>
        </w:rPr>
        <w:t xml:space="preserve">, S., Jacquot, M., Gilbert, M., </w:t>
      </w:r>
      <w:proofErr w:type="spellStart"/>
      <w:r w:rsidRPr="00562A7E">
        <w:rPr>
          <w:rFonts w:ascii="Times New Roman" w:hAnsi="Times New Roman" w:cs="Times New Roman"/>
          <w:sz w:val="24"/>
        </w:rPr>
        <w:t>Gardès</w:t>
      </w:r>
      <w:proofErr w:type="spellEnd"/>
      <w:r w:rsidRPr="00562A7E">
        <w:rPr>
          <w:rFonts w:ascii="Times New Roman" w:hAnsi="Times New Roman" w:cs="Times New Roman"/>
          <w:sz w:val="24"/>
        </w:rPr>
        <w:t xml:space="preserve">, L., </w:t>
      </w:r>
      <w:proofErr w:type="spellStart"/>
      <w:r w:rsidRPr="00562A7E">
        <w:rPr>
          <w:rFonts w:ascii="Times New Roman" w:hAnsi="Times New Roman" w:cs="Times New Roman"/>
          <w:sz w:val="24"/>
        </w:rPr>
        <w:t>Balenghien</w:t>
      </w:r>
      <w:proofErr w:type="spellEnd"/>
      <w:r w:rsidRPr="00562A7E">
        <w:rPr>
          <w:rFonts w:ascii="Times New Roman" w:hAnsi="Times New Roman" w:cs="Times New Roman"/>
          <w:sz w:val="24"/>
        </w:rPr>
        <w:t xml:space="preserve">, T., </w:t>
      </w:r>
      <w:proofErr w:type="spellStart"/>
      <w:r w:rsidRPr="00562A7E">
        <w:rPr>
          <w:rFonts w:ascii="Times New Roman" w:hAnsi="Times New Roman" w:cs="Times New Roman"/>
          <w:sz w:val="24"/>
        </w:rPr>
        <w:t>Duhayon</w:t>
      </w:r>
      <w:proofErr w:type="spellEnd"/>
      <w:r w:rsidRPr="00562A7E">
        <w:rPr>
          <w:rFonts w:ascii="Times New Roman" w:hAnsi="Times New Roman" w:cs="Times New Roman"/>
          <w:sz w:val="24"/>
        </w:rPr>
        <w:t xml:space="preserve">, M., Rakotoarivony, I., de </w:t>
      </w:r>
      <w:proofErr w:type="spellStart"/>
      <w:r w:rsidRPr="00562A7E">
        <w:rPr>
          <w:rFonts w:ascii="Times New Roman" w:hAnsi="Times New Roman" w:cs="Times New Roman"/>
          <w:sz w:val="24"/>
        </w:rPr>
        <w:t>Wavrechin</w:t>
      </w:r>
      <w:proofErr w:type="spellEnd"/>
      <w:r w:rsidRPr="00562A7E">
        <w:rPr>
          <w:rFonts w:ascii="Times New Roman" w:hAnsi="Times New Roman" w:cs="Times New Roman"/>
          <w:sz w:val="24"/>
        </w:rPr>
        <w:t xml:space="preserve">, M., &amp; Huber, K. (2021). High dispersal capacity of Culicoides obsoletus (Diptera: Ceratopogonidae), vector of bluetongue and </w:t>
      </w:r>
      <w:proofErr w:type="spellStart"/>
      <w:r w:rsidRPr="00562A7E">
        <w:rPr>
          <w:rFonts w:ascii="Times New Roman" w:hAnsi="Times New Roman" w:cs="Times New Roman"/>
          <w:sz w:val="24"/>
        </w:rPr>
        <w:t>Schmallenberg</w:t>
      </w:r>
      <w:proofErr w:type="spellEnd"/>
      <w:r w:rsidRPr="00562A7E">
        <w:rPr>
          <w:rFonts w:ascii="Times New Roman" w:hAnsi="Times New Roman" w:cs="Times New Roman"/>
          <w:sz w:val="24"/>
        </w:rPr>
        <w:t xml:space="preserve"> viruses, revealed by landscape genetic analyses. Parasites &amp; Vectors, 14, 93. https://doi.org/10.1186/s13071-020-04522-3</w:t>
      </w:r>
    </w:p>
    <w:p w14:paraId="71422EDF"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Mintiens</w:t>
      </w:r>
      <w:proofErr w:type="spellEnd"/>
      <w:r w:rsidRPr="00562A7E">
        <w:rPr>
          <w:rFonts w:ascii="Times New Roman" w:hAnsi="Times New Roman" w:cs="Times New Roman"/>
          <w:sz w:val="24"/>
        </w:rPr>
        <w:t xml:space="preserve">, K., </w:t>
      </w:r>
      <w:proofErr w:type="spellStart"/>
      <w:r w:rsidRPr="00562A7E">
        <w:rPr>
          <w:rFonts w:ascii="Times New Roman" w:hAnsi="Times New Roman" w:cs="Times New Roman"/>
          <w:sz w:val="24"/>
        </w:rPr>
        <w:t>Méroc</w:t>
      </w:r>
      <w:proofErr w:type="spellEnd"/>
      <w:r w:rsidRPr="00562A7E">
        <w:rPr>
          <w:rFonts w:ascii="Times New Roman" w:hAnsi="Times New Roman" w:cs="Times New Roman"/>
          <w:sz w:val="24"/>
        </w:rPr>
        <w:t xml:space="preserve">, E., Mellor, P. S., Staubach, C., Gerbier, G., Elbers, A. R. W., Hendrickx, G., &amp; De Clercq, K. (2008). Possible routes of introduction of bluetongue virus </w:t>
      </w:r>
      <w:r w:rsidRPr="00562A7E">
        <w:rPr>
          <w:rFonts w:ascii="Times New Roman" w:hAnsi="Times New Roman" w:cs="Times New Roman"/>
          <w:sz w:val="24"/>
        </w:rPr>
        <w:lastRenderedPageBreak/>
        <w:t>serotype 8 into the epicentre of the 2006 epidemic in north-western Europe. Preventive Veterinary Medicine, 87(1–2), 131–144. https://doi.org/10.1016/j.prevetmed.2008.06.011</w:t>
      </w:r>
    </w:p>
    <w:p w14:paraId="130D0857"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Nicolas, G., Tisseuil, C., Conte, A., </w:t>
      </w:r>
      <w:proofErr w:type="spellStart"/>
      <w:r w:rsidRPr="00562A7E">
        <w:rPr>
          <w:rFonts w:ascii="Times New Roman" w:hAnsi="Times New Roman" w:cs="Times New Roman"/>
          <w:sz w:val="24"/>
        </w:rPr>
        <w:t>Allepuz</w:t>
      </w:r>
      <w:proofErr w:type="spellEnd"/>
      <w:r w:rsidRPr="00562A7E">
        <w:rPr>
          <w:rFonts w:ascii="Times New Roman" w:hAnsi="Times New Roman" w:cs="Times New Roman"/>
          <w:sz w:val="24"/>
        </w:rPr>
        <w:t xml:space="preserve">, A., </w:t>
      </w:r>
      <w:proofErr w:type="spellStart"/>
      <w:r w:rsidRPr="00562A7E">
        <w:rPr>
          <w:rFonts w:ascii="Times New Roman" w:hAnsi="Times New Roman" w:cs="Times New Roman"/>
          <w:sz w:val="24"/>
        </w:rPr>
        <w:t>Pioz</w:t>
      </w:r>
      <w:proofErr w:type="spellEnd"/>
      <w:r w:rsidRPr="00562A7E">
        <w:rPr>
          <w:rFonts w:ascii="Times New Roman" w:hAnsi="Times New Roman" w:cs="Times New Roman"/>
          <w:sz w:val="24"/>
        </w:rPr>
        <w:t>, M., Lancelot, R., &amp; Gilbert, M. (2018). Environmental heterogeneity and variations in the velocity of bluetongue virus spread in six European epidemics. Preventive Veterinary Medicine, 149, 1–9. https://doi.org/10.1016/j.prevetmed.2017.11.005</w:t>
      </w:r>
    </w:p>
    <w:p w14:paraId="7605B7A9"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Paslaru</w:t>
      </w:r>
      <w:proofErr w:type="spellEnd"/>
      <w:r w:rsidRPr="00562A7E">
        <w:rPr>
          <w:rFonts w:ascii="Times New Roman" w:hAnsi="Times New Roman" w:cs="Times New Roman"/>
          <w:sz w:val="24"/>
        </w:rPr>
        <w:t>, A. I., Mathis, A., Torgerson, P., &amp; Veronesi, E. (2018). Vector competence of pre-alpine Culicoides (Diptera: Ceratopogonidae) for bluetongue virus serotypes 1, 4 and 8. Parasites &amp; Vectors, 11, 466. https://doi.org/10.1186/s13071-018-3050-y</w:t>
      </w:r>
    </w:p>
    <w:p w14:paraId="5463C83A"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Patel, A., &amp; Roy, P. (2014). The molecular biology of bluetongue virus replication. Virus Research, 182, 5–20. https://doi.org/10.1016/j.virusres.2013.12.017</w:t>
      </w:r>
    </w:p>
    <w:p w14:paraId="13054066"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Purse, B. V., Carpenter, S., Venter, G. J., Bellis, G., &amp; Mullens, B. A. (2015). Bionomics of temperate and tropical Culicoides midges: Knowledge gaps and consequences for transmission of Culicoides-borne viruses. Annual Review of Entomology, 60, 373–392. https://doi.org/10.1146/annurev-ento-010814-020614</w:t>
      </w:r>
    </w:p>
    <w:p w14:paraId="4B844F0A"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Purse, B. V., Mellor, P. S., Rogers, D. J., Samuel, A. R., Mertens, P. P. C., &amp; Baylis, M. (2005). Climate change and the recent emergence of bluetongue in Europe. Nature Reviews Microbiology, 3(2), 171–181. https://doi.org/10.1038/nrmicro1090</w:t>
      </w:r>
    </w:p>
    <w:p w14:paraId="2DD8FF23"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Ruder, M. G., Lysyk, T. J., Stallknecht, D. E., Foil, L. D., Johnson, D. J., Chase, C. C., Dargatz, D. A., &amp; Gibbs, E. P. J. (2015). Transmission and epidemiology of bluetongue and epizootic hemorrhagic disease in North America: Current perspectives, research gaps, and future directions. Vector-Borne and Zoonotic Diseases, 15(6), 348–363. https://doi.org/10.1089/vbz.2014.1703</w:t>
      </w:r>
    </w:p>
    <w:p w14:paraId="78C0A6A5"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Saminathan</w:t>
      </w:r>
      <w:proofErr w:type="spellEnd"/>
      <w:r w:rsidRPr="00562A7E">
        <w:rPr>
          <w:rFonts w:ascii="Times New Roman" w:hAnsi="Times New Roman" w:cs="Times New Roman"/>
          <w:sz w:val="24"/>
        </w:rPr>
        <w:t xml:space="preserve">, M., Singh, K. P., </w:t>
      </w:r>
      <w:proofErr w:type="spellStart"/>
      <w:r w:rsidRPr="00562A7E">
        <w:rPr>
          <w:rFonts w:ascii="Times New Roman" w:hAnsi="Times New Roman" w:cs="Times New Roman"/>
          <w:sz w:val="24"/>
        </w:rPr>
        <w:t>Khorajiya</w:t>
      </w:r>
      <w:proofErr w:type="spellEnd"/>
      <w:r w:rsidRPr="00562A7E">
        <w:rPr>
          <w:rFonts w:ascii="Times New Roman" w:hAnsi="Times New Roman" w:cs="Times New Roman"/>
          <w:sz w:val="24"/>
        </w:rPr>
        <w:t xml:space="preserve">, J. H., Dinesh, M., Vineetha, S., Maity, M., Rahman, A. T. F., Misri, J., Malik, Y. S., Gupta, V. K., Singh, R. K., &amp; </w:t>
      </w:r>
      <w:proofErr w:type="spellStart"/>
      <w:r w:rsidRPr="00562A7E">
        <w:rPr>
          <w:rFonts w:ascii="Times New Roman" w:hAnsi="Times New Roman" w:cs="Times New Roman"/>
          <w:sz w:val="24"/>
        </w:rPr>
        <w:t>Dhama</w:t>
      </w:r>
      <w:proofErr w:type="spellEnd"/>
      <w:r w:rsidRPr="00562A7E">
        <w:rPr>
          <w:rFonts w:ascii="Times New Roman" w:hAnsi="Times New Roman" w:cs="Times New Roman"/>
          <w:sz w:val="24"/>
        </w:rPr>
        <w:t>, K. (2020). An updated review on bluetongue virus: Epidemiology, pathobiology, and advances in diagnosis and control with special reference to India. Veterinary Quarterly, 40(1), 258–321. https://doi.org/10.1080/01652176.2020.1831708</w:t>
      </w:r>
    </w:p>
    <w:p w14:paraId="11C60C58"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Samy, A. M., &amp; Peterson, A. T. (2016). Climate change influences on the global potential distribution of bluetongue virus. PLOS ONE, 11(3), e0150489. https://doi.org/10.1371/journal.pone.0150489</w:t>
      </w:r>
    </w:p>
    <w:p w14:paraId="75D43DF1"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Sanders, C., Veronesi, E., Rajko-Nenow, P., Mertens, P. P. C., Batten, C., Gubbins, S., Carpenter, S., &amp; Darpel, K. (2022). Field-reassortment of bluetongue virus illustrates plasticity of virus-associated phenotypic traits in the arthropod vector and mammalian host in vivo. Journal of Virology, 96(13), e00531-22. https://doi.org/10.1128/jvi.00531-22</w:t>
      </w:r>
    </w:p>
    <w:p w14:paraId="6A594CAC"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Santman-Berends, I. M. G. A., Brouwer-</w:t>
      </w:r>
      <w:proofErr w:type="spellStart"/>
      <w:r w:rsidRPr="00562A7E">
        <w:rPr>
          <w:rFonts w:ascii="Times New Roman" w:hAnsi="Times New Roman" w:cs="Times New Roman"/>
          <w:sz w:val="24"/>
        </w:rPr>
        <w:t>Middelesch</w:t>
      </w:r>
      <w:proofErr w:type="spellEnd"/>
      <w:r w:rsidRPr="00562A7E">
        <w:rPr>
          <w:rFonts w:ascii="Times New Roman" w:hAnsi="Times New Roman" w:cs="Times New Roman"/>
          <w:sz w:val="24"/>
        </w:rPr>
        <w:t xml:space="preserve">, H., Van </w:t>
      </w:r>
      <w:proofErr w:type="spellStart"/>
      <w:r w:rsidRPr="00562A7E">
        <w:rPr>
          <w:rFonts w:ascii="Times New Roman" w:hAnsi="Times New Roman" w:cs="Times New Roman"/>
          <w:sz w:val="24"/>
        </w:rPr>
        <w:t>Wuijckhuise</w:t>
      </w:r>
      <w:proofErr w:type="spellEnd"/>
      <w:r w:rsidRPr="00562A7E">
        <w:rPr>
          <w:rFonts w:ascii="Times New Roman" w:hAnsi="Times New Roman" w:cs="Times New Roman"/>
          <w:sz w:val="24"/>
        </w:rPr>
        <w:t>, L., de Bont-Smolenaars, A. J. G., &amp; Van Schaik, G. (2016). Surveillance of cattle health in the Netherlands: Monitoring trends and developments using routinely collected cattle census data. Preventive Veterinary Medicine, 134, 103–112. https://doi.org/10.1016/j.prevetmed.2016.10.002</w:t>
      </w:r>
    </w:p>
    <w:p w14:paraId="7EDF41B7"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lastRenderedPageBreak/>
        <w:t xml:space="preserve">Santman-Berends, I. M. G. A., </w:t>
      </w:r>
      <w:proofErr w:type="spellStart"/>
      <w:r w:rsidRPr="00562A7E">
        <w:rPr>
          <w:rFonts w:ascii="Times New Roman" w:hAnsi="Times New Roman" w:cs="Times New Roman"/>
          <w:sz w:val="24"/>
        </w:rPr>
        <w:t>Dijktra</w:t>
      </w:r>
      <w:proofErr w:type="spellEnd"/>
      <w:r w:rsidRPr="00562A7E">
        <w:rPr>
          <w:rFonts w:ascii="Times New Roman" w:hAnsi="Times New Roman" w:cs="Times New Roman"/>
          <w:sz w:val="24"/>
        </w:rPr>
        <w:t>, E., van den Brink, K. M. J. A., van den Brom, R., Fabri, N., Ter Bogt-Kappert, C., Mars, M. H., &amp; Veldhuis, A. M. B. (2026). Seroprevalence of bluetongue serotype 3 and associated risk factors in Dutch sheep: An analysis of the variation of between- and within-farm prevalences following the first epidemic year. Preventive Veterinary Medicine, 246, 106699. https://doi.org/10.1016/j.prevetmed.2025.106699</w:t>
      </w:r>
    </w:p>
    <w:p w14:paraId="55E90483"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Santman-Berends, I. M. G. A., van den Brink, K. M. J. A., Dijkstra, E., van Schaik, G.,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&amp; van den Brom, R. (2024). The impact of the bluetongue serotype 3 outbreak on sheep and goat mortality in the Netherlands in 2023. Preventive Veterinary Medicine, 231, 106289. https://doi.org/10.1016/j.prevetmed.2024.106289</w:t>
      </w:r>
    </w:p>
    <w:p w14:paraId="675EF951"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Savini, G., Hamers, C., Conte, A., Migliaccio, P., Bonfini, B., </w:t>
      </w:r>
      <w:proofErr w:type="spellStart"/>
      <w:r w:rsidRPr="00562A7E">
        <w:rPr>
          <w:rFonts w:ascii="Times New Roman" w:hAnsi="Times New Roman" w:cs="Times New Roman"/>
          <w:sz w:val="24"/>
        </w:rPr>
        <w:t>Teodori</w:t>
      </w:r>
      <w:proofErr w:type="spellEnd"/>
      <w:r w:rsidRPr="00562A7E">
        <w:rPr>
          <w:rFonts w:ascii="Times New Roman" w:hAnsi="Times New Roman" w:cs="Times New Roman"/>
          <w:sz w:val="24"/>
        </w:rPr>
        <w:t xml:space="preserve">, L., Di Ventura, M., </w:t>
      </w:r>
      <w:proofErr w:type="spellStart"/>
      <w:r w:rsidRPr="00562A7E">
        <w:rPr>
          <w:rFonts w:ascii="Times New Roman" w:hAnsi="Times New Roman" w:cs="Times New Roman"/>
          <w:sz w:val="24"/>
        </w:rPr>
        <w:t>Hudelet</w:t>
      </w:r>
      <w:proofErr w:type="spellEnd"/>
      <w:r w:rsidRPr="00562A7E">
        <w:rPr>
          <w:rFonts w:ascii="Times New Roman" w:hAnsi="Times New Roman" w:cs="Times New Roman"/>
          <w:sz w:val="24"/>
        </w:rPr>
        <w:t>, P., Schumacher, C., &amp; Caporale, V. (2009). Assessment of efficacy of a bivalent BTV-2 and BTV-4 inactivated vaccine by vaccination and challenge in cattle. Veterinary Microbiology, 133(1–2), 1–8. https://doi.org/10.1016/j.vetmic.2008.05.032</w:t>
      </w:r>
    </w:p>
    <w:p w14:paraId="418F8F90"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Sukhera, J. (2022). Narrative reviews: Flexible, rigorous, and practical. Journal of Graduate Medical Education, 14(4), 414–417. https://doi.org/10.4300/JGME-D-22-00480.1</w:t>
      </w:r>
    </w:p>
    <w:p w14:paraId="3B8359CF"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Sumner, T., Orton, R. J., Green, D. M., Kao, R. R., &amp; Gubbins, S. (2017). Quantifying the roles of host movement and vector dispersal in the transmission of vector-borne diseases of livestock. PLOS Computational Biology, 13(4), e1005470. https://doi.org/10.1371/journal.pcbi.1005470</w:t>
      </w:r>
    </w:p>
    <w:p w14:paraId="39193384"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Turner, J., Bowers, R. G., &amp; Baylis, M. (2012). Modelling bluetongue virus transmission between farms using animal and vector movements. Scientific Reports, 2, 319. https://doi.org/10.1038/srep00319</w:t>
      </w:r>
    </w:p>
    <w:p w14:paraId="16DA1636"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proofErr w:type="spellStart"/>
      <w:r w:rsidRPr="00562A7E">
        <w:rPr>
          <w:rFonts w:ascii="Times New Roman" w:hAnsi="Times New Roman" w:cs="Times New Roman"/>
          <w:sz w:val="24"/>
        </w:rPr>
        <w:t>Uiterwijk</w:t>
      </w:r>
      <w:proofErr w:type="spellEnd"/>
      <w:r w:rsidRPr="00562A7E">
        <w:rPr>
          <w:rFonts w:ascii="Times New Roman" w:hAnsi="Times New Roman" w:cs="Times New Roman"/>
          <w:sz w:val="24"/>
        </w:rPr>
        <w:t xml:space="preserve">, M., Jacobs, F., de Boer, K., Feddema, A.-J., </w:t>
      </w:r>
      <w:proofErr w:type="spellStart"/>
      <w:r w:rsidRPr="00562A7E">
        <w:rPr>
          <w:rFonts w:ascii="Times New Roman" w:hAnsi="Times New Roman" w:cs="Times New Roman"/>
          <w:sz w:val="24"/>
        </w:rPr>
        <w:t>Vloet</w:t>
      </w:r>
      <w:proofErr w:type="spellEnd"/>
      <w:r w:rsidRPr="00562A7E">
        <w:rPr>
          <w:rFonts w:ascii="Times New Roman" w:hAnsi="Times New Roman" w:cs="Times New Roman"/>
          <w:sz w:val="24"/>
        </w:rPr>
        <w:t>, R. P. M., Dik, M., Gonzales, J. L., van Rijn, P. A., Elbers, A. R. W., &amp; Holwerda, M. (2026). Culicoides species involved in the BTV-3 epidemic, the Netherlands, 2023–2024. Medical and Veterinary Entomology, 40(1), 111–122. https://doi.org/10.1111/mve.70007</w:t>
      </w:r>
    </w:p>
    <w:p w14:paraId="4792E57E"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van den Brink, K. M. J. A., Santman-Berends, I. M. G. A., Harkema, L., </w:t>
      </w:r>
      <w:proofErr w:type="spellStart"/>
      <w:r w:rsidRPr="00562A7E">
        <w:rPr>
          <w:rFonts w:ascii="Times New Roman" w:hAnsi="Times New Roman" w:cs="Times New Roman"/>
          <w:sz w:val="24"/>
        </w:rPr>
        <w:t>Scherpenzeel</w:t>
      </w:r>
      <w:proofErr w:type="spellEnd"/>
      <w:r w:rsidRPr="00562A7E">
        <w:rPr>
          <w:rFonts w:ascii="Times New Roman" w:hAnsi="Times New Roman" w:cs="Times New Roman"/>
          <w:sz w:val="24"/>
        </w:rPr>
        <w:t xml:space="preserve">, C. G. M., Dijkstra, E., Bisschop, P. I. H., Peterson, K., Snijders van de </w:t>
      </w:r>
      <w:proofErr w:type="spellStart"/>
      <w:r w:rsidRPr="00562A7E">
        <w:rPr>
          <w:rFonts w:ascii="Times New Roman" w:hAnsi="Times New Roman" w:cs="Times New Roman"/>
          <w:sz w:val="24"/>
        </w:rPr>
        <w:t>Burgwal</w:t>
      </w:r>
      <w:proofErr w:type="spellEnd"/>
      <w:r w:rsidRPr="00562A7E">
        <w:rPr>
          <w:rFonts w:ascii="Times New Roman" w:hAnsi="Times New Roman" w:cs="Times New Roman"/>
          <w:sz w:val="24"/>
        </w:rPr>
        <w:t xml:space="preserve">, N., Waldeck, H. W. F., Dijkstra, T., Holwerda, M.,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&amp; van den Brom, R. (2024). Bluetongue virus serotype 3 in ruminants in the Netherlands: Clinical signs, seroprevalence and pathological findings. Veterinary Record, 195(4), e4533. https://doi.org/10.1002/vetr.4533</w:t>
      </w:r>
    </w:p>
    <w:p w14:paraId="697ADE60"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van den Brom, R., Santman-Berends, I., van der Heijden, M. G., </w:t>
      </w:r>
      <w:proofErr w:type="spellStart"/>
      <w:r w:rsidRPr="00562A7E">
        <w:rPr>
          <w:rFonts w:ascii="Times New Roman" w:hAnsi="Times New Roman" w:cs="Times New Roman"/>
          <w:sz w:val="24"/>
        </w:rPr>
        <w:t>Harders</w:t>
      </w:r>
      <w:proofErr w:type="spellEnd"/>
      <w:r w:rsidRPr="00562A7E">
        <w:rPr>
          <w:rFonts w:ascii="Times New Roman" w:hAnsi="Times New Roman" w:cs="Times New Roman"/>
          <w:sz w:val="24"/>
        </w:rPr>
        <w:t xml:space="preserve">, F., Engelsma, M., van Gennip, R. G. P., Maris-Veldhuis, M. A., Feddema, A.-J., Peterson, K., </w:t>
      </w:r>
      <w:proofErr w:type="spellStart"/>
      <w:r w:rsidRPr="00562A7E">
        <w:rPr>
          <w:rFonts w:ascii="Times New Roman" w:hAnsi="Times New Roman" w:cs="Times New Roman"/>
          <w:sz w:val="24"/>
        </w:rPr>
        <w:t>Golender</w:t>
      </w:r>
      <w:proofErr w:type="spellEnd"/>
      <w:r w:rsidRPr="00562A7E">
        <w:rPr>
          <w:rFonts w:ascii="Times New Roman" w:hAnsi="Times New Roman" w:cs="Times New Roman"/>
          <w:sz w:val="24"/>
        </w:rPr>
        <w:t xml:space="preserve">, N.,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van Rijn, P. A., &amp; Holwerda, M. (2025). Bluetongue virus serotype 12 in sheep and cattle in the Netherlands in 2024: A BTV serotype reported in Europe for the first time. Veterinary Microbiology, 301, 110365. https://doi.org/10.1016/j.vetmic.2024.110365</w:t>
      </w:r>
    </w:p>
    <w:p w14:paraId="29B1ED48"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Velthuis, A. G. J., Saatkamp, H. W., Mourits, M. C. M., de </w:t>
      </w:r>
      <w:proofErr w:type="spellStart"/>
      <w:r w:rsidRPr="00562A7E">
        <w:rPr>
          <w:rFonts w:ascii="Times New Roman" w:hAnsi="Times New Roman" w:cs="Times New Roman"/>
          <w:sz w:val="24"/>
        </w:rPr>
        <w:t>Koeijer</w:t>
      </w:r>
      <w:proofErr w:type="spellEnd"/>
      <w:r w:rsidRPr="00562A7E">
        <w:rPr>
          <w:rFonts w:ascii="Times New Roman" w:hAnsi="Times New Roman" w:cs="Times New Roman"/>
          <w:sz w:val="24"/>
        </w:rPr>
        <w:t xml:space="preserve">, A. A., &amp; Elbers, A. R. W. (2010). Financial consequences of the Dutch bluetongue serotype 8 epidemics of 2006 </w:t>
      </w:r>
      <w:r w:rsidRPr="00562A7E">
        <w:rPr>
          <w:rFonts w:ascii="Times New Roman" w:hAnsi="Times New Roman" w:cs="Times New Roman"/>
          <w:sz w:val="24"/>
        </w:rPr>
        <w:lastRenderedPageBreak/>
        <w:t>and 2007. Preventive Veterinary Medicine, 93(4), 294–304. https://doi.org/10.1016/j.prevetmed.2009.11.007</w:t>
      </w:r>
    </w:p>
    <w:p w14:paraId="29E8A5EB" w14:textId="77777777" w:rsidR="008C2B0E" w:rsidRPr="00F35B33" w:rsidRDefault="00000000" w:rsidP="005A185A">
      <w:pPr>
        <w:jc w:val="both"/>
        <w:rPr>
          <w:bCs/>
        </w:rPr>
      </w:pPr>
      <w:r w:rsidRPr="00F35B33">
        <w:rPr>
          <w:bCs/>
          <w:highlight w:val="yellow"/>
        </w:rPr>
        <w:t>Voigt, A., Kampen, H., Heuser, E., Zeiske, S., Hoffmann, B., Höper, D., Holsteg, M., Sick, F., Ziegler, S., Wernike, K., Beer, M., &amp; Werner, D. (2024). Bluetongue virus serotype 3 and Schmallenberg virus in Culicoides biting midges, Western Germany, 2023. Emerging Infectious Diseases, 30(7), 1438-1441. https://doi.org/10.3201/eid3007.240275</w:t>
      </w:r>
    </w:p>
    <w:p w14:paraId="5D31FC24" w14:textId="77777777" w:rsidR="00562A7E"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 xml:space="preserve">Wäckerlin, R., </w:t>
      </w:r>
      <w:proofErr w:type="spellStart"/>
      <w:r w:rsidRPr="00562A7E">
        <w:rPr>
          <w:rFonts w:ascii="Times New Roman" w:hAnsi="Times New Roman" w:cs="Times New Roman"/>
          <w:sz w:val="24"/>
        </w:rPr>
        <w:t>Eschbaumer</w:t>
      </w:r>
      <w:proofErr w:type="spellEnd"/>
      <w:r w:rsidRPr="00562A7E">
        <w:rPr>
          <w:rFonts w:ascii="Times New Roman" w:hAnsi="Times New Roman" w:cs="Times New Roman"/>
          <w:sz w:val="24"/>
        </w:rPr>
        <w:t>, M., König, P., Hoffmann, B., &amp; Beer, M. (2010). Evaluation of humoral response and protective efficacy of three inactivated vaccines against bluetongue virus serotype 8 one year after vaccination of sheep and cattle. Vaccine, 28(27), 4348–4355. https://doi.org/10.1016/j.vaccine.2010.04.055</w:t>
      </w:r>
    </w:p>
    <w:p w14:paraId="61A2CDC3" w14:textId="77777777" w:rsidR="004841B3" w:rsidRPr="00562A7E" w:rsidRDefault="00562A7E" w:rsidP="005A185A">
      <w:pPr>
        <w:spacing w:before="100" w:beforeAutospacing="1" w:after="100" w:afterAutospacing="1" w:line="240" w:lineRule="auto"/>
        <w:jc w:val="both"/>
        <w:rPr>
          <w:rFonts w:ascii="Times New Roman" w:hAnsi="Times New Roman" w:cs="Times New Roman"/>
          <w:sz w:val="24"/>
        </w:rPr>
      </w:pPr>
      <w:r w:rsidRPr="00562A7E">
        <w:rPr>
          <w:rFonts w:ascii="Times New Roman" w:hAnsi="Times New Roman" w:cs="Times New Roman"/>
          <w:sz w:val="24"/>
        </w:rPr>
        <w:t>Wilson, A., &amp; Mellor, P. (2008). Bluetongue in Europe: Vectors, epidemiology and climate change. Parasitology Research, 103(Suppl. 1), S69–S77. https://doi.org/10.1007/s00436-008-1053-x</w:t>
      </w:r>
    </w:p>
    <w:p w14:paraId="3DBCA621" w14:textId="77777777" w:rsidR="008C2B0E" w:rsidRDefault="008C2B0E" w:rsidP="005A185A">
      <w:pPr>
        <w:jc w:val="both"/>
      </w:pPr>
    </w:p>
    <w:p w14:paraId="093E163C" w14:textId="77777777" w:rsidR="008C2B0E" w:rsidRDefault="008C2B0E" w:rsidP="005A185A">
      <w:pPr>
        <w:jc w:val="both"/>
      </w:pPr>
    </w:p>
    <w:p w14:paraId="2DE7B1E6" w14:textId="77777777" w:rsidR="008C2B0E" w:rsidRDefault="008C2B0E" w:rsidP="005A185A">
      <w:pPr>
        <w:jc w:val="both"/>
      </w:pPr>
    </w:p>
    <w:p w14:paraId="2CA07D94" w14:textId="77777777" w:rsidR="008C2B0E" w:rsidRDefault="008C2B0E" w:rsidP="005A185A">
      <w:pPr>
        <w:jc w:val="both"/>
      </w:pPr>
    </w:p>
    <w:p w14:paraId="23FE5303" w14:textId="77777777" w:rsidR="008C2B0E" w:rsidRDefault="008C2B0E" w:rsidP="005A185A">
      <w:pPr>
        <w:jc w:val="both"/>
      </w:pPr>
    </w:p>
    <w:sectPr w:rsidR="008C2B0E"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A3C3A" w14:textId="77777777" w:rsidR="00900209" w:rsidRDefault="00900209" w:rsidP="00777245">
      <w:pPr>
        <w:spacing w:after="0" w:line="240" w:lineRule="auto"/>
      </w:pPr>
      <w:r>
        <w:separator/>
      </w:r>
    </w:p>
  </w:endnote>
  <w:endnote w:type="continuationSeparator" w:id="0">
    <w:p w14:paraId="098C6405" w14:textId="77777777" w:rsidR="00900209" w:rsidRDefault="00900209" w:rsidP="0077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091D" w14:textId="77777777" w:rsidR="00777245" w:rsidRDefault="00777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A5A6" w14:textId="77777777" w:rsidR="00777245" w:rsidRDefault="007772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5EAD" w14:textId="77777777" w:rsidR="00777245" w:rsidRDefault="00777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D4D0" w14:textId="77777777" w:rsidR="00900209" w:rsidRDefault="00900209" w:rsidP="00777245">
      <w:pPr>
        <w:spacing w:after="0" w:line="240" w:lineRule="auto"/>
      </w:pPr>
      <w:r>
        <w:separator/>
      </w:r>
    </w:p>
  </w:footnote>
  <w:footnote w:type="continuationSeparator" w:id="0">
    <w:p w14:paraId="78AD1D8D" w14:textId="77777777" w:rsidR="00900209" w:rsidRDefault="00900209" w:rsidP="00777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9FD4" w14:textId="77777777" w:rsidR="00777245" w:rsidRDefault="00000000">
    <w:pPr>
      <w:pStyle w:val="Header"/>
    </w:pPr>
    <w:r>
      <w:rPr>
        <w:noProof/>
      </w:rPr>
      <w:pict w14:anchorId="3ED5F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0909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AF9C" w14:textId="77777777" w:rsidR="00777245" w:rsidRDefault="00000000">
    <w:pPr>
      <w:pStyle w:val="Header"/>
    </w:pPr>
    <w:r>
      <w:rPr>
        <w:noProof/>
      </w:rPr>
      <w:pict w14:anchorId="192FAA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0909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0E38" w14:textId="77777777" w:rsidR="00777245" w:rsidRDefault="00000000">
    <w:pPr>
      <w:pStyle w:val="Header"/>
    </w:pPr>
    <w:r>
      <w:rPr>
        <w:noProof/>
      </w:rPr>
      <w:pict w14:anchorId="5CCFB9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0909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D5D1D"/>
    <w:multiLevelType w:val="hybridMultilevel"/>
    <w:tmpl w:val="FDA42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201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M0MjcxNTcytTA1tTRW0lEKTi0uzszPAykwrAUAJl0qciwAAAA="/>
  </w:docVars>
  <w:rsids>
    <w:rsidRoot w:val="00503C03"/>
    <w:rsid w:val="00066E57"/>
    <w:rsid w:val="000973E1"/>
    <w:rsid w:val="00440312"/>
    <w:rsid w:val="004841B3"/>
    <w:rsid w:val="00503C03"/>
    <w:rsid w:val="00562A7E"/>
    <w:rsid w:val="00592867"/>
    <w:rsid w:val="005A185A"/>
    <w:rsid w:val="00777245"/>
    <w:rsid w:val="007D58CD"/>
    <w:rsid w:val="008C2B0E"/>
    <w:rsid w:val="00900209"/>
    <w:rsid w:val="009713B8"/>
    <w:rsid w:val="00B54B4B"/>
    <w:rsid w:val="00B622C8"/>
    <w:rsid w:val="00D30A60"/>
    <w:rsid w:val="00F35B33"/>
    <w:rsid w:val="00F50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2E0C8"/>
  <w15:docId w15:val="{5E2517DC-828F-4E74-B29B-C731A602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link w:val="Heading1Char"/>
    <w:uiPriority w:val="9"/>
    <w:qFormat/>
    <w:rsid w:val="00562A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62A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62A7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503C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03C03"/>
    <w:rPr>
      <w:i/>
      <w:iCs/>
    </w:rPr>
  </w:style>
  <w:style w:type="paragraph" w:styleId="NormalWeb">
    <w:name w:val="Normal (Web)"/>
    <w:basedOn w:val="Normal"/>
    <w:uiPriority w:val="99"/>
    <w:semiHidden/>
    <w:unhideWhenUsed/>
    <w:rsid w:val="00503C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3C03"/>
    <w:rPr>
      <w:color w:val="0000FF"/>
      <w:u w:val="single"/>
    </w:rPr>
  </w:style>
  <w:style w:type="character" w:customStyle="1" w:styleId="Heading1Char">
    <w:name w:val="Heading 1 Char"/>
    <w:basedOn w:val="DefaultParagraphFont"/>
    <w:link w:val="Heading1"/>
    <w:uiPriority w:val="9"/>
    <w:rsid w:val="00562A7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62A7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62A7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62A7E"/>
    <w:rPr>
      <w:b/>
      <w:bCs/>
    </w:rPr>
  </w:style>
  <w:style w:type="table" w:styleId="TableGrid">
    <w:name w:val="Table Grid"/>
    <w:basedOn w:val="TableNormal"/>
    <w:uiPriority w:val="59"/>
    <w:rsid w:val="0056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7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245"/>
  </w:style>
  <w:style w:type="paragraph" w:styleId="Footer">
    <w:name w:val="footer"/>
    <w:basedOn w:val="Normal"/>
    <w:link w:val="FooterChar"/>
    <w:uiPriority w:val="99"/>
    <w:unhideWhenUsed/>
    <w:rsid w:val="00777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48016">
      <w:bodyDiv w:val="1"/>
      <w:marLeft w:val="0"/>
      <w:marRight w:val="0"/>
      <w:marTop w:val="0"/>
      <w:marBottom w:val="0"/>
      <w:divBdr>
        <w:top w:val="none" w:sz="0" w:space="0" w:color="auto"/>
        <w:left w:val="none" w:sz="0" w:space="0" w:color="auto"/>
        <w:bottom w:val="none" w:sz="0" w:space="0" w:color="auto"/>
        <w:right w:val="none" w:sz="0" w:space="0" w:color="auto"/>
      </w:divBdr>
      <w:divsChild>
        <w:div w:id="1688171466">
          <w:marLeft w:val="0"/>
          <w:marRight w:val="0"/>
          <w:marTop w:val="0"/>
          <w:marBottom w:val="0"/>
          <w:divBdr>
            <w:top w:val="none" w:sz="0" w:space="0" w:color="auto"/>
            <w:left w:val="none" w:sz="0" w:space="0" w:color="auto"/>
            <w:bottom w:val="none" w:sz="0" w:space="0" w:color="auto"/>
            <w:right w:val="none" w:sz="0" w:space="0" w:color="auto"/>
          </w:divBdr>
          <w:divsChild>
            <w:div w:id="1910378423">
              <w:marLeft w:val="0"/>
              <w:marRight w:val="0"/>
              <w:marTop w:val="0"/>
              <w:marBottom w:val="0"/>
              <w:divBdr>
                <w:top w:val="none" w:sz="0" w:space="0" w:color="auto"/>
                <w:left w:val="none" w:sz="0" w:space="0" w:color="auto"/>
                <w:bottom w:val="none" w:sz="0" w:space="0" w:color="auto"/>
                <w:right w:val="none" w:sz="0" w:space="0" w:color="auto"/>
              </w:divBdr>
            </w:div>
          </w:divsChild>
        </w:div>
        <w:div w:id="1545944761">
          <w:marLeft w:val="0"/>
          <w:marRight w:val="0"/>
          <w:marTop w:val="0"/>
          <w:marBottom w:val="0"/>
          <w:divBdr>
            <w:top w:val="none" w:sz="0" w:space="0" w:color="auto"/>
            <w:left w:val="none" w:sz="0" w:space="0" w:color="auto"/>
            <w:bottom w:val="none" w:sz="0" w:space="0" w:color="auto"/>
            <w:right w:val="none" w:sz="0" w:space="0" w:color="auto"/>
          </w:divBdr>
          <w:divsChild>
            <w:div w:id="994335249">
              <w:marLeft w:val="0"/>
              <w:marRight w:val="0"/>
              <w:marTop w:val="0"/>
              <w:marBottom w:val="0"/>
              <w:divBdr>
                <w:top w:val="none" w:sz="0" w:space="0" w:color="auto"/>
                <w:left w:val="none" w:sz="0" w:space="0" w:color="auto"/>
                <w:bottom w:val="none" w:sz="0" w:space="0" w:color="auto"/>
                <w:right w:val="none" w:sz="0" w:space="0" w:color="auto"/>
              </w:divBdr>
            </w:div>
          </w:divsChild>
        </w:div>
        <w:div w:id="655064569">
          <w:marLeft w:val="0"/>
          <w:marRight w:val="0"/>
          <w:marTop w:val="0"/>
          <w:marBottom w:val="0"/>
          <w:divBdr>
            <w:top w:val="none" w:sz="0" w:space="0" w:color="auto"/>
            <w:left w:val="none" w:sz="0" w:space="0" w:color="auto"/>
            <w:bottom w:val="none" w:sz="0" w:space="0" w:color="auto"/>
            <w:right w:val="none" w:sz="0" w:space="0" w:color="auto"/>
          </w:divBdr>
          <w:divsChild>
            <w:div w:id="1629697969">
              <w:marLeft w:val="0"/>
              <w:marRight w:val="0"/>
              <w:marTop w:val="0"/>
              <w:marBottom w:val="0"/>
              <w:divBdr>
                <w:top w:val="none" w:sz="0" w:space="0" w:color="auto"/>
                <w:left w:val="none" w:sz="0" w:space="0" w:color="auto"/>
                <w:bottom w:val="none" w:sz="0" w:space="0" w:color="auto"/>
                <w:right w:val="none" w:sz="0" w:space="0" w:color="auto"/>
              </w:divBdr>
            </w:div>
          </w:divsChild>
        </w:div>
        <w:div w:id="141890288">
          <w:marLeft w:val="0"/>
          <w:marRight w:val="0"/>
          <w:marTop w:val="0"/>
          <w:marBottom w:val="0"/>
          <w:divBdr>
            <w:top w:val="none" w:sz="0" w:space="0" w:color="auto"/>
            <w:left w:val="none" w:sz="0" w:space="0" w:color="auto"/>
            <w:bottom w:val="none" w:sz="0" w:space="0" w:color="auto"/>
            <w:right w:val="none" w:sz="0" w:space="0" w:color="auto"/>
          </w:divBdr>
          <w:divsChild>
            <w:div w:id="15028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21183">
      <w:bodyDiv w:val="1"/>
      <w:marLeft w:val="0"/>
      <w:marRight w:val="0"/>
      <w:marTop w:val="0"/>
      <w:marBottom w:val="0"/>
      <w:divBdr>
        <w:top w:val="none" w:sz="0" w:space="0" w:color="auto"/>
        <w:left w:val="none" w:sz="0" w:space="0" w:color="auto"/>
        <w:bottom w:val="none" w:sz="0" w:space="0" w:color="auto"/>
        <w:right w:val="none" w:sz="0" w:space="0" w:color="auto"/>
      </w:divBdr>
    </w:div>
    <w:div w:id="1911887168">
      <w:bodyDiv w:val="1"/>
      <w:marLeft w:val="0"/>
      <w:marRight w:val="0"/>
      <w:marTop w:val="0"/>
      <w:marBottom w:val="0"/>
      <w:divBdr>
        <w:top w:val="none" w:sz="0" w:space="0" w:color="auto"/>
        <w:left w:val="none" w:sz="0" w:space="0" w:color="auto"/>
        <w:bottom w:val="none" w:sz="0" w:space="0" w:color="auto"/>
        <w:right w:val="none" w:sz="0" w:space="0" w:color="auto"/>
      </w:divBdr>
      <w:divsChild>
        <w:div w:id="1577547480">
          <w:marLeft w:val="0"/>
          <w:marRight w:val="0"/>
          <w:marTop w:val="0"/>
          <w:marBottom w:val="0"/>
          <w:divBdr>
            <w:top w:val="none" w:sz="0" w:space="0" w:color="auto"/>
            <w:left w:val="none" w:sz="0" w:space="0" w:color="auto"/>
            <w:bottom w:val="none" w:sz="0" w:space="0" w:color="auto"/>
            <w:right w:val="none" w:sz="0" w:space="0" w:color="auto"/>
          </w:divBdr>
          <w:divsChild>
            <w:div w:id="21132982">
              <w:marLeft w:val="0"/>
              <w:marRight w:val="0"/>
              <w:marTop w:val="0"/>
              <w:marBottom w:val="0"/>
              <w:divBdr>
                <w:top w:val="none" w:sz="0" w:space="0" w:color="auto"/>
                <w:left w:val="none" w:sz="0" w:space="0" w:color="auto"/>
                <w:bottom w:val="none" w:sz="0" w:space="0" w:color="auto"/>
                <w:right w:val="none" w:sz="0" w:space="0" w:color="auto"/>
              </w:divBdr>
              <w:divsChild>
                <w:div w:id="895898456">
                  <w:marLeft w:val="0"/>
                  <w:marRight w:val="0"/>
                  <w:marTop w:val="0"/>
                  <w:marBottom w:val="0"/>
                  <w:divBdr>
                    <w:top w:val="none" w:sz="0" w:space="0" w:color="auto"/>
                    <w:left w:val="none" w:sz="0" w:space="0" w:color="auto"/>
                    <w:bottom w:val="none" w:sz="0" w:space="0" w:color="auto"/>
                    <w:right w:val="none" w:sz="0" w:space="0" w:color="auto"/>
                  </w:divBdr>
                  <w:divsChild>
                    <w:div w:id="1485587202">
                      <w:marLeft w:val="0"/>
                      <w:marRight w:val="0"/>
                      <w:marTop w:val="0"/>
                      <w:marBottom w:val="0"/>
                      <w:divBdr>
                        <w:top w:val="none" w:sz="0" w:space="0" w:color="auto"/>
                        <w:left w:val="none" w:sz="0" w:space="0" w:color="auto"/>
                        <w:bottom w:val="none" w:sz="0" w:space="0" w:color="auto"/>
                        <w:right w:val="none" w:sz="0" w:space="0" w:color="auto"/>
                      </w:divBdr>
                      <w:divsChild>
                        <w:div w:id="1990598951">
                          <w:marLeft w:val="0"/>
                          <w:marRight w:val="0"/>
                          <w:marTop w:val="0"/>
                          <w:marBottom w:val="0"/>
                          <w:divBdr>
                            <w:top w:val="none" w:sz="0" w:space="0" w:color="auto"/>
                            <w:left w:val="none" w:sz="0" w:space="0" w:color="auto"/>
                            <w:bottom w:val="none" w:sz="0" w:space="0" w:color="auto"/>
                            <w:right w:val="none" w:sz="0" w:space="0" w:color="auto"/>
                          </w:divBdr>
                          <w:divsChild>
                            <w:div w:id="881357385">
                              <w:marLeft w:val="0"/>
                              <w:marRight w:val="0"/>
                              <w:marTop w:val="0"/>
                              <w:marBottom w:val="0"/>
                              <w:divBdr>
                                <w:top w:val="none" w:sz="0" w:space="0" w:color="auto"/>
                                <w:left w:val="none" w:sz="0" w:space="0" w:color="auto"/>
                                <w:bottom w:val="none" w:sz="0" w:space="0" w:color="auto"/>
                                <w:right w:val="none" w:sz="0" w:space="0" w:color="auto"/>
                              </w:divBdr>
                              <w:divsChild>
                                <w:div w:id="1127696230">
                                  <w:marLeft w:val="0"/>
                                  <w:marRight w:val="0"/>
                                  <w:marTop w:val="0"/>
                                  <w:marBottom w:val="0"/>
                                  <w:divBdr>
                                    <w:top w:val="none" w:sz="0" w:space="0" w:color="auto"/>
                                    <w:left w:val="none" w:sz="0" w:space="0" w:color="auto"/>
                                    <w:bottom w:val="none" w:sz="0" w:space="0" w:color="auto"/>
                                    <w:right w:val="none" w:sz="0" w:space="0" w:color="auto"/>
                                  </w:divBdr>
                                  <w:divsChild>
                                    <w:div w:id="3923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555420">
      <w:bodyDiv w:val="1"/>
      <w:marLeft w:val="0"/>
      <w:marRight w:val="0"/>
      <w:marTop w:val="0"/>
      <w:marBottom w:val="0"/>
      <w:divBdr>
        <w:top w:val="none" w:sz="0" w:space="0" w:color="auto"/>
        <w:left w:val="none" w:sz="0" w:space="0" w:color="auto"/>
        <w:bottom w:val="none" w:sz="0" w:space="0" w:color="auto"/>
        <w:right w:val="none" w:sz="0" w:space="0" w:color="auto"/>
      </w:divBdr>
      <w:divsChild>
        <w:div w:id="1190602921">
          <w:marLeft w:val="0"/>
          <w:marRight w:val="0"/>
          <w:marTop w:val="0"/>
          <w:marBottom w:val="0"/>
          <w:divBdr>
            <w:top w:val="none" w:sz="0" w:space="0" w:color="auto"/>
            <w:left w:val="none" w:sz="0" w:space="0" w:color="auto"/>
            <w:bottom w:val="none" w:sz="0" w:space="0" w:color="auto"/>
            <w:right w:val="none" w:sz="0" w:space="0" w:color="auto"/>
          </w:divBdr>
          <w:divsChild>
            <w:div w:id="287392848">
              <w:marLeft w:val="0"/>
              <w:marRight w:val="0"/>
              <w:marTop w:val="0"/>
              <w:marBottom w:val="0"/>
              <w:divBdr>
                <w:top w:val="none" w:sz="0" w:space="0" w:color="auto"/>
                <w:left w:val="none" w:sz="0" w:space="0" w:color="auto"/>
                <w:bottom w:val="none" w:sz="0" w:space="0" w:color="auto"/>
                <w:right w:val="none" w:sz="0" w:space="0" w:color="auto"/>
              </w:divBdr>
              <w:divsChild>
                <w:div w:id="1766807138">
                  <w:marLeft w:val="0"/>
                  <w:marRight w:val="0"/>
                  <w:marTop w:val="0"/>
                  <w:marBottom w:val="0"/>
                  <w:divBdr>
                    <w:top w:val="none" w:sz="0" w:space="0" w:color="auto"/>
                    <w:left w:val="none" w:sz="0" w:space="0" w:color="auto"/>
                    <w:bottom w:val="none" w:sz="0" w:space="0" w:color="auto"/>
                    <w:right w:val="none" w:sz="0" w:space="0" w:color="auto"/>
                  </w:divBdr>
                  <w:divsChild>
                    <w:div w:id="20487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28</Pages>
  <Words>13578</Words>
  <Characters>77401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Managing Editor</dc:creator>
  <cp:lastModifiedBy>SDI PC New 16</cp:lastModifiedBy>
  <cp:revision>8</cp:revision>
  <dcterms:created xsi:type="dcterms:W3CDTF">2026-06-24T10:32:00Z</dcterms:created>
  <dcterms:modified xsi:type="dcterms:W3CDTF">2026-06-26T06:05:00Z</dcterms:modified>
</cp:coreProperties>
</file>