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A37" w14:textId="77777777" w:rsidR="00D07A5A" w:rsidRPr="00AB0D87" w:rsidRDefault="00000000">
      <w:pPr>
        <w:spacing w:line="480" w:lineRule="auto"/>
        <w:rPr>
          <w:rFonts w:ascii="Arial" w:hAnsi="Arial" w:cs="Arial"/>
          <w:b/>
          <w:bCs/>
          <w:sz w:val="22"/>
          <w:lang w:val="en-GB"/>
        </w:rPr>
      </w:pPr>
      <w:r w:rsidRPr="00AB0D87">
        <w:rPr>
          <w:rFonts w:ascii="Arial" w:hAnsi="Arial" w:cs="Arial"/>
          <w:b/>
          <w:bCs/>
          <w:sz w:val="22"/>
          <w:lang w:val="en-GB"/>
        </w:rPr>
        <w:t xml:space="preserve">Variation in the demographic structure of the viviparous toad </w:t>
      </w:r>
      <w:proofErr w:type="spellStart"/>
      <w:r w:rsidRPr="00AB0D87">
        <w:rPr>
          <w:rFonts w:ascii="Arial" w:hAnsi="Arial" w:cs="Arial"/>
          <w:b/>
          <w:bCs/>
          <w:i/>
          <w:iCs/>
          <w:sz w:val="22"/>
          <w:lang w:val="en-GB"/>
        </w:rPr>
        <w:t>Nimbaphrynoides</w:t>
      </w:r>
      <w:proofErr w:type="spellEnd"/>
      <w:r w:rsidRPr="00AB0D87">
        <w:rPr>
          <w:rFonts w:ascii="Arial" w:hAnsi="Arial" w:cs="Arial"/>
          <w:b/>
          <w:bCs/>
          <w:i/>
          <w:iCs/>
          <w:sz w:val="22"/>
          <w:lang w:val="en-GB"/>
        </w:rPr>
        <w:t xml:space="preserve"> occidentalis</w:t>
      </w:r>
      <w:r w:rsidRPr="00AB0D87">
        <w:rPr>
          <w:rFonts w:ascii="Arial" w:hAnsi="Arial" w:cs="Arial"/>
          <w:b/>
          <w:bCs/>
          <w:sz w:val="22"/>
          <w:lang w:val="en-GB"/>
        </w:rPr>
        <w:t xml:space="preserve"> (Anura: </w:t>
      </w:r>
      <w:proofErr w:type="spellStart"/>
      <w:r w:rsidRPr="00AB0D87">
        <w:rPr>
          <w:rFonts w:ascii="Arial" w:hAnsi="Arial" w:cs="Arial"/>
          <w:b/>
          <w:bCs/>
          <w:sz w:val="22"/>
          <w:lang w:val="en-GB"/>
        </w:rPr>
        <w:t>Bufonidae</w:t>
      </w:r>
      <w:proofErr w:type="spellEnd"/>
      <w:r w:rsidRPr="00AB0D87">
        <w:rPr>
          <w:rFonts w:ascii="Arial" w:hAnsi="Arial" w:cs="Arial"/>
          <w:b/>
          <w:bCs/>
          <w:sz w:val="22"/>
          <w:lang w:val="en-GB"/>
        </w:rPr>
        <w:t xml:space="preserve">) before and after a fire in the </w:t>
      </w:r>
      <w:proofErr w:type="spellStart"/>
      <w:r w:rsidRPr="00AB0D87">
        <w:rPr>
          <w:rFonts w:ascii="Arial" w:hAnsi="Arial" w:cs="Arial"/>
          <w:b/>
          <w:bCs/>
          <w:sz w:val="22"/>
          <w:lang w:val="en-GB"/>
        </w:rPr>
        <w:t>altimontane</w:t>
      </w:r>
      <w:proofErr w:type="spellEnd"/>
      <w:r w:rsidRPr="00AB0D87">
        <w:rPr>
          <w:rFonts w:ascii="Arial" w:hAnsi="Arial" w:cs="Arial"/>
          <w:b/>
          <w:bCs/>
          <w:sz w:val="22"/>
          <w:lang w:val="en-GB"/>
        </w:rPr>
        <w:t xml:space="preserve"> grasslands of the Mount Nimba Integral Nature Reserve, Westen Côte d’Ivoire</w:t>
      </w:r>
    </w:p>
    <w:p w14:paraId="1367C3A5" w14:textId="77777777" w:rsidR="00D07A5A" w:rsidRPr="00AB0D87" w:rsidRDefault="00000000">
      <w:pPr>
        <w:pStyle w:val="NormalWeb"/>
        <w:jc w:val="both"/>
        <w:rPr>
          <w:rFonts w:ascii="Arial" w:hAnsi="Arial" w:cs="Arial"/>
          <w:lang w:val="en-GB"/>
        </w:rPr>
      </w:pPr>
      <w:r w:rsidRPr="00AB0D87">
        <w:rPr>
          <w:rStyle w:val="Strong"/>
          <w:rFonts w:ascii="Arial" w:hAnsi="Arial" w:cs="Arial"/>
          <w:lang w:val="en-GB"/>
        </w:rPr>
        <w:t>Abstract</w:t>
      </w:r>
    </w:p>
    <w:p w14:paraId="0EC9453F" w14:textId="77777777" w:rsidR="00D07A5A" w:rsidRPr="00AB0D87" w:rsidRDefault="00000000">
      <w:pPr>
        <w:rPr>
          <w:rFonts w:ascii="Arial" w:eastAsia="Times New Roman" w:hAnsi="Arial" w:cs="Arial"/>
          <w:sz w:val="22"/>
          <w:lang w:val="en-GB" w:eastAsia="fr-FR"/>
        </w:rPr>
      </w:pPr>
      <w:r w:rsidRPr="00AB0D87">
        <w:rPr>
          <w:rFonts w:ascii="Arial" w:eastAsia="Times New Roman" w:hAnsi="Arial" w:cs="Arial"/>
          <w:sz w:val="22"/>
          <w:lang w:val="en-GB" w:eastAsia="fr-FR"/>
        </w:rPr>
        <w:t>The viviparous western toad (</w:t>
      </w:r>
      <w:proofErr w:type="spellStart"/>
      <w:r w:rsidRPr="00AB0D87">
        <w:rPr>
          <w:rFonts w:ascii="Arial" w:eastAsia="Times New Roman" w:hAnsi="Arial" w:cs="Arial"/>
          <w:i/>
          <w:iCs/>
          <w:sz w:val="22"/>
          <w:lang w:val="en-GB" w:eastAsia="fr-FR"/>
        </w:rPr>
        <w:t>Nimbaphrynoides</w:t>
      </w:r>
      <w:proofErr w:type="spellEnd"/>
      <w:r w:rsidRPr="00AB0D87">
        <w:rPr>
          <w:rFonts w:ascii="Arial" w:eastAsia="Times New Roman" w:hAnsi="Arial" w:cs="Arial"/>
          <w:i/>
          <w:iCs/>
          <w:sz w:val="22"/>
          <w:lang w:val="en-GB" w:eastAsia="fr-FR"/>
        </w:rPr>
        <w:t xml:space="preserve"> occidentalis</w:t>
      </w:r>
      <w:r w:rsidRPr="00AB0D87">
        <w:rPr>
          <w:rFonts w:ascii="Arial" w:eastAsia="Times New Roman" w:hAnsi="Arial" w:cs="Arial"/>
          <w:sz w:val="22"/>
          <w:lang w:val="en-GB" w:eastAsia="fr-FR"/>
        </w:rPr>
        <w:t xml:space="preserve">), an endemic and critically endangered species of the Mount Nimba Integral Nature Reserve, is highly dependent on high-altitude grasslands, ecosystems particularly vulnerable to fire. This study assesses the effects of a high-intensity fire on the abundance, spatial distribution, and population structure of the species in two habitat types (grassland and rocky). Standardised surveys were conducted before and after the fire along transects, representing a total effort of 640 person-hours. A total of 9,600 individuals were recorded before the fire, compared with only 2,501 after the event, representing a 74% population decline. Before the fire, the species primarily inhabited grassland habitats (75% of observations) and exhibited a relatively balanced population structure. After the fire, survivors concentrated more heavily in these habitats (91%), while rocky habitats became sparsely occupied. The post-fire population structure was characterised by a strong dominance of juveniles (&gt;80%) and a marked decrease in breeding adults. The results suggest that a severe fire leads to significant mortality, particularly among the most exposed age classes, causing a spatial redistribution of survivors and a pronounced rejuvenation of the population. Grasslands appear to be essential refuge habitats that promote the species' persistence after disturbance. This study highlights the sensitivity of </w:t>
      </w:r>
      <w:proofErr w:type="spellStart"/>
      <w:r w:rsidRPr="00AB0D87">
        <w:rPr>
          <w:rFonts w:ascii="Arial" w:eastAsia="Times New Roman" w:hAnsi="Arial" w:cs="Arial"/>
          <w:i/>
          <w:iCs/>
          <w:sz w:val="22"/>
          <w:lang w:val="en-GB" w:eastAsia="fr-FR"/>
        </w:rPr>
        <w:t>Nimbaphrynoides</w:t>
      </w:r>
      <w:proofErr w:type="spellEnd"/>
      <w:r w:rsidRPr="00AB0D87">
        <w:rPr>
          <w:rFonts w:ascii="Arial" w:eastAsia="Times New Roman" w:hAnsi="Arial" w:cs="Arial"/>
          <w:i/>
          <w:iCs/>
          <w:sz w:val="22"/>
          <w:lang w:val="en-GB" w:eastAsia="fr-FR"/>
        </w:rPr>
        <w:t xml:space="preserve"> occidentalis</w:t>
      </w:r>
      <w:r w:rsidRPr="00AB0D87">
        <w:rPr>
          <w:rFonts w:ascii="Arial" w:eastAsia="Times New Roman" w:hAnsi="Arial" w:cs="Arial"/>
          <w:sz w:val="22"/>
          <w:lang w:val="en-GB" w:eastAsia="fr-FR"/>
        </w:rPr>
        <w:t xml:space="preserve"> to fire and emphasises the importance of appropriate fire management strategies to ensure the long-term conservation of this unique species in the </w:t>
      </w:r>
      <w:r w:rsidRPr="00AB0D87">
        <w:rPr>
          <w:rFonts w:ascii="Arial" w:hAnsi="Arial" w:cs="Arial"/>
          <w:bCs/>
          <w:iCs/>
          <w:color w:val="000000"/>
          <w:sz w:val="22"/>
          <w:shd w:val="clear" w:color="auto" w:fill="FFFFFF"/>
          <w:lang w:val="en-GB"/>
        </w:rPr>
        <w:t>Mount Nimba Strict Nature Reserve</w:t>
      </w:r>
      <w:r w:rsidRPr="00AB0D87">
        <w:rPr>
          <w:rFonts w:ascii="Arial" w:eastAsia="Times New Roman" w:hAnsi="Arial" w:cs="Arial"/>
          <w:sz w:val="22"/>
          <w:lang w:val="en-GB" w:eastAsia="fr-FR"/>
        </w:rPr>
        <w:t xml:space="preserve">. </w:t>
      </w:r>
    </w:p>
    <w:p w14:paraId="5A722D1E" w14:textId="77777777" w:rsidR="00D07A5A" w:rsidRPr="00AB0D87" w:rsidRDefault="00000000">
      <w:pPr>
        <w:rPr>
          <w:rFonts w:ascii="Arial" w:hAnsi="Arial" w:cs="Arial"/>
          <w:sz w:val="20"/>
          <w:szCs w:val="20"/>
          <w:lang w:val="en-GB"/>
        </w:rPr>
      </w:pPr>
      <w:proofErr w:type="gramStart"/>
      <w:r w:rsidRPr="00AB0D87">
        <w:rPr>
          <w:rFonts w:ascii="Arial" w:hAnsi="Arial" w:cs="Arial"/>
          <w:b/>
          <w:bCs/>
          <w:sz w:val="20"/>
          <w:szCs w:val="20"/>
          <w:lang w:val="en-GB"/>
        </w:rPr>
        <w:t>Keywords </w:t>
      </w:r>
      <w:r w:rsidRPr="00AB0D87">
        <w:rPr>
          <w:rFonts w:ascii="Arial" w:hAnsi="Arial" w:cs="Arial"/>
          <w:sz w:val="20"/>
          <w:szCs w:val="20"/>
          <w:lang w:val="en-GB"/>
        </w:rPr>
        <w:t>:</w:t>
      </w:r>
      <w:proofErr w:type="gramEnd"/>
      <w:r w:rsidRPr="00AB0D87">
        <w:rPr>
          <w:rFonts w:ascii="Arial" w:hAnsi="Arial" w:cs="Arial"/>
          <w:sz w:val="20"/>
          <w:szCs w:val="20"/>
          <w:lang w:val="en-GB"/>
        </w:rPr>
        <w:t xml:space="preserve"> Biodiversity, conservation, fire disturbance, population dynamics</w:t>
      </w:r>
    </w:p>
    <w:p w14:paraId="6939D0AE" w14:textId="77777777" w:rsidR="00D07A5A" w:rsidRPr="00AB0D87" w:rsidRDefault="00000000">
      <w:pPr>
        <w:pStyle w:val="Heading1"/>
        <w:numPr>
          <w:ilvl w:val="0"/>
          <w:numId w:val="2"/>
        </w:numPr>
        <w:spacing w:line="480" w:lineRule="auto"/>
        <w:rPr>
          <w:rFonts w:ascii="Arial" w:hAnsi="Arial" w:cs="Arial"/>
          <w:sz w:val="22"/>
          <w:szCs w:val="22"/>
        </w:rPr>
      </w:pPr>
      <w:r w:rsidRPr="00AB0D87">
        <w:rPr>
          <w:rFonts w:ascii="Arial" w:hAnsi="Arial" w:cs="Arial"/>
          <w:sz w:val="22"/>
          <w:szCs w:val="22"/>
        </w:rPr>
        <w:t xml:space="preserve">Introduction </w:t>
      </w:r>
    </w:p>
    <w:p w14:paraId="6A079BEB" w14:textId="77777777" w:rsidR="00D07A5A" w:rsidRPr="00AB0D87" w:rsidRDefault="00000000">
      <w:r w:rsidRPr="00AB0D87">
        <w:rPr>
          <w:sz w:val="22"/>
          <w:szCs w:val="20"/>
          <w:lang w:val="en-GB"/>
        </w:rPr>
        <w:t>Mount Nimba is one of the major biodiversity hotspots in West Africa (</w:t>
      </w:r>
      <w:proofErr w:type="spellStart"/>
      <w:r w:rsidRPr="00AB0D87">
        <w:rPr>
          <w:sz w:val="22"/>
          <w:szCs w:val="20"/>
          <w:lang w:val="en-GB"/>
        </w:rPr>
        <w:t>Rödel</w:t>
      </w:r>
      <w:proofErr w:type="spellEnd"/>
      <w:r w:rsidRPr="00AB0D87">
        <w:rPr>
          <w:sz w:val="22"/>
          <w:szCs w:val="20"/>
          <w:lang w:val="en-GB"/>
        </w:rPr>
        <w:t xml:space="preserve"> &amp; Bangoura, 2004). This reserve harbours a particularly rich amphibian fauna characterised by a high rate of endemism, favoured by the heterogeneity of habitats, the altitudinal gradient, and the biogeographical isolation of the massif (</w:t>
      </w:r>
      <w:proofErr w:type="spellStart"/>
      <w:r w:rsidRPr="00AB0D87">
        <w:rPr>
          <w:sz w:val="22"/>
          <w:szCs w:val="20"/>
          <w:lang w:val="en-GB"/>
        </w:rPr>
        <w:t>Rödel</w:t>
      </w:r>
      <w:proofErr w:type="spellEnd"/>
      <w:r w:rsidRPr="00AB0D87">
        <w:rPr>
          <w:sz w:val="22"/>
          <w:szCs w:val="20"/>
          <w:lang w:val="en-GB"/>
        </w:rPr>
        <w:t xml:space="preserve"> &amp; Bangoura, 2004; </w:t>
      </w:r>
      <w:proofErr w:type="spellStart"/>
      <w:r w:rsidRPr="00AB0D87">
        <w:rPr>
          <w:sz w:val="22"/>
          <w:szCs w:val="20"/>
          <w:lang w:val="en-GB"/>
        </w:rPr>
        <w:t>Lauginie</w:t>
      </w:r>
      <w:proofErr w:type="spellEnd"/>
      <w:r w:rsidRPr="00AB0D87">
        <w:rPr>
          <w:sz w:val="22"/>
          <w:szCs w:val="20"/>
          <w:lang w:val="en-GB"/>
        </w:rPr>
        <w:t>, 2007; Kanga et al., 2021).</w:t>
      </w:r>
    </w:p>
    <w:p w14:paraId="40F5781D" w14:textId="77777777" w:rsidR="00D07A5A" w:rsidRPr="00AB0D87" w:rsidRDefault="00000000">
      <w:r w:rsidRPr="00AB0D87">
        <w:rPr>
          <w:sz w:val="22"/>
          <w:szCs w:val="20"/>
          <w:lang w:val="en-GB"/>
        </w:rPr>
        <w:t xml:space="preserve">Amphibians are particularly sensitive to environmental disturbances due to their permeable skin and their dependence on microclimatic conditions (Wells, 2007; Wake &amp; Vredenburg, 2008). Among these disturbances, fires profoundly alter habitat structure, reduce available refuges, and can cause significant mortality (Engstrom, 2010; </w:t>
      </w:r>
      <w:proofErr w:type="spellStart"/>
      <w:r w:rsidRPr="00AB0D87">
        <w:rPr>
          <w:sz w:val="22"/>
          <w:szCs w:val="20"/>
          <w:lang w:val="en-GB"/>
        </w:rPr>
        <w:t>Pausas</w:t>
      </w:r>
      <w:proofErr w:type="spellEnd"/>
      <w:r w:rsidRPr="00AB0D87">
        <w:rPr>
          <w:sz w:val="22"/>
          <w:szCs w:val="20"/>
          <w:lang w:val="en-GB"/>
        </w:rPr>
        <w:t xml:space="preserve"> &amp; Parr, 2018). In anurans, the effects of fire vary according to species and habitat, but are generally associated with population declines and even local extinctions (Wells, 2007; dos Anjos et al., 2021). Some species, such as </w:t>
      </w:r>
      <w:proofErr w:type="spellStart"/>
      <w:r w:rsidRPr="00AB0D87">
        <w:rPr>
          <w:i/>
          <w:iCs/>
          <w:sz w:val="22"/>
          <w:szCs w:val="20"/>
          <w:lang w:val="en-GB"/>
        </w:rPr>
        <w:t>Hyperolius</w:t>
      </w:r>
      <w:proofErr w:type="spellEnd"/>
      <w:r w:rsidRPr="00AB0D87">
        <w:rPr>
          <w:i/>
          <w:iCs/>
          <w:sz w:val="22"/>
          <w:szCs w:val="20"/>
          <w:lang w:val="en-GB"/>
        </w:rPr>
        <w:t xml:space="preserve"> </w:t>
      </w:r>
      <w:proofErr w:type="spellStart"/>
      <w:r w:rsidRPr="00AB0D87">
        <w:rPr>
          <w:i/>
          <w:iCs/>
          <w:sz w:val="22"/>
          <w:szCs w:val="20"/>
          <w:lang w:val="en-GB"/>
        </w:rPr>
        <w:t>nitidulus</w:t>
      </w:r>
      <w:proofErr w:type="spellEnd"/>
      <w:r w:rsidRPr="00AB0D87">
        <w:rPr>
          <w:sz w:val="22"/>
          <w:szCs w:val="20"/>
          <w:lang w:val="en-GB"/>
        </w:rPr>
        <w:t>, can, however, adopt behaviours that allow them to limit their exposure to fire (Grafe et al., 2002).</w:t>
      </w:r>
    </w:p>
    <w:p w14:paraId="240DC009" w14:textId="77777777" w:rsidR="00D07A5A" w:rsidRPr="00AB0D87" w:rsidRDefault="00000000">
      <w:r w:rsidRPr="00AB0D87">
        <w:rPr>
          <w:sz w:val="22"/>
          <w:szCs w:val="20"/>
          <w:lang w:val="en-GB"/>
        </w:rPr>
        <w:t xml:space="preserve">The Mount Nimba Integral Nature Reserve constitutes the only known range of the viviparous toad </w:t>
      </w:r>
      <w:proofErr w:type="spellStart"/>
      <w:r w:rsidRPr="00AB0D87">
        <w:rPr>
          <w:i/>
          <w:iCs/>
          <w:sz w:val="22"/>
          <w:szCs w:val="20"/>
          <w:lang w:val="en-GB"/>
        </w:rPr>
        <w:t>Nimbaphrynoides</w:t>
      </w:r>
      <w:proofErr w:type="spellEnd"/>
      <w:r w:rsidRPr="00AB0D87">
        <w:rPr>
          <w:i/>
          <w:iCs/>
          <w:sz w:val="22"/>
          <w:szCs w:val="20"/>
          <w:lang w:val="en-GB"/>
        </w:rPr>
        <w:t xml:space="preserve"> occidentalis</w:t>
      </w:r>
      <w:r w:rsidRPr="00AB0D87">
        <w:rPr>
          <w:sz w:val="22"/>
          <w:szCs w:val="20"/>
          <w:lang w:val="en-GB"/>
        </w:rPr>
        <w:t xml:space="preserve"> (Angel, 1943), a species classified as critically endangered (IUCN SSC Amphibian Specialist Group, 2014). Endemic to the high-altitude grasslands of Nimba, this species </w:t>
      </w:r>
      <w:r w:rsidRPr="00AB0D87">
        <w:rPr>
          <w:sz w:val="22"/>
          <w:szCs w:val="20"/>
          <w:lang w:val="en-GB"/>
        </w:rPr>
        <w:lastRenderedPageBreak/>
        <w:t>has an exceptional reproductive mode, characterised by matrotrophic viviparity and the birth of fully developed young (Angel &amp; Lamotte, 1944, 1948; Sandberger-Loua et al., 2017). Its restricted distribution, limited dispersal capacity, and dependence on mountain habitats make it particularly vulnerable to environmental disturbances (Sandberger-Loua et al., 2016; IUCN SSC Amphibian Specialist Group, 2014).</w:t>
      </w:r>
    </w:p>
    <w:p w14:paraId="3E8CE865" w14:textId="77777777" w:rsidR="00D07A5A" w:rsidRPr="00AB0D87" w:rsidRDefault="00000000">
      <w:r w:rsidRPr="00AB0D87">
        <w:rPr>
          <w:sz w:val="22"/>
          <w:szCs w:val="20"/>
          <w:lang w:val="en-GB"/>
        </w:rPr>
        <w:t xml:space="preserve">Despite the knowledge acquired about its biology and ecology (Lamotte, 1959; Lamotte &amp; Sanchez-Lamotte, 1999; Sandberger-Loua et al., 2017), the effects of fires on its populations remain poorly documented. This study aimed to assess the impact of fire on the demographic structure of </w:t>
      </w:r>
      <w:proofErr w:type="spellStart"/>
      <w:r w:rsidRPr="00AB0D87">
        <w:rPr>
          <w:i/>
          <w:iCs/>
          <w:sz w:val="22"/>
          <w:szCs w:val="20"/>
          <w:lang w:val="en-GB"/>
        </w:rPr>
        <w:t>Nimbaphrynoides</w:t>
      </w:r>
      <w:proofErr w:type="spellEnd"/>
      <w:r w:rsidRPr="00AB0D87">
        <w:rPr>
          <w:i/>
          <w:iCs/>
          <w:sz w:val="22"/>
          <w:szCs w:val="20"/>
          <w:lang w:val="en-GB"/>
        </w:rPr>
        <w:t xml:space="preserve"> occidentalis</w:t>
      </w:r>
      <w:r w:rsidRPr="00AB0D87">
        <w:rPr>
          <w:sz w:val="22"/>
          <w:szCs w:val="20"/>
          <w:lang w:val="en-GB"/>
        </w:rPr>
        <w:t xml:space="preserve"> by comparing the abundance, sex distribution, and developmental stages of individuals before and after a fire in the high-altitude grasslands of Mount Nimba.</w:t>
      </w:r>
    </w:p>
    <w:p w14:paraId="3EBC3D56" w14:textId="77777777" w:rsidR="00D07A5A" w:rsidRPr="00AB0D87" w:rsidRDefault="00000000">
      <w:pPr>
        <w:pStyle w:val="Heading1"/>
        <w:rPr>
          <w:rFonts w:ascii="Arial" w:hAnsi="Arial" w:cs="Arial"/>
          <w:shd w:val="clear" w:color="auto" w:fill="FFFFFF"/>
        </w:rPr>
      </w:pPr>
      <w:r w:rsidRPr="00AB0D87">
        <w:rPr>
          <w:rFonts w:ascii="Arial" w:hAnsi="Arial" w:cs="Arial"/>
          <w:shd w:val="clear" w:color="auto" w:fill="FFFFFF"/>
        </w:rPr>
        <w:t>2. Methods</w:t>
      </w:r>
    </w:p>
    <w:p w14:paraId="5689F37E" w14:textId="77777777" w:rsidR="00D07A5A" w:rsidRPr="00AB0D87" w:rsidRDefault="00000000">
      <w:pPr>
        <w:pStyle w:val="Heading2"/>
      </w:pPr>
      <w:r w:rsidRPr="00AB0D87">
        <w:t>2.1. Study Area</w:t>
      </w:r>
    </w:p>
    <w:p w14:paraId="054F0E28" w14:textId="77777777" w:rsidR="00D07A5A" w:rsidRPr="00AB0D87" w:rsidRDefault="00000000">
      <w:r w:rsidRPr="00AB0D87">
        <w:rPr>
          <w:rFonts w:ascii="Arial" w:hAnsi="Arial" w:cs="Arial"/>
          <w:sz w:val="22"/>
          <w:lang w:val="en-GB"/>
        </w:rPr>
        <w:t xml:space="preserve">The study was conducted in the </w:t>
      </w:r>
      <w:proofErr w:type="spellStart"/>
      <w:r w:rsidRPr="00AB0D87">
        <w:rPr>
          <w:rFonts w:ascii="Arial" w:hAnsi="Arial" w:cs="Arial"/>
          <w:sz w:val="22"/>
          <w:lang w:val="en-GB"/>
        </w:rPr>
        <w:t>altimontane</w:t>
      </w:r>
      <w:proofErr w:type="spellEnd"/>
      <w:r w:rsidRPr="00AB0D87">
        <w:rPr>
          <w:rFonts w:ascii="Arial" w:hAnsi="Arial" w:cs="Arial"/>
          <w:sz w:val="22"/>
          <w:lang w:val="en-GB"/>
        </w:rPr>
        <w:t xml:space="preserve"> grasslands of the Mount Nimba Strict Nature Reserve (Figure 1). This reserve is located at the border between Côte d’Ivoire, Guinea, and Liberia (</w:t>
      </w:r>
      <w:proofErr w:type="spellStart"/>
      <w:r w:rsidRPr="00AB0D87">
        <w:rPr>
          <w:rFonts w:ascii="Arial" w:hAnsi="Arial" w:cs="Arial"/>
          <w:sz w:val="22"/>
          <w:lang w:val="en-GB"/>
        </w:rPr>
        <w:t>Bakarr</w:t>
      </w:r>
      <w:proofErr w:type="spellEnd"/>
      <w:r w:rsidRPr="00AB0D87">
        <w:rPr>
          <w:rFonts w:ascii="Arial" w:hAnsi="Arial" w:cs="Arial"/>
          <w:sz w:val="22"/>
          <w:lang w:val="en-GB"/>
        </w:rPr>
        <w:t xml:space="preserve"> et al., 2001; Ricketts et al., 2005).</w:t>
      </w:r>
    </w:p>
    <w:p w14:paraId="44DEBECA" w14:textId="77777777" w:rsidR="00D07A5A" w:rsidRPr="00AB0D87" w:rsidRDefault="00000000">
      <w:r w:rsidRPr="00AB0D87">
        <w:rPr>
          <w:rFonts w:ascii="Arial" w:hAnsi="Arial" w:cs="Arial"/>
          <w:sz w:val="22"/>
          <w:lang w:val="en-GB"/>
        </w:rPr>
        <w:t>The reserve extends between 7°25′ and 7°45′ N and 8°20′ and 8°35′ W, covering an area of approximately 5,092 ha in Côte d’Ivoire (Lamotte &amp; Roy, 2003). The massif is mainly composed of metamorphic rocks. The lowlands consist predominantly of calc-alkaline granites, whereas the higher elevations are formed by quartzites rich in iron ore deposits, attracting considerable interest from mining companies. The climate is subequatorial, characterised by a mean annual rainfall exceeding 1,700 mm and an average annual temperature of approximately 25 °C.</w:t>
      </w:r>
    </w:p>
    <w:p w14:paraId="304A364F" w14:textId="77777777" w:rsidR="00D07A5A" w:rsidRPr="00AB0D87" w:rsidRDefault="00000000">
      <w:pPr>
        <w:pStyle w:val="Heading2"/>
      </w:pPr>
      <w:r w:rsidRPr="00AB0D87">
        <w:t>2.2. Study Site Description</w:t>
      </w:r>
    </w:p>
    <w:p w14:paraId="2A122FE5" w14:textId="77777777" w:rsidR="00D07A5A" w:rsidRPr="00AB0D87" w:rsidRDefault="00000000">
      <w:pPr>
        <w:pStyle w:val="NormalWeb"/>
        <w:spacing w:line="276" w:lineRule="auto"/>
        <w:jc w:val="both"/>
      </w:pPr>
      <w:r w:rsidRPr="00AB0D87">
        <w:rPr>
          <w:rFonts w:ascii="Arial" w:hAnsi="Arial" w:cs="Arial"/>
          <w:sz w:val="22"/>
          <w:szCs w:val="22"/>
          <w:lang w:val="en-GB"/>
        </w:rPr>
        <w:t xml:space="preserve">The selection of the study site was based on the extremely restricted distribution of </w:t>
      </w:r>
      <w:proofErr w:type="spellStart"/>
      <w:r w:rsidRPr="00AB0D87">
        <w:rPr>
          <w:rFonts w:ascii="Arial" w:hAnsi="Arial" w:cs="Arial"/>
          <w:i/>
          <w:iCs/>
          <w:sz w:val="22"/>
          <w:szCs w:val="22"/>
          <w:lang w:val="en-GB"/>
        </w:rPr>
        <w:t>Nimbaphrynoides</w:t>
      </w:r>
      <w:proofErr w:type="spellEnd"/>
      <w:r w:rsidRPr="00AB0D87">
        <w:rPr>
          <w:rFonts w:ascii="Arial" w:hAnsi="Arial" w:cs="Arial"/>
          <w:i/>
          <w:iCs/>
          <w:sz w:val="22"/>
          <w:szCs w:val="22"/>
          <w:lang w:val="en-GB"/>
        </w:rPr>
        <w:t xml:space="preserve"> occidentalis</w:t>
      </w:r>
      <w:r w:rsidRPr="00AB0D87">
        <w:rPr>
          <w:rFonts w:ascii="Arial" w:hAnsi="Arial" w:cs="Arial"/>
          <w:sz w:val="22"/>
          <w:szCs w:val="22"/>
          <w:lang w:val="en-GB"/>
        </w:rPr>
        <w:t xml:space="preserve"> and its high vulnerability to climate change, particularly to wildfire disturbances. The species is confined to </w:t>
      </w:r>
      <w:proofErr w:type="spellStart"/>
      <w:r w:rsidRPr="00AB0D87">
        <w:rPr>
          <w:rFonts w:ascii="Arial" w:hAnsi="Arial" w:cs="Arial"/>
          <w:sz w:val="22"/>
          <w:szCs w:val="22"/>
          <w:lang w:val="en-GB"/>
        </w:rPr>
        <w:t>altimontane</w:t>
      </w:r>
      <w:proofErr w:type="spellEnd"/>
      <w:r w:rsidRPr="00AB0D87">
        <w:rPr>
          <w:rFonts w:ascii="Arial" w:hAnsi="Arial" w:cs="Arial"/>
          <w:sz w:val="22"/>
          <w:szCs w:val="22"/>
          <w:lang w:val="en-GB"/>
        </w:rPr>
        <w:t xml:space="preserve"> grasslands, which represent its only known natural habitat. These grasslands provide specific microclimatic conditions, including high humidity, frequent fog occurrence, ferruginous and </w:t>
      </w:r>
      <w:proofErr w:type="spellStart"/>
      <w:r w:rsidRPr="00AB0D87">
        <w:rPr>
          <w:rFonts w:ascii="Arial" w:hAnsi="Arial" w:cs="Arial"/>
          <w:sz w:val="22"/>
          <w:szCs w:val="22"/>
          <w:lang w:val="en-GB"/>
        </w:rPr>
        <w:t>quartzitic</w:t>
      </w:r>
      <w:proofErr w:type="spellEnd"/>
      <w:r w:rsidRPr="00AB0D87">
        <w:rPr>
          <w:rFonts w:ascii="Arial" w:hAnsi="Arial" w:cs="Arial"/>
          <w:sz w:val="22"/>
          <w:szCs w:val="22"/>
          <w:lang w:val="en-GB"/>
        </w:rPr>
        <w:t xml:space="preserve"> substrates, and herbaceous vegetation adapted to high-altitude environments. However, during the last two years, these </w:t>
      </w:r>
      <w:proofErr w:type="spellStart"/>
      <w:r w:rsidRPr="00AB0D87">
        <w:rPr>
          <w:rFonts w:ascii="Arial" w:hAnsi="Arial" w:cs="Arial"/>
          <w:sz w:val="22"/>
          <w:szCs w:val="22"/>
          <w:lang w:val="en-GB"/>
        </w:rPr>
        <w:t>altimontane</w:t>
      </w:r>
      <w:proofErr w:type="spellEnd"/>
      <w:r w:rsidRPr="00AB0D87">
        <w:rPr>
          <w:rFonts w:ascii="Arial" w:hAnsi="Arial" w:cs="Arial"/>
          <w:sz w:val="22"/>
          <w:szCs w:val="22"/>
          <w:lang w:val="en-GB"/>
        </w:rPr>
        <w:t xml:space="preserve"> grasslands have been affected by wildfire events that caused extensive destruction of the vegetation cover.</w:t>
      </w:r>
    </w:p>
    <w:p w14:paraId="16C42AB4" w14:textId="77777777" w:rsidR="00D07A5A" w:rsidRPr="00AB0D87" w:rsidRDefault="00000000">
      <w:pPr>
        <w:pStyle w:val="NormalWeb"/>
        <w:spacing w:line="276" w:lineRule="auto"/>
        <w:jc w:val="both"/>
        <w:rPr>
          <w:rFonts w:ascii="Arial" w:hAnsi="Arial" w:cs="Arial"/>
          <w:sz w:val="22"/>
          <w:lang w:val="en-GB"/>
        </w:rPr>
      </w:pPr>
      <w:r w:rsidRPr="00AB0D87">
        <w:rPr>
          <w:rFonts w:ascii="Arial" w:hAnsi="Arial" w:cs="Arial"/>
          <w:sz w:val="22"/>
          <w:lang w:val="en-GB"/>
        </w:rPr>
        <w:t xml:space="preserve">According to the literature (Lamotte </w:t>
      </w:r>
      <w:proofErr w:type="gramStart"/>
      <w:r w:rsidRPr="00AB0D87">
        <w:rPr>
          <w:rFonts w:ascii="Arial" w:hAnsi="Arial" w:cs="Arial"/>
          <w:sz w:val="22"/>
          <w:lang w:val="en-GB"/>
        </w:rPr>
        <w:t>1959 ;</w:t>
      </w:r>
      <w:proofErr w:type="gramEnd"/>
      <w:r w:rsidRPr="00AB0D87">
        <w:rPr>
          <w:rFonts w:ascii="Arial" w:hAnsi="Arial" w:cs="Arial"/>
          <w:sz w:val="22"/>
          <w:lang w:val="en-GB"/>
        </w:rPr>
        <w:t xml:space="preserve"> Lamotte and Sanchez Lamotte </w:t>
      </w:r>
      <w:proofErr w:type="gramStart"/>
      <w:r w:rsidRPr="00AB0D87">
        <w:rPr>
          <w:rFonts w:ascii="Arial" w:hAnsi="Arial" w:cs="Arial"/>
          <w:sz w:val="22"/>
          <w:lang w:val="en-GB"/>
        </w:rPr>
        <w:t>1999 ;</w:t>
      </w:r>
      <w:proofErr w:type="gramEnd"/>
      <w:r w:rsidRPr="00AB0D87">
        <w:rPr>
          <w:rFonts w:ascii="Arial" w:hAnsi="Arial" w:cs="Arial"/>
          <w:sz w:val="22"/>
          <w:lang w:val="en-GB"/>
        </w:rPr>
        <w:t xml:space="preserve"> Hillers et al. </w:t>
      </w:r>
      <w:proofErr w:type="gramStart"/>
      <w:r w:rsidRPr="00AB0D87">
        <w:rPr>
          <w:rFonts w:ascii="Arial" w:hAnsi="Arial" w:cs="Arial"/>
          <w:sz w:val="22"/>
          <w:lang w:val="en-GB"/>
        </w:rPr>
        <w:t>2008 ;</w:t>
      </w:r>
      <w:proofErr w:type="gramEnd"/>
      <w:r w:rsidRPr="00AB0D87">
        <w:rPr>
          <w:rFonts w:ascii="Arial" w:hAnsi="Arial" w:cs="Arial"/>
          <w:sz w:val="22"/>
          <w:lang w:val="en-GB"/>
        </w:rPr>
        <w:t xml:space="preserve"> Sandberger-Loua et al., 2016, 2017), the distribution range of the viviparous toad is estimated at approximately 4 km². Within this area, two study sites separated by a ravine containing a remnant patch of primary forest and located about 50 m apart were identified (Figure 1). Table 1 presents the characteristics of each habitat. Each habitat consisted of one rectangular transect measuring 100 m in length and 25 m in width, with a perimeter of 250 m, rather than the method recommended by </w:t>
      </w:r>
      <w:proofErr w:type="spellStart"/>
      <w:r w:rsidRPr="00AB0D87">
        <w:rPr>
          <w:rFonts w:ascii="Arial" w:hAnsi="Arial" w:cs="Arial"/>
          <w:sz w:val="22"/>
          <w:lang w:val="en-GB"/>
        </w:rPr>
        <w:t>Rödel</w:t>
      </w:r>
      <w:proofErr w:type="spellEnd"/>
      <w:r w:rsidRPr="00AB0D87">
        <w:rPr>
          <w:rFonts w:ascii="Arial" w:hAnsi="Arial" w:cs="Arial"/>
          <w:sz w:val="22"/>
          <w:lang w:val="en-GB"/>
        </w:rPr>
        <w:t xml:space="preserve"> and Ernst (2004). Indeed, ravines, fog, and slopes of the high-altitude grassland made it difficult to establish a transect with a perimeter of 600 m.</w:t>
      </w:r>
    </w:p>
    <w:p w14:paraId="7EA6EBF1" w14:textId="3946720B" w:rsidR="00D07A5A" w:rsidRPr="00AB0D87" w:rsidRDefault="00917AFE">
      <w:pPr>
        <w:spacing w:line="480" w:lineRule="auto"/>
        <w:rPr>
          <w:rFonts w:ascii="Arial" w:hAnsi="Arial" w:cs="Arial"/>
          <w:sz w:val="22"/>
        </w:rPr>
      </w:pPr>
      <w:r>
        <w:rPr>
          <w:rFonts w:ascii="Arial" w:hAnsi="Arial" w:cs="Arial"/>
          <w:noProof/>
          <w:sz w:val="22"/>
        </w:rPr>
        <w:lastRenderedPageBreak/>
        <w:pict w14:anchorId="5F5A0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391.25pt;height:390.55pt;visibility:visible;mso-wrap-style:square">
            <v:imagedata r:id="rId7" o:title="" croptop="-3f" cropbottom="-3f" cropleft="-3f" cropright="-3f"/>
          </v:shape>
        </w:pict>
      </w:r>
    </w:p>
    <w:p w14:paraId="64B6715D" w14:textId="77777777" w:rsidR="00D07A5A" w:rsidRPr="00AB0D87" w:rsidRDefault="00000000">
      <w:pPr>
        <w:spacing w:after="15"/>
        <w:ind w:left="-5"/>
        <w:rPr>
          <w:rFonts w:ascii="Arial" w:hAnsi="Arial" w:cs="Arial"/>
          <w:bCs/>
          <w:iCs/>
          <w:color w:val="000000"/>
          <w:sz w:val="22"/>
          <w:shd w:val="clear" w:color="auto" w:fill="FFFFFF"/>
          <w:lang w:val="en-GB"/>
        </w:rPr>
      </w:pPr>
      <w:r w:rsidRPr="00AB0D87">
        <w:rPr>
          <w:rFonts w:ascii="Arial" w:hAnsi="Arial" w:cs="Arial"/>
          <w:bCs/>
          <w:iCs/>
          <w:color w:val="000000"/>
          <w:sz w:val="22"/>
          <w:shd w:val="clear" w:color="auto" w:fill="FFFFFF"/>
          <w:lang w:val="en-GB"/>
        </w:rPr>
        <w:t xml:space="preserve">Figure </w:t>
      </w:r>
      <w:proofErr w:type="gramStart"/>
      <w:r w:rsidRPr="00AB0D87">
        <w:rPr>
          <w:rFonts w:ascii="Arial" w:hAnsi="Arial" w:cs="Arial"/>
          <w:bCs/>
          <w:iCs/>
          <w:color w:val="000000"/>
          <w:sz w:val="22"/>
          <w:shd w:val="clear" w:color="auto" w:fill="FFFFFF"/>
          <w:lang w:val="en-GB"/>
        </w:rPr>
        <w:t>1 :</w:t>
      </w:r>
      <w:proofErr w:type="gramEnd"/>
      <w:r w:rsidRPr="00AB0D87">
        <w:rPr>
          <w:rFonts w:ascii="Arial" w:hAnsi="Arial" w:cs="Arial"/>
          <w:bCs/>
          <w:iCs/>
          <w:color w:val="000000"/>
          <w:sz w:val="22"/>
          <w:shd w:val="clear" w:color="auto" w:fill="FFFFFF"/>
          <w:lang w:val="en-GB"/>
        </w:rPr>
        <w:t xml:space="preserve"> Map of the Home Range of </w:t>
      </w:r>
      <w:proofErr w:type="spellStart"/>
      <w:r w:rsidRPr="00AB0D87">
        <w:rPr>
          <w:rFonts w:ascii="Arial" w:hAnsi="Arial" w:cs="Arial"/>
          <w:bCs/>
          <w:i/>
          <w:iCs/>
          <w:color w:val="000000"/>
          <w:sz w:val="22"/>
          <w:shd w:val="clear" w:color="auto" w:fill="FFFFFF"/>
          <w:lang w:val="en-GB"/>
        </w:rPr>
        <w:t>Nimbaphrynoides</w:t>
      </w:r>
      <w:proofErr w:type="spellEnd"/>
      <w:r w:rsidRPr="00AB0D87">
        <w:rPr>
          <w:rFonts w:ascii="Arial" w:hAnsi="Arial" w:cs="Arial"/>
          <w:bCs/>
          <w:i/>
          <w:iCs/>
          <w:color w:val="000000"/>
          <w:sz w:val="22"/>
          <w:shd w:val="clear" w:color="auto" w:fill="FFFFFF"/>
          <w:lang w:val="en-GB"/>
        </w:rPr>
        <w:t xml:space="preserve"> occidentalis</w:t>
      </w:r>
      <w:r w:rsidRPr="00AB0D87">
        <w:rPr>
          <w:rFonts w:ascii="Arial" w:hAnsi="Arial" w:cs="Arial"/>
          <w:bCs/>
          <w:iCs/>
          <w:color w:val="000000"/>
          <w:sz w:val="22"/>
          <w:shd w:val="clear" w:color="auto" w:fill="FFFFFF"/>
          <w:lang w:val="en-GB"/>
        </w:rPr>
        <w:t xml:space="preserve"> in the Strict Nature Reserve of Mount Nimba</w:t>
      </w:r>
    </w:p>
    <w:p w14:paraId="4627DD84" w14:textId="77777777" w:rsidR="00D07A5A" w:rsidRPr="00AB0D87" w:rsidRDefault="00000000">
      <w:pPr>
        <w:spacing w:before="240" w:after="15"/>
        <w:ind w:left="-5"/>
      </w:pPr>
      <w:r w:rsidRPr="00AB0D87">
        <w:rPr>
          <w:rFonts w:ascii="Arial" w:hAnsi="Arial" w:cs="Arial"/>
          <w:bCs/>
          <w:iCs/>
          <w:color w:val="000000"/>
          <w:sz w:val="22"/>
          <w:shd w:val="clear" w:color="auto" w:fill="FFFFFF"/>
          <w:lang w:val="en-GB"/>
        </w:rPr>
        <w:t>Table 1. Characteristics of the different habitats</w:t>
      </w:r>
    </w:p>
    <w:tbl>
      <w:tblPr>
        <w:tblW w:w="9293" w:type="dxa"/>
        <w:tblInd w:w="-5" w:type="dxa"/>
        <w:tblLayout w:type="fixed"/>
        <w:tblLook w:val="04A0" w:firstRow="1" w:lastRow="0" w:firstColumn="1" w:lastColumn="0" w:noHBand="0" w:noVBand="1"/>
      </w:tblPr>
      <w:tblGrid>
        <w:gridCol w:w="1070"/>
        <w:gridCol w:w="886"/>
        <w:gridCol w:w="1985"/>
        <w:gridCol w:w="3694"/>
        <w:gridCol w:w="1658"/>
      </w:tblGrid>
      <w:tr w:rsidR="00D07A5A" w:rsidRPr="00AB0D87" w14:paraId="5F1F0896" w14:textId="77777777">
        <w:tc>
          <w:tcPr>
            <w:tcW w:w="1070" w:type="dxa"/>
            <w:tcBorders>
              <w:top w:val="single" w:sz="4" w:space="0" w:color="000000"/>
              <w:left w:val="single" w:sz="4" w:space="0" w:color="000000"/>
              <w:bottom w:val="single" w:sz="4" w:space="0" w:color="000000"/>
              <w:right w:val="single" w:sz="4" w:space="0" w:color="000000"/>
            </w:tcBorders>
          </w:tcPr>
          <w:p w14:paraId="0269FDE7" w14:textId="77777777" w:rsidR="00D07A5A" w:rsidRPr="00AB0D87" w:rsidRDefault="00000000">
            <w:pPr>
              <w:spacing w:after="15"/>
              <w:rPr>
                <w:bCs/>
                <w:iCs/>
                <w:color w:val="000000"/>
                <w:sz w:val="22"/>
                <w:shd w:val="clear" w:color="auto" w:fill="FFFFFF"/>
              </w:rPr>
            </w:pPr>
            <w:r w:rsidRPr="00AB0D87">
              <w:rPr>
                <w:bCs/>
                <w:iCs/>
                <w:color w:val="000000"/>
                <w:sz w:val="22"/>
                <w:shd w:val="clear" w:color="auto" w:fill="FFFFFF"/>
              </w:rPr>
              <w:t>Habitat</w:t>
            </w:r>
          </w:p>
        </w:tc>
        <w:tc>
          <w:tcPr>
            <w:tcW w:w="886" w:type="dxa"/>
            <w:tcBorders>
              <w:top w:val="single" w:sz="4" w:space="0" w:color="000000"/>
              <w:left w:val="single" w:sz="4" w:space="0" w:color="000000"/>
              <w:bottom w:val="single" w:sz="4" w:space="0" w:color="000000"/>
              <w:right w:val="single" w:sz="4" w:space="0" w:color="000000"/>
            </w:tcBorders>
          </w:tcPr>
          <w:p w14:paraId="373E3E71" w14:textId="77777777" w:rsidR="00D07A5A" w:rsidRPr="00AB0D87" w:rsidRDefault="00000000">
            <w:pPr>
              <w:spacing w:after="15"/>
              <w:rPr>
                <w:sz w:val="22"/>
                <w:szCs w:val="20"/>
              </w:rPr>
            </w:pPr>
            <w:r w:rsidRPr="00AB0D87">
              <w:rPr>
                <w:sz w:val="22"/>
                <w:szCs w:val="20"/>
              </w:rPr>
              <w:t>Area</w:t>
            </w:r>
          </w:p>
        </w:tc>
        <w:tc>
          <w:tcPr>
            <w:tcW w:w="1985" w:type="dxa"/>
            <w:tcBorders>
              <w:top w:val="single" w:sz="4" w:space="0" w:color="000000"/>
              <w:left w:val="single" w:sz="4" w:space="0" w:color="000000"/>
              <w:bottom w:val="single" w:sz="4" w:space="0" w:color="000000"/>
              <w:right w:val="single" w:sz="4" w:space="0" w:color="000000"/>
            </w:tcBorders>
          </w:tcPr>
          <w:p w14:paraId="69EE3F61" w14:textId="77777777" w:rsidR="00D07A5A" w:rsidRPr="00AB0D87" w:rsidRDefault="00000000">
            <w:pPr>
              <w:spacing w:after="15"/>
              <w:rPr>
                <w:sz w:val="22"/>
                <w:szCs w:val="20"/>
              </w:rPr>
            </w:pPr>
            <w:r w:rsidRPr="00AB0D87">
              <w:rPr>
                <w:sz w:val="22"/>
                <w:szCs w:val="20"/>
              </w:rPr>
              <w:t>Altitude</w:t>
            </w:r>
          </w:p>
        </w:tc>
        <w:tc>
          <w:tcPr>
            <w:tcW w:w="3694" w:type="dxa"/>
            <w:tcBorders>
              <w:top w:val="single" w:sz="4" w:space="0" w:color="000000"/>
              <w:left w:val="single" w:sz="4" w:space="0" w:color="000000"/>
              <w:bottom w:val="single" w:sz="4" w:space="0" w:color="000000"/>
              <w:right w:val="single" w:sz="4" w:space="0" w:color="000000"/>
            </w:tcBorders>
          </w:tcPr>
          <w:p w14:paraId="74026445" w14:textId="77777777" w:rsidR="00D07A5A" w:rsidRPr="00AB0D87" w:rsidRDefault="00000000">
            <w:pPr>
              <w:spacing w:after="15"/>
              <w:rPr>
                <w:sz w:val="22"/>
                <w:szCs w:val="20"/>
              </w:rPr>
            </w:pPr>
            <w:r w:rsidRPr="00AB0D87">
              <w:rPr>
                <w:sz w:val="22"/>
                <w:szCs w:val="20"/>
                <w:lang w:val="en"/>
              </w:rPr>
              <w:t>Vegetation structure</w:t>
            </w:r>
          </w:p>
        </w:tc>
        <w:tc>
          <w:tcPr>
            <w:tcW w:w="1658" w:type="dxa"/>
            <w:tcBorders>
              <w:top w:val="single" w:sz="4" w:space="0" w:color="000000"/>
              <w:left w:val="single" w:sz="4" w:space="0" w:color="000000"/>
              <w:bottom w:val="single" w:sz="4" w:space="0" w:color="000000"/>
              <w:right w:val="single" w:sz="4" w:space="0" w:color="000000"/>
            </w:tcBorders>
          </w:tcPr>
          <w:p w14:paraId="1ACDAAD2" w14:textId="77777777" w:rsidR="00D07A5A" w:rsidRPr="00AB0D87" w:rsidRDefault="00000000">
            <w:pPr>
              <w:spacing w:after="15"/>
              <w:rPr>
                <w:bCs/>
                <w:iCs/>
                <w:color w:val="000000"/>
                <w:sz w:val="22"/>
                <w:shd w:val="clear" w:color="auto" w:fill="FFFFFF"/>
              </w:rPr>
            </w:pPr>
            <w:proofErr w:type="spellStart"/>
            <w:r w:rsidRPr="00AB0D87">
              <w:rPr>
                <w:bCs/>
                <w:iCs/>
                <w:color w:val="000000"/>
                <w:sz w:val="22"/>
                <w:shd w:val="clear" w:color="auto" w:fill="FFFFFF"/>
              </w:rPr>
              <w:t>Watercourse</w:t>
            </w:r>
            <w:proofErr w:type="spellEnd"/>
          </w:p>
        </w:tc>
      </w:tr>
      <w:tr w:rsidR="00D07A5A" w:rsidRPr="00AB0D87" w14:paraId="6CE037AE" w14:textId="77777777">
        <w:tc>
          <w:tcPr>
            <w:tcW w:w="1070" w:type="dxa"/>
            <w:tcBorders>
              <w:top w:val="single" w:sz="4" w:space="0" w:color="000000"/>
              <w:left w:val="single" w:sz="4" w:space="0" w:color="000000"/>
              <w:bottom w:val="single" w:sz="4" w:space="0" w:color="000000"/>
              <w:right w:val="single" w:sz="4" w:space="0" w:color="000000"/>
            </w:tcBorders>
          </w:tcPr>
          <w:p w14:paraId="44995B94" w14:textId="77777777" w:rsidR="00D07A5A" w:rsidRPr="00AB0D87" w:rsidRDefault="00000000">
            <w:pPr>
              <w:spacing w:after="15"/>
              <w:rPr>
                <w:bCs/>
                <w:iCs/>
                <w:color w:val="000000"/>
                <w:sz w:val="22"/>
                <w:shd w:val="clear" w:color="auto" w:fill="FFFFFF"/>
              </w:rPr>
            </w:pPr>
            <w:r w:rsidRPr="00AB0D87">
              <w:rPr>
                <w:bCs/>
                <w:iCs/>
                <w:color w:val="000000"/>
                <w:sz w:val="22"/>
                <w:shd w:val="clear" w:color="auto" w:fill="FFFFFF"/>
              </w:rPr>
              <w:t>Site A</w:t>
            </w:r>
          </w:p>
        </w:tc>
        <w:tc>
          <w:tcPr>
            <w:tcW w:w="886" w:type="dxa"/>
            <w:tcBorders>
              <w:top w:val="single" w:sz="4" w:space="0" w:color="000000"/>
              <w:left w:val="single" w:sz="4" w:space="0" w:color="000000"/>
              <w:bottom w:val="single" w:sz="4" w:space="0" w:color="000000"/>
              <w:right w:val="single" w:sz="4" w:space="0" w:color="000000"/>
            </w:tcBorders>
          </w:tcPr>
          <w:p w14:paraId="4A5B049F" w14:textId="77777777" w:rsidR="00D07A5A" w:rsidRPr="00AB0D87" w:rsidRDefault="00000000">
            <w:pPr>
              <w:spacing w:after="15"/>
              <w:rPr>
                <w:bCs/>
                <w:iCs/>
                <w:color w:val="000000"/>
                <w:sz w:val="22"/>
                <w:shd w:val="clear" w:color="auto" w:fill="FFFFFF"/>
              </w:rPr>
            </w:pPr>
            <w:r w:rsidRPr="00AB0D87">
              <w:rPr>
                <w:sz w:val="22"/>
              </w:rPr>
              <w:t>3 km²</w:t>
            </w:r>
          </w:p>
        </w:tc>
        <w:tc>
          <w:tcPr>
            <w:tcW w:w="1985" w:type="dxa"/>
            <w:tcBorders>
              <w:top w:val="single" w:sz="4" w:space="0" w:color="000000"/>
              <w:left w:val="single" w:sz="4" w:space="0" w:color="000000"/>
              <w:bottom w:val="single" w:sz="4" w:space="0" w:color="000000"/>
              <w:right w:val="single" w:sz="4" w:space="0" w:color="000000"/>
            </w:tcBorders>
          </w:tcPr>
          <w:p w14:paraId="20CD2905" w14:textId="77777777" w:rsidR="00D07A5A" w:rsidRPr="00AB0D87" w:rsidRDefault="00000000">
            <w:pPr>
              <w:spacing w:after="15"/>
              <w:rPr>
                <w:bCs/>
                <w:iCs/>
                <w:color w:val="000000"/>
                <w:sz w:val="22"/>
                <w:shd w:val="clear" w:color="auto" w:fill="FFFFFF"/>
              </w:rPr>
            </w:pPr>
            <w:r w:rsidRPr="00AB0D87">
              <w:rPr>
                <w:sz w:val="22"/>
              </w:rPr>
              <w:t>1230 à 1400 m</w:t>
            </w:r>
          </w:p>
        </w:tc>
        <w:tc>
          <w:tcPr>
            <w:tcW w:w="3694" w:type="dxa"/>
            <w:tcBorders>
              <w:top w:val="single" w:sz="4" w:space="0" w:color="000000"/>
              <w:left w:val="single" w:sz="4" w:space="0" w:color="000000"/>
              <w:bottom w:val="single" w:sz="4" w:space="0" w:color="000000"/>
              <w:right w:val="single" w:sz="4" w:space="0" w:color="000000"/>
            </w:tcBorders>
          </w:tcPr>
          <w:p w14:paraId="79AB75D0" w14:textId="77777777" w:rsidR="00D07A5A" w:rsidRPr="00AB0D87" w:rsidRDefault="00000000">
            <w:pPr>
              <w:spacing w:after="15"/>
              <w:rPr>
                <w:bCs/>
                <w:iCs/>
                <w:color w:val="000000"/>
                <w:sz w:val="22"/>
                <w:shd w:val="clear" w:color="auto" w:fill="FFFFFF"/>
                <w:lang w:val="en-GB"/>
              </w:rPr>
            </w:pPr>
            <w:r w:rsidRPr="00AB0D87">
              <w:rPr>
                <w:sz w:val="22"/>
                <w:lang w:val="en-GB"/>
              </w:rPr>
              <w:t>Abundant grass interspersed with shrubs</w:t>
            </w:r>
          </w:p>
        </w:tc>
        <w:tc>
          <w:tcPr>
            <w:tcW w:w="1658" w:type="dxa"/>
            <w:tcBorders>
              <w:top w:val="single" w:sz="4" w:space="0" w:color="000000"/>
              <w:left w:val="single" w:sz="4" w:space="0" w:color="000000"/>
              <w:bottom w:val="single" w:sz="4" w:space="0" w:color="000000"/>
              <w:right w:val="single" w:sz="4" w:space="0" w:color="000000"/>
            </w:tcBorders>
          </w:tcPr>
          <w:p w14:paraId="41D393F7" w14:textId="77777777" w:rsidR="00D07A5A" w:rsidRPr="00AB0D87" w:rsidRDefault="00000000">
            <w:pPr>
              <w:spacing w:after="15"/>
              <w:rPr>
                <w:bCs/>
                <w:iCs/>
                <w:color w:val="000000"/>
                <w:sz w:val="22"/>
                <w:shd w:val="clear" w:color="auto" w:fill="FFFFFF"/>
              </w:rPr>
            </w:pPr>
            <w:proofErr w:type="spellStart"/>
            <w:r w:rsidRPr="00AB0D87">
              <w:rPr>
                <w:bCs/>
                <w:iCs/>
                <w:color w:val="000000"/>
                <w:sz w:val="22"/>
                <w:shd w:val="clear" w:color="auto" w:fill="FFFFFF"/>
              </w:rPr>
              <w:t>Periodic</w:t>
            </w:r>
            <w:proofErr w:type="spellEnd"/>
            <w:r w:rsidRPr="00AB0D87">
              <w:rPr>
                <w:bCs/>
                <w:iCs/>
                <w:color w:val="000000"/>
                <w:sz w:val="22"/>
                <w:shd w:val="clear" w:color="auto" w:fill="FFFFFF"/>
              </w:rPr>
              <w:t xml:space="preserve"> </w:t>
            </w:r>
            <w:proofErr w:type="spellStart"/>
            <w:r w:rsidRPr="00AB0D87">
              <w:rPr>
                <w:bCs/>
                <w:iCs/>
                <w:color w:val="000000"/>
                <w:sz w:val="22"/>
                <w:shd w:val="clear" w:color="auto" w:fill="FFFFFF"/>
              </w:rPr>
              <w:t>stream</w:t>
            </w:r>
            <w:proofErr w:type="spellEnd"/>
          </w:p>
        </w:tc>
      </w:tr>
      <w:tr w:rsidR="00D07A5A" w:rsidRPr="00AB0D87" w14:paraId="5BE73EE0" w14:textId="77777777">
        <w:tc>
          <w:tcPr>
            <w:tcW w:w="1070" w:type="dxa"/>
            <w:tcBorders>
              <w:top w:val="single" w:sz="4" w:space="0" w:color="000000"/>
              <w:left w:val="single" w:sz="4" w:space="0" w:color="000000"/>
              <w:bottom w:val="single" w:sz="4" w:space="0" w:color="000000"/>
              <w:right w:val="single" w:sz="4" w:space="0" w:color="000000"/>
            </w:tcBorders>
          </w:tcPr>
          <w:p w14:paraId="70C4FCF4" w14:textId="77777777" w:rsidR="00D07A5A" w:rsidRPr="00AB0D87" w:rsidRDefault="00000000">
            <w:pPr>
              <w:spacing w:after="15"/>
            </w:pPr>
            <w:r w:rsidRPr="00AB0D87">
              <w:rPr>
                <w:bCs/>
                <w:iCs/>
                <w:color w:val="000000"/>
                <w:sz w:val="22"/>
                <w:shd w:val="clear" w:color="auto" w:fill="FFFFFF"/>
              </w:rPr>
              <w:t>Site B</w:t>
            </w:r>
          </w:p>
        </w:tc>
        <w:tc>
          <w:tcPr>
            <w:tcW w:w="886" w:type="dxa"/>
            <w:tcBorders>
              <w:top w:val="single" w:sz="4" w:space="0" w:color="000000"/>
              <w:left w:val="single" w:sz="4" w:space="0" w:color="000000"/>
              <w:bottom w:val="single" w:sz="4" w:space="0" w:color="000000"/>
              <w:right w:val="single" w:sz="4" w:space="0" w:color="000000"/>
            </w:tcBorders>
          </w:tcPr>
          <w:p w14:paraId="50290876" w14:textId="77777777" w:rsidR="00D07A5A" w:rsidRPr="00AB0D87" w:rsidRDefault="00000000">
            <w:pPr>
              <w:spacing w:after="15"/>
              <w:rPr>
                <w:bCs/>
                <w:iCs/>
                <w:color w:val="000000"/>
                <w:sz w:val="22"/>
                <w:shd w:val="clear" w:color="auto" w:fill="FFFFFF"/>
              </w:rPr>
            </w:pPr>
            <w:r w:rsidRPr="00AB0D87">
              <w:rPr>
                <w:sz w:val="22"/>
              </w:rPr>
              <w:t>1 km²</w:t>
            </w:r>
          </w:p>
        </w:tc>
        <w:tc>
          <w:tcPr>
            <w:tcW w:w="1985" w:type="dxa"/>
            <w:tcBorders>
              <w:top w:val="single" w:sz="4" w:space="0" w:color="000000"/>
              <w:left w:val="single" w:sz="4" w:space="0" w:color="000000"/>
              <w:bottom w:val="single" w:sz="4" w:space="0" w:color="000000"/>
              <w:right w:val="single" w:sz="4" w:space="0" w:color="000000"/>
            </w:tcBorders>
          </w:tcPr>
          <w:p w14:paraId="51367F64" w14:textId="77777777" w:rsidR="00D07A5A" w:rsidRPr="00AB0D87" w:rsidRDefault="00000000">
            <w:pPr>
              <w:spacing w:after="15"/>
              <w:rPr>
                <w:bCs/>
                <w:iCs/>
                <w:color w:val="000000"/>
                <w:sz w:val="22"/>
                <w:shd w:val="clear" w:color="auto" w:fill="FFFFFF"/>
              </w:rPr>
            </w:pPr>
            <w:r w:rsidRPr="00AB0D87">
              <w:rPr>
                <w:sz w:val="22"/>
              </w:rPr>
              <w:t>1450 à 1600 m</w:t>
            </w:r>
          </w:p>
        </w:tc>
        <w:tc>
          <w:tcPr>
            <w:tcW w:w="3694" w:type="dxa"/>
            <w:tcBorders>
              <w:top w:val="single" w:sz="4" w:space="0" w:color="000000"/>
              <w:left w:val="single" w:sz="4" w:space="0" w:color="000000"/>
              <w:bottom w:val="single" w:sz="4" w:space="0" w:color="000000"/>
              <w:right w:val="single" w:sz="4" w:space="0" w:color="000000"/>
            </w:tcBorders>
          </w:tcPr>
          <w:p w14:paraId="32C20814" w14:textId="77777777" w:rsidR="00D07A5A" w:rsidRPr="00AB0D87" w:rsidRDefault="00000000">
            <w:pPr>
              <w:spacing w:after="15"/>
              <w:rPr>
                <w:bCs/>
                <w:iCs/>
                <w:color w:val="000000"/>
                <w:sz w:val="22"/>
                <w:shd w:val="clear" w:color="auto" w:fill="FFFFFF"/>
                <w:lang w:val="en-GB"/>
              </w:rPr>
            </w:pPr>
            <w:r w:rsidRPr="00AB0D87">
              <w:rPr>
                <w:sz w:val="22"/>
                <w:lang w:val="en-GB"/>
              </w:rPr>
              <w:t>Ferruginous cuirass with a low presence of grasses</w:t>
            </w:r>
          </w:p>
        </w:tc>
        <w:tc>
          <w:tcPr>
            <w:tcW w:w="1658" w:type="dxa"/>
            <w:tcBorders>
              <w:top w:val="single" w:sz="4" w:space="0" w:color="000000"/>
              <w:left w:val="single" w:sz="4" w:space="0" w:color="000000"/>
              <w:bottom w:val="single" w:sz="4" w:space="0" w:color="000000"/>
              <w:right w:val="single" w:sz="4" w:space="0" w:color="000000"/>
            </w:tcBorders>
          </w:tcPr>
          <w:p w14:paraId="58BCBE8E" w14:textId="77777777" w:rsidR="00D07A5A" w:rsidRPr="00AB0D87" w:rsidRDefault="00000000">
            <w:pPr>
              <w:spacing w:after="15"/>
              <w:rPr>
                <w:bCs/>
                <w:iCs/>
                <w:color w:val="000000"/>
                <w:sz w:val="22"/>
                <w:shd w:val="clear" w:color="auto" w:fill="FFFFFF"/>
              </w:rPr>
            </w:pPr>
            <w:proofErr w:type="spellStart"/>
            <w:r w:rsidRPr="00AB0D87">
              <w:rPr>
                <w:bCs/>
                <w:iCs/>
                <w:color w:val="000000"/>
                <w:sz w:val="22"/>
                <w:shd w:val="clear" w:color="auto" w:fill="FFFFFF"/>
              </w:rPr>
              <w:t>Periodic</w:t>
            </w:r>
            <w:proofErr w:type="spellEnd"/>
            <w:r w:rsidRPr="00AB0D87">
              <w:rPr>
                <w:bCs/>
                <w:iCs/>
                <w:color w:val="000000"/>
                <w:sz w:val="22"/>
                <w:shd w:val="clear" w:color="auto" w:fill="FFFFFF"/>
              </w:rPr>
              <w:t xml:space="preserve"> </w:t>
            </w:r>
            <w:proofErr w:type="spellStart"/>
            <w:r w:rsidRPr="00AB0D87">
              <w:rPr>
                <w:bCs/>
                <w:iCs/>
                <w:color w:val="000000"/>
                <w:sz w:val="22"/>
                <w:shd w:val="clear" w:color="auto" w:fill="FFFFFF"/>
              </w:rPr>
              <w:t>stream</w:t>
            </w:r>
            <w:proofErr w:type="spellEnd"/>
          </w:p>
        </w:tc>
      </w:tr>
    </w:tbl>
    <w:p w14:paraId="516409CA" w14:textId="77777777" w:rsidR="00D07A5A" w:rsidRPr="00AB0D87" w:rsidRDefault="00D07A5A">
      <w:pPr>
        <w:spacing w:after="15"/>
        <w:ind w:left="-5"/>
        <w:rPr>
          <w:rFonts w:ascii="Arial" w:hAnsi="Arial" w:cs="Arial"/>
          <w:bCs/>
          <w:iCs/>
          <w:color w:val="000000"/>
          <w:sz w:val="22"/>
          <w:shd w:val="clear" w:color="auto" w:fill="FFFFFF"/>
          <w:lang w:val="en-GB"/>
        </w:rPr>
      </w:pPr>
    </w:p>
    <w:p w14:paraId="05D8723D" w14:textId="77777777" w:rsidR="00D07A5A" w:rsidRPr="00AB0D87" w:rsidRDefault="00000000">
      <w:pPr>
        <w:pStyle w:val="Heading2"/>
      </w:pPr>
      <w:r w:rsidRPr="00AB0D87">
        <w:t>2.3. Data Collection</w:t>
      </w:r>
    </w:p>
    <w:p w14:paraId="5BA33832" w14:textId="77777777" w:rsidR="00D07A5A" w:rsidRPr="00AB0D87" w:rsidRDefault="00000000">
      <w:pPr>
        <w:rPr>
          <w:rFonts w:ascii="Arial" w:eastAsia="Times New Roman" w:hAnsi="Arial" w:cs="Arial"/>
          <w:bCs/>
          <w:i/>
          <w:color w:val="000000"/>
          <w:sz w:val="22"/>
          <w:shd w:val="clear" w:color="auto" w:fill="FFFFFF"/>
          <w:lang w:val="en-GB" w:eastAsia="fr-FR"/>
        </w:rPr>
      </w:pPr>
      <w:r w:rsidRPr="00AB0D87">
        <w:rPr>
          <w:rFonts w:ascii="Arial" w:eastAsia="Times New Roman" w:hAnsi="Arial" w:cs="Arial"/>
          <w:bCs/>
          <w:iCs/>
          <w:color w:val="000000"/>
          <w:sz w:val="22"/>
          <w:shd w:val="clear" w:color="auto" w:fill="FFFFFF"/>
          <w:lang w:val="en-GB" w:eastAsia="fr-FR"/>
        </w:rPr>
        <w:t xml:space="preserve">To assess the population abundance of </w:t>
      </w:r>
      <w:proofErr w:type="spellStart"/>
      <w:r w:rsidRPr="00AB0D87">
        <w:rPr>
          <w:rFonts w:ascii="Arial" w:eastAsia="Times New Roman" w:hAnsi="Arial" w:cs="Arial"/>
          <w:bCs/>
          <w:i/>
          <w:iCs/>
          <w:color w:val="000000"/>
          <w:sz w:val="22"/>
          <w:shd w:val="clear" w:color="auto" w:fill="FFFFFF"/>
          <w:lang w:val="en-GB" w:eastAsia="fr-FR"/>
        </w:rPr>
        <w:t>Nimbaphrynoides</w:t>
      </w:r>
      <w:proofErr w:type="spellEnd"/>
      <w:r w:rsidRPr="00AB0D87">
        <w:rPr>
          <w:rFonts w:ascii="Arial" w:eastAsia="Times New Roman" w:hAnsi="Arial" w:cs="Arial"/>
          <w:bCs/>
          <w:i/>
          <w:iCs/>
          <w:color w:val="000000"/>
          <w:sz w:val="22"/>
          <w:shd w:val="clear" w:color="auto" w:fill="FFFFFF"/>
          <w:lang w:val="en-GB" w:eastAsia="fr-FR"/>
        </w:rPr>
        <w:t xml:space="preserve"> occidentalis</w:t>
      </w:r>
      <w:r w:rsidRPr="00AB0D87">
        <w:rPr>
          <w:rFonts w:ascii="Arial" w:eastAsia="Times New Roman" w:hAnsi="Arial" w:cs="Arial"/>
          <w:bCs/>
          <w:iCs/>
          <w:color w:val="000000"/>
          <w:sz w:val="22"/>
          <w:shd w:val="clear" w:color="auto" w:fill="FFFFFF"/>
          <w:lang w:val="en-GB" w:eastAsia="fr-FR"/>
        </w:rPr>
        <w:t xml:space="preserve"> before and after the wildfire event, field surveys were conducted in two phases: a pre-fire survey (May 2022) and a post-fire survey (May 2023). Only captured individuals were included in the analyses. Surveys were carried out during the rainy seasons, corresponding to the period of highest biological activity of </w:t>
      </w:r>
      <w:proofErr w:type="spellStart"/>
      <w:r w:rsidRPr="00AB0D87">
        <w:rPr>
          <w:rFonts w:ascii="Arial" w:eastAsia="Times New Roman" w:hAnsi="Arial" w:cs="Arial"/>
          <w:bCs/>
          <w:i/>
          <w:color w:val="000000"/>
          <w:sz w:val="22"/>
          <w:shd w:val="clear" w:color="auto" w:fill="FFFFFF"/>
          <w:lang w:val="en-GB" w:eastAsia="fr-FR"/>
        </w:rPr>
        <w:t>Nimbaphrynoides</w:t>
      </w:r>
      <w:proofErr w:type="spellEnd"/>
      <w:r w:rsidRPr="00AB0D87">
        <w:rPr>
          <w:rFonts w:ascii="Arial" w:eastAsia="Times New Roman" w:hAnsi="Arial" w:cs="Arial"/>
          <w:bCs/>
          <w:i/>
          <w:color w:val="000000"/>
          <w:sz w:val="22"/>
          <w:shd w:val="clear" w:color="auto" w:fill="FFFFFF"/>
          <w:lang w:val="en-GB" w:eastAsia="fr-FR"/>
        </w:rPr>
        <w:t xml:space="preserve"> occidentalis.</w:t>
      </w:r>
    </w:p>
    <w:p w14:paraId="1FAFAC2F" w14:textId="77777777" w:rsidR="00D07A5A" w:rsidRPr="00AB0D87" w:rsidRDefault="00000000">
      <w:pPr>
        <w:rPr>
          <w:rFonts w:ascii="Arial" w:eastAsia="Times New Roman" w:hAnsi="Arial" w:cs="Arial"/>
          <w:bCs/>
          <w:iCs/>
          <w:color w:val="000000"/>
          <w:sz w:val="22"/>
          <w:shd w:val="clear" w:color="auto" w:fill="FFFFFF"/>
          <w:lang w:val="en-GB" w:eastAsia="fr-FR"/>
        </w:rPr>
      </w:pPr>
      <w:r w:rsidRPr="00AB0D87">
        <w:rPr>
          <w:rFonts w:ascii="Arial" w:eastAsia="Times New Roman" w:hAnsi="Arial" w:cs="Arial"/>
          <w:bCs/>
          <w:iCs/>
          <w:color w:val="000000"/>
          <w:sz w:val="22"/>
          <w:shd w:val="clear" w:color="auto" w:fill="FFFFFF"/>
          <w:lang w:val="en-GB" w:eastAsia="fr-FR"/>
        </w:rPr>
        <w:lastRenderedPageBreak/>
        <w:t>Data were collected using active visual encounter surveys combined with manual capture along rectangular transects measuring 100 × 25 m, subdivided into 4 m² quadrats. Individuals were identified in situ and immediately released at their capture location.</w:t>
      </w:r>
    </w:p>
    <w:p w14:paraId="316D4EA2" w14:textId="77777777" w:rsidR="00D07A5A" w:rsidRPr="00AB0D87" w:rsidRDefault="00000000">
      <w:r w:rsidRPr="00AB0D87">
        <w:rPr>
          <w:rFonts w:ascii="Arial" w:eastAsia="Times New Roman" w:hAnsi="Arial" w:cs="Arial"/>
          <w:bCs/>
          <w:iCs/>
          <w:color w:val="000000"/>
          <w:sz w:val="22"/>
          <w:shd w:val="clear" w:color="auto" w:fill="FFFFFF"/>
          <w:lang w:val="en-GB" w:eastAsia="fr-FR"/>
        </w:rPr>
        <w:t>To evaluate variations in population abundance by sex before and after the fire, several demographic parameters were recorded. For each individual, sex (male, female, or unidentified) and developmental stage (juvenile, subadult, or adult) were determined based on sexual dimorphism and body size. Individuals measuring between 5 and 10 mm were classified as juveniles, those between 11 and 18 mm as subadults, and those larger than 18 mm as adults. Individuals whose sex could not be determined were considered juveniles in the demographic analyses.</w:t>
      </w:r>
    </w:p>
    <w:p w14:paraId="496E623C" w14:textId="77777777" w:rsidR="00D07A5A" w:rsidRPr="00AB0D87" w:rsidRDefault="00000000">
      <w:pPr>
        <w:rPr>
          <w:rFonts w:ascii="Arial" w:eastAsia="Times New Roman" w:hAnsi="Arial" w:cs="Arial"/>
          <w:bCs/>
          <w:iCs/>
          <w:color w:val="000000"/>
          <w:sz w:val="22"/>
          <w:shd w:val="clear" w:color="auto" w:fill="FFFFFF"/>
          <w:lang w:val="en-GB" w:eastAsia="fr-FR"/>
        </w:rPr>
      </w:pPr>
      <w:r w:rsidRPr="00AB0D87">
        <w:rPr>
          <w:rFonts w:ascii="Arial" w:eastAsia="Times New Roman" w:hAnsi="Arial" w:cs="Arial"/>
          <w:bCs/>
          <w:iCs/>
          <w:color w:val="000000"/>
          <w:sz w:val="22"/>
          <w:shd w:val="clear" w:color="auto" w:fill="FFFFFF"/>
          <w:lang w:val="en-GB" w:eastAsia="fr-FR"/>
        </w:rPr>
        <w:t>All capture and handling procedures were conducted in accordance with current ethical guidelines and under authorization from the management authorities of the Mount Nimba Strict Nature Reserve.</w:t>
      </w:r>
    </w:p>
    <w:p w14:paraId="2ABB7948" w14:textId="77777777" w:rsidR="00D07A5A" w:rsidRPr="00AB0D87" w:rsidRDefault="00000000">
      <w:pPr>
        <w:pStyle w:val="Heading2"/>
      </w:pPr>
      <w:r w:rsidRPr="00AB0D87">
        <w:t xml:space="preserve">2.4. Data Analysis </w:t>
      </w:r>
    </w:p>
    <w:p w14:paraId="75287EB1" w14:textId="77777777" w:rsidR="00D07A5A" w:rsidRPr="00AB0D87" w:rsidRDefault="00000000">
      <w:pPr>
        <w:pStyle w:val="NormalWeb"/>
        <w:numPr>
          <w:ilvl w:val="0"/>
          <w:numId w:val="3"/>
        </w:numPr>
        <w:spacing w:line="276" w:lineRule="auto"/>
        <w:jc w:val="both"/>
        <w:rPr>
          <w:rFonts w:ascii="Arial" w:hAnsi="Arial" w:cs="Arial"/>
          <w:sz w:val="22"/>
          <w:szCs w:val="22"/>
        </w:rPr>
      </w:pPr>
      <w:r w:rsidRPr="00AB0D87">
        <w:rPr>
          <w:rFonts w:ascii="Arial" w:eastAsia="Arial" w:hAnsi="Arial" w:cs="Arial"/>
          <w:szCs w:val="22"/>
          <w:lang w:eastAsia="en-US"/>
        </w:rPr>
        <w:t xml:space="preserve"> </w:t>
      </w:r>
      <w:r w:rsidRPr="00AB0D87">
        <w:rPr>
          <w:rFonts w:ascii="Arial" w:hAnsi="Arial" w:cs="Arial"/>
          <w:sz w:val="22"/>
          <w:szCs w:val="22"/>
        </w:rPr>
        <w:t>Sampling Effort (E)</w:t>
      </w:r>
    </w:p>
    <w:p w14:paraId="2D914DB4" w14:textId="77777777" w:rsidR="00D07A5A" w:rsidRPr="00AB0D87" w:rsidRDefault="00000000">
      <w:pPr>
        <w:pStyle w:val="NormalWeb"/>
        <w:spacing w:after="0" w:line="276" w:lineRule="auto"/>
        <w:jc w:val="both"/>
        <w:rPr>
          <w:rFonts w:ascii="Arial" w:eastAsia="Aptos" w:hAnsi="Arial" w:cs="Arial"/>
          <w:sz w:val="22"/>
          <w:szCs w:val="22"/>
          <w:lang w:val="en-GB"/>
        </w:rPr>
      </w:pPr>
      <w:r w:rsidRPr="00AB0D87">
        <w:rPr>
          <w:rFonts w:ascii="Arial" w:eastAsia="Aptos" w:hAnsi="Arial" w:cs="Arial"/>
          <w:sz w:val="22"/>
          <w:szCs w:val="22"/>
          <w:lang w:val="en-GB"/>
        </w:rPr>
        <w:t>The total sampling effort was calculated in person-hours using the following formula:</w:t>
      </w:r>
    </w:p>
    <w:p w14:paraId="3A5EC08B" w14:textId="77777777" w:rsidR="00D07A5A" w:rsidRPr="00AB0D87" w:rsidRDefault="00000000">
      <w:pPr>
        <w:pStyle w:val="NormalWeb"/>
        <w:spacing w:after="0" w:line="276" w:lineRule="auto"/>
        <w:jc w:val="both"/>
        <w:rPr>
          <w:rFonts w:ascii="Arial" w:eastAsia="Aptos" w:hAnsi="Arial" w:cs="Arial"/>
          <w:sz w:val="22"/>
          <w:szCs w:val="22"/>
          <w:lang w:val="en-GB"/>
        </w:rPr>
      </w:pPr>
      <w:r w:rsidRPr="00AB0D87">
        <w:rPr>
          <w:rFonts w:ascii="Arial" w:eastAsia="Aptos" w:hAnsi="Arial" w:cs="Arial"/>
          <w:sz w:val="22"/>
          <w:szCs w:val="22"/>
          <w:lang w:val="en-GB"/>
        </w:rPr>
        <w:t>E=N×D×O</w:t>
      </w:r>
    </w:p>
    <w:p w14:paraId="600D5947" w14:textId="77777777" w:rsidR="00D07A5A" w:rsidRPr="00AB0D87" w:rsidRDefault="00000000">
      <w:pPr>
        <w:pStyle w:val="NormalWeb"/>
        <w:spacing w:after="0" w:line="276" w:lineRule="auto"/>
        <w:jc w:val="both"/>
      </w:pPr>
      <w:r w:rsidRPr="00AB0D87">
        <w:rPr>
          <w:rFonts w:ascii="Arial" w:eastAsia="Aptos" w:hAnsi="Arial" w:cs="Arial"/>
          <w:sz w:val="22"/>
          <w:szCs w:val="22"/>
          <w:lang w:val="en-GB"/>
        </w:rPr>
        <w:t xml:space="preserve">where E represents the total sampling effort, N the total number of visits, D the average duration of each visit (in hours), and O the number of observers. </w:t>
      </w:r>
      <w:r w:rsidRPr="00AB0D87">
        <w:rPr>
          <w:rFonts w:ascii="Arial" w:eastAsia="Aptos" w:hAnsi="Arial" w:cs="Arial"/>
          <w:sz w:val="22"/>
          <w:szCs w:val="22"/>
        </w:rPr>
        <w:t xml:space="preserve">Sampling effort </w:t>
      </w:r>
      <w:proofErr w:type="spellStart"/>
      <w:r w:rsidRPr="00AB0D87">
        <w:rPr>
          <w:rFonts w:ascii="Arial" w:eastAsia="Aptos" w:hAnsi="Arial" w:cs="Arial"/>
          <w:sz w:val="22"/>
          <w:szCs w:val="22"/>
        </w:rPr>
        <w:t>was</w:t>
      </w:r>
      <w:proofErr w:type="spellEnd"/>
      <w:r w:rsidRPr="00AB0D87">
        <w:rPr>
          <w:rFonts w:ascii="Arial" w:eastAsia="Aptos" w:hAnsi="Arial" w:cs="Arial"/>
          <w:sz w:val="22"/>
          <w:szCs w:val="22"/>
        </w:rPr>
        <w:t xml:space="preserve"> </w:t>
      </w:r>
      <w:proofErr w:type="spellStart"/>
      <w:r w:rsidRPr="00AB0D87">
        <w:rPr>
          <w:rFonts w:ascii="Arial" w:eastAsia="Aptos" w:hAnsi="Arial" w:cs="Arial"/>
          <w:sz w:val="22"/>
          <w:szCs w:val="22"/>
        </w:rPr>
        <w:t>determined</w:t>
      </w:r>
      <w:proofErr w:type="spellEnd"/>
      <w:r w:rsidRPr="00AB0D87">
        <w:rPr>
          <w:rFonts w:ascii="Arial" w:eastAsia="Aptos" w:hAnsi="Arial" w:cs="Arial"/>
          <w:sz w:val="22"/>
          <w:szCs w:val="22"/>
        </w:rPr>
        <w:t xml:space="preserve"> for </w:t>
      </w:r>
      <w:proofErr w:type="spellStart"/>
      <w:r w:rsidRPr="00AB0D87">
        <w:rPr>
          <w:rFonts w:ascii="Arial" w:eastAsia="Aptos" w:hAnsi="Arial" w:cs="Arial"/>
          <w:sz w:val="22"/>
          <w:szCs w:val="22"/>
        </w:rPr>
        <w:t>each</w:t>
      </w:r>
      <w:proofErr w:type="spellEnd"/>
      <w:r w:rsidRPr="00AB0D87">
        <w:rPr>
          <w:rFonts w:ascii="Arial" w:eastAsia="Aptos" w:hAnsi="Arial" w:cs="Arial"/>
          <w:sz w:val="22"/>
          <w:szCs w:val="22"/>
        </w:rPr>
        <w:t xml:space="preserve"> habitat and transect.</w:t>
      </w:r>
    </w:p>
    <w:p w14:paraId="7B26EF40" w14:textId="77777777" w:rsidR="00D07A5A" w:rsidRPr="00AB0D87" w:rsidRDefault="00000000">
      <w:pPr>
        <w:numPr>
          <w:ilvl w:val="0"/>
          <w:numId w:val="3"/>
        </w:numPr>
        <w:spacing w:before="120" w:after="120" w:line="480" w:lineRule="auto"/>
        <w:ind w:left="714" w:hanging="357"/>
        <w:rPr>
          <w:rFonts w:ascii="Arial" w:hAnsi="Arial" w:cs="Arial"/>
          <w:sz w:val="22"/>
        </w:rPr>
      </w:pPr>
      <w:r w:rsidRPr="00AB0D87">
        <w:rPr>
          <w:rFonts w:ascii="Arial" w:eastAsia="Arial" w:hAnsi="Arial" w:cs="Arial"/>
          <w:sz w:val="22"/>
        </w:rPr>
        <w:t xml:space="preserve"> </w:t>
      </w:r>
      <w:r w:rsidRPr="00AB0D87">
        <w:rPr>
          <w:rFonts w:ascii="Arial" w:hAnsi="Arial" w:cs="Arial"/>
          <w:sz w:val="22"/>
        </w:rPr>
        <w:t xml:space="preserve">Relative </w:t>
      </w:r>
      <w:proofErr w:type="spellStart"/>
      <w:r w:rsidRPr="00AB0D87">
        <w:rPr>
          <w:rFonts w:ascii="Arial" w:hAnsi="Arial" w:cs="Arial"/>
          <w:sz w:val="22"/>
        </w:rPr>
        <w:t>Abundance</w:t>
      </w:r>
      <w:proofErr w:type="spellEnd"/>
      <w:r w:rsidRPr="00AB0D87">
        <w:rPr>
          <w:rFonts w:ascii="Arial" w:hAnsi="Arial" w:cs="Arial"/>
          <w:sz w:val="22"/>
        </w:rPr>
        <w:t xml:space="preserve"> (RA)</w:t>
      </w:r>
    </w:p>
    <w:p w14:paraId="1FB57120" w14:textId="77777777" w:rsidR="00D07A5A" w:rsidRPr="00AB0D87" w:rsidRDefault="00000000">
      <w:pPr>
        <w:spacing w:before="120" w:after="120" w:line="480" w:lineRule="auto"/>
        <w:rPr>
          <w:rFonts w:ascii="Arial" w:hAnsi="Arial" w:cs="Arial"/>
          <w:sz w:val="22"/>
          <w:lang w:val="en-GB"/>
        </w:rPr>
      </w:pPr>
      <w:r w:rsidRPr="00AB0D87">
        <w:rPr>
          <w:rFonts w:ascii="Arial" w:hAnsi="Arial" w:cs="Arial"/>
          <w:sz w:val="22"/>
          <w:lang w:val="en-GB"/>
        </w:rPr>
        <w:t xml:space="preserve">The relative abundance (RA) was calculated as follows: </w:t>
      </w:r>
    </w:p>
    <w:p w14:paraId="0EC18A4E" w14:textId="2362DC43" w:rsidR="00D07A5A" w:rsidRPr="00AB0D87" w:rsidRDefault="00917AFE">
      <w:pPr>
        <w:pStyle w:val="NormalWeb"/>
        <w:jc w:val="both"/>
        <w:rPr>
          <w:rFonts w:ascii="Arial" w:hAnsi="Arial" w:cs="Arial"/>
          <w:sz w:val="22"/>
          <w:szCs w:val="22"/>
          <w:lang w:val="en-GB"/>
        </w:rPr>
      </w:pPr>
      <w:r>
        <w:rPr>
          <w:rFonts w:ascii="Arial" w:hAnsi="Arial" w:cs="Arial"/>
          <w:noProof/>
          <w:sz w:val="22"/>
          <w:szCs w:val="22"/>
        </w:rPr>
        <w:pict w14:anchorId="2556FC65">
          <v:shape id="Image2" o:spid="_x0000_i1026" type="#_x0000_t75" style="width:75.4pt;height:38.7pt;visibility:visible;mso-wrap-style:square">
            <v:imagedata r:id="rId8" o:title="" croptop="-48f" cropbottom="-48f" cropleft="-25f" cropright="-25f"/>
          </v:shape>
        </w:pict>
      </w:r>
    </w:p>
    <w:p w14:paraId="31E39639" w14:textId="77777777" w:rsidR="00D07A5A" w:rsidRPr="00AB0D87" w:rsidRDefault="00000000">
      <w:pPr>
        <w:pStyle w:val="NormalWeb"/>
        <w:jc w:val="both"/>
      </w:pPr>
      <w:r w:rsidRPr="00AB0D87">
        <w:rPr>
          <w:rFonts w:ascii="Arial" w:hAnsi="Arial" w:cs="Arial"/>
          <w:sz w:val="22"/>
          <w:szCs w:val="22"/>
          <w:lang w:val="en-GB"/>
        </w:rPr>
        <w:t xml:space="preserve">where RA is the relative abundance of the species (%), </w:t>
      </w:r>
      <w:r w:rsidRPr="00AB0D87">
        <w:rPr>
          <w:rStyle w:val="Emphasis"/>
          <w:rFonts w:ascii="Arial" w:hAnsi="Arial" w:cs="Arial"/>
          <w:sz w:val="22"/>
          <w:szCs w:val="22"/>
          <w:lang w:val="en-GB"/>
        </w:rPr>
        <w:t>n</w:t>
      </w:r>
      <w:r w:rsidRPr="00AB0D87">
        <w:rPr>
          <w:rStyle w:val="Emphasis"/>
          <w:rFonts w:ascii="Arial" w:hAnsi="Arial" w:cs="Arial"/>
          <w:sz w:val="22"/>
          <w:szCs w:val="22"/>
        </w:rPr>
        <w:t>ᵢ</w:t>
      </w:r>
      <w:r w:rsidRPr="00AB0D87">
        <w:rPr>
          <w:rFonts w:ascii="Arial" w:hAnsi="Arial" w:cs="Arial"/>
          <w:sz w:val="22"/>
          <w:szCs w:val="22"/>
          <w:lang w:val="en-GB"/>
        </w:rPr>
        <w:t xml:space="preserve"> is the number of individuals in category </w:t>
      </w:r>
      <w:proofErr w:type="spellStart"/>
      <w:r w:rsidRPr="00AB0D87">
        <w:rPr>
          <w:rStyle w:val="Emphasis"/>
          <w:rFonts w:ascii="Arial" w:hAnsi="Arial" w:cs="Arial"/>
          <w:sz w:val="22"/>
          <w:szCs w:val="22"/>
          <w:lang w:val="en-GB"/>
        </w:rPr>
        <w:t>i</w:t>
      </w:r>
      <w:proofErr w:type="spellEnd"/>
      <w:r w:rsidRPr="00AB0D87">
        <w:rPr>
          <w:rFonts w:ascii="Arial" w:hAnsi="Arial" w:cs="Arial"/>
          <w:sz w:val="22"/>
          <w:szCs w:val="22"/>
          <w:lang w:val="en-GB"/>
        </w:rPr>
        <w:t xml:space="preserve">, and </w:t>
      </w:r>
      <w:r w:rsidRPr="00AB0D87">
        <w:rPr>
          <w:rStyle w:val="Emphasis"/>
          <w:rFonts w:ascii="Arial" w:hAnsi="Arial" w:cs="Arial"/>
          <w:sz w:val="22"/>
          <w:szCs w:val="22"/>
          <w:lang w:val="en-GB"/>
        </w:rPr>
        <w:t>N</w:t>
      </w:r>
      <w:r w:rsidRPr="00AB0D87">
        <w:rPr>
          <w:rFonts w:ascii="Arial" w:hAnsi="Arial" w:cs="Arial"/>
          <w:sz w:val="22"/>
          <w:szCs w:val="22"/>
          <w:lang w:val="en-GB"/>
        </w:rPr>
        <w:t xml:space="preserve"> is the total number of individuals recorded.</w:t>
      </w:r>
    </w:p>
    <w:p w14:paraId="0306D1EB" w14:textId="77777777" w:rsidR="00D07A5A" w:rsidRPr="00AB0D87" w:rsidRDefault="00000000">
      <w:pPr>
        <w:pStyle w:val="Heading2"/>
      </w:pPr>
      <w:r w:rsidRPr="00AB0D87">
        <w:t>2.5. Statistical Analysis</w:t>
      </w:r>
    </w:p>
    <w:p w14:paraId="37AFC33E" w14:textId="77777777" w:rsidR="00D07A5A" w:rsidRPr="00AB0D87" w:rsidRDefault="00000000">
      <w:pPr>
        <w:rPr>
          <w:rFonts w:ascii="Arial" w:hAnsi="Arial" w:cs="Arial"/>
          <w:b/>
          <w:sz w:val="22"/>
          <w:szCs w:val="20"/>
        </w:rPr>
      </w:pPr>
      <w:r w:rsidRPr="00AB0D87">
        <w:rPr>
          <w:rFonts w:ascii="Arial" w:hAnsi="Arial" w:cs="Arial"/>
          <w:sz w:val="22"/>
          <w:szCs w:val="20"/>
          <w:lang w:val="en-GB"/>
        </w:rPr>
        <w:t>For data analysis, the chi-square (</w:t>
      </w:r>
      <w:r w:rsidRPr="00AB0D87">
        <w:rPr>
          <w:rFonts w:ascii="Arial" w:hAnsi="Arial" w:cs="Arial"/>
          <w:sz w:val="22"/>
          <w:szCs w:val="20"/>
        </w:rPr>
        <w:t>χ</w:t>
      </w:r>
      <w:r w:rsidRPr="00AB0D87">
        <w:rPr>
          <w:rFonts w:ascii="Arial" w:hAnsi="Arial" w:cs="Arial"/>
          <w:sz w:val="22"/>
          <w:szCs w:val="20"/>
          <w:lang w:val="en-GB"/>
        </w:rPr>
        <w:t>²) test was used to compare proportions among habitats, sex, and developmental stages. The Kruskal–</w:t>
      </w:r>
      <w:proofErr w:type="gramStart"/>
      <w:r w:rsidRPr="00AB0D87">
        <w:rPr>
          <w:rFonts w:ascii="Arial" w:hAnsi="Arial" w:cs="Arial"/>
          <w:sz w:val="22"/>
          <w:szCs w:val="20"/>
          <w:lang w:val="en-GB"/>
        </w:rPr>
        <w:t>Wallis</w:t>
      </w:r>
      <w:proofErr w:type="gramEnd"/>
      <w:r w:rsidRPr="00AB0D87">
        <w:rPr>
          <w:rFonts w:ascii="Arial" w:hAnsi="Arial" w:cs="Arial"/>
          <w:sz w:val="22"/>
          <w:szCs w:val="20"/>
          <w:lang w:val="en-GB"/>
        </w:rPr>
        <w:t xml:space="preserve"> test was applied to compare the relative abundances associated with demographic structure (sex and developmental stages) between the two habitat types before and after the fire event. </w:t>
      </w:r>
      <w:r w:rsidRPr="00AB0D87">
        <w:rPr>
          <w:rFonts w:ascii="Arial" w:hAnsi="Arial" w:cs="Arial"/>
          <w:sz w:val="22"/>
          <w:szCs w:val="20"/>
        </w:rPr>
        <w:t xml:space="preserve">All analyses </w:t>
      </w:r>
      <w:proofErr w:type="spellStart"/>
      <w:r w:rsidRPr="00AB0D87">
        <w:rPr>
          <w:rFonts w:ascii="Arial" w:hAnsi="Arial" w:cs="Arial"/>
          <w:sz w:val="22"/>
          <w:szCs w:val="20"/>
        </w:rPr>
        <w:t>were</w:t>
      </w:r>
      <w:proofErr w:type="spellEnd"/>
      <w:r w:rsidRPr="00AB0D87">
        <w:rPr>
          <w:rFonts w:ascii="Arial" w:hAnsi="Arial" w:cs="Arial"/>
          <w:sz w:val="22"/>
          <w:szCs w:val="20"/>
        </w:rPr>
        <w:t xml:space="preserve"> </w:t>
      </w:r>
      <w:proofErr w:type="spellStart"/>
      <w:r w:rsidRPr="00AB0D87">
        <w:rPr>
          <w:rFonts w:ascii="Arial" w:hAnsi="Arial" w:cs="Arial"/>
          <w:sz w:val="22"/>
          <w:szCs w:val="20"/>
        </w:rPr>
        <w:t>performed</w:t>
      </w:r>
      <w:proofErr w:type="spellEnd"/>
      <w:r w:rsidRPr="00AB0D87">
        <w:rPr>
          <w:rFonts w:ascii="Arial" w:hAnsi="Arial" w:cs="Arial"/>
          <w:sz w:val="22"/>
          <w:szCs w:val="20"/>
        </w:rPr>
        <w:t xml:space="preserve"> </w:t>
      </w:r>
      <w:proofErr w:type="spellStart"/>
      <w:r w:rsidRPr="00AB0D87">
        <w:rPr>
          <w:rFonts w:ascii="Arial" w:hAnsi="Arial" w:cs="Arial"/>
          <w:sz w:val="22"/>
          <w:szCs w:val="20"/>
        </w:rPr>
        <w:t>using</w:t>
      </w:r>
      <w:proofErr w:type="spellEnd"/>
      <w:r w:rsidRPr="00AB0D87">
        <w:rPr>
          <w:rFonts w:ascii="Arial" w:hAnsi="Arial" w:cs="Arial"/>
          <w:sz w:val="22"/>
          <w:szCs w:val="20"/>
        </w:rPr>
        <w:t xml:space="preserve"> </w:t>
      </w:r>
      <w:proofErr w:type="spellStart"/>
      <w:r w:rsidRPr="00AB0D87">
        <w:rPr>
          <w:rFonts w:ascii="Arial" w:hAnsi="Arial" w:cs="Arial"/>
          <w:sz w:val="22"/>
          <w:szCs w:val="20"/>
        </w:rPr>
        <w:t>Statistica</w:t>
      </w:r>
      <w:proofErr w:type="spellEnd"/>
      <w:r w:rsidRPr="00AB0D87">
        <w:rPr>
          <w:rFonts w:ascii="Arial" w:hAnsi="Arial" w:cs="Arial"/>
          <w:sz w:val="22"/>
          <w:szCs w:val="20"/>
        </w:rPr>
        <w:t xml:space="preserve"> software, version 7.1.</w:t>
      </w:r>
    </w:p>
    <w:p w14:paraId="6CE1F512" w14:textId="77777777" w:rsidR="00D07A5A" w:rsidRPr="00AB0D87" w:rsidRDefault="00000000">
      <w:pPr>
        <w:pStyle w:val="Heading1"/>
        <w:spacing w:line="480" w:lineRule="auto"/>
      </w:pPr>
      <w:r w:rsidRPr="00AB0D87">
        <w:rPr>
          <w:rFonts w:ascii="Arial" w:hAnsi="Arial" w:cs="Arial"/>
          <w:sz w:val="22"/>
          <w:szCs w:val="22"/>
          <w:shd w:val="clear" w:color="auto" w:fill="FFFFFF"/>
          <w:lang w:val="en-GB"/>
        </w:rPr>
        <w:lastRenderedPageBreak/>
        <w:t>3. Results</w:t>
      </w:r>
    </w:p>
    <w:p w14:paraId="33839253" w14:textId="77777777" w:rsidR="00D07A5A" w:rsidRPr="00AB0D87" w:rsidRDefault="00000000">
      <w:pPr>
        <w:pStyle w:val="Heading2"/>
      </w:pPr>
      <w:r w:rsidRPr="00AB0D87">
        <w:t>3.1. Sampling Effort</w:t>
      </w:r>
    </w:p>
    <w:p w14:paraId="59914B73" w14:textId="77777777" w:rsidR="00D07A5A" w:rsidRPr="00AB0D87" w:rsidRDefault="00000000">
      <w:pPr>
        <w:spacing w:after="15"/>
        <w:ind w:left="-5"/>
      </w:pPr>
      <w:r w:rsidRPr="00AB0D87">
        <w:rPr>
          <w:rFonts w:ascii="Arial" w:hAnsi="Arial" w:cs="Arial"/>
          <w:sz w:val="22"/>
          <w:lang w:val="en-GB"/>
        </w:rPr>
        <w:t>Regarding sampling effort per habitat, each habitat was surveyed 20 times per period by a team of three observers, resulting in a total of 80 visits (40 before and 40 after the fire event). The mean survey duration was 2.67 hours per visit, corresponding to a total sampling effort of 640 person-hours.</w:t>
      </w:r>
    </w:p>
    <w:p w14:paraId="360857B0" w14:textId="77777777" w:rsidR="00D07A5A" w:rsidRPr="00AB0D87" w:rsidRDefault="00000000">
      <w:pPr>
        <w:spacing w:after="15"/>
        <w:ind w:left="-5"/>
        <w:rPr>
          <w:rFonts w:ascii="Arial" w:hAnsi="Arial" w:cs="Arial"/>
          <w:sz w:val="22"/>
          <w:lang w:val="en-GB"/>
        </w:rPr>
      </w:pPr>
      <w:r w:rsidRPr="00AB0D87">
        <w:rPr>
          <w:rFonts w:ascii="Arial" w:hAnsi="Arial" w:cs="Arial"/>
          <w:sz w:val="22"/>
          <w:lang w:val="en-GB"/>
        </w:rPr>
        <w:t>Regarding sampling effort per transect, each transect was surveyed 20 times per period, i.e., 40 visits per transect over the entire study. In total, 80 sampling visits were conducted by a team of three observers, with a mean duration of 2.67 hours per session, corresponding to a total sampling effort of 640 person-hours.</w:t>
      </w:r>
    </w:p>
    <w:p w14:paraId="7918DDC4" w14:textId="77777777" w:rsidR="00D07A5A" w:rsidRPr="00AB0D87" w:rsidRDefault="00000000">
      <w:pPr>
        <w:pStyle w:val="Heading2"/>
      </w:pPr>
      <w:r w:rsidRPr="00AB0D87">
        <w:t xml:space="preserve">3.2. Variation in the Population Abundance of </w:t>
      </w:r>
      <w:proofErr w:type="spellStart"/>
      <w:r w:rsidRPr="00AB0D87">
        <w:rPr>
          <w:i/>
        </w:rPr>
        <w:t>Nimbaphrynoides</w:t>
      </w:r>
      <w:proofErr w:type="spellEnd"/>
      <w:r w:rsidRPr="00AB0D87">
        <w:rPr>
          <w:i/>
        </w:rPr>
        <w:t xml:space="preserve"> occidentalis</w:t>
      </w:r>
      <w:r w:rsidRPr="00AB0D87">
        <w:t xml:space="preserve"> Before the Fire Event </w:t>
      </w:r>
    </w:p>
    <w:p w14:paraId="4A009872" w14:textId="77777777" w:rsidR="00D07A5A" w:rsidRPr="00AB0D87" w:rsidRDefault="00000000">
      <w:pPr>
        <w:spacing w:after="0" w:line="360" w:lineRule="auto"/>
      </w:pPr>
      <w:r w:rsidRPr="00AB0D87">
        <w:rPr>
          <w:rFonts w:ascii="Arial" w:hAnsi="Arial" w:cs="Arial"/>
          <w:sz w:val="22"/>
          <w:lang w:val="en-GB"/>
        </w:rPr>
        <w:t xml:space="preserve">A total of 9,600 individuals of </w:t>
      </w:r>
      <w:proofErr w:type="spellStart"/>
      <w:r w:rsidRPr="00AB0D87">
        <w:rPr>
          <w:rFonts w:ascii="Arial" w:hAnsi="Arial" w:cs="Arial"/>
          <w:i/>
          <w:iCs/>
          <w:sz w:val="22"/>
          <w:lang w:val="en-GB"/>
        </w:rPr>
        <w:t>Nimbaphrynoides</w:t>
      </w:r>
      <w:proofErr w:type="spellEnd"/>
      <w:r w:rsidRPr="00AB0D87">
        <w:rPr>
          <w:rFonts w:ascii="Arial" w:hAnsi="Arial" w:cs="Arial"/>
          <w:i/>
          <w:iCs/>
          <w:sz w:val="22"/>
          <w:lang w:val="en-GB"/>
        </w:rPr>
        <w:t xml:space="preserve"> occidentalis</w:t>
      </w:r>
      <w:r w:rsidRPr="00AB0D87">
        <w:rPr>
          <w:rFonts w:ascii="Arial" w:hAnsi="Arial" w:cs="Arial"/>
          <w:sz w:val="22"/>
          <w:lang w:val="en-GB"/>
        </w:rPr>
        <w:t xml:space="preserve"> were recorded during the study period. The analysis of variations in sexual structure (Figure 2) revealed an overall significant difference (Kruskal–</w:t>
      </w:r>
      <w:proofErr w:type="gramStart"/>
      <w:r w:rsidRPr="00AB0D87">
        <w:rPr>
          <w:rFonts w:ascii="Arial" w:hAnsi="Arial" w:cs="Arial"/>
          <w:sz w:val="22"/>
          <w:lang w:val="en-GB"/>
        </w:rPr>
        <w:t>Wallis</w:t>
      </w:r>
      <w:proofErr w:type="gramEnd"/>
      <w:r w:rsidRPr="00AB0D87">
        <w:rPr>
          <w:rFonts w:ascii="Arial" w:hAnsi="Arial" w:cs="Arial"/>
          <w:sz w:val="22"/>
          <w:lang w:val="en-GB"/>
        </w:rPr>
        <w:t xml:space="preserve"> test; </w:t>
      </w:r>
      <w:r w:rsidRPr="00AB0D87">
        <w:rPr>
          <w:rFonts w:ascii="Arial" w:hAnsi="Arial" w:cs="Arial"/>
          <w:i/>
          <w:iCs/>
          <w:sz w:val="22"/>
          <w:lang w:val="en-GB"/>
        </w:rPr>
        <w:t>p</w:t>
      </w:r>
      <w:r w:rsidRPr="00AB0D87">
        <w:rPr>
          <w:rFonts w:ascii="Arial" w:hAnsi="Arial" w:cs="Arial"/>
          <w:sz w:val="22"/>
          <w:lang w:val="en-GB"/>
        </w:rPr>
        <w:t xml:space="preserve"> &lt; 0.001). The </w:t>
      </w:r>
      <w:proofErr w:type="spellStart"/>
      <w:r w:rsidRPr="00AB0D87">
        <w:rPr>
          <w:rFonts w:ascii="Arial" w:hAnsi="Arial" w:cs="Arial"/>
          <w:sz w:val="22"/>
          <w:lang w:val="en-GB"/>
        </w:rPr>
        <w:t>altimontane</w:t>
      </w:r>
      <w:proofErr w:type="spellEnd"/>
      <w:r w:rsidRPr="00AB0D87">
        <w:rPr>
          <w:rFonts w:ascii="Arial" w:hAnsi="Arial" w:cs="Arial"/>
          <w:sz w:val="22"/>
          <w:lang w:val="en-GB"/>
        </w:rPr>
        <w:t xml:space="preserve"> grassland population consisted of 4,600 adults (3,900 females and 700 males), 1572 subadults, and 3,428 juveniles. Relative abundance was higher in grassy habitats (75.03%; </w:t>
      </w:r>
      <w:r w:rsidRPr="00AB0D87">
        <w:rPr>
          <w:rFonts w:ascii="Arial" w:hAnsi="Arial" w:cs="Arial"/>
          <w:i/>
          <w:iCs/>
          <w:sz w:val="22"/>
          <w:lang w:val="en-GB"/>
        </w:rPr>
        <w:t>N</w:t>
      </w:r>
      <w:r w:rsidRPr="00AB0D87">
        <w:rPr>
          <w:rFonts w:ascii="Arial" w:hAnsi="Arial" w:cs="Arial"/>
          <w:sz w:val="22"/>
          <w:lang w:val="en-GB"/>
        </w:rPr>
        <w:t xml:space="preserve"> = 7203) than in rocky habitats (24.97%; </w:t>
      </w:r>
      <w:r w:rsidRPr="00AB0D87">
        <w:rPr>
          <w:rFonts w:ascii="Arial" w:hAnsi="Arial" w:cs="Arial"/>
          <w:i/>
          <w:iCs/>
          <w:sz w:val="22"/>
          <w:lang w:val="en-GB"/>
        </w:rPr>
        <w:t>N</w:t>
      </w:r>
      <w:r w:rsidRPr="00AB0D87">
        <w:rPr>
          <w:rFonts w:ascii="Arial" w:hAnsi="Arial" w:cs="Arial"/>
          <w:sz w:val="22"/>
          <w:lang w:val="en-GB"/>
        </w:rPr>
        <w:t xml:space="preserve"> = 2397).</w:t>
      </w:r>
    </w:p>
    <w:p w14:paraId="13E52B27" w14:textId="77777777" w:rsidR="00D07A5A" w:rsidRPr="00AB0D87" w:rsidRDefault="00000000">
      <w:pPr>
        <w:spacing w:line="360" w:lineRule="auto"/>
      </w:pPr>
      <w:r w:rsidRPr="00AB0D87">
        <w:rPr>
          <w:rFonts w:ascii="Arial" w:hAnsi="Arial" w:cs="Arial"/>
          <w:sz w:val="22"/>
          <w:lang w:val="en-GB"/>
        </w:rPr>
        <w:t xml:space="preserve">In grassy habitats, individuals of unidentified sex were the most abundant (59.03%; </w:t>
      </w:r>
      <w:r w:rsidRPr="00AB0D87">
        <w:rPr>
          <w:rFonts w:ascii="Arial" w:hAnsi="Arial" w:cs="Arial"/>
          <w:i/>
          <w:iCs/>
          <w:sz w:val="22"/>
          <w:lang w:val="en-GB"/>
        </w:rPr>
        <w:t>N</w:t>
      </w:r>
      <w:r w:rsidRPr="00AB0D87">
        <w:rPr>
          <w:rFonts w:ascii="Arial" w:hAnsi="Arial" w:cs="Arial"/>
          <w:sz w:val="22"/>
          <w:lang w:val="en-GB"/>
        </w:rPr>
        <w:t xml:space="preserve"> = 4252), followed by females (33.67%; </w:t>
      </w:r>
      <w:r w:rsidRPr="00AB0D87">
        <w:rPr>
          <w:rFonts w:ascii="Arial" w:hAnsi="Arial" w:cs="Arial"/>
          <w:i/>
          <w:iCs/>
          <w:sz w:val="22"/>
          <w:lang w:val="en-GB"/>
        </w:rPr>
        <w:t>N</w:t>
      </w:r>
      <w:r w:rsidRPr="00AB0D87">
        <w:rPr>
          <w:rFonts w:ascii="Arial" w:hAnsi="Arial" w:cs="Arial"/>
          <w:sz w:val="22"/>
          <w:lang w:val="en-GB"/>
        </w:rPr>
        <w:t xml:space="preserve"> = 2425) and males (7.30%; </w:t>
      </w:r>
      <w:r w:rsidRPr="00AB0D87">
        <w:rPr>
          <w:rFonts w:ascii="Arial" w:hAnsi="Arial" w:cs="Arial"/>
          <w:i/>
          <w:iCs/>
          <w:sz w:val="22"/>
          <w:lang w:val="en-GB"/>
        </w:rPr>
        <w:t>N</w:t>
      </w:r>
      <w:r w:rsidRPr="00AB0D87">
        <w:rPr>
          <w:rFonts w:ascii="Arial" w:hAnsi="Arial" w:cs="Arial"/>
          <w:sz w:val="22"/>
          <w:lang w:val="en-GB"/>
        </w:rPr>
        <w:t xml:space="preserve"> = 526). In contrast, females predominated in rocky habitats (61.54%; </w:t>
      </w:r>
      <w:r w:rsidRPr="00AB0D87">
        <w:rPr>
          <w:rFonts w:ascii="Arial" w:hAnsi="Arial" w:cs="Arial"/>
          <w:i/>
          <w:iCs/>
          <w:sz w:val="22"/>
          <w:lang w:val="en-GB"/>
        </w:rPr>
        <w:t>N</w:t>
      </w:r>
      <w:r w:rsidRPr="00AB0D87">
        <w:rPr>
          <w:rFonts w:ascii="Arial" w:hAnsi="Arial" w:cs="Arial"/>
          <w:sz w:val="22"/>
          <w:lang w:val="en-GB"/>
        </w:rPr>
        <w:t xml:space="preserve"> = 1475), followed by individuals of unidentified sex (31.20%; </w:t>
      </w:r>
      <w:r w:rsidRPr="00AB0D87">
        <w:rPr>
          <w:rFonts w:ascii="Arial" w:hAnsi="Arial" w:cs="Arial"/>
          <w:i/>
          <w:iCs/>
          <w:sz w:val="22"/>
          <w:lang w:val="en-GB"/>
        </w:rPr>
        <w:t>N</w:t>
      </w:r>
      <w:r w:rsidRPr="00AB0D87">
        <w:rPr>
          <w:rFonts w:ascii="Arial" w:hAnsi="Arial" w:cs="Arial"/>
          <w:sz w:val="22"/>
          <w:lang w:val="en-GB"/>
        </w:rPr>
        <w:t xml:space="preserve"> = 748) and males (7.26%; </w:t>
      </w:r>
      <w:r w:rsidRPr="00AB0D87">
        <w:rPr>
          <w:rFonts w:ascii="Arial" w:hAnsi="Arial" w:cs="Arial"/>
          <w:i/>
          <w:iCs/>
          <w:sz w:val="22"/>
          <w:lang w:val="en-GB"/>
        </w:rPr>
        <w:t>N</w:t>
      </w:r>
      <w:r w:rsidRPr="00AB0D87">
        <w:rPr>
          <w:rFonts w:ascii="Arial" w:hAnsi="Arial" w:cs="Arial"/>
          <w:sz w:val="22"/>
          <w:lang w:val="en-GB"/>
        </w:rPr>
        <w:t xml:space="preserve"> = 174).</w:t>
      </w:r>
    </w:p>
    <w:p w14:paraId="59B5338F" w14:textId="12EDD69C" w:rsidR="00D07A5A" w:rsidRPr="00AB0D87" w:rsidRDefault="00917AFE">
      <w:pPr>
        <w:spacing w:after="15" w:line="480" w:lineRule="auto"/>
        <w:ind w:left="-5"/>
        <w:rPr>
          <w:rFonts w:ascii="Arial" w:hAnsi="Arial" w:cs="Arial"/>
          <w:sz w:val="22"/>
        </w:rPr>
      </w:pPr>
      <w:r>
        <w:rPr>
          <w:rFonts w:ascii="Arial" w:hAnsi="Arial" w:cs="Arial"/>
          <w:noProof/>
          <w:sz w:val="22"/>
        </w:rPr>
        <w:pict w14:anchorId="69BE4C86">
          <v:shape id="Image3" o:spid="_x0000_i1027" type="#_x0000_t75" style="width:453.05pt;height:173.2pt;visibility:visible;mso-wrap-style:square">
            <v:imagedata r:id="rId9" o:title="" croptop="-5f" cropbottom="-5f" cropleft="-2f" cropright="-2f"/>
          </v:shape>
        </w:pict>
      </w:r>
    </w:p>
    <w:p w14:paraId="1787DE3A" w14:textId="77777777" w:rsidR="00D07A5A" w:rsidRPr="00AB0D87" w:rsidRDefault="00000000">
      <w:pPr>
        <w:spacing w:after="15"/>
        <w:ind w:left="-5"/>
        <w:rPr>
          <w:rFonts w:ascii="Arial" w:hAnsi="Arial" w:cs="Arial"/>
          <w:bCs/>
          <w:iCs/>
          <w:color w:val="000000"/>
          <w:sz w:val="22"/>
          <w:shd w:val="clear" w:color="auto" w:fill="FFFFFF"/>
          <w:lang w:val="en-GB"/>
        </w:rPr>
      </w:pPr>
      <w:r w:rsidRPr="00AB0D87">
        <w:rPr>
          <w:rFonts w:ascii="Arial" w:hAnsi="Arial" w:cs="Arial"/>
          <w:b/>
          <w:bCs/>
          <w:sz w:val="22"/>
          <w:lang w:val="en-GB"/>
        </w:rPr>
        <w:t xml:space="preserve">Figure </w:t>
      </w:r>
      <w:proofErr w:type="gramStart"/>
      <w:r w:rsidRPr="00AB0D87">
        <w:rPr>
          <w:rFonts w:ascii="Arial" w:hAnsi="Arial" w:cs="Arial"/>
          <w:b/>
          <w:bCs/>
          <w:sz w:val="22"/>
          <w:lang w:val="en-GB"/>
        </w:rPr>
        <w:t>2</w:t>
      </w:r>
      <w:r w:rsidRPr="00AB0D87">
        <w:rPr>
          <w:rFonts w:ascii="Arial" w:hAnsi="Arial" w:cs="Arial"/>
          <w:sz w:val="22"/>
          <w:lang w:val="en-GB"/>
        </w:rPr>
        <w:t> :</w:t>
      </w:r>
      <w:proofErr w:type="gramEnd"/>
      <w:r w:rsidRPr="00AB0D87">
        <w:rPr>
          <w:rFonts w:ascii="Arial" w:hAnsi="Arial" w:cs="Arial"/>
          <w:sz w:val="22"/>
          <w:lang w:val="en-GB"/>
        </w:rPr>
        <w:t xml:space="preserve"> Relative abundance of in the viviparous toad population across different habitat types before the fire event; Site A: grassy habitat, Site B: rocky habitat (Kruskal–</w:t>
      </w:r>
      <w:proofErr w:type="gramStart"/>
      <w:r w:rsidRPr="00AB0D87">
        <w:rPr>
          <w:rFonts w:ascii="Arial" w:hAnsi="Arial" w:cs="Arial"/>
          <w:sz w:val="22"/>
          <w:lang w:val="en-GB"/>
        </w:rPr>
        <w:t>Wallis</w:t>
      </w:r>
      <w:proofErr w:type="gramEnd"/>
      <w:r w:rsidRPr="00AB0D87">
        <w:rPr>
          <w:rFonts w:ascii="Arial" w:hAnsi="Arial" w:cs="Arial"/>
          <w:sz w:val="22"/>
          <w:lang w:val="en-GB"/>
        </w:rPr>
        <w:t xml:space="preserve"> </w:t>
      </w:r>
      <w:proofErr w:type="gramStart"/>
      <w:r w:rsidRPr="00AB0D87">
        <w:rPr>
          <w:rFonts w:ascii="Arial" w:hAnsi="Arial" w:cs="Arial"/>
          <w:sz w:val="22"/>
          <w:lang w:val="en-GB"/>
        </w:rPr>
        <w:t>test :</w:t>
      </w:r>
      <w:proofErr w:type="gramEnd"/>
      <w:r w:rsidRPr="00AB0D87">
        <w:rPr>
          <w:rFonts w:ascii="Arial" w:hAnsi="Arial" w:cs="Arial"/>
          <w:sz w:val="22"/>
          <w:lang w:val="en-GB"/>
        </w:rPr>
        <w:t xml:space="preserve"> N= 15, dl = </w:t>
      </w:r>
      <w:proofErr w:type="gramStart"/>
      <w:r w:rsidRPr="00AB0D87">
        <w:rPr>
          <w:rFonts w:ascii="Arial" w:hAnsi="Arial" w:cs="Arial"/>
          <w:sz w:val="22"/>
          <w:lang w:val="en-GB"/>
        </w:rPr>
        <w:t>3 ;</w:t>
      </w:r>
      <w:proofErr w:type="gramEnd"/>
      <w:r w:rsidRPr="00AB0D87">
        <w:rPr>
          <w:rFonts w:ascii="Arial" w:hAnsi="Arial" w:cs="Arial"/>
          <w:sz w:val="22"/>
          <w:lang w:val="en-GB"/>
        </w:rPr>
        <w:t xml:space="preserve">  </w:t>
      </w:r>
      <w:r w:rsidRPr="00AB0D87">
        <w:rPr>
          <w:rFonts w:ascii="Arial" w:hAnsi="Arial" w:cs="Arial"/>
          <w:i/>
          <w:iCs/>
          <w:sz w:val="22"/>
          <w:lang w:val="en-GB"/>
        </w:rPr>
        <w:t>p</w:t>
      </w:r>
      <w:r w:rsidRPr="00AB0D87">
        <w:rPr>
          <w:rFonts w:ascii="Arial" w:hAnsi="Arial" w:cs="Arial"/>
          <w:sz w:val="22"/>
          <w:lang w:val="en-GB"/>
        </w:rPr>
        <w:t xml:space="preserve"> &lt; 0.001).</w:t>
      </w:r>
    </w:p>
    <w:p w14:paraId="5265126A" w14:textId="77777777" w:rsidR="00D07A5A" w:rsidRPr="00AB0D87" w:rsidRDefault="00000000">
      <w:pPr>
        <w:spacing w:before="120" w:after="120"/>
        <w:ind w:left="-6"/>
        <w:rPr>
          <w:rFonts w:ascii="Arial" w:hAnsi="Arial" w:cs="Arial"/>
          <w:sz w:val="22"/>
          <w:lang w:val="en-GB"/>
        </w:rPr>
      </w:pPr>
      <w:r w:rsidRPr="00AB0D87">
        <w:rPr>
          <w:rFonts w:ascii="Arial" w:hAnsi="Arial" w:cs="Arial"/>
          <w:sz w:val="22"/>
          <w:lang w:val="en-GB"/>
        </w:rPr>
        <w:t xml:space="preserve">Regarding developmental stages (Figure 3), juveniles exhibited the highest relative abundance in grassy habitats (45.9%; N = 3306), followed by adults (40.97%; N = 2951) and </w:t>
      </w:r>
      <w:r w:rsidRPr="00AB0D87">
        <w:rPr>
          <w:rFonts w:ascii="Arial" w:hAnsi="Arial" w:cs="Arial"/>
          <w:sz w:val="22"/>
          <w:lang w:val="en-GB"/>
        </w:rPr>
        <w:lastRenderedPageBreak/>
        <w:t>subadults (13.13%; N = 946). In contrast, in rocky habitats, adults dominated (68.8%; N = 1649), followed by subadults (26.12%; N = 626) and juveniles (5.08%; N = 122).</w:t>
      </w:r>
    </w:p>
    <w:p w14:paraId="0A8040F5" w14:textId="7B85EA35" w:rsidR="00D07A5A" w:rsidRPr="00AB0D87" w:rsidRDefault="00917AFE">
      <w:pPr>
        <w:spacing w:after="15" w:line="480" w:lineRule="auto"/>
        <w:ind w:left="-5"/>
        <w:rPr>
          <w:rFonts w:ascii="Arial" w:hAnsi="Arial" w:cs="Arial"/>
          <w:sz w:val="22"/>
        </w:rPr>
      </w:pPr>
      <w:r>
        <w:rPr>
          <w:rFonts w:ascii="Arial" w:hAnsi="Arial" w:cs="Arial"/>
          <w:noProof/>
          <w:sz w:val="22"/>
        </w:rPr>
        <w:pict w14:anchorId="5838E5DF">
          <v:shape id="Image4" o:spid="_x0000_i1028" type="#_x0000_t75" style="width:453.75pt;height:180.7pt;visibility:visible;mso-wrap-style:square">
            <v:imagedata r:id="rId10" o:title="" croptop="-5f" cropbottom="-5f" cropleft="-2f" cropright="-2f"/>
          </v:shape>
        </w:pict>
      </w:r>
    </w:p>
    <w:p w14:paraId="75489F50" w14:textId="77777777" w:rsidR="00D07A5A" w:rsidRPr="00AB0D87" w:rsidRDefault="00000000">
      <w:pPr>
        <w:spacing w:after="15"/>
        <w:ind w:left="-5"/>
      </w:pPr>
      <w:r w:rsidRPr="00AB0D87">
        <w:rPr>
          <w:rFonts w:ascii="Arial" w:hAnsi="Arial" w:cs="Arial"/>
          <w:b/>
          <w:bCs/>
          <w:sz w:val="22"/>
          <w:lang w:val="en-GB"/>
        </w:rPr>
        <w:t xml:space="preserve">Figure </w:t>
      </w:r>
      <w:proofErr w:type="gramStart"/>
      <w:r w:rsidRPr="00AB0D87">
        <w:rPr>
          <w:rFonts w:ascii="Arial" w:hAnsi="Arial" w:cs="Arial"/>
          <w:b/>
          <w:bCs/>
          <w:sz w:val="22"/>
          <w:lang w:val="en-GB"/>
        </w:rPr>
        <w:t>3</w:t>
      </w:r>
      <w:r w:rsidRPr="00AB0D87">
        <w:rPr>
          <w:rFonts w:ascii="Arial" w:hAnsi="Arial" w:cs="Arial"/>
          <w:sz w:val="22"/>
          <w:lang w:val="en-GB"/>
        </w:rPr>
        <w:t> :</w:t>
      </w:r>
      <w:proofErr w:type="gramEnd"/>
      <w:r w:rsidRPr="00AB0D87">
        <w:rPr>
          <w:rFonts w:ascii="Arial" w:hAnsi="Arial" w:cs="Arial"/>
          <w:sz w:val="22"/>
          <w:lang w:val="en-GB"/>
        </w:rPr>
        <w:t xml:space="preserve"> Abundance of developmental stages of the viviparous toad population according to different habitats before fire; Site A: Grassy habitat, Site B: Rocky habitat.</w:t>
      </w:r>
    </w:p>
    <w:p w14:paraId="7E14B59F" w14:textId="77777777" w:rsidR="00D07A5A" w:rsidRPr="00AB0D87" w:rsidRDefault="00000000">
      <w:pPr>
        <w:spacing w:before="120" w:after="120"/>
        <w:ind w:left="-6"/>
        <w:rPr>
          <w:rFonts w:ascii="Arial" w:hAnsi="Arial" w:cs="Arial"/>
          <w:bCs/>
          <w:iCs/>
          <w:color w:val="000000"/>
          <w:sz w:val="22"/>
          <w:shd w:val="clear" w:color="auto" w:fill="FFFFFF"/>
          <w:lang w:val="en-GB"/>
        </w:rPr>
      </w:pPr>
      <w:r w:rsidRPr="00AB0D87">
        <w:rPr>
          <w:rFonts w:ascii="Arial" w:hAnsi="Arial" w:cs="Arial"/>
          <w:bCs/>
          <w:iCs/>
          <w:color w:val="000000"/>
          <w:sz w:val="22"/>
          <w:shd w:val="clear" w:color="auto" w:fill="FFFFFF"/>
          <w:lang w:val="en-GB"/>
        </w:rPr>
        <w:t>However, males, females, and individuals of undetermined sex exhibited higher relative abundances in grassy habitats (75.14%, 62.18%, and 85.04%, respectively) than in rocky habitats (24.86%, 37.82% and 14.96%, respectively). Similarly, adults, subadults, and juveniles were more abundant in grassy habitats (64.15%, 60.18%, and 96.44%, respectively) than in rocky habitats (35.85%, 39.82%, and 3.56%, respectively).</w:t>
      </w:r>
    </w:p>
    <w:p w14:paraId="7B8894D0" w14:textId="77777777" w:rsidR="00D07A5A" w:rsidRPr="00AB0D87" w:rsidRDefault="00000000">
      <w:pPr>
        <w:pStyle w:val="Heading2"/>
      </w:pPr>
      <w:r w:rsidRPr="00AB0D87">
        <w:t xml:space="preserve">3.3. Variation in the abundance of the </w:t>
      </w:r>
      <w:proofErr w:type="spellStart"/>
      <w:r w:rsidRPr="00AB0D87">
        <w:rPr>
          <w:i/>
        </w:rPr>
        <w:t>Nimbaphrynoides</w:t>
      </w:r>
      <w:proofErr w:type="spellEnd"/>
      <w:r w:rsidRPr="00AB0D87">
        <w:rPr>
          <w:i/>
        </w:rPr>
        <w:t xml:space="preserve"> occidentalis</w:t>
      </w:r>
      <w:r w:rsidRPr="00AB0D87">
        <w:t xml:space="preserve"> population after the fire</w:t>
      </w:r>
    </w:p>
    <w:p w14:paraId="41C1D9BC" w14:textId="77777777" w:rsidR="00D07A5A" w:rsidRPr="00AB0D87" w:rsidRDefault="00000000">
      <w:pPr>
        <w:pStyle w:val="NormalWeb"/>
        <w:spacing w:line="276" w:lineRule="auto"/>
        <w:jc w:val="both"/>
      </w:pPr>
      <w:r w:rsidRPr="00AB0D87">
        <w:rPr>
          <w:rFonts w:ascii="Arial" w:eastAsia="Calibri" w:hAnsi="Arial" w:cs="Arial"/>
          <w:bCs/>
          <w:iCs/>
          <w:color w:val="000000"/>
          <w:sz w:val="22"/>
          <w:szCs w:val="22"/>
          <w:shd w:val="clear" w:color="auto" w:fill="FFFFFF"/>
          <w:lang w:val="en-GB" w:eastAsia="en-US"/>
        </w:rPr>
        <w:t xml:space="preserve">A total of 2,501 individuals of </w:t>
      </w:r>
      <w:proofErr w:type="spellStart"/>
      <w:r w:rsidRPr="00AB0D87">
        <w:rPr>
          <w:rFonts w:ascii="Arial" w:eastAsia="Calibri" w:hAnsi="Arial" w:cs="Arial"/>
          <w:bCs/>
          <w:i/>
          <w:iCs/>
          <w:color w:val="000000"/>
          <w:sz w:val="22"/>
          <w:szCs w:val="22"/>
          <w:shd w:val="clear" w:color="auto" w:fill="FFFFFF"/>
          <w:lang w:val="en-GB" w:eastAsia="en-US"/>
        </w:rPr>
        <w:t>Nimbaphrynoides</w:t>
      </w:r>
      <w:proofErr w:type="spellEnd"/>
      <w:r w:rsidRPr="00AB0D87">
        <w:rPr>
          <w:rFonts w:ascii="Arial" w:eastAsia="Calibri" w:hAnsi="Arial" w:cs="Arial"/>
          <w:bCs/>
          <w:i/>
          <w:iCs/>
          <w:color w:val="000000"/>
          <w:sz w:val="22"/>
          <w:szCs w:val="22"/>
          <w:shd w:val="clear" w:color="auto" w:fill="FFFFFF"/>
          <w:lang w:val="en-GB" w:eastAsia="en-US"/>
        </w:rPr>
        <w:t xml:space="preserve"> occidentalis</w:t>
      </w:r>
      <w:r w:rsidRPr="00AB0D87">
        <w:rPr>
          <w:rFonts w:ascii="Arial" w:eastAsia="Calibri" w:hAnsi="Arial" w:cs="Arial"/>
          <w:bCs/>
          <w:iCs/>
          <w:color w:val="000000"/>
          <w:sz w:val="22"/>
          <w:szCs w:val="22"/>
          <w:shd w:val="clear" w:color="auto" w:fill="FFFFFF"/>
          <w:lang w:val="en-GB" w:eastAsia="en-US"/>
        </w:rPr>
        <w:t xml:space="preserve"> were sampled during the study period. Statistical analysis revealed a significant difference among habitats (Kruskal–</w:t>
      </w:r>
      <w:proofErr w:type="gramStart"/>
      <w:r w:rsidRPr="00AB0D87">
        <w:rPr>
          <w:rFonts w:ascii="Arial" w:eastAsia="Calibri" w:hAnsi="Arial" w:cs="Arial"/>
          <w:bCs/>
          <w:iCs/>
          <w:color w:val="000000"/>
          <w:sz w:val="22"/>
          <w:szCs w:val="22"/>
          <w:shd w:val="clear" w:color="auto" w:fill="FFFFFF"/>
          <w:lang w:val="en-GB" w:eastAsia="en-US"/>
        </w:rPr>
        <w:t>Wallis</w:t>
      </w:r>
      <w:proofErr w:type="gramEnd"/>
      <w:r w:rsidRPr="00AB0D87">
        <w:rPr>
          <w:rFonts w:ascii="Arial" w:eastAsia="Calibri" w:hAnsi="Arial" w:cs="Arial"/>
          <w:bCs/>
          <w:iCs/>
          <w:color w:val="000000"/>
          <w:sz w:val="22"/>
          <w:szCs w:val="22"/>
          <w:shd w:val="clear" w:color="auto" w:fill="FFFFFF"/>
          <w:lang w:val="en-GB" w:eastAsia="en-US"/>
        </w:rPr>
        <w:t xml:space="preserve"> test; </w:t>
      </w:r>
      <w:r w:rsidRPr="00AB0D87">
        <w:rPr>
          <w:rFonts w:ascii="Arial" w:eastAsia="Calibri" w:hAnsi="Arial" w:cs="Arial"/>
          <w:bCs/>
          <w:i/>
          <w:iCs/>
          <w:color w:val="000000"/>
          <w:sz w:val="22"/>
          <w:szCs w:val="22"/>
          <w:shd w:val="clear" w:color="auto" w:fill="FFFFFF"/>
          <w:lang w:val="en-GB" w:eastAsia="en-US"/>
        </w:rPr>
        <w:t>p</w:t>
      </w:r>
      <w:r w:rsidRPr="00AB0D87">
        <w:rPr>
          <w:rFonts w:ascii="Arial" w:eastAsia="Calibri" w:hAnsi="Arial" w:cs="Arial"/>
          <w:bCs/>
          <w:iCs/>
          <w:color w:val="000000"/>
          <w:sz w:val="22"/>
          <w:szCs w:val="22"/>
          <w:shd w:val="clear" w:color="auto" w:fill="FFFFFF"/>
          <w:lang w:val="en-GB" w:eastAsia="en-US"/>
        </w:rPr>
        <w:t xml:space="preserve"> &lt; 0.001) (Figure 4). The population consisted of 395 adults (302 females and 93 males), 174 subadults, and 1,932 juveniles. Relative abundance was markedly higher in grassy habitats (91.08%; </w:t>
      </w:r>
      <w:r w:rsidRPr="00AB0D87">
        <w:rPr>
          <w:rFonts w:ascii="Arial" w:eastAsia="Calibri" w:hAnsi="Arial" w:cs="Arial"/>
          <w:bCs/>
          <w:i/>
          <w:iCs/>
          <w:color w:val="000000"/>
          <w:sz w:val="22"/>
          <w:szCs w:val="22"/>
          <w:shd w:val="clear" w:color="auto" w:fill="FFFFFF"/>
          <w:lang w:val="en-GB" w:eastAsia="en-US"/>
        </w:rPr>
        <w:t>N</w:t>
      </w:r>
      <w:r w:rsidRPr="00AB0D87">
        <w:rPr>
          <w:rFonts w:ascii="Arial" w:eastAsia="Calibri" w:hAnsi="Arial" w:cs="Arial"/>
          <w:bCs/>
          <w:iCs/>
          <w:color w:val="000000"/>
          <w:sz w:val="22"/>
          <w:szCs w:val="22"/>
          <w:shd w:val="clear" w:color="auto" w:fill="FFFFFF"/>
          <w:lang w:val="en-GB" w:eastAsia="en-US"/>
        </w:rPr>
        <w:t xml:space="preserve"> = 2278) than in rocky habitats (8.92%; </w:t>
      </w:r>
      <w:r w:rsidRPr="00AB0D87">
        <w:rPr>
          <w:rFonts w:ascii="Arial" w:eastAsia="Calibri" w:hAnsi="Arial" w:cs="Arial"/>
          <w:bCs/>
          <w:i/>
          <w:iCs/>
          <w:color w:val="000000"/>
          <w:sz w:val="22"/>
          <w:szCs w:val="22"/>
          <w:shd w:val="clear" w:color="auto" w:fill="FFFFFF"/>
          <w:lang w:val="en-GB" w:eastAsia="en-US"/>
        </w:rPr>
        <w:t>N</w:t>
      </w:r>
      <w:r w:rsidRPr="00AB0D87">
        <w:rPr>
          <w:rFonts w:ascii="Arial" w:eastAsia="Calibri" w:hAnsi="Arial" w:cs="Arial"/>
          <w:bCs/>
          <w:iCs/>
          <w:color w:val="000000"/>
          <w:sz w:val="22"/>
          <w:szCs w:val="22"/>
          <w:shd w:val="clear" w:color="auto" w:fill="FFFFFF"/>
          <w:lang w:val="en-GB" w:eastAsia="en-US"/>
        </w:rPr>
        <w:t xml:space="preserve"> = 223).</w:t>
      </w:r>
    </w:p>
    <w:p w14:paraId="44CAE9F9" w14:textId="77777777" w:rsidR="00D07A5A" w:rsidRPr="00AB0D87" w:rsidRDefault="00000000">
      <w:pPr>
        <w:pStyle w:val="NormalWeb"/>
        <w:spacing w:line="276" w:lineRule="auto"/>
        <w:jc w:val="both"/>
      </w:pPr>
      <w:r w:rsidRPr="00AB0D87">
        <w:rPr>
          <w:rFonts w:ascii="Arial" w:hAnsi="Arial" w:cs="Arial"/>
          <w:bCs/>
          <w:iCs/>
          <w:color w:val="000000"/>
          <w:sz w:val="22"/>
          <w:shd w:val="clear" w:color="auto" w:fill="FFFFFF"/>
          <w:lang w:val="en-GB"/>
        </w:rPr>
        <w:t xml:space="preserve">In grassy habitats, individuals of undetermined sex were the most abundant (87.84%;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2001), followed by females (9.00%;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205) and males (3.16%;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72). In rocky habitats, individuals of undetermined sex also predominated (47.08%;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105), followed by females (43.50%;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97) and males (9.42%; </w:t>
      </w:r>
      <w:r w:rsidRPr="00AB0D87">
        <w:rPr>
          <w:rFonts w:ascii="Arial" w:hAnsi="Arial" w:cs="Arial"/>
          <w:bCs/>
          <w:i/>
          <w:iCs/>
          <w:color w:val="000000"/>
          <w:sz w:val="22"/>
          <w:shd w:val="clear" w:color="auto" w:fill="FFFFFF"/>
          <w:lang w:val="en-GB"/>
        </w:rPr>
        <w:t>N</w:t>
      </w:r>
      <w:r w:rsidRPr="00AB0D87">
        <w:rPr>
          <w:rFonts w:ascii="Arial" w:hAnsi="Arial" w:cs="Arial"/>
          <w:bCs/>
          <w:iCs/>
          <w:color w:val="000000"/>
          <w:sz w:val="22"/>
          <w:shd w:val="clear" w:color="auto" w:fill="FFFFFF"/>
          <w:lang w:val="en-GB"/>
        </w:rPr>
        <w:t xml:space="preserve"> = 21).</w:t>
      </w:r>
    </w:p>
    <w:p w14:paraId="377EC5C8" w14:textId="77777777" w:rsidR="00D07A5A" w:rsidRPr="00AB0D87" w:rsidRDefault="00D07A5A">
      <w:pPr>
        <w:pStyle w:val="NormalWeb"/>
        <w:spacing w:line="480" w:lineRule="auto"/>
        <w:jc w:val="both"/>
        <w:rPr>
          <w:rFonts w:ascii="Arial" w:eastAsia="Calibri" w:hAnsi="Arial" w:cs="Arial"/>
          <w:bCs/>
          <w:iCs/>
          <w:color w:val="000000"/>
          <w:sz w:val="22"/>
          <w:szCs w:val="22"/>
          <w:shd w:val="clear" w:color="auto" w:fill="FFFFFF"/>
          <w:lang w:val="en-GB" w:eastAsia="en-US"/>
        </w:rPr>
      </w:pPr>
    </w:p>
    <w:p w14:paraId="157658B5" w14:textId="50E4E425" w:rsidR="00D07A5A" w:rsidRPr="00AB0D87" w:rsidRDefault="00917AFE">
      <w:pPr>
        <w:spacing w:after="15" w:line="480" w:lineRule="auto"/>
        <w:ind w:left="-5"/>
        <w:rPr>
          <w:rFonts w:ascii="Arial" w:hAnsi="Arial" w:cs="Arial"/>
          <w:sz w:val="22"/>
        </w:rPr>
      </w:pPr>
      <w:r>
        <w:rPr>
          <w:rFonts w:ascii="Arial" w:hAnsi="Arial" w:cs="Arial"/>
          <w:noProof/>
          <w:sz w:val="22"/>
        </w:rPr>
        <w:lastRenderedPageBreak/>
        <w:pict w14:anchorId="43E6C37D">
          <v:shape id="Image5" o:spid="_x0000_i1029" type="#_x0000_t75" style="width:431.3pt;height:153.5pt;visibility:visible;mso-wrap-style:square">
            <v:imagedata r:id="rId11" o:title="" croptop="-5f" cropbottom="-5f" cropleft="-2f" cropright="-2f"/>
          </v:shape>
        </w:pict>
      </w:r>
    </w:p>
    <w:p w14:paraId="7835E36E" w14:textId="77777777" w:rsidR="00D07A5A" w:rsidRPr="00AB0D87" w:rsidRDefault="00000000">
      <w:pPr>
        <w:spacing w:after="15"/>
        <w:ind w:left="-5"/>
      </w:pPr>
      <w:r w:rsidRPr="00AB0D87">
        <w:rPr>
          <w:rFonts w:ascii="Arial" w:hAnsi="Arial" w:cs="Arial"/>
          <w:b/>
          <w:bCs/>
          <w:sz w:val="22"/>
          <w:lang w:val="en-GB"/>
        </w:rPr>
        <w:t xml:space="preserve">Figure </w:t>
      </w:r>
      <w:proofErr w:type="gramStart"/>
      <w:r w:rsidRPr="00AB0D87">
        <w:rPr>
          <w:rFonts w:ascii="Arial" w:hAnsi="Arial" w:cs="Arial"/>
          <w:b/>
          <w:bCs/>
          <w:sz w:val="22"/>
          <w:lang w:val="en-GB"/>
        </w:rPr>
        <w:t>4</w:t>
      </w:r>
      <w:r w:rsidRPr="00AB0D87">
        <w:rPr>
          <w:rFonts w:ascii="Arial" w:hAnsi="Arial" w:cs="Arial"/>
          <w:sz w:val="22"/>
          <w:lang w:val="en-GB"/>
        </w:rPr>
        <w:t> :</w:t>
      </w:r>
      <w:proofErr w:type="gramEnd"/>
      <w:r w:rsidRPr="00AB0D87">
        <w:rPr>
          <w:rFonts w:ascii="Arial" w:hAnsi="Arial" w:cs="Arial"/>
          <w:sz w:val="22"/>
          <w:lang w:val="en-GB"/>
        </w:rPr>
        <w:t xml:space="preserve"> Relative abundance of sexes in the viviparous toad population according to habitat type after the fire; Site A: grassy habitat, Site B: rocky habitat (Kruskal–</w:t>
      </w:r>
      <w:proofErr w:type="gramStart"/>
      <w:r w:rsidRPr="00AB0D87">
        <w:rPr>
          <w:rFonts w:ascii="Arial" w:hAnsi="Arial" w:cs="Arial"/>
          <w:sz w:val="22"/>
          <w:lang w:val="en-GB"/>
        </w:rPr>
        <w:t>Wallis</w:t>
      </w:r>
      <w:proofErr w:type="gramEnd"/>
      <w:r w:rsidRPr="00AB0D87">
        <w:rPr>
          <w:rFonts w:ascii="Arial" w:hAnsi="Arial" w:cs="Arial"/>
          <w:sz w:val="22"/>
          <w:lang w:val="en-GB"/>
        </w:rPr>
        <w:t xml:space="preserve"> </w:t>
      </w:r>
      <w:proofErr w:type="gramStart"/>
      <w:r w:rsidRPr="00AB0D87">
        <w:rPr>
          <w:rFonts w:ascii="Arial" w:hAnsi="Arial" w:cs="Arial"/>
          <w:sz w:val="22"/>
          <w:lang w:val="en-GB"/>
        </w:rPr>
        <w:t>test :</w:t>
      </w:r>
      <w:proofErr w:type="gramEnd"/>
      <w:r w:rsidRPr="00AB0D87">
        <w:rPr>
          <w:rFonts w:ascii="Arial" w:hAnsi="Arial" w:cs="Arial"/>
          <w:sz w:val="22"/>
          <w:lang w:val="en-GB"/>
        </w:rPr>
        <w:t xml:space="preserve"> N= 7, dl = </w:t>
      </w:r>
      <w:proofErr w:type="gramStart"/>
      <w:r w:rsidRPr="00AB0D87">
        <w:rPr>
          <w:rFonts w:ascii="Arial" w:hAnsi="Arial" w:cs="Arial"/>
          <w:sz w:val="22"/>
          <w:lang w:val="en-GB"/>
        </w:rPr>
        <w:t>3 ;</w:t>
      </w:r>
      <w:proofErr w:type="gramEnd"/>
      <w:r w:rsidRPr="00AB0D87">
        <w:rPr>
          <w:rFonts w:ascii="Arial" w:hAnsi="Arial" w:cs="Arial"/>
          <w:sz w:val="22"/>
          <w:lang w:val="en-GB"/>
        </w:rPr>
        <w:t xml:space="preserve"> </w:t>
      </w:r>
      <w:r w:rsidRPr="00AB0D87">
        <w:rPr>
          <w:rFonts w:ascii="Arial" w:hAnsi="Arial" w:cs="Arial"/>
          <w:i/>
          <w:iCs/>
          <w:sz w:val="22"/>
          <w:lang w:val="en-GB"/>
        </w:rPr>
        <w:t>p</w:t>
      </w:r>
      <w:r w:rsidRPr="00AB0D87">
        <w:rPr>
          <w:rFonts w:ascii="Arial" w:hAnsi="Arial" w:cs="Arial"/>
          <w:sz w:val="22"/>
          <w:lang w:val="en-GB"/>
        </w:rPr>
        <w:t xml:space="preserve"> &lt; 0.001).</w:t>
      </w:r>
    </w:p>
    <w:p w14:paraId="4662DE55" w14:textId="77777777" w:rsidR="00D07A5A" w:rsidRPr="00AB0D87" w:rsidRDefault="00000000">
      <w:pPr>
        <w:spacing w:before="240" w:after="15"/>
        <w:ind w:left="-5"/>
      </w:pPr>
      <w:proofErr w:type="spellStart"/>
      <w:r w:rsidRPr="00AB0D87">
        <w:t>Regarding</w:t>
      </w:r>
      <w:proofErr w:type="spellEnd"/>
      <w:r w:rsidRPr="00AB0D87">
        <w:t xml:space="preserve"> </w:t>
      </w:r>
      <w:proofErr w:type="spellStart"/>
      <w:r w:rsidRPr="00AB0D87">
        <w:t>developmental</w:t>
      </w:r>
      <w:proofErr w:type="spellEnd"/>
      <w:r w:rsidRPr="00AB0D87">
        <w:t xml:space="preserve"> stages (Figure 5), </w:t>
      </w:r>
      <w:proofErr w:type="spellStart"/>
      <w:r w:rsidRPr="00AB0D87">
        <w:t>juveniles</w:t>
      </w:r>
      <w:proofErr w:type="spellEnd"/>
      <w:r w:rsidRPr="00AB0D87">
        <w:t xml:space="preserve"> </w:t>
      </w:r>
      <w:proofErr w:type="spellStart"/>
      <w:r w:rsidRPr="00AB0D87">
        <w:t>predominated</w:t>
      </w:r>
      <w:proofErr w:type="spellEnd"/>
      <w:r w:rsidRPr="00AB0D87">
        <w:t xml:space="preserve"> in </w:t>
      </w:r>
      <w:proofErr w:type="spellStart"/>
      <w:r w:rsidRPr="00AB0D87">
        <w:t>grassy</w:t>
      </w:r>
      <w:proofErr w:type="spellEnd"/>
      <w:r w:rsidRPr="00AB0D87">
        <w:t xml:space="preserve"> habitats (84.5</w:t>
      </w:r>
      <w:proofErr w:type="gramStart"/>
      <w:r w:rsidRPr="00AB0D87">
        <w:t>%;</w:t>
      </w:r>
      <w:proofErr w:type="gramEnd"/>
      <w:r w:rsidRPr="00AB0D87">
        <w:t xml:space="preserve"> N = 1925), </w:t>
      </w:r>
      <w:proofErr w:type="spellStart"/>
      <w:r w:rsidRPr="00AB0D87">
        <w:t>followed</w:t>
      </w:r>
      <w:proofErr w:type="spellEnd"/>
      <w:r w:rsidRPr="00AB0D87">
        <w:t xml:space="preserve"> by </w:t>
      </w:r>
      <w:proofErr w:type="spellStart"/>
      <w:r w:rsidRPr="00AB0D87">
        <w:t>adults</w:t>
      </w:r>
      <w:proofErr w:type="spellEnd"/>
      <w:r w:rsidRPr="00AB0D87">
        <w:t xml:space="preserve"> (12.16</w:t>
      </w:r>
      <w:proofErr w:type="gramStart"/>
      <w:r w:rsidRPr="00AB0D87">
        <w:t>%;</w:t>
      </w:r>
      <w:proofErr w:type="gramEnd"/>
      <w:r w:rsidRPr="00AB0D87">
        <w:t xml:space="preserve"> N = 277) and </w:t>
      </w:r>
      <w:proofErr w:type="spellStart"/>
      <w:r w:rsidRPr="00AB0D87">
        <w:t>subadults</w:t>
      </w:r>
      <w:proofErr w:type="spellEnd"/>
      <w:r w:rsidRPr="00AB0D87">
        <w:t xml:space="preserve"> (3.34</w:t>
      </w:r>
      <w:proofErr w:type="gramStart"/>
      <w:r w:rsidRPr="00AB0D87">
        <w:t>%;</w:t>
      </w:r>
      <w:proofErr w:type="gramEnd"/>
      <w:r w:rsidRPr="00AB0D87">
        <w:t xml:space="preserve"> N = 76). In </w:t>
      </w:r>
      <w:proofErr w:type="spellStart"/>
      <w:r w:rsidRPr="00AB0D87">
        <w:t>contrast</w:t>
      </w:r>
      <w:proofErr w:type="spellEnd"/>
      <w:r w:rsidRPr="00AB0D87">
        <w:t xml:space="preserve">, in </w:t>
      </w:r>
      <w:proofErr w:type="spellStart"/>
      <w:r w:rsidRPr="00AB0D87">
        <w:t>rocky</w:t>
      </w:r>
      <w:proofErr w:type="spellEnd"/>
      <w:r w:rsidRPr="00AB0D87">
        <w:t xml:space="preserve"> habitats, </w:t>
      </w:r>
      <w:proofErr w:type="spellStart"/>
      <w:r w:rsidRPr="00AB0D87">
        <w:t>adults</w:t>
      </w:r>
      <w:proofErr w:type="spellEnd"/>
      <w:r w:rsidRPr="00AB0D87">
        <w:t xml:space="preserve"> (52.92</w:t>
      </w:r>
      <w:proofErr w:type="gramStart"/>
      <w:r w:rsidRPr="00AB0D87">
        <w:t>%;</w:t>
      </w:r>
      <w:proofErr w:type="gramEnd"/>
      <w:r w:rsidRPr="00AB0D87">
        <w:t xml:space="preserve"> N = 118) and </w:t>
      </w:r>
      <w:proofErr w:type="spellStart"/>
      <w:r w:rsidRPr="00AB0D87">
        <w:t>subadults</w:t>
      </w:r>
      <w:proofErr w:type="spellEnd"/>
      <w:r w:rsidRPr="00AB0D87">
        <w:t xml:space="preserve"> (43.94</w:t>
      </w:r>
      <w:proofErr w:type="gramStart"/>
      <w:r w:rsidRPr="00AB0D87">
        <w:t>%;</w:t>
      </w:r>
      <w:proofErr w:type="gramEnd"/>
      <w:r w:rsidRPr="00AB0D87">
        <w:t xml:space="preserve"> N = 98) </w:t>
      </w:r>
      <w:proofErr w:type="spellStart"/>
      <w:r w:rsidRPr="00AB0D87">
        <w:t>were</w:t>
      </w:r>
      <w:proofErr w:type="spellEnd"/>
      <w:r w:rsidRPr="00AB0D87">
        <w:t xml:space="preserve"> more </w:t>
      </w:r>
      <w:proofErr w:type="spellStart"/>
      <w:r w:rsidRPr="00AB0D87">
        <w:t>abundant</w:t>
      </w:r>
      <w:proofErr w:type="spellEnd"/>
      <w:r w:rsidRPr="00AB0D87">
        <w:t xml:space="preserve"> </w:t>
      </w:r>
      <w:proofErr w:type="spellStart"/>
      <w:r w:rsidRPr="00AB0D87">
        <w:t>than</w:t>
      </w:r>
      <w:proofErr w:type="spellEnd"/>
      <w:r w:rsidRPr="00AB0D87">
        <w:t xml:space="preserve"> </w:t>
      </w:r>
      <w:proofErr w:type="spellStart"/>
      <w:r w:rsidRPr="00AB0D87">
        <w:t>juveniles</w:t>
      </w:r>
      <w:proofErr w:type="spellEnd"/>
      <w:r w:rsidRPr="00AB0D87">
        <w:t xml:space="preserve"> (3.14</w:t>
      </w:r>
      <w:proofErr w:type="gramStart"/>
      <w:r w:rsidRPr="00AB0D87">
        <w:t>%;</w:t>
      </w:r>
      <w:proofErr w:type="gramEnd"/>
      <w:r w:rsidRPr="00AB0D87">
        <w:t xml:space="preserve"> N = 7).</w:t>
      </w:r>
    </w:p>
    <w:p w14:paraId="59F847F5" w14:textId="7E479E49" w:rsidR="00D07A5A" w:rsidRPr="00AB0D87" w:rsidRDefault="00917AFE">
      <w:pPr>
        <w:spacing w:after="15" w:line="480" w:lineRule="auto"/>
        <w:ind w:left="-5"/>
        <w:rPr>
          <w:rFonts w:ascii="Arial" w:hAnsi="Arial" w:cs="Arial"/>
          <w:sz w:val="22"/>
        </w:rPr>
      </w:pPr>
      <w:r>
        <w:rPr>
          <w:rFonts w:ascii="Arial" w:hAnsi="Arial" w:cs="Arial"/>
          <w:noProof/>
          <w:sz w:val="22"/>
        </w:rPr>
        <w:pict w14:anchorId="1AED8CE7">
          <v:shape id="Image6" o:spid="_x0000_i1030" type="#_x0000_t75" style="width:418.4pt;height:2in;visibility:visible;mso-wrap-style:square">
            <v:imagedata r:id="rId12" o:title="" croptop="-7f" cropbottom="-7f" cropleft="-2f" cropright="-2f"/>
          </v:shape>
        </w:pict>
      </w:r>
    </w:p>
    <w:p w14:paraId="24ED5D1E" w14:textId="77777777" w:rsidR="00D07A5A" w:rsidRPr="00AB0D87" w:rsidRDefault="00000000">
      <w:pPr>
        <w:spacing w:after="15"/>
        <w:ind w:left="-5"/>
      </w:pPr>
      <w:r w:rsidRPr="00AB0D87">
        <w:rPr>
          <w:rFonts w:ascii="Arial" w:hAnsi="Arial" w:cs="Arial"/>
          <w:b/>
          <w:bCs/>
          <w:sz w:val="22"/>
          <w:lang w:val="en-GB"/>
        </w:rPr>
        <w:t xml:space="preserve">Figure </w:t>
      </w:r>
      <w:proofErr w:type="gramStart"/>
      <w:r w:rsidRPr="00AB0D87">
        <w:rPr>
          <w:rFonts w:ascii="Arial" w:hAnsi="Arial" w:cs="Arial"/>
          <w:b/>
          <w:bCs/>
          <w:sz w:val="22"/>
          <w:lang w:val="en-GB"/>
        </w:rPr>
        <w:t>5</w:t>
      </w:r>
      <w:r w:rsidRPr="00AB0D87">
        <w:rPr>
          <w:rFonts w:ascii="Arial" w:hAnsi="Arial" w:cs="Arial"/>
          <w:sz w:val="22"/>
          <w:lang w:val="en-GB"/>
        </w:rPr>
        <w:t> :</w:t>
      </w:r>
      <w:proofErr w:type="gramEnd"/>
      <w:r w:rsidRPr="00AB0D87">
        <w:rPr>
          <w:rFonts w:ascii="Arial" w:hAnsi="Arial" w:cs="Arial"/>
          <w:sz w:val="22"/>
          <w:lang w:val="en-GB"/>
        </w:rPr>
        <w:t xml:space="preserve"> Relative abundance of developmental stages in the viviparous toad population according to habitat type after the fire; Site A: grassy habitat, Site B: rocky habitat.</w:t>
      </w:r>
    </w:p>
    <w:p w14:paraId="411A1CF1" w14:textId="77777777" w:rsidR="00D07A5A" w:rsidRPr="00AB0D87" w:rsidRDefault="00000000">
      <w:pPr>
        <w:spacing w:before="120" w:after="120"/>
        <w:ind w:left="-6"/>
      </w:pPr>
      <w:r w:rsidRPr="00AB0D87">
        <w:rPr>
          <w:rFonts w:ascii="Arial" w:hAnsi="Arial" w:cs="Arial"/>
          <w:sz w:val="22"/>
          <w:lang w:val="en-GB"/>
        </w:rPr>
        <w:t>Males, females, and individuals of undetermined sex exhibited higher relative abundances in grassy habitats (77.42%, 67.88%, and 95.01%, respectively) than in rocky habitats (22.58%, 32.12%, and 4.99%, respectively). Similarly, adults and juveniles were predominantly recorded in grassy habitats (70.13% and 99.63%, respectively) compared with rocky habitats (29.87% and 0.37%, respectively). In contrast, subadults were more abundant in rocky habitats (56.32%) than in grassy habitats (43.68%).</w:t>
      </w:r>
    </w:p>
    <w:p w14:paraId="21D5299C" w14:textId="77777777" w:rsidR="00D07A5A" w:rsidRPr="00AB0D87" w:rsidRDefault="00000000">
      <w:pPr>
        <w:pStyle w:val="Heading2"/>
      </w:pPr>
      <w:r w:rsidRPr="00AB0D87">
        <w:t xml:space="preserve">3.4. Comparison of the </w:t>
      </w:r>
      <w:proofErr w:type="spellStart"/>
      <w:r w:rsidRPr="00AB0D87">
        <w:rPr>
          <w:i/>
        </w:rPr>
        <w:t>Nimbaphrynoides</w:t>
      </w:r>
      <w:proofErr w:type="spellEnd"/>
      <w:r w:rsidRPr="00AB0D87">
        <w:rPr>
          <w:i/>
        </w:rPr>
        <w:t xml:space="preserve"> occidentalis</w:t>
      </w:r>
      <w:r w:rsidRPr="00AB0D87">
        <w:t xml:space="preserve"> population before and after the fire.</w:t>
      </w:r>
    </w:p>
    <w:p w14:paraId="09AA1A45" w14:textId="77777777" w:rsidR="00D07A5A" w:rsidRPr="00AB0D87" w:rsidRDefault="00000000">
      <w:pPr>
        <w:spacing w:after="15"/>
        <w:ind w:left="-5"/>
      </w:pPr>
      <w:r w:rsidRPr="00AB0D87">
        <w:rPr>
          <w:rFonts w:ascii="Arial" w:hAnsi="Arial" w:cs="Arial"/>
          <w:bCs/>
          <w:iCs/>
          <w:sz w:val="22"/>
          <w:shd w:val="clear" w:color="auto" w:fill="FFFFFF"/>
          <w:lang w:val="en-GB"/>
        </w:rPr>
        <w:t xml:space="preserve">The comparison of </w:t>
      </w:r>
      <w:proofErr w:type="spellStart"/>
      <w:r w:rsidRPr="00AB0D87">
        <w:rPr>
          <w:rFonts w:ascii="Arial" w:hAnsi="Arial" w:cs="Arial"/>
          <w:bCs/>
          <w:i/>
          <w:iCs/>
          <w:sz w:val="22"/>
          <w:shd w:val="clear" w:color="auto" w:fill="FFFFFF"/>
          <w:lang w:val="en-GB"/>
        </w:rPr>
        <w:t>Nimbaphrynoides</w:t>
      </w:r>
      <w:proofErr w:type="spellEnd"/>
      <w:r w:rsidRPr="00AB0D87">
        <w:rPr>
          <w:rFonts w:ascii="Arial" w:hAnsi="Arial" w:cs="Arial"/>
          <w:bCs/>
          <w:i/>
          <w:iCs/>
          <w:sz w:val="22"/>
          <w:shd w:val="clear" w:color="auto" w:fill="FFFFFF"/>
          <w:lang w:val="en-GB"/>
        </w:rPr>
        <w:t xml:space="preserve"> occidentalis</w:t>
      </w:r>
      <w:r w:rsidRPr="00AB0D87">
        <w:rPr>
          <w:rFonts w:ascii="Arial" w:hAnsi="Arial" w:cs="Arial"/>
          <w:bCs/>
          <w:iCs/>
          <w:sz w:val="22"/>
          <w:shd w:val="clear" w:color="auto" w:fill="FFFFFF"/>
          <w:lang w:val="en-GB"/>
        </w:rPr>
        <w:t xml:space="preserve"> population size between the pre- and post-fire periods revealed a substantial decline in total abundance, accompanied by marked changes in demographic structure and habitat-related spatial distribution.</w:t>
      </w:r>
    </w:p>
    <w:p w14:paraId="5DBE7F50" w14:textId="77777777" w:rsidR="00D07A5A" w:rsidRPr="00AB0D87" w:rsidRDefault="00000000">
      <w:pPr>
        <w:spacing w:after="15"/>
        <w:ind w:left="-5"/>
        <w:rPr>
          <w:rFonts w:ascii="Arial" w:hAnsi="Arial" w:cs="Arial"/>
          <w:bCs/>
          <w:iCs/>
          <w:sz w:val="22"/>
          <w:shd w:val="clear" w:color="auto" w:fill="FFFFFF"/>
          <w:lang w:val="en-GB"/>
        </w:rPr>
      </w:pPr>
      <w:r w:rsidRPr="00AB0D87">
        <w:rPr>
          <w:rFonts w:ascii="Arial" w:hAnsi="Arial" w:cs="Arial"/>
          <w:bCs/>
          <w:iCs/>
          <w:sz w:val="22"/>
          <w:shd w:val="clear" w:color="auto" w:fill="FFFFFF"/>
          <w:lang w:val="en-GB"/>
        </w:rPr>
        <w:t>Before the fire, 9,600 individuals were recorded, compared with only 2,501 individuals after the fire, corresponding to an overall reduction of approximately 74% in total population size.</w:t>
      </w:r>
    </w:p>
    <w:p w14:paraId="70270D61" w14:textId="77777777" w:rsidR="00D07A5A" w:rsidRPr="00AB0D87" w:rsidRDefault="00000000">
      <w:pPr>
        <w:pStyle w:val="Heading2"/>
        <w:rPr>
          <w:szCs w:val="20"/>
        </w:rPr>
      </w:pPr>
      <w:r w:rsidRPr="00AB0D87">
        <w:lastRenderedPageBreak/>
        <w:t>3.5. Variation in abundance by habitat type.</w:t>
      </w:r>
    </w:p>
    <w:p w14:paraId="253942F8" w14:textId="77777777" w:rsidR="00D07A5A" w:rsidRPr="00AB0D87" w:rsidRDefault="00000000">
      <w:pPr>
        <w:spacing w:after="15"/>
        <w:ind w:left="-5"/>
      </w:pPr>
      <w:r w:rsidRPr="00AB0D87">
        <w:rPr>
          <w:rFonts w:ascii="Arial" w:hAnsi="Arial" w:cs="Arial"/>
          <w:bCs/>
          <w:iCs/>
          <w:sz w:val="22"/>
          <w:shd w:val="clear" w:color="auto" w:fill="FFFFFF"/>
          <w:lang w:val="en-GB"/>
        </w:rPr>
        <w:t xml:space="preserve">The </w:t>
      </w:r>
      <w:r w:rsidRPr="00AB0D87">
        <w:rPr>
          <w:rFonts w:ascii="Arial" w:hAnsi="Arial" w:cs="Arial"/>
          <w:bCs/>
          <w:iCs/>
          <w:sz w:val="22"/>
          <w:shd w:val="clear" w:color="auto" w:fill="FFFFFF"/>
        </w:rPr>
        <w:t>χ</w:t>
      </w:r>
      <w:r w:rsidRPr="00AB0D87">
        <w:rPr>
          <w:rFonts w:ascii="Arial" w:hAnsi="Arial" w:cs="Arial"/>
          <w:bCs/>
          <w:iCs/>
          <w:sz w:val="22"/>
          <w:shd w:val="clear" w:color="auto" w:fill="FFFFFF"/>
          <w:lang w:val="en-GB"/>
        </w:rPr>
        <w:t>² test revealed a highly significant difference in the distribution of individuals between grassy and rocky habitats before and after the fire (</w:t>
      </w:r>
      <w:r w:rsidRPr="00AB0D87">
        <w:rPr>
          <w:rFonts w:ascii="Arial" w:hAnsi="Arial" w:cs="Arial"/>
          <w:bCs/>
          <w:iCs/>
          <w:sz w:val="22"/>
          <w:shd w:val="clear" w:color="auto" w:fill="FFFFFF"/>
        </w:rPr>
        <w:t>χ</w:t>
      </w:r>
      <w:r w:rsidRPr="00AB0D87">
        <w:rPr>
          <w:rFonts w:ascii="Arial" w:hAnsi="Arial" w:cs="Arial"/>
          <w:bCs/>
          <w:iCs/>
          <w:sz w:val="22"/>
          <w:shd w:val="clear" w:color="auto" w:fill="FFFFFF"/>
          <w:lang w:val="en-GB"/>
        </w:rPr>
        <w:t xml:space="preserve">² = 300.89; </w:t>
      </w:r>
      <w:proofErr w:type="spellStart"/>
      <w:r w:rsidRPr="00AB0D87">
        <w:rPr>
          <w:rFonts w:ascii="Arial" w:hAnsi="Arial" w:cs="Arial"/>
          <w:bCs/>
          <w:iCs/>
          <w:sz w:val="22"/>
          <w:shd w:val="clear" w:color="auto" w:fill="FFFFFF"/>
          <w:lang w:val="en-GB"/>
        </w:rPr>
        <w:t>df</w:t>
      </w:r>
      <w:proofErr w:type="spellEnd"/>
      <w:r w:rsidRPr="00AB0D87">
        <w:rPr>
          <w:rFonts w:ascii="Arial" w:hAnsi="Arial" w:cs="Arial"/>
          <w:bCs/>
          <w:iCs/>
          <w:sz w:val="22"/>
          <w:shd w:val="clear" w:color="auto" w:fill="FFFFFF"/>
          <w:lang w:val="en-GB"/>
        </w:rPr>
        <w:t xml:space="preserve"> = 1; </w:t>
      </w:r>
      <w:r w:rsidRPr="00AB0D87">
        <w:rPr>
          <w:rFonts w:ascii="Arial" w:hAnsi="Arial" w:cs="Arial"/>
          <w:bCs/>
          <w:i/>
          <w:iCs/>
          <w:sz w:val="22"/>
          <w:shd w:val="clear" w:color="auto" w:fill="FFFFFF"/>
          <w:lang w:val="en-GB"/>
        </w:rPr>
        <w:t>p</w:t>
      </w:r>
      <w:r w:rsidRPr="00AB0D87">
        <w:rPr>
          <w:rFonts w:ascii="Arial" w:hAnsi="Arial" w:cs="Arial"/>
          <w:bCs/>
          <w:iCs/>
          <w:sz w:val="22"/>
          <w:shd w:val="clear" w:color="auto" w:fill="FFFFFF"/>
          <w:lang w:val="en-GB"/>
        </w:rPr>
        <w:t xml:space="preserve"> &lt; 0.001). Before the fire, the population was predominantly concentrated in grassy habitats, which </w:t>
      </w:r>
      <w:proofErr w:type="spellStart"/>
      <w:r w:rsidRPr="00AB0D87">
        <w:rPr>
          <w:rFonts w:ascii="Arial" w:hAnsi="Arial" w:cs="Arial"/>
          <w:bCs/>
          <w:iCs/>
          <w:sz w:val="22"/>
          <w:shd w:val="clear" w:color="auto" w:fill="FFFFFF"/>
          <w:lang w:val="en-GB"/>
        </w:rPr>
        <w:t>harbored</w:t>
      </w:r>
      <w:proofErr w:type="spellEnd"/>
      <w:r w:rsidRPr="00AB0D87">
        <w:rPr>
          <w:rFonts w:ascii="Arial" w:hAnsi="Arial" w:cs="Arial"/>
          <w:bCs/>
          <w:iCs/>
          <w:sz w:val="22"/>
          <w:shd w:val="clear" w:color="auto" w:fill="FFFFFF"/>
          <w:lang w:val="en-GB"/>
        </w:rPr>
        <w:t xml:space="preserve"> 75.03% of the individuals, compared with 24.97% in rocky habitats. After the fire, this pattern became markedly more pronounced, with 91.08% of individuals recorded in grassy habitats and only 8.92% in rocky habitats.</w:t>
      </w:r>
    </w:p>
    <w:p w14:paraId="20CAD9F8" w14:textId="77777777" w:rsidR="00D07A5A" w:rsidRPr="00AB0D87" w:rsidRDefault="00000000">
      <w:pPr>
        <w:pStyle w:val="Heading2"/>
      </w:pPr>
      <w:r w:rsidRPr="00AB0D87">
        <w:t>3.6. Variation in sexual structure.</w:t>
      </w:r>
    </w:p>
    <w:p w14:paraId="2118C993" w14:textId="77777777" w:rsidR="00D07A5A" w:rsidRPr="00AB0D87" w:rsidRDefault="00000000">
      <w:pPr>
        <w:spacing w:after="15"/>
        <w:ind w:left="-5"/>
      </w:pPr>
      <w:r w:rsidRPr="00AB0D87">
        <w:rPr>
          <w:rFonts w:ascii="Arial" w:hAnsi="Arial" w:cs="Arial"/>
          <w:bCs/>
          <w:iCs/>
          <w:sz w:val="22"/>
          <w:shd w:val="clear" w:color="auto" w:fill="FFFFFF"/>
          <w:lang w:val="en-GB"/>
        </w:rPr>
        <w:t>Before the fire, sex distribution varied by habitat type (Figure 6). In grassy habitats, individuals of undetermined sex were dominant, whereas females constituted the majority of individuals in rocky habitats. After the fire, individuals of undetermined sex became overwhelmingly dominant in both habitats, particularly in grassy habitats where they accounted for nearly 88% of the total population.</w:t>
      </w:r>
    </w:p>
    <w:p w14:paraId="4EF9D502" w14:textId="77777777" w:rsidR="00D07A5A" w:rsidRPr="00AB0D87" w:rsidRDefault="00000000">
      <w:pPr>
        <w:spacing w:after="15"/>
        <w:ind w:left="-5"/>
        <w:rPr>
          <w:rFonts w:ascii="Arial" w:hAnsi="Arial" w:cs="Arial"/>
          <w:bCs/>
          <w:iCs/>
          <w:sz w:val="22"/>
          <w:shd w:val="clear" w:color="auto" w:fill="FFFFFF"/>
          <w:lang w:val="en-GB"/>
        </w:rPr>
      </w:pPr>
      <w:r w:rsidRPr="00AB0D87">
        <w:rPr>
          <w:rFonts w:ascii="Arial" w:hAnsi="Arial" w:cs="Arial"/>
          <w:bCs/>
          <w:iCs/>
          <w:sz w:val="22"/>
          <w:shd w:val="clear" w:color="auto" w:fill="FFFFFF"/>
          <w:lang w:val="en-GB"/>
        </w:rPr>
        <w:t>Moreover, males and females remained proportionally more abundant in grassy habitats than in rocky habitats, both before and after the fire.</w:t>
      </w:r>
    </w:p>
    <w:p w14:paraId="616D87F0" w14:textId="77777777" w:rsidR="00D07A5A" w:rsidRPr="00AB0D87" w:rsidRDefault="00D07A5A">
      <w:pPr>
        <w:spacing w:after="15"/>
        <w:ind w:left="-5"/>
        <w:rPr>
          <w:rFonts w:ascii="Arial" w:hAnsi="Arial" w:cs="Arial"/>
          <w:bCs/>
          <w:iCs/>
          <w:sz w:val="22"/>
          <w:shd w:val="clear" w:color="auto" w:fill="FFFFFF"/>
          <w:lang w:val="en-GB"/>
        </w:rPr>
      </w:pPr>
    </w:p>
    <w:p w14:paraId="4204F6B4" w14:textId="4FE49608" w:rsidR="00D07A5A" w:rsidRPr="00AB0D87" w:rsidRDefault="00917AFE">
      <w:pPr>
        <w:spacing w:after="15"/>
        <w:ind w:left="-5"/>
        <w:rPr>
          <w:rFonts w:ascii="Arial" w:hAnsi="Arial" w:cs="Arial"/>
          <w:bCs/>
          <w:iCs/>
          <w:sz w:val="22"/>
          <w:shd w:val="clear" w:color="auto" w:fill="FFFFFF"/>
          <w:lang w:val="en-GB"/>
        </w:rPr>
      </w:pPr>
      <w:r>
        <w:rPr>
          <w:rFonts w:ascii="Arial" w:hAnsi="Arial" w:cs="Arial"/>
          <w:noProof/>
        </w:rPr>
        <w:pict w14:anchorId="19F831A9">
          <v:shape id="Image7" o:spid="_x0000_i1031" type="#_x0000_t75" style="width:452.4pt;height:116.85pt;visibility:visible;mso-wrap-style:square">
            <v:imagedata r:id="rId13" o:title="" croptop="-5f" cropbottom="-5f" cropleft="-1f" cropright="-1f"/>
          </v:shape>
        </w:pict>
      </w:r>
    </w:p>
    <w:p w14:paraId="53791C2D" w14:textId="77777777" w:rsidR="00D07A5A" w:rsidRPr="00AB0D87" w:rsidRDefault="00D07A5A">
      <w:pPr>
        <w:spacing w:after="15"/>
        <w:ind w:left="-5"/>
        <w:rPr>
          <w:rFonts w:ascii="Arial" w:hAnsi="Arial" w:cs="Arial"/>
          <w:bCs/>
          <w:iCs/>
          <w:sz w:val="22"/>
          <w:shd w:val="clear" w:color="auto" w:fill="FFFFFF"/>
          <w:lang w:val="en-GB"/>
        </w:rPr>
      </w:pPr>
    </w:p>
    <w:p w14:paraId="683ABA72" w14:textId="77777777" w:rsidR="00D07A5A" w:rsidRPr="00AB0D87" w:rsidRDefault="00000000">
      <w:pPr>
        <w:spacing w:after="15"/>
        <w:ind w:left="-5"/>
      </w:pPr>
      <w:r w:rsidRPr="00AB0D87">
        <w:rPr>
          <w:rFonts w:ascii="Arial" w:hAnsi="Arial" w:cs="Arial"/>
          <w:bCs/>
          <w:iCs/>
          <w:sz w:val="22"/>
          <w:shd w:val="clear" w:color="auto" w:fill="FFFFFF"/>
          <w:lang w:val="en-GB"/>
        </w:rPr>
        <w:t xml:space="preserve">Figure </w:t>
      </w:r>
      <w:proofErr w:type="gramStart"/>
      <w:r w:rsidRPr="00AB0D87">
        <w:rPr>
          <w:rFonts w:ascii="Arial" w:hAnsi="Arial" w:cs="Arial"/>
          <w:bCs/>
          <w:iCs/>
          <w:sz w:val="22"/>
          <w:shd w:val="clear" w:color="auto" w:fill="FFFFFF"/>
          <w:lang w:val="en-GB"/>
        </w:rPr>
        <w:t>6 :</w:t>
      </w:r>
      <w:proofErr w:type="gramEnd"/>
      <w:r w:rsidRPr="00AB0D87">
        <w:rPr>
          <w:rFonts w:ascii="Arial" w:hAnsi="Arial" w:cs="Arial"/>
          <w:bCs/>
          <w:iCs/>
          <w:sz w:val="22"/>
          <w:shd w:val="clear" w:color="auto" w:fill="FFFFFF"/>
          <w:lang w:val="en-GB"/>
        </w:rPr>
        <w:t xml:space="preserve"> Sexual structure of viviparous toad individuals; A: Male, B: Female; C1 and C2: Undetermined sex.</w:t>
      </w:r>
    </w:p>
    <w:p w14:paraId="300F87EC" w14:textId="77777777" w:rsidR="00D07A5A" w:rsidRPr="00AB0D87" w:rsidRDefault="00000000">
      <w:pPr>
        <w:spacing w:before="120" w:after="120" w:line="480" w:lineRule="auto"/>
        <w:ind w:left="-6"/>
        <w:rPr>
          <w:rFonts w:ascii="Arial" w:hAnsi="Arial" w:cs="Arial"/>
          <w:b/>
          <w:bCs/>
          <w:iCs/>
          <w:sz w:val="22"/>
          <w:shd w:val="clear" w:color="auto" w:fill="FFFFFF"/>
          <w:lang w:val="en-GB"/>
        </w:rPr>
      </w:pPr>
      <w:r w:rsidRPr="00AB0D87">
        <w:rPr>
          <w:rFonts w:ascii="Arial" w:hAnsi="Arial" w:cs="Arial"/>
          <w:b/>
          <w:bCs/>
          <w:iCs/>
          <w:sz w:val="22"/>
          <w:shd w:val="clear" w:color="auto" w:fill="FFFFFF"/>
          <w:lang w:val="en-GB"/>
        </w:rPr>
        <w:t>3.7. Variation in developmental stages</w:t>
      </w:r>
    </w:p>
    <w:p w14:paraId="5EDE40C6" w14:textId="77777777" w:rsidR="00D07A5A" w:rsidRPr="00AB0D87" w:rsidRDefault="00000000">
      <w:pPr>
        <w:spacing w:after="15"/>
        <w:ind w:left="-5"/>
      </w:pPr>
      <w:r w:rsidRPr="00AB0D87">
        <w:rPr>
          <w:rFonts w:ascii="Arial" w:hAnsi="Arial" w:cs="Arial"/>
          <w:bCs/>
          <w:iCs/>
          <w:sz w:val="22"/>
          <w:shd w:val="clear" w:color="auto" w:fill="FFFFFF"/>
          <w:lang w:val="en-GB"/>
        </w:rPr>
        <w:t xml:space="preserve">The </w:t>
      </w:r>
      <w:r w:rsidRPr="00AB0D87">
        <w:rPr>
          <w:rFonts w:ascii="Arial" w:hAnsi="Arial" w:cs="Arial"/>
          <w:bCs/>
          <w:iCs/>
          <w:sz w:val="22"/>
          <w:shd w:val="clear" w:color="auto" w:fill="FFFFFF"/>
        </w:rPr>
        <w:t>χ</w:t>
      </w:r>
      <w:r w:rsidRPr="00AB0D87">
        <w:rPr>
          <w:rFonts w:ascii="Arial" w:hAnsi="Arial" w:cs="Arial"/>
          <w:bCs/>
          <w:iCs/>
          <w:sz w:val="22"/>
          <w:shd w:val="clear" w:color="auto" w:fill="FFFFFF"/>
          <w:lang w:val="en-GB"/>
        </w:rPr>
        <w:t>² test revealed a significant difference in developmental stages between the pre- and post-fire periods (</w:t>
      </w:r>
      <w:r w:rsidRPr="00AB0D87">
        <w:rPr>
          <w:rFonts w:ascii="Arial" w:hAnsi="Arial" w:cs="Arial"/>
          <w:bCs/>
          <w:iCs/>
          <w:sz w:val="22"/>
          <w:shd w:val="clear" w:color="auto" w:fill="FFFFFF"/>
        </w:rPr>
        <w:t>χ</w:t>
      </w:r>
      <w:r w:rsidRPr="00AB0D87">
        <w:rPr>
          <w:rFonts w:ascii="Arial" w:hAnsi="Arial" w:cs="Arial"/>
          <w:bCs/>
          <w:iCs/>
          <w:sz w:val="22"/>
          <w:shd w:val="clear" w:color="auto" w:fill="FFFFFF"/>
          <w:lang w:val="en-GB"/>
        </w:rPr>
        <w:t xml:space="preserve">² = 18.09; </w:t>
      </w:r>
      <w:proofErr w:type="spellStart"/>
      <w:r w:rsidRPr="00AB0D87">
        <w:rPr>
          <w:rFonts w:ascii="Arial" w:hAnsi="Arial" w:cs="Arial"/>
          <w:bCs/>
          <w:iCs/>
          <w:sz w:val="22"/>
          <w:shd w:val="clear" w:color="auto" w:fill="FFFFFF"/>
          <w:lang w:val="en-GB"/>
        </w:rPr>
        <w:t>df</w:t>
      </w:r>
      <w:proofErr w:type="spellEnd"/>
      <w:r w:rsidRPr="00AB0D87">
        <w:rPr>
          <w:rFonts w:ascii="Arial" w:hAnsi="Arial" w:cs="Arial"/>
          <w:bCs/>
          <w:iCs/>
          <w:sz w:val="22"/>
          <w:shd w:val="clear" w:color="auto" w:fill="FFFFFF"/>
          <w:lang w:val="en-GB"/>
        </w:rPr>
        <w:t xml:space="preserve"> = 2; </w:t>
      </w:r>
      <w:r w:rsidRPr="00AB0D87">
        <w:rPr>
          <w:rFonts w:ascii="Arial" w:hAnsi="Arial" w:cs="Arial"/>
          <w:bCs/>
          <w:i/>
          <w:iCs/>
          <w:sz w:val="22"/>
          <w:shd w:val="clear" w:color="auto" w:fill="FFFFFF"/>
          <w:lang w:val="en-GB"/>
        </w:rPr>
        <w:t>p</w:t>
      </w:r>
      <w:r w:rsidRPr="00AB0D87">
        <w:rPr>
          <w:rFonts w:ascii="Arial" w:hAnsi="Arial" w:cs="Arial"/>
          <w:bCs/>
          <w:iCs/>
          <w:sz w:val="22"/>
          <w:shd w:val="clear" w:color="auto" w:fill="FFFFFF"/>
          <w:lang w:val="en-GB"/>
        </w:rPr>
        <w:t xml:space="preserve"> &lt; 0.001). This result indicates a marked shift in the proportion of age classes within the population (Figure 7). Before the fire, grassy habitats were characterised by a high proportion of juveniles (45.9%), whereas rocky habitats were dominated by adults (68.8%). After the fire, this pattern became even more pronounced in grassy habitats, where juveniles accounted for 84.5% of individuals, reflecting a very young population likely resulting from recent recruitment or improved juvenile survival following the fire.</w:t>
      </w:r>
    </w:p>
    <w:p w14:paraId="0F67D62E" w14:textId="77777777" w:rsidR="00D07A5A" w:rsidRPr="00AB0D87" w:rsidRDefault="00000000">
      <w:pPr>
        <w:spacing w:after="15"/>
        <w:ind w:left="-5"/>
        <w:sectPr w:rsidR="00D07A5A" w:rsidRPr="00AB0D87">
          <w:headerReference w:type="default" r:id="rId14"/>
          <w:footerReference w:type="default" r:id="rId15"/>
          <w:pgSz w:w="11906" w:h="16838"/>
          <w:pgMar w:top="1417" w:right="1417" w:bottom="1417" w:left="1417" w:header="709" w:footer="709" w:gutter="0"/>
          <w:cols w:space="720"/>
          <w:formProt w:val="0"/>
          <w:docGrid w:linePitch="299"/>
        </w:sectPr>
      </w:pPr>
      <w:r w:rsidRPr="00AB0D87">
        <w:rPr>
          <w:rFonts w:ascii="Arial" w:hAnsi="Arial" w:cs="Arial"/>
          <w:bCs/>
          <w:iCs/>
          <w:sz w:val="22"/>
          <w:shd w:val="clear" w:color="auto" w:fill="FFFFFF"/>
          <w:lang w:val="en-GB"/>
        </w:rPr>
        <w:t>In contrast, juveniles became extremely rare in rocky habitats after the fire, whereas adults and subadults remained dominant. Notably, subadults were the only developmental stage exhibiting a higher relative abundance in rocky habitats than in grassy habitats after the fire, which may reflect a refuge strategy or a particular resilience of this stage to disturbance.</w:t>
      </w:r>
    </w:p>
    <w:p w14:paraId="1D906BEB" w14:textId="71DC6771" w:rsidR="00D07A5A" w:rsidRPr="00AB0D87" w:rsidRDefault="00917AFE">
      <w:pPr>
        <w:spacing w:after="15" w:line="480" w:lineRule="auto"/>
        <w:ind w:left="-5"/>
        <w:rPr>
          <w:rFonts w:ascii="Arial" w:hAnsi="Arial" w:cs="Arial"/>
          <w:sz w:val="22"/>
        </w:rPr>
      </w:pPr>
      <w:r>
        <w:rPr>
          <w:rFonts w:ascii="Arial" w:hAnsi="Arial" w:cs="Arial"/>
          <w:noProof/>
        </w:rPr>
        <w:lastRenderedPageBreak/>
        <w:pict w14:anchorId="25FB69EE">
          <v:shape id="Image8" o:spid="_x0000_i1032" type="#_x0000_t75" style="width:452.4pt;height:120.9pt;visibility:visible;mso-wrap-style:square">
            <v:imagedata r:id="rId16" o:title="" croptop="-5f" cropbottom="-5f" cropleft="-1f" cropright="-1f"/>
          </v:shape>
        </w:pict>
      </w:r>
    </w:p>
    <w:p w14:paraId="4888DB9B" w14:textId="77777777" w:rsidR="00D07A5A" w:rsidRPr="00AB0D87" w:rsidRDefault="00000000">
      <w:pPr>
        <w:spacing w:after="0" w:line="480" w:lineRule="auto"/>
        <w:ind w:left="-5"/>
      </w:pPr>
      <w:r w:rsidRPr="00AB0D87">
        <w:rPr>
          <w:rFonts w:ascii="Arial" w:hAnsi="Arial" w:cs="Arial"/>
          <w:bCs/>
          <w:iCs/>
          <w:sz w:val="22"/>
          <w:shd w:val="clear" w:color="auto" w:fill="FFFFFF"/>
          <w:lang w:val="en-GB"/>
        </w:rPr>
        <w:t xml:space="preserve">Figure </w:t>
      </w:r>
      <w:proofErr w:type="gramStart"/>
      <w:r w:rsidRPr="00AB0D87">
        <w:rPr>
          <w:rFonts w:ascii="Arial" w:hAnsi="Arial" w:cs="Arial"/>
          <w:bCs/>
          <w:iCs/>
          <w:sz w:val="22"/>
          <w:shd w:val="clear" w:color="auto" w:fill="FFFFFF"/>
          <w:lang w:val="en-GB"/>
        </w:rPr>
        <w:t>7 :</w:t>
      </w:r>
      <w:proofErr w:type="gramEnd"/>
      <w:r w:rsidRPr="00AB0D87">
        <w:rPr>
          <w:rFonts w:ascii="Arial" w:hAnsi="Arial" w:cs="Arial"/>
          <w:bCs/>
          <w:iCs/>
          <w:sz w:val="22"/>
          <w:shd w:val="clear" w:color="auto" w:fill="FFFFFF"/>
          <w:lang w:val="en-GB"/>
        </w:rPr>
        <w:t xml:space="preserve"> Developmental stages of viviparous toad individuals; A: Juvenile, B: Subadult, and C: Adult.</w:t>
      </w:r>
    </w:p>
    <w:p w14:paraId="455D9CDB" w14:textId="77777777" w:rsidR="00D07A5A" w:rsidRPr="00AB0D87" w:rsidRDefault="00000000">
      <w:pPr>
        <w:pStyle w:val="Heading1"/>
        <w:rPr>
          <w:rFonts w:ascii="Arial" w:hAnsi="Arial" w:cs="Arial"/>
          <w:shd w:val="clear" w:color="auto" w:fill="FFFFFF"/>
          <w:lang w:val="en-GB"/>
        </w:rPr>
      </w:pPr>
      <w:r w:rsidRPr="00AB0D87">
        <w:rPr>
          <w:rFonts w:ascii="Arial" w:hAnsi="Arial" w:cs="Arial"/>
          <w:iCs/>
          <w:shd w:val="clear" w:color="auto" w:fill="FFFFFF"/>
          <w:lang w:val="en-GB"/>
        </w:rPr>
        <w:t>4.</w:t>
      </w:r>
      <w:r w:rsidRPr="00AB0D87">
        <w:rPr>
          <w:rFonts w:ascii="Arial" w:hAnsi="Arial" w:cs="Arial"/>
          <w:shd w:val="clear" w:color="auto" w:fill="FFFFFF"/>
          <w:lang w:val="en-GB"/>
        </w:rPr>
        <w:t>Discussion</w:t>
      </w:r>
    </w:p>
    <w:p w14:paraId="33574557" w14:textId="77777777" w:rsidR="00D07A5A" w:rsidRPr="00AB0D87" w:rsidRDefault="00000000">
      <w:pPr>
        <w:spacing w:after="15"/>
        <w:ind w:left="-5"/>
      </w:pPr>
      <w:r w:rsidRPr="00AB0D87">
        <w:rPr>
          <w:rFonts w:ascii="Arial" w:hAnsi="Arial" w:cs="Arial"/>
          <w:sz w:val="22"/>
          <w:lang w:val="en-GB"/>
        </w:rPr>
        <w:t xml:space="preserve">Overall, the results revealed a substantial decline in the population of </w:t>
      </w:r>
      <w:proofErr w:type="spellStart"/>
      <w:r w:rsidRPr="00AB0D87">
        <w:rPr>
          <w:rFonts w:ascii="Arial" w:hAnsi="Arial" w:cs="Arial"/>
          <w:i/>
          <w:iCs/>
          <w:sz w:val="22"/>
          <w:lang w:val="en-GB"/>
        </w:rPr>
        <w:t>Nimbaphrynoides</w:t>
      </w:r>
      <w:proofErr w:type="spellEnd"/>
      <w:r w:rsidRPr="00AB0D87">
        <w:rPr>
          <w:rFonts w:ascii="Arial" w:hAnsi="Arial" w:cs="Arial"/>
          <w:i/>
          <w:iCs/>
          <w:sz w:val="22"/>
          <w:lang w:val="en-GB"/>
        </w:rPr>
        <w:t xml:space="preserve"> occidentalis</w:t>
      </w:r>
      <w:r w:rsidRPr="00AB0D87">
        <w:rPr>
          <w:rFonts w:ascii="Arial" w:hAnsi="Arial" w:cs="Arial"/>
          <w:sz w:val="22"/>
          <w:lang w:val="en-GB"/>
        </w:rPr>
        <w:t xml:space="preserve"> following the fire event. This decline likely reflects the substantial negative effect of fire on the viviparous toad population. The persistence of the species may be attributed to its long-term adaptive strategy. Indeed, populations mainly occupy humid microhabitats associated with fissures in ferruginous rock formations and water seepage zones. During the dry season, individuals probably exploit underground </w:t>
      </w:r>
      <w:proofErr w:type="spellStart"/>
      <w:r w:rsidRPr="00AB0D87">
        <w:rPr>
          <w:rFonts w:ascii="Arial" w:hAnsi="Arial" w:cs="Arial"/>
          <w:sz w:val="22"/>
          <w:lang w:val="en-GB"/>
        </w:rPr>
        <w:t>microrefuges</w:t>
      </w:r>
      <w:proofErr w:type="spellEnd"/>
      <w:r w:rsidRPr="00AB0D87">
        <w:rPr>
          <w:rFonts w:ascii="Arial" w:hAnsi="Arial" w:cs="Arial"/>
          <w:sz w:val="22"/>
          <w:lang w:val="en-GB"/>
        </w:rPr>
        <w:t xml:space="preserve"> where humidity and temperature remain relatively stable, thereby reducing water loss and maintaining physiological activity (Hillers et al., 2008; dos Anjos et al., 2021).</w:t>
      </w:r>
    </w:p>
    <w:p w14:paraId="360BF4E5" w14:textId="77777777" w:rsidR="00D07A5A" w:rsidRPr="00AB0D87" w:rsidRDefault="00000000">
      <w:pPr>
        <w:spacing w:after="15"/>
        <w:ind w:left="-5"/>
      </w:pPr>
      <w:r w:rsidRPr="00AB0D87">
        <w:rPr>
          <w:rFonts w:ascii="Arial" w:hAnsi="Arial" w:cs="Arial"/>
          <w:sz w:val="22"/>
          <w:lang w:val="en-GB"/>
        </w:rPr>
        <w:t xml:space="preserve">However, the increased concentration of individuals in grassy habitats after the fire suggests that these environments may provide more </w:t>
      </w:r>
      <w:proofErr w:type="spellStart"/>
      <w:r w:rsidRPr="00AB0D87">
        <w:rPr>
          <w:rFonts w:ascii="Arial" w:hAnsi="Arial" w:cs="Arial"/>
          <w:sz w:val="22"/>
          <w:lang w:val="en-GB"/>
        </w:rPr>
        <w:t>favorable</w:t>
      </w:r>
      <w:proofErr w:type="spellEnd"/>
      <w:r w:rsidRPr="00AB0D87">
        <w:rPr>
          <w:rFonts w:ascii="Arial" w:hAnsi="Arial" w:cs="Arial"/>
          <w:sz w:val="22"/>
          <w:lang w:val="en-GB"/>
        </w:rPr>
        <w:t xml:space="preserve"> conditions for survival and population persistence, particularly in terms of vegetation cover, soil moisture, and refuge availability, compared with rocky habitats that are highly exposed to the direct effects of fire. These observations are in agreement with the findings of Hromada et al. (2018), who demonstrated that the reintroduction of fire into certain forest ecosystems can lead to significant changes in the composition and abundance of amphibian and reptile communities. The authors emphasised that fire alters vegetation structure and microclimatic conditions, thereby affecting the availability of refuges and breeding sites. Consequently, some disturbance-tolerant species may persist in or recolonize burned habitats, whereas others that are more dependent on humid conditions and dense vegetation cover undergo population decline.</w:t>
      </w:r>
    </w:p>
    <w:p w14:paraId="03BECA50" w14:textId="24F765B6" w:rsidR="00D07A5A" w:rsidRPr="00AB0D87" w:rsidRDefault="00000000">
      <w:pPr>
        <w:spacing w:after="15"/>
        <w:ind w:left="-5"/>
        <w:rPr>
          <w:rFonts w:ascii="Arial" w:hAnsi="Arial" w:cs="Arial"/>
          <w:sz w:val="22"/>
          <w:lang w:val="en-GB"/>
        </w:rPr>
      </w:pPr>
      <w:r w:rsidRPr="00AB0D87">
        <w:rPr>
          <w:rFonts w:ascii="Arial" w:hAnsi="Arial" w:cs="Arial"/>
          <w:sz w:val="22"/>
          <w:lang w:val="en-GB"/>
        </w:rPr>
        <w:t xml:space="preserve">Similar patterns have been documented in other amphibian species, for which open habitats or rapidly regenerating post-fire environments promote recolonization, whereas more mineralized or heavily degraded habitats remain </w:t>
      </w:r>
      <w:proofErr w:type="spellStart"/>
      <w:r w:rsidRPr="00AB0D87">
        <w:rPr>
          <w:rFonts w:ascii="Arial" w:hAnsi="Arial" w:cs="Arial"/>
          <w:sz w:val="22"/>
          <w:lang w:val="en-GB"/>
        </w:rPr>
        <w:t>unfavorable</w:t>
      </w:r>
      <w:proofErr w:type="spellEnd"/>
      <w:r w:rsidRPr="00AB0D87">
        <w:rPr>
          <w:rFonts w:ascii="Arial" w:hAnsi="Arial" w:cs="Arial"/>
          <w:sz w:val="22"/>
          <w:lang w:val="en-GB"/>
        </w:rPr>
        <w:t xml:space="preserve"> in the short term (Friend, 1993; Hossack </w:t>
      </w:r>
      <w:r w:rsidR="00917AFE" w:rsidRPr="00917AFE">
        <w:rPr>
          <w:rFonts w:ascii="Arial" w:hAnsi="Arial" w:cs="Arial"/>
          <w:sz w:val="22"/>
          <w:lang w:val="en-GB"/>
        </w:rPr>
        <w:t>&amp; Pilliod</w:t>
      </w:r>
      <w:r w:rsidRPr="00AB0D87">
        <w:rPr>
          <w:rFonts w:ascii="Arial" w:hAnsi="Arial" w:cs="Arial"/>
          <w:sz w:val="22"/>
          <w:lang w:val="en-GB"/>
        </w:rPr>
        <w:t>, 201</w:t>
      </w:r>
      <w:r w:rsidR="00917AFE">
        <w:rPr>
          <w:rFonts w:ascii="Arial" w:hAnsi="Arial" w:cs="Arial"/>
          <w:sz w:val="22"/>
          <w:lang w:val="en-GB"/>
        </w:rPr>
        <w:t>1</w:t>
      </w:r>
      <w:r w:rsidRPr="00AB0D87">
        <w:rPr>
          <w:rFonts w:ascii="Arial" w:hAnsi="Arial" w:cs="Arial"/>
          <w:sz w:val="22"/>
          <w:lang w:val="en-GB"/>
        </w:rPr>
        <w:t>; Lowe et al., 2013).</w:t>
      </w:r>
    </w:p>
    <w:p w14:paraId="49641FBA" w14:textId="77777777" w:rsidR="00D07A5A" w:rsidRPr="00AB0D87" w:rsidRDefault="00000000">
      <w:pPr>
        <w:spacing w:after="15"/>
        <w:ind w:left="-5"/>
      </w:pPr>
      <w:r w:rsidRPr="00AB0D87">
        <w:rPr>
          <w:rFonts w:ascii="Arial" w:hAnsi="Arial" w:cs="Arial"/>
          <w:sz w:val="22"/>
          <w:lang w:val="en-GB"/>
        </w:rPr>
        <w:t>Regarding changes in sexual structure, the pronounced dominance of individuals of undetermined sex after the fire, together with the decline in males and females, suggests an increased vulnerability of sexually mature adults. Adult individuals, particularly gravid females in viviparous species, exhibit higher energetic and ecological requirements, which may increase their sensitivity to environmental disturbances (Duellman &amp; Trueb, 1994). This species exhibits an exceptional reproductive strategy among amphibians, characterised by viviparity associated with intrauterine maternal nutrition (</w:t>
      </w:r>
      <w:proofErr w:type="spellStart"/>
      <w:r w:rsidRPr="00AB0D87">
        <w:rPr>
          <w:rFonts w:ascii="Arial" w:hAnsi="Arial" w:cs="Arial"/>
          <w:sz w:val="22"/>
          <w:lang w:val="en-GB"/>
        </w:rPr>
        <w:t>matrotrophy</w:t>
      </w:r>
      <w:proofErr w:type="spellEnd"/>
      <w:r w:rsidRPr="00AB0D87">
        <w:rPr>
          <w:rFonts w:ascii="Arial" w:hAnsi="Arial" w:cs="Arial"/>
          <w:sz w:val="22"/>
          <w:lang w:val="en-GB"/>
        </w:rPr>
        <w:t>) (Sandberger-Loua et al., 2017). Therefore, the reduction in adult abundance could compromise the future reproductive potential of the population.</w:t>
      </w:r>
    </w:p>
    <w:p w14:paraId="2121F30C" w14:textId="77777777" w:rsidR="00D07A5A" w:rsidRPr="00AB0D87" w:rsidRDefault="00000000">
      <w:pPr>
        <w:spacing w:after="15"/>
        <w:ind w:left="-5"/>
        <w:rPr>
          <w:rFonts w:ascii="Arial" w:hAnsi="Arial" w:cs="Arial"/>
          <w:sz w:val="22"/>
          <w:lang w:val="en-GB"/>
        </w:rPr>
      </w:pPr>
      <w:r w:rsidRPr="00AB0D87">
        <w:rPr>
          <w:rFonts w:ascii="Arial" w:hAnsi="Arial" w:cs="Arial"/>
          <w:sz w:val="22"/>
          <w:lang w:val="en-GB"/>
        </w:rPr>
        <w:lastRenderedPageBreak/>
        <w:t>Concerning developmental stages, Pilliod et al. (2003) reported abundance declines ranging from 30% to 80% after fire in several North American amphibian species, which is consistent with the 74% reduction observed in the present study.</w:t>
      </w:r>
    </w:p>
    <w:p w14:paraId="2E75C9FC" w14:textId="006F5E1C" w:rsidR="00D07A5A" w:rsidRPr="00AB0D87" w:rsidRDefault="00000000">
      <w:pPr>
        <w:spacing w:after="15"/>
        <w:ind w:left="-5"/>
        <w:rPr>
          <w:rFonts w:ascii="Arial" w:hAnsi="Arial" w:cs="Arial"/>
          <w:sz w:val="22"/>
          <w:lang w:val="en-GB"/>
        </w:rPr>
      </w:pPr>
      <w:r w:rsidRPr="00AB0D87">
        <w:rPr>
          <w:rFonts w:ascii="Arial" w:hAnsi="Arial" w:cs="Arial"/>
          <w:sz w:val="22"/>
          <w:lang w:val="en-GB"/>
        </w:rPr>
        <w:t xml:space="preserve">The relative persistence of adults and subadults in rocky habitats may be related to the use of refuges within deep rock fissures or protected microhabitats, enabling some individuals to survive fire events (Grafe et al., 2002; Pilliod et al., 2003; Muñoz et al., 2019). During the dry season, individuals retreat deep into rock fissures and cavities within the ferruginous substrate, where they aestivate in relatively humid microhabitats until the onset of the first rains (Lamotte, 1959; Lamotte &amp; Xavier, </w:t>
      </w:r>
      <w:r w:rsidR="00917AFE" w:rsidRPr="00917AFE">
        <w:rPr>
          <w:rFonts w:ascii="Arial" w:hAnsi="Arial" w:cs="Arial"/>
          <w:sz w:val="22"/>
          <w:lang w:val="en-GB"/>
        </w:rPr>
        <w:t>1972</w:t>
      </w:r>
      <w:r w:rsidRPr="00AB0D87">
        <w:rPr>
          <w:rFonts w:ascii="Arial" w:hAnsi="Arial" w:cs="Arial"/>
          <w:sz w:val="22"/>
          <w:lang w:val="en-GB"/>
        </w:rPr>
        <w:t>).</w:t>
      </w:r>
    </w:p>
    <w:p w14:paraId="77D28BFB" w14:textId="77777777" w:rsidR="00D07A5A" w:rsidRPr="00AB0D87" w:rsidRDefault="00000000">
      <w:pPr>
        <w:pStyle w:val="NormalWeb"/>
        <w:jc w:val="both"/>
        <w:rPr>
          <w:lang w:val="en-GB"/>
        </w:rPr>
      </w:pPr>
      <w:r w:rsidRPr="00AB0D87">
        <w:rPr>
          <w:rStyle w:val="Strong"/>
          <w:lang w:val="en-GB"/>
        </w:rPr>
        <w:t>Conclusion</w:t>
      </w:r>
    </w:p>
    <w:p w14:paraId="6351084E" w14:textId="77777777" w:rsidR="00D07A5A" w:rsidRPr="00AB0D87" w:rsidRDefault="00000000">
      <w:pPr>
        <w:pStyle w:val="NormalWeb"/>
        <w:jc w:val="both"/>
      </w:pPr>
      <w:r w:rsidRPr="00AB0D87">
        <w:rPr>
          <w:rFonts w:ascii="Arial" w:hAnsi="Arial" w:cs="Arial"/>
          <w:sz w:val="22"/>
          <w:szCs w:val="22"/>
          <w:lang w:val="en-GB"/>
        </w:rPr>
        <w:t xml:space="preserve">This study shows that the observed population of </w:t>
      </w:r>
      <w:proofErr w:type="spellStart"/>
      <w:r w:rsidRPr="00AB0D87">
        <w:rPr>
          <w:rStyle w:val="Emphasis"/>
          <w:rFonts w:ascii="Arial" w:hAnsi="Arial" w:cs="Arial"/>
          <w:sz w:val="22"/>
          <w:szCs w:val="22"/>
          <w:lang w:val="en-GB"/>
        </w:rPr>
        <w:t>Nimbaphrynoides</w:t>
      </w:r>
      <w:proofErr w:type="spellEnd"/>
      <w:r w:rsidRPr="00AB0D87">
        <w:rPr>
          <w:rStyle w:val="Emphasis"/>
          <w:rFonts w:ascii="Arial" w:hAnsi="Arial" w:cs="Arial"/>
          <w:sz w:val="22"/>
          <w:szCs w:val="22"/>
          <w:lang w:val="en-GB"/>
        </w:rPr>
        <w:t xml:space="preserve"> occidentalis</w:t>
      </w:r>
      <w:r w:rsidRPr="00AB0D87">
        <w:rPr>
          <w:rFonts w:ascii="Arial" w:hAnsi="Arial" w:cs="Arial"/>
          <w:sz w:val="22"/>
          <w:szCs w:val="22"/>
          <w:lang w:val="en-GB"/>
        </w:rPr>
        <w:t xml:space="preserve"> differed markedly before and after the fire event in the </w:t>
      </w:r>
      <w:proofErr w:type="spellStart"/>
      <w:r w:rsidRPr="00AB0D87">
        <w:rPr>
          <w:rFonts w:ascii="Arial" w:hAnsi="Arial" w:cs="Arial"/>
          <w:sz w:val="22"/>
          <w:szCs w:val="22"/>
          <w:lang w:val="en-GB"/>
        </w:rPr>
        <w:t>altimontane</w:t>
      </w:r>
      <w:proofErr w:type="spellEnd"/>
      <w:r w:rsidRPr="00AB0D87">
        <w:rPr>
          <w:rFonts w:ascii="Arial" w:hAnsi="Arial" w:cs="Arial"/>
          <w:sz w:val="22"/>
          <w:szCs w:val="22"/>
          <w:lang w:val="en-GB"/>
        </w:rPr>
        <w:t xml:space="preserve"> grasslands of the Mount Nimba Strict Nature Reserve. Total abundance declined from 9,600 individuals before the fire to 2,501 individuals after the fire, corresponding to an approximate reduction of 74%. The post-fire population was characterised by a greater concentration of individuals in grassy habitats and by a demographic structure dominated by juveniles. In contrast, adults and subadults were less abundant after the fire, suggesting a potential reduction in the reproductive component of the population. Rocky habitats supported fewer individuals after the disturbance, although they may still provide refuge for some adults and subadults. These findings suggest that fire may strongly influence the abundance, spatial distribution, and demographic balance of this restricted-range species. The results emphasise the importance of protecting grassy </w:t>
      </w:r>
      <w:proofErr w:type="spellStart"/>
      <w:r w:rsidRPr="00AB0D87">
        <w:rPr>
          <w:rFonts w:ascii="Arial" w:hAnsi="Arial" w:cs="Arial"/>
          <w:sz w:val="22"/>
          <w:szCs w:val="22"/>
          <w:lang w:val="en-GB"/>
        </w:rPr>
        <w:t>altimontane</w:t>
      </w:r>
      <w:proofErr w:type="spellEnd"/>
      <w:r w:rsidRPr="00AB0D87">
        <w:rPr>
          <w:rFonts w:ascii="Arial" w:hAnsi="Arial" w:cs="Arial"/>
          <w:sz w:val="22"/>
          <w:szCs w:val="22"/>
          <w:lang w:val="en-GB"/>
        </w:rPr>
        <w:t xml:space="preserve"> habitats, limiting uncontrolled fires, and maintaining long-term population monitoring. Such measures are essential for improving conservation planning and supporting the persistence of this unique viviparous amphibian within its limited natural range.</w:t>
      </w:r>
    </w:p>
    <w:p w14:paraId="36B8765F" w14:textId="77777777" w:rsidR="00D07A5A" w:rsidRPr="00AB0D87" w:rsidRDefault="00000000">
      <w:pPr>
        <w:pStyle w:val="NormalWeb"/>
        <w:jc w:val="both"/>
      </w:pPr>
      <w:r w:rsidRPr="00AB0D87">
        <w:rPr>
          <w:rStyle w:val="Strong"/>
        </w:rPr>
        <w:t>Limitations</w:t>
      </w:r>
    </w:p>
    <w:p w14:paraId="5DA1F2C7" w14:textId="77777777" w:rsidR="00D07A5A" w:rsidRPr="00AB0D87" w:rsidRDefault="00000000">
      <w:pPr>
        <w:pStyle w:val="NormalWeb"/>
        <w:jc w:val="both"/>
        <w:rPr>
          <w:lang w:val="en-GB"/>
        </w:rPr>
      </w:pPr>
      <w:r w:rsidRPr="00AB0D87">
        <w:rPr>
          <w:lang w:val="en-GB"/>
        </w:rPr>
        <w:t xml:space="preserve">This study provides useful information on changes in the demographic structure of </w:t>
      </w:r>
      <w:proofErr w:type="spellStart"/>
      <w:r w:rsidRPr="00AB0D87">
        <w:rPr>
          <w:rStyle w:val="Emphasis"/>
          <w:lang w:val="en-GB"/>
        </w:rPr>
        <w:t>Nimbaphrynoides</w:t>
      </w:r>
      <w:proofErr w:type="spellEnd"/>
      <w:r w:rsidRPr="00AB0D87">
        <w:rPr>
          <w:rStyle w:val="Emphasis"/>
          <w:lang w:val="en-GB"/>
        </w:rPr>
        <w:t xml:space="preserve"> occidentalis</w:t>
      </w:r>
      <w:r w:rsidRPr="00AB0D87">
        <w:rPr>
          <w:lang w:val="en-GB"/>
        </w:rPr>
        <w:t xml:space="preserve"> before and after a fire event, but several limitations should be considered. The surveys were conducted in different years, which may have introduced variation related to seasonal conditions, rainfall, detectability, or annual population fluctuations. Therefore, the observed decline should be interpreted cautiously and not attributed exclusively to fire without considering other environmental factors. The study was also restricted to two habitat types within a limited distribution area, which may reduce the generalisability of the findings across the entire range of the species. In addition, sex determination was not possible for many individuals, especially juveniles, which limits interpretation of changes in sexual structure. Long-term monitoring using repeated surveys across multiple seasons and years would strengthen future assessments of fire effects, population recovery, and habitat-specific survival patterns in this critically endangered species.</w:t>
      </w:r>
    </w:p>
    <w:p w14:paraId="28EB9516" w14:textId="77777777" w:rsidR="00D07A5A" w:rsidRPr="00AB0D87" w:rsidRDefault="00000000">
      <w:pPr>
        <w:spacing w:after="160"/>
        <w:jc w:val="left"/>
        <w:rPr>
          <w:rFonts w:ascii="Calibri" w:hAnsi="Calibri" w:cs="Calibri"/>
          <w:b/>
          <w:bCs/>
          <w:kern w:val="2"/>
          <w:szCs w:val="24"/>
          <w:lang w:val="en-US"/>
        </w:rPr>
      </w:pPr>
      <w:r w:rsidRPr="00AB0D87">
        <w:rPr>
          <w:rFonts w:ascii="Calibri" w:hAnsi="Calibri" w:cs="Calibri"/>
          <w:b/>
          <w:bCs/>
          <w:kern w:val="2"/>
          <w:szCs w:val="24"/>
          <w:lang w:val="en-US"/>
        </w:rPr>
        <w:t>Declaration of AI Use</w:t>
      </w:r>
    </w:p>
    <w:p w14:paraId="70C329D5" w14:textId="77777777" w:rsidR="00D07A5A" w:rsidRPr="00AB0D87" w:rsidRDefault="00000000">
      <w:pPr>
        <w:spacing w:after="160"/>
        <w:rPr>
          <w:rFonts w:ascii="Calibri" w:hAnsi="Calibri" w:cs="Calibri"/>
          <w:kern w:val="2"/>
          <w:szCs w:val="24"/>
          <w:lang w:val="en-US"/>
        </w:rPr>
      </w:pPr>
      <w:r w:rsidRPr="00AB0D87">
        <w:rPr>
          <w:rFonts w:ascii="Calibri" w:hAnsi="Calibri" w:cs="Calibri"/>
          <w:kern w:val="2"/>
          <w:szCs w:val="24"/>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w:t>
      </w:r>
      <w:r w:rsidRPr="00AB0D87">
        <w:rPr>
          <w:rFonts w:ascii="Calibri" w:hAnsi="Calibri" w:cs="Calibri"/>
          <w:kern w:val="2"/>
          <w:szCs w:val="24"/>
          <w:lang w:val="en-US"/>
        </w:rPr>
        <w:lastRenderedPageBreak/>
        <w:t>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28BD1A" w14:textId="77777777" w:rsidR="00D07A5A" w:rsidRPr="00AB0D87" w:rsidRDefault="00D07A5A">
      <w:pPr>
        <w:rPr>
          <w:rFonts w:ascii="Calibri" w:hAnsi="Calibri" w:cs="Calibri"/>
          <w:kern w:val="2"/>
          <w:szCs w:val="24"/>
          <w:lang w:val="en-US"/>
        </w:rPr>
      </w:pPr>
    </w:p>
    <w:p w14:paraId="57EB5780" w14:textId="77777777" w:rsidR="00D07A5A" w:rsidRPr="00AB0D87" w:rsidRDefault="00000000">
      <w:pPr>
        <w:pStyle w:val="Heading1"/>
        <w:spacing w:line="480" w:lineRule="auto"/>
        <w:rPr>
          <w:rFonts w:ascii="Arial" w:hAnsi="Arial" w:cs="Arial"/>
          <w:sz w:val="22"/>
          <w:szCs w:val="22"/>
        </w:rPr>
      </w:pPr>
      <w:proofErr w:type="spellStart"/>
      <w:r w:rsidRPr="00AB0D87">
        <w:rPr>
          <w:rFonts w:ascii="Arial" w:hAnsi="Arial" w:cs="Arial"/>
          <w:sz w:val="22"/>
          <w:szCs w:val="22"/>
        </w:rPr>
        <w:t>References</w:t>
      </w:r>
      <w:proofErr w:type="spellEnd"/>
    </w:p>
    <w:p w14:paraId="5DF40ADD" w14:textId="77777777" w:rsidR="00917AFE" w:rsidRDefault="00917AFE" w:rsidP="00917AFE">
      <w:pPr>
        <w:pStyle w:val="NormalWeb"/>
        <w:jc w:val="both"/>
        <w:rPr>
          <w:lang w:val="en-US" w:eastAsia="en-US"/>
        </w:rPr>
      </w:pPr>
      <w:r>
        <w:t xml:space="preserve">Angel, F. (1943). Description d’un nouvel amphibien anoure, </w:t>
      </w:r>
      <w:proofErr w:type="spellStart"/>
      <w:r>
        <w:t>ovo-vivipare</w:t>
      </w:r>
      <w:proofErr w:type="spellEnd"/>
      <w:r>
        <w:t xml:space="preserve">, de la Haute-Guinée </w:t>
      </w:r>
      <w:proofErr w:type="gramStart"/>
      <w:r>
        <w:t>française:</w:t>
      </w:r>
      <w:proofErr w:type="gramEnd"/>
      <w:r>
        <w:t xml:space="preserve"> Matériaux de la Mission Lamotte, au Mont-Nimba, 2e note. </w:t>
      </w:r>
      <w:r>
        <w:rPr>
          <w:rStyle w:val="Emphasis"/>
        </w:rPr>
        <w:t>Bulletin du Muséum National d’Histoire Naturelle, 15</w:t>
      </w:r>
      <w:r>
        <w:t>, 167–169. https://www.biodiversitylibrary.org/part/220938</w:t>
      </w:r>
    </w:p>
    <w:p w14:paraId="76519ED7" w14:textId="4B7A123E" w:rsidR="00917AFE" w:rsidRDefault="00917AFE" w:rsidP="00917AFE">
      <w:pPr>
        <w:pStyle w:val="NormalWeb"/>
        <w:jc w:val="both"/>
      </w:pPr>
      <w:r>
        <w:t xml:space="preserve">Angel, F., &amp; Lamotte, M. (1944). Un crapaud vivipare d’Afrique occidentale, </w:t>
      </w:r>
      <w:proofErr w:type="spellStart"/>
      <w:r>
        <w:rPr>
          <w:rStyle w:val="Emphasis"/>
        </w:rPr>
        <w:t>Nectophrynoides</w:t>
      </w:r>
      <w:proofErr w:type="spellEnd"/>
      <w:r>
        <w:rPr>
          <w:rStyle w:val="Emphasis"/>
        </w:rPr>
        <w:t xml:space="preserve"> occidentalis</w:t>
      </w:r>
      <w:r>
        <w:t xml:space="preserve"> Angel. </w:t>
      </w:r>
      <w:r>
        <w:rPr>
          <w:rStyle w:val="Emphasis"/>
        </w:rPr>
        <w:t>Annales des Sciences Naturelles, Zoologie, 6</w:t>
      </w:r>
      <w:r>
        <w:t xml:space="preserve">, 63–89. </w:t>
      </w:r>
    </w:p>
    <w:p w14:paraId="3447A726" w14:textId="251AA599" w:rsidR="00917AFE" w:rsidRDefault="00917AFE" w:rsidP="00917AFE">
      <w:pPr>
        <w:pStyle w:val="NormalWeb"/>
        <w:jc w:val="both"/>
      </w:pPr>
      <w:r>
        <w:t xml:space="preserve">Angel, F., &amp; Lamotte, M. (1948). Nouvelles observations sur </w:t>
      </w:r>
      <w:proofErr w:type="spellStart"/>
      <w:r>
        <w:rPr>
          <w:rStyle w:val="Emphasis"/>
        </w:rPr>
        <w:t>Nectophrynoides</w:t>
      </w:r>
      <w:proofErr w:type="spellEnd"/>
      <w:r>
        <w:rPr>
          <w:rStyle w:val="Emphasis"/>
        </w:rPr>
        <w:t xml:space="preserve"> occidentalis</w:t>
      </w:r>
      <w:r>
        <w:t xml:space="preserve"> </w:t>
      </w:r>
      <w:proofErr w:type="gramStart"/>
      <w:r>
        <w:t>Angel:</w:t>
      </w:r>
      <w:proofErr w:type="gramEnd"/>
      <w:r>
        <w:t xml:space="preserve"> Remarques sur le genre </w:t>
      </w:r>
      <w:proofErr w:type="spellStart"/>
      <w:r>
        <w:rPr>
          <w:rStyle w:val="Emphasis"/>
        </w:rPr>
        <w:t>Nectophrynoides</w:t>
      </w:r>
      <w:proofErr w:type="spellEnd"/>
      <w:r>
        <w:t xml:space="preserve">. </w:t>
      </w:r>
      <w:r>
        <w:rPr>
          <w:rStyle w:val="Emphasis"/>
        </w:rPr>
        <w:t>Annales des Sciences Naturelles, Zoologie, 11</w:t>
      </w:r>
      <w:r>
        <w:t xml:space="preserve">, 115–147. </w:t>
      </w:r>
    </w:p>
    <w:p w14:paraId="3BE43F30" w14:textId="0A4FB20E" w:rsidR="00917AFE" w:rsidRDefault="00917AFE" w:rsidP="00917AFE">
      <w:pPr>
        <w:pStyle w:val="NormalWeb"/>
        <w:jc w:val="both"/>
      </w:pPr>
      <w:r>
        <w:t xml:space="preserve">Bakarr, M., Bailey, B., Byler, D., Ham, R., Olivieri, S., &amp; Omland, M. (2001). </w:t>
      </w:r>
      <w:r>
        <w:rPr>
          <w:rStyle w:val="Emphasis"/>
        </w:rPr>
        <w:t xml:space="preserve">From the </w:t>
      </w:r>
      <w:proofErr w:type="spellStart"/>
      <w:r>
        <w:rPr>
          <w:rStyle w:val="Emphasis"/>
        </w:rPr>
        <w:t>forest</w:t>
      </w:r>
      <w:proofErr w:type="spellEnd"/>
      <w:r>
        <w:rPr>
          <w:rStyle w:val="Emphasis"/>
        </w:rPr>
        <w:t xml:space="preserve"> to the </w:t>
      </w:r>
      <w:proofErr w:type="spellStart"/>
      <w:proofErr w:type="gramStart"/>
      <w:r>
        <w:rPr>
          <w:rStyle w:val="Emphasis"/>
        </w:rPr>
        <w:t>seas</w:t>
      </w:r>
      <w:proofErr w:type="spellEnd"/>
      <w:r>
        <w:rPr>
          <w:rStyle w:val="Emphasis"/>
        </w:rPr>
        <w:t>:</w:t>
      </w:r>
      <w:proofErr w:type="gramEnd"/>
      <w:r>
        <w:rPr>
          <w:rStyle w:val="Emphasis"/>
        </w:rPr>
        <w:t xml:space="preserve"> </w:t>
      </w:r>
      <w:proofErr w:type="spellStart"/>
      <w:r>
        <w:rPr>
          <w:rStyle w:val="Emphasis"/>
        </w:rPr>
        <w:t>Biodiversity</w:t>
      </w:r>
      <w:proofErr w:type="spellEnd"/>
      <w:r>
        <w:rPr>
          <w:rStyle w:val="Emphasis"/>
        </w:rPr>
        <w:t xml:space="preserve"> connections </w:t>
      </w:r>
      <w:proofErr w:type="spellStart"/>
      <w:r>
        <w:rPr>
          <w:rStyle w:val="Emphasis"/>
        </w:rPr>
        <w:t>from</w:t>
      </w:r>
      <w:proofErr w:type="spellEnd"/>
      <w:r>
        <w:rPr>
          <w:rStyle w:val="Emphasis"/>
        </w:rPr>
        <w:t xml:space="preserve"> Guinea to Togo</w:t>
      </w:r>
      <w:r>
        <w:t xml:space="preserve">. Conservation International. </w:t>
      </w:r>
    </w:p>
    <w:p w14:paraId="3E58DADF" w14:textId="77777777" w:rsidR="00917AFE" w:rsidRDefault="00917AFE" w:rsidP="00917AFE">
      <w:pPr>
        <w:pStyle w:val="NormalWeb"/>
        <w:jc w:val="both"/>
      </w:pPr>
      <w:proofErr w:type="gramStart"/>
      <w:r>
        <w:t>dos</w:t>
      </w:r>
      <w:proofErr w:type="gramEnd"/>
      <w:r>
        <w:t xml:space="preserve"> Anjos, A. G., Solé, M., &amp; Benchimol, M. (2021). Fire </w:t>
      </w:r>
      <w:proofErr w:type="spellStart"/>
      <w:r>
        <w:t>effects</w:t>
      </w:r>
      <w:proofErr w:type="spellEnd"/>
      <w:r>
        <w:t xml:space="preserve"> on </w:t>
      </w:r>
      <w:proofErr w:type="spellStart"/>
      <w:proofErr w:type="gramStart"/>
      <w:r>
        <w:t>anurans</w:t>
      </w:r>
      <w:proofErr w:type="spellEnd"/>
      <w:r>
        <w:t>:</w:t>
      </w:r>
      <w:proofErr w:type="gramEnd"/>
      <w:r>
        <w:t xml:space="preserve"> </w:t>
      </w:r>
      <w:proofErr w:type="spellStart"/>
      <w:r>
        <w:t>What</w:t>
      </w:r>
      <w:proofErr w:type="spellEnd"/>
      <w:r>
        <w:t xml:space="preserve"> </w:t>
      </w:r>
      <w:proofErr w:type="spellStart"/>
      <w:r>
        <w:t>we</w:t>
      </w:r>
      <w:proofErr w:type="spellEnd"/>
      <w:r>
        <w:t xml:space="preserve"> know </w:t>
      </w:r>
      <w:proofErr w:type="spellStart"/>
      <w:r>
        <w:t>so</w:t>
      </w:r>
      <w:proofErr w:type="spellEnd"/>
      <w:r>
        <w:t xml:space="preserve"> </w:t>
      </w:r>
      <w:proofErr w:type="gramStart"/>
      <w:r>
        <w:t>far?</w:t>
      </w:r>
      <w:proofErr w:type="gramEnd"/>
      <w:r>
        <w:t xml:space="preserve"> </w:t>
      </w:r>
      <w:r>
        <w:rPr>
          <w:rStyle w:val="Emphasis"/>
        </w:rPr>
        <w:t xml:space="preserve">Forest </w:t>
      </w:r>
      <w:proofErr w:type="spellStart"/>
      <w:r>
        <w:rPr>
          <w:rStyle w:val="Emphasis"/>
        </w:rPr>
        <w:t>Ecology</w:t>
      </w:r>
      <w:proofErr w:type="spellEnd"/>
      <w:r>
        <w:rPr>
          <w:rStyle w:val="Emphasis"/>
        </w:rPr>
        <w:t xml:space="preserve"> and Management, 495</w:t>
      </w:r>
      <w:r>
        <w:t xml:space="preserve">, Article 119338. </w:t>
      </w:r>
      <w:hyperlink r:id="rId17" w:tgtFrame="_new" w:history="1">
        <w:r>
          <w:rPr>
            <w:rStyle w:val="Hyperlink"/>
          </w:rPr>
          <w:t>https://doi.org/10.1016/j.foreco.2021.119338</w:t>
        </w:r>
      </w:hyperlink>
    </w:p>
    <w:p w14:paraId="71D16CF5" w14:textId="2E6E83E6" w:rsidR="00917AFE" w:rsidRDefault="00917AFE" w:rsidP="00917AFE">
      <w:pPr>
        <w:pStyle w:val="NormalWeb"/>
        <w:jc w:val="both"/>
      </w:pPr>
      <w:r>
        <w:t xml:space="preserve">Duellman, W. E., &amp; Trueb, L. (1994). </w:t>
      </w:r>
      <w:proofErr w:type="spellStart"/>
      <w:r>
        <w:rPr>
          <w:rStyle w:val="Emphasis"/>
        </w:rPr>
        <w:t>Biology</w:t>
      </w:r>
      <w:proofErr w:type="spellEnd"/>
      <w:r>
        <w:rPr>
          <w:rStyle w:val="Emphasis"/>
        </w:rPr>
        <w:t xml:space="preserve"> of </w:t>
      </w:r>
      <w:proofErr w:type="spellStart"/>
      <w:r>
        <w:rPr>
          <w:rStyle w:val="Emphasis"/>
        </w:rPr>
        <w:t>amphibians</w:t>
      </w:r>
      <w:proofErr w:type="spellEnd"/>
      <w:r>
        <w:t xml:space="preserve">. Johns Hopkins </w:t>
      </w:r>
      <w:proofErr w:type="spellStart"/>
      <w:r>
        <w:t>University</w:t>
      </w:r>
      <w:proofErr w:type="spellEnd"/>
      <w:r>
        <w:t xml:space="preserve"> Press. </w:t>
      </w:r>
    </w:p>
    <w:p w14:paraId="0A4DEBF1" w14:textId="77777777" w:rsidR="00917AFE" w:rsidRDefault="00917AFE" w:rsidP="00917AFE">
      <w:pPr>
        <w:pStyle w:val="NormalWeb"/>
        <w:jc w:val="both"/>
      </w:pPr>
      <w:r>
        <w:t>Engstrom, R. T. (2010). First-</w:t>
      </w:r>
      <w:proofErr w:type="spellStart"/>
      <w:r>
        <w:t>order</w:t>
      </w:r>
      <w:proofErr w:type="spellEnd"/>
      <w:r>
        <w:t xml:space="preserve"> </w:t>
      </w:r>
      <w:proofErr w:type="spellStart"/>
      <w:r>
        <w:t>fire</w:t>
      </w:r>
      <w:proofErr w:type="spellEnd"/>
      <w:r>
        <w:t xml:space="preserve"> </w:t>
      </w:r>
      <w:proofErr w:type="spellStart"/>
      <w:r>
        <w:t>effects</w:t>
      </w:r>
      <w:proofErr w:type="spellEnd"/>
      <w:r>
        <w:t xml:space="preserve"> </w:t>
      </w:r>
      <w:proofErr w:type="spellStart"/>
      <w:r>
        <w:t>on</w:t>
      </w:r>
      <w:proofErr w:type="spellEnd"/>
      <w:r>
        <w:t xml:space="preserve"> </w:t>
      </w:r>
      <w:proofErr w:type="spellStart"/>
      <w:proofErr w:type="gramStart"/>
      <w:r>
        <w:t>animals</w:t>
      </w:r>
      <w:proofErr w:type="spellEnd"/>
      <w:r>
        <w:t>:</w:t>
      </w:r>
      <w:proofErr w:type="gramEnd"/>
      <w:r>
        <w:t xml:space="preserve"> </w:t>
      </w:r>
      <w:proofErr w:type="spellStart"/>
      <w:r>
        <w:t>Review</w:t>
      </w:r>
      <w:proofErr w:type="spellEnd"/>
      <w:r>
        <w:t xml:space="preserve"> and </w:t>
      </w:r>
      <w:proofErr w:type="spellStart"/>
      <w:r>
        <w:t>recommendations</w:t>
      </w:r>
      <w:proofErr w:type="spellEnd"/>
      <w:r>
        <w:t xml:space="preserve">. </w:t>
      </w:r>
      <w:r>
        <w:rPr>
          <w:rStyle w:val="Emphasis"/>
        </w:rPr>
        <w:t xml:space="preserve">Fire </w:t>
      </w:r>
      <w:proofErr w:type="spellStart"/>
      <w:r>
        <w:rPr>
          <w:rStyle w:val="Emphasis"/>
        </w:rPr>
        <w:t>Ecology</w:t>
      </w:r>
      <w:proofErr w:type="spellEnd"/>
      <w:r>
        <w:rPr>
          <w:rStyle w:val="Emphasis"/>
        </w:rPr>
        <w:t>, 6</w:t>
      </w:r>
      <w:r>
        <w:t xml:space="preserve">(1), 115–130. </w:t>
      </w:r>
      <w:hyperlink r:id="rId18" w:tgtFrame="_new" w:history="1">
        <w:r>
          <w:rPr>
            <w:rStyle w:val="Hyperlink"/>
          </w:rPr>
          <w:t>https://doi.org/10.4996/fireecology.0601115</w:t>
        </w:r>
      </w:hyperlink>
    </w:p>
    <w:p w14:paraId="6A61369E" w14:textId="77777777" w:rsidR="00917AFE" w:rsidRDefault="00917AFE" w:rsidP="00917AFE">
      <w:pPr>
        <w:pStyle w:val="NormalWeb"/>
        <w:jc w:val="both"/>
      </w:pPr>
      <w:r>
        <w:t xml:space="preserve">Friend, G. R. (1993). Impact of </w:t>
      </w:r>
      <w:proofErr w:type="spellStart"/>
      <w:r>
        <w:t>fire</w:t>
      </w:r>
      <w:proofErr w:type="spellEnd"/>
      <w:r>
        <w:t xml:space="preserve"> on </w:t>
      </w:r>
      <w:proofErr w:type="spellStart"/>
      <w:r>
        <w:t>small</w:t>
      </w:r>
      <w:proofErr w:type="spellEnd"/>
      <w:r>
        <w:t xml:space="preserve"> </w:t>
      </w:r>
      <w:proofErr w:type="spellStart"/>
      <w:r>
        <w:t>vertebrates</w:t>
      </w:r>
      <w:proofErr w:type="spellEnd"/>
      <w:r>
        <w:t xml:space="preserve"> in </w:t>
      </w:r>
      <w:proofErr w:type="spellStart"/>
      <w:r>
        <w:t>mallee</w:t>
      </w:r>
      <w:proofErr w:type="spellEnd"/>
      <w:r>
        <w:t xml:space="preserve"> </w:t>
      </w:r>
      <w:proofErr w:type="spellStart"/>
      <w:r>
        <w:t>woodlands</w:t>
      </w:r>
      <w:proofErr w:type="spellEnd"/>
      <w:r>
        <w:t xml:space="preserve"> and </w:t>
      </w:r>
      <w:proofErr w:type="spellStart"/>
      <w:r>
        <w:t>heathlands</w:t>
      </w:r>
      <w:proofErr w:type="spellEnd"/>
      <w:r>
        <w:t xml:space="preserve"> of </w:t>
      </w:r>
      <w:proofErr w:type="spellStart"/>
      <w:r>
        <w:t>temperate</w:t>
      </w:r>
      <w:proofErr w:type="spellEnd"/>
      <w:r>
        <w:t xml:space="preserve"> </w:t>
      </w:r>
      <w:proofErr w:type="spellStart"/>
      <w:proofErr w:type="gramStart"/>
      <w:r>
        <w:t>Australia</w:t>
      </w:r>
      <w:proofErr w:type="spellEnd"/>
      <w:r>
        <w:t>:</w:t>
      </w:r>
      <w:proofErr w:type="gramEnd"/>
      <w:r>
        <w:t xml:space="preserve"> A </w:t>
      </w:r>
      <w:proofErr w:type="spellStart"/>
      <w:r>
        <w:t>review</w:t>
      </w:r>
      <w:proofErr w:type="spellEnd"/>
      <w:r>
        <w:t xml:space="preserve">. </w:t>
      </w:r>
      <w:proofErr w:type="spellStart"/>
      <w:r>
        <w:rPr>
          <w:rStyle w:val="Emphasis"/>
        </w:rPr>
        <w:t>Biological</w:t>
      </w:r>
      <w:proofErr w:type="spellEnd"/>
      <w:r>
        <w:rPr>
          <w:rStyle w:val="Emphasis"/>
        </w:rPr>
        <w:t xml:space="preserve"> Conservation, 65</w:t>
      </w:r>
      <w:r>
        <w:t xml:space="preserve">(2), 99–114. </w:t>
      </w:r>
      <w:hyperlink r:id="rId19" w:tgtFrame="_new" w:history="1">
        <w:r>
          <w:rPr>
            <w:rStyle w:val="Hyperlink"/>
          </w:rPr>
          <w:t>https://doi.org/10.1016/0006-3207(93)90439-8</w:t>
        </w:r>
      </w:hyperlink>
    </w:p>
    <w:p w14:paraId="2E7942D6" w14:textId="77777777" w:rsidR="00917AFE" w:rsidRDefault="00917AFE" w:rsidP="00917AFE">
      <w:pPr>
        <w:pStyle w:val="NormalWeb"/>
        <w:jc w:val="both"/>
      </w:pPr>
      <w:r>
        <w:t xml:space="preserve">Grafe, T. U., </w:t>
      </w:r>
      <w:proofErr w:type="spellStart"/>
      <w:r>
        <w:t>Döbler</w:t>
      </w:r>
      <w:proofErr w:type="spellEnd"/>
      <w:r>
        <w:t xml:space="preserve">, S., &amp; </w:t>
      </w:r>
      <w:proofErr w:type="spellStart"/>
      <w:r>
        <w:t>Linsenmair</w:t>
      </w:r>
      <w:proofErr w:type="spellEnd"/>
      <w:r>
        <w:t xml:space="preserve">, K. E. (2002). </w:t>
      </w:r>
      <w:proofErr w:type="spellStart"/>
      <w:r>
        <w:t>Frogs</w:t>
      </w:r>
      <w:proofErr w:type="spellEnd"/>
      <w:r>
        <w:t xml:space="preserve"> </w:t>
      </w:r>
      <w:proofErr w:type="spellStart"/>
      <w:r>
        <w:t>flee</w:t>
      </w:r>
      <w:proofErr w:type="spellEnd"/>
      <w:r>
        <w:t xml:space="preserve"> </w:t>
      </w:r>
      <w:proofErr w:type="spellStart"/>
      <w:r>
        <w:t>from</w:t>
      </w:r>
      <w:proofErr w:type="spellEnd"/>
      <w:r>
        <w:t xml:space="preserve"> the </w:t>
      </w:r>
      <w:proofErr w:type="spellStart"/>
      <w:r>
        <w:t>sound</w:t>
      </w:r>
      <w:proofErr w:type="spellEnd"/>
      <w:r>
        <w:t xml:space="preserve"> of </w:t>
      </w:r>
      <w:proofErr w:type="spellStart"/>
      <w:r>
        <w:t>fire</w:t>
      </w:r>
      <w:proofErr w:type="spellEnd"/>
      <w:r>
        <w:t xml:space="preserve">. </w:t>
      </w:r>
      <w:proofErr w:type="spellStart"/>
      <w:r>
        <w:rPr>
          <w:rStyle w:val="Emphasis"/>
        </w:rPr>
        <w:t>Proceedings</w:t>
      </w:r>
      <w:proofErr w:type="spellEnd"/>
      <w:r>
        <w:rPr>
          <w:rStyle w:val="Emphasis"/>
        </w:rPr>
        <w:t xml:space="preserve"> of the Royal Society </w:t>
      </w:r>
      <w:proofErr w:type="gramStart"/>
      <w:r>
        <w:rPr>
          <w:rStyle w:val="Emphasis"/>
        </w:rPr>
        <w:t>B:</w:t>
      </w:r>
      <w:proofErr w:type="gramEnd"/>
      <w:r>
        <w:rPr>
          <w:rStyle w:val="Emphasis"/>
        </w:rPr>
        <w:t xml:space="preserve"> </w:t>
      </w:r>
      <w:proofErr w:type="spellStart"/>
      <w:r>
        <w:rPr>
          <w:rStyle w:val="Emphasis"/>
        </w:rPr>
        <w:t>Biological</w:t>
      </w:r>
      <w:proofErr w:type="spellEnd"/>
      <w:r>
        <w:rPr>
          <w:rStyle w:val="Emphasis"/>
        </w:rPr>
        <w:t xml:space="preserve"> Sciences, 269</w:t>
      </w:r>
      <w:r>
        <w:t xml:space="preserve">(1495), 999–1003. </w:t>
      </w:r>
      <w:hyperlink r:id="rId20" w:tgtFrame="_new" w:history="1">
        <w:r>
          <w:rPr>
            <w:rStyle w:val="Hyperlink"/>
          </w:rPr>
          <w:t>https://doi.org/10.1098/rspb.2002.1974</w:t>
        </w:r>
      </w:hyperlink>
    </w:p>
    <w:p w14:paraId="7D05D3BF" w14:textId="77777777" w:rsidR="00917AFE" w:rsidRDefault="00917AFE" w:rsidP="00917AFE">
      <w:pPr>
        <w:pStyle w:val="NormalWeb"/>
        <w:jc w:val="both"/>
      </w:pPr>
      <w:r>
        <w:t xml:space="preserve">Hillers, A., Loua, N.-S., &amp; </w:t>
      </w:r>
      <w:proofErr w:type="spellStart"/>
      <w:r>
        <w:t>Rödel</w:t>
      </w:r>
      <w:proofErr w:type="spellEnd"/>
      <w:r>
        <w:t xml:space="preserve">, M.-O. (2008). </w:t>
      </w:r>
      <w:proofErr w:type="spellStart"/>
      <w:r>
        <w:t>Assessment</w:t>
      </w:r>
      <w:proofErr w:type="spellEnd"/>
      <w:r>
        <w:t xml:space="preserve"> of the distribution and conservation </w:t>
      </w:r>
      <w:proofErr w:type="spellStart"/>
      <w:r>
        <w:t>status</w:t>
      </w:r>
      <w:proofErr w:type="spellEnd"/>
      <w:r>
        <w:t xml:space="preserve"> of the </w:t>
      </w:r>
      <w:proofErr w:type="spellStart"/>
      <w:r>
        <w:t>viviparous</w:t>
      </w:r>
      <w:proofErr w:type="spellEnd"/>
      <w:r>
        <w:t xml:space="preserve"> </w:t>
      </w:r>
      <w:proofErr w:type="spellStart"/>
      <w:r>
        <w:t>toad</w:t>
      </w:r>
      <w:proofErr w:type="spellEnd"/>
      <w:r>
        <w:t xml:space="preserve"> </w:t>
      </w:r>
      <w:proofErr w:type="spellStart"/>
      <w:r>
        <w:rPr>
          <w:rStyle w:val="Emphasis"/>
        </w:rPr>
        <w:t>Nimbaphrynoides</w:t>
      </w:r>
      <w:proofErr w:type="spellEnd"/>
      <w:r>
        <w:rPr>
          <w:rStyle w:val="Emphasis"/>
        </w:rPr>
        <w:t xml:space="preserve"> occidentalis</w:t>
      </w:r>
      <w:r>
        <w:t xml:space="preserve"> on Monts Nimba, Guinea. </w:t>
      </w:r>
      <w:proofErr w:type="spellStart"/>
      <w:r>
        <w:rPr>
          <w:rStyle w:val="Emphasis"/>
        </w:rPr>
        <w:t>Endangered</w:t>
      </w:r>
      <w:proofErr w:type="spellEnd"/>
      <w:r>
        <w:rPr>
          <w:rStyle w:val="Emphasis"/>
        </w:rPr>
        <w:t xml:space="preserve"> </w:t>
      </w:r>
      <w:proofErr w:type="spellStart"/>
      <w:r>
        <w:rPr>
          <w:rStyle w:val="Emphasis"/>
        </w:rPr>
        <w:t>Species</w:t>
      </w:r>
      <w:proofErr w:type="spellEnd"/>
      <w:r>
        <w:rPr>
          <w:rStyle w:val="Emphasis"/>
        </w:rPr>
        <w:t xml:space="preserve"> </w:t>
      </w:r>
      <w:proofErr w:type="spellStart"/>
      <w:r>
        <w:rPr>
          <w:rStyle w:val="Emphasis"/>
        </w:rPr>
        <w:t>Research</w:t>
      </w:r>
      <w:proofErr w:type="spellEnd"/>
      <w:r>
        <w:rPr>
          <w:rStyle w:val="Emphasis"/>
        </w:rPr>
        <w:t>, 5</w:t>
      </w:r>
      <w:r>
        <w:t xml:space="preserve">, 13–19. </w:t>
      </w:r>
      <w:hyperlink r:id="rId21" w:tgtFrame="_new" w:history="1">
        <w:r>
          <w:rPr>
            <w:rStyle w:val="Hyperlink"/>
          </w:rPr>
          <w:t>https://doi.org/10.3354/esr00099</w:t>
        </w:r>
      </w:hyperlink>
    </w:p>
    <w:p w14:paraId="63993594" w14:textId="16EBD167" w:rsidR="00917AFE" w:rsidRPr="00917AFE" w:rsidRDefault="00917AFE" w:rsidP="00917AFE">
      <w:pPr>
        <w:pStyle w:val="NormalWeb"/>
        <w:jc w:val="both"/>
        <w:rPr>
          <w:b/>
          <w:bCs/>
        </w:rPr>
      </w:pPr>
      <w:r w:rsidRPr="00917AFE">
        <w:rPr>
          <w:rStyle w:val="Strong"/>
          <w:b w:val="0"/>
          <w:bCs w:val="0"/>
        </w:rPr>
        <w:lastRenderedPageBreak/>
        <w:t xml:space="preserve">Hossack, B. R., &amp; Pilliod, D. S. (2011). </w:t>
      </w:r>
      <w:proofErr w:type="spellStart"/>
      <w:r w:rsidRPr="00917AFE">
        <w:rPr>
          <w:rStyle w:val="Strong"/>
          <w:b w:val="0"/>
          <w:bCs w:val="0"/>
        </w:rPr>
        <w:t>Amphibian</w:t>
      </w:r>
      <w:proofErr w:type="spellEnd"/>
      <w:r w:rsidRPr="00917AFE">
        <w:rPr>
          <w:rStyle w:val="Strong"/>
          <w:b w:val="0"/>
          <w:bCs w:val="0"/>
        </w:rPr>
        <w:t xml:space="preserve"> </w:t>
      </w:r>
      <w:proofErr w:type="spellStart"/>
      <w:r w:rsidRPr="00917AFE">
        <w:rPr>
          <w:rStyle w:val="Strong"/>
          <w:b w:val="0"/>
          <w:bCs w:val="0"/>
        </w:rPr>
        <w:t>responses</w:t>
      </w:r>
      <w:proofErr w:type="spellEnd"/>
      <w:r w:rsidRPr="00917AFE">
        <w:rPr>
          <w:rStyle w:val="Strong"/>
          <w:b w:val="0"/>
          <w:bCs w:val="0"/>
        </w:rPr>
        <w:t xml:space="preserve"> to </w:t>
      </w:r>
      <w:proofErr w:type="spellStart"/>
      <w:r w:rsidRPr="00917AFE">
        <w:rPr>
          <w:rStyle w:val="Strong"/>
          <w:b w:val="0"/>
          <w:bCs w:val="0"/>
        </w:rPr>
        <w:t>wildfire</w:t>
      </w:r>
      <w:proofErr w:type="spellEnd"/>
      <w:r w:rsidRPr="00917AFE">
        <w:rPr>
          <w:rStyle w:val="Strong"/>
          <w:b w:val="0"/>
          <w:bCs w:val="0"/>
        </w:rPr>
        <w:t xml:space="preserve"> in the western United </w:t>
      </w:r>
      <w:proofErr w:type="gramStart"/>
      <w:r w:rsidRPr="00917AFE">
        <w:rPr>
          <w:rStyle w:val="Strong"/>
          <w:b w:val="0"/>
          <w:bCs w:val="0"/>
        </w:rPr>
        <w:t>States:</w:t>
      </w:r>
      <w:proofErr w:type="gramEnd"/>
      <w:r w:rsidRPr="00917AFE">
        <w:rPr>
          <w:rStyle w:val="Strong"/>
          <w:b w:val="0"/>
          <w:bCs w:val="0"/>
        </w:rPr>
        <w:t xml:space="preserve"> </w:t>
      </w:r>
      <w:proofErr w:type="spellStart"/>
      <w:r w:rsidRPr="00917AFE">
        <w:rPr>
          <w:rStyle w:val="Strong"/>
          <w:b w:val="0"/>
          <w:bCs w:val="0"/>
        </w:rPr>
        <w:t>Emerging</w:t>
      </w:r>
      <w:proofErr w:type="spellEnd"/>
      <w:r w:rsidRPr="00917AFE">
        <w:rPr>
          <w:rStyle w:val="Strong"/>
          <w:b w:val="0"/>
          <w:bCs w:val="0"/>
        </w:rPr>
        <w:t xml:space="preserve"> patterns </w:t>
      </w:r>
      <w:proofErr w:type="spellStart"/>
      <w:r w:rsidRPr="00917AFE">
        <w:rPr>
          <w:rStyle w:val="Strong"/>
          <w:b w:val="0"/>
          <w:bCs w:val="0"/>
        </w:rPr>
        <w:t>from</w:t>
      </w:r>
      <w:proofErr w:type="spellEnd"/>
      <w:r w:rsidRPr="00917AFE">
        <w:rPr>
          <w:rStyle w:val="Strong"/>
          <w:b w:val="0"/>
          <w:bCs w:val="0"/>
        </w:rPr>
        <w:t xml:space="preserve"> short-</w:t>
      </w:r>
      <w:proofErr w:type="spellStart"/>
      <w:r w:rsidRPr="00917AFE">
        <w:rPr>
          <w:rStyle w:val="Strong"/>
          <w:b w:val="0"/>
          <w:bCs w:val="0"/>
        </w:rPr>
        <w:t>term</w:t>
      </w:r>
      <w:proofErr w:type="spellEnd"/>
      <w:r w:rsidRPr="00917AFE">
        <w:rPr>
          <w:rStyle w:val="Strong"/>
          <w:b w:val="0"/>
          <w:bCs w:val="0"/>
        </w:rPr>
        <w:t xml:space="preserve"> </w:t>
      </w:r>
      <w:proofErr w:type="spellStart"/>
      <w:r w:rsidRPr="00917AFE">
        <w:rPr>
          <w:rStyle w:val="Strong"/>
          <w:b w:val="0"/>
          <w:bCs w:val="0"/>
        </w:rPr>
        <w:t>studies</w:t>
      </w:r>
      <w:proofErr w:type="spellEnd"/>
      <w:r w:rsidRPr="00917AFE">
        <w:rPr>
          <w:rStyle w:val="Strong"/>
          <w:b w:val="0"/>
          <w:bCs w:val="0"/>
        </w:rPr>
        <w:t xml:space="preserve">. </w:t>
      </w:r>
      <w:r w:rsidRPr="00917AFE">
        <w:rPr>
          <w:rStyle w:val="Emphasis"/>
          <w:b/>
          <w:bCs/>
        </w:rPr>
        <w:t xml:space="preserve">Fire </w:t>
      </w:r>
      <w:proofErr w:type="spellStart"/>
      <w:r w:rsidRPr="00917AFE">
        <w:rPr>
          <w:rStyle w:val="Emphasis"/>
          <w:b/>
          <w:bCs/>
        </w:rPr>
        <w:t>Ecology</w:t>
      </w:r>
      <w:proofErr w:type="spellEnd"/>
      <w:r w:rsidRPr="00917AFE">
        <w:rPr>
          <w:rStyle w:val="Emphasis"/>
          <w:b/>
          <w:bCs/>
        </w:rPr>
        <w:t>, 7</w:t>
      </w:r>
      <w:r w:rsidRPr="00917AFE">
        <w:rPr>
          <w:rStyle w:val="Strong"/>
          <w:b w:val="0"/>
          <w:bCs w:val="0"/>
        </w:rPr>
        <w:t xml:space="preserve">(2), 129–144. </w:t>
      </w:r>
      <w:hyperlink r:id="rId22" w:history="1">
        <w:r w:rsidRPr="00917AFE">
          <w:rPr>
            <w:rStyle w:val="Hyperlink"/>
            <w:b/>
            <w:bCs/>
          </w:rPr>
          <w:t>https://doi.org/10.4996/fireecology.0702129</w:t>
        </w:r>
      </w:hyperlink>
    </w:p>
    <w:p w14:paraId="07A95DE3" w14:textId="77777777" w:rsidR="00917AFE" w:rsidRDefault="00917AFE" w:rsidP="00917AFE">
      <w:pPr>
        <w:pStyle w:val="NormalWeb"/>
        <w:jc w:val="both"/>
      </w:pPr>
      <w:r>
        <w:t xml:space="preserve">Hromada, S. J., Howey, C. A. F., Dickinson, M. B., Perry, R. W., </w:t>
      </w:r>
      <w:proofErr w:type="spellStart"/>
      <w:r>
        <w:t>Roosenburg</w:t>
      </w:r>
      <w:proofErr w:type="spellEnd"/>
      <w:r>
        <w:t xml:space="preserve">, W. M., &amp; Gienger, C. M. (2018). </w:t>
      </w:r>
      <w:proofErr w:type="spellStart"/>
      <w:r>
        <w:t>Response</w:t>
      </w:r>
      <w:proofErr w:type="spellEnd"/>
      <w:r>
        <w:t xml:space="preserve"> of reptile and </w:t>
      </w:r>
      <w:proofErr w:type="spellStart"/>
      <w:r>
        <w:t>amphibian</w:t>
      </w:r>
      <w:proofErr w:type="spellEnd"/>
      <w:r>
        <w:t xml:space="preserve"> </w:t>
      </w:r>
      <w:proofErr w:type="spellStart"/>
      <w:r>
        <w:t>communities</w:t>
      </w:r>
      <w:proofErr w:type="spellEnd"/>
      <w:r>
        <w:t xml:space="preserve"> to the </w:t>
      </w:r>
      <w:proofErr w:type="spellStart"/>
      <w:r>
        <w:t>reintroduction</w:t>
      </w:r>
      <w:proofErr w:type="spellEnd"/>
      <w:r>
        <w:t xml:space="preserve"> of </w:t>
      </w:r>
      <w:proofErr w:type="spellStart"/>
      <w:r>
        <w:t>fire</w:t>
      </w:r>
      <w:proofErr w:type="spellEnd"/>
      <w:r>
        <w:t xml:space="preserve"> in an </w:t>
      </w:r>
      <w:proofErr w:type="spellStart"/>
      <w:r>
        <w:t>oak</w:t>
      </w:r>
      <w:proofErr w:type="spellEnd"/>
      <w:r>
        <w:t xml:space="preserve">/hickory </w:t>
      </w:r>
      <w:proofErr w:type="spellStart"/>
      <w:r>
        <w:t>forest</w:t>
      </w:r>
      <w:proofErr w:type="spellEnd"/>
      <w:r>
        <w:t xml:space="preserve">. </w:t>
      </w:r>
      <w:r>
        <w:rPr>
          <w:rStyle w:val="Emphasis"/>
        </w:rPr>
        <w:t xml:space="preserve">Forest </w:t>
      </w:r>
      <w:proofErr w:type="spellStart"/>
      <w:r>
        <w:rPr>
          <w:rStyle w:val="Emphasis"/>
        </w:rPr>
        <w:t>Ecology</w:t>
      </w:r>
      <w:proofErr w:type="spellEnd"/>
      <w:r>
        <w:rPr>
          <w:rStyle w:val="Emphasis"/>
        </w:rPr>
        <w:t xml:space="preserve"> and Management, 428</w:t>
      </w:r>
      <w:r>
        <w:t xml:space="preserve">, 1–13. </w:t>
      </w:r>
      <w:hyperlink r:id="rId23" w:tgtFrame="_new" w:history="1">
        <w:r>
          <w:rPr>
            <w:rStyle w:val="Hyperlink"/>
          </w:rPr>
          <w:t>https://doi.org/10.1016/j.foreco.2018.06.018</w:t>
        </w:r>
      </w:hyperlink>
    </w:p>
    <w:p w14:paraId="07838F41" w14:textId="77777777" w:rsidR="00917AFE" w:rsidRDefault="00917AFE" w:rsidP="00917AFE">
      <w:pPr>
        <w:pStyle w:val="NormalWeb"/>
        <w:jc w:val="both"/>
      </w:pPr>
      <w:r>
        <w:t xml:space="preserve">IUCN SSC </w:t>
      </w:r>
      <w:proofErr w:type="spellStart"/>
      <w:r>
        <w:t>Amphibian</w:t>
      </w:r>
      <w:proofErr w:type="spellEnd"/>
      <w:r>
        <w:t xml:space="preserve"> </w:t>
      </w:r>
      <w:proofErr w:type="spellStart"/>
      <w:r>
        <w:t>Specialist</w:t>
      </w:r>
      <w:proofErr w:type="spellEnd"/>
      <w:r>
        <w:t xml:space="preserve"> Group. (2014). </w:t>
      </w:r>
      <w:proofErr w:type="spellStart"/>
      <w:r>
        <w:rPr>
          <w:rStyle w:val="Emphasis"/>
        </w:rPr>
        <w:t>Nimbaphrynoides</w:t>
      </w:r>
      <w:proofErr w:type="spellEnd"/>
      <w:r>
        <w:rPr>
          <w:rStyle w:val="Emphasis"/>
        </w:rPr>
        <w:t xml:space="preserve"> occidentalis</w:t>
      </w:r>
      <w:r>
        <w:t xml:space="preserve">. </w:t>
      </w:r>
      <w:r>
        <w:rPr>
          <w:rStyle w:val="Emphasis"/>
        </w:rPr>
        <w:t xml:space="preserve">The IUCN Red List of </w:t>
      </w:r>
      <w:proofErr w:type="spellStart"/>
      <w:r>
        <w:rPr>
          <w:rStyle w:val="Emphasis"/>
        </w:rPr>
        <w:t>Threatened</w:t>
      </w:r>
      <w:proofErr w:type="spellEnd"/>
      <w:r>
        <w:rPr>
          <w:rStyle w:val="Emphasis"/>
        </w:rPr>
        <w:t xml:space="preserve"> </w:t>
      </w:r>
      <w:proofErr w:type="spellStart"/>
      <w:r>
        <w:rPr>
          <w:rStyle w:val="Emphasis"/>
        </w:rPr>
        <w:t>Species</w:t>
      </w:r>
      <w:proofErr w:type="spellEnd"/>
      <w:r>
        <w:rPr>
          <w:rStyle w:val="Emphasis"/>
        </w:rPr>
        <w:t xml:space="preserve"> 2014</w:t>
      </w:r>
      <w:r>
        <w:t>, e.T16793075A16793120. https://doi.org/10.2305/IUCN.UK.2014-3.RLTS.T16793075A16793120.en</w:t>
      </w:r>
    </w:p>
    <w:p w14:paraId="5D1B7685" w14:textId="77777777" w:rsidR="00917AFE" w:rsidRDefault="00917AFE" w:rsidP="00917AFE">
      <w:pPr>
        <w:pStyle w:val="NormalWeb"/>
        <w:jc w:val="both"/>
      </w:pPr>
      <w:r>
        <w:t xml:space="preserve">Kanga, K. P., Kouamé, N. G., </w:t>
      </w:r>
      <w:proofErr w:type="spellStart"/>
      <w:r>
        <w:t>Zogbassé</w:t>
      </w:r>
      <w:proofErr w:type="spellEnd"/>
      <w:r>
        <w:t xml:space="preserve">, P., </w:t>
      </w:r>
      <w:proofErr w:type="spellStart"/>
      <w:r>
        <w:t>Gongomin</w:t>
      </w:r>
      <w:proofErr w:type="spellEnd"/>
      <w:r>
        <w:t xml:space="preserve">, B. A.-I., Agoh, K. L., Kouamé, A. M., Konan, J. C. B. Y. N., Adepo-Gourène, A. B., </w:t>
      </w:r>
      <w:proofErr w:type="spellStart"/>
      <w:r>
        <w:t>Gourène</w:t>
      </w:r>
      <w:proofErr w:type="spellEnd"/>
      <w:r>
        <w:t xml:space="preserve">, G., &amp; </w:t>
      </w:r>
      <w:proofErr w:type="spellStart"/>
      <w:r>
        <w:t>Rödel</w:t>
      </w:r>
      <w:proofErr w:type="spellEnd"/>
      <w:r>
        <w:t xml:space="preserve">, M.-O. (2021). </w:t>
      </w:r>
      <w:proofErr w:type="spellStart"/>
      <w:r>
        <w:t>Amphibian</w:t>
      </w:r>
      <w:proofErr w:type="spellEnd"/>
      <w:r>
        <w:t xml:space="preserve"> </w:t>
      </w:r>
      <w:proofErr w:type="spellStart"/>
      <w:r>
        <w:t>diversity</w:t>
      </w:r>
      <w:proofErr w:type="spellEnd"/>
      <w:r>
        <w:t xml:space="preserve"> of a West </w:t>
      </w:r>
      <w:proofErr w:type="spellStart"/>
      <w:r>
        <w:t>African</w:t>
      </w:r>
      <w:proofErr w:type="spellEnd"/>
      <w:r>
        <w:t xml:space="preserve"> </w:t>
      </w:r>
      <w:proofErr w:type="spellStart"/>
      <w:r>
        <w:t>biodiversity</w:t>
      </w:r>
      <w:proofErr w:type="spellEnd"/>
      <w:r>
        <w:t xml:space="preserve"> </w:t>
      </w:r>
      <w:proofErr w:type="gramStart"/>
      <w:r>
        <w:t>hotspot:</w:t>
      </w:r>
      <w:proofErr w:type="gramEnd"/>
      <w:r>
        <w:t xml:space="preserve"> An </w:t>
      </w:r>
      <w:proofErr w:type="spellStart"/>
      <w:r>
        <w:t>assessment</w:t>
      </w:r>
      <w:proofErr w:type="spellEnd"/>
      <w:r>
        <w:t xml:space="preserve"> and </w:t>
      </w:r>
      <w:proofErr w:type="spellStart"/>
      <w:r>
        <w:t>commented</w:t>
      </w:r>
      <w:proofErr w:type="spellEnd"/>
      <w:r>
        <w:t xml:space="preserve"> checklist of the </w:t>
      </w:r>
      <w:proofErr w:type="spellStart"/>
      <w:r>
        <w:t>batrachofauna</w:t>
      </w:r>
      <w:proofErr w:type="spellEnd"/>
      <w:r>
        <w:t xml:space="preserve"> of the </w:t>
      </w:r>
      <w:proofErr w:type="spellStart"/>
      <w:r>
        <w:t>Ivorian</w:t>
      </w:r>
      <w:proofErr w:type="spellEnd"/>
      <w:r>
        <w:t xml:space="preserve"> part of the Nimba </w:t>
      </w:r>
      <w:proofErr w:type="spellStart"/>
      <w:r>
        <w:t>Mountains</w:t>
      </w:r>
      <w:proofErr w:type="spellEnd"/>
      <w:r>
        <w:t xml:space="preserve">. </w:t>
      </w:r>
      <w:proofErr w:type="spellStart"/>
      <w:r>
        <w:rPr>
          <w:rStyle w:val="Emphasis"/>
        </w:rPr>
        <w:t>Amphibian</w:t>
      </w:r>
      <w:proofErr w:type="spellEnd"/>
      <w:r>
        <w:rPr>
          <w:rStyle w:val="Emphasis"/>
        </w:rPr>
        <w:t xml:space="preserve"> &amp; Reptile Conservation, 15</w:t>
      </w:r>
      <w:r>
        <w:t>(1), 71–107. https://doi.org/10.5281/zenodo.11287122</w:t>
      </w:r>
    </w:p>
    <w:p w14:paraId="019EB838" w14:textId="4EB5D081" w:rsidR="00917AFE" w:rsidRDefault="00917AFE" w:rsidP="00917AFE">
      <w:pPr>
        <w:pStyle w:val="NormalWeb"/>
        <w:jc w:val="both"/>
      </w:pPr>
      <w:r>
        <w:t xml:space="preserve">Lamotte, M. (1959). Observations écologiques sur les populations naturelles de </w:t>
      </w:r>
      <w:proofErr w:type="spellStart"/>
      <w:r>
        <w:rPr>
          <w:rStyle w:val="Emphasis"/>
        </w:rPr>
        <w:t>Nectophrynoides</w:t>
      </w:r>
      <w:proofErr w:type="spellEnd"/>
      <w:r>
        <w:rPr>
          <w:rStyle w:val="Emphasis"/>
        </w:rPr>
        <w:t xml:space="preserve"> occidentalis</w:t>
      </w:r>
      <w:r>
        <w:t xml:space="preserve"> (Fam. </w:t>
      </w:r>
      <w:proofErr w:type="spellStart"/>
      <w:r>
        <w:t>Bufonidae</w:t>
      </w:r>
      <w:proofErr w:type="spellEnd"/>
      <w:r>
        <w:t xml:space="preserve">). </w:t>
      </w:r>
      <w:r>
        <w:rPr>
          <w:rStyle w:val="Emphasis"/>
        </w:rPr>
        <w:t>Bulletin Biologique de la France et de la Belgique, 93</w:t>
      </w:r>
      <w:r>
        <w:t xml:space="preserve">(4), 355–413. </w:t>
      </w:r>
    </w:p>
    <w:p w14:paraId="410DDF09" w14:textId="77777777" w:rsidR="00917AFE" w:rsidRDefault="00917AFE" w:rsidP="00917AFE">
      <w:pPr>
        <w:pStyle w:val="NormalWeb"/>
        <w:jc w:val="both"/>
      </w:pPr>
      <w:r>
        <w:t xml:space="preserve">Lamotte, M., &amp; Sanchez-Lamotte, C. (1999). Adaptation aux particularités climatiques du cycle biologique d’un anoure tropical, </w:t>
      </w:r>
      <w:proofErr w:type="spellStart"/>
      <w:r>
        <w:rPr>
          <w:rStyle w:val="Emphasis"/>
        </w:rPr>
        <w:t>Nectophrynoides</w:t>
      </w:r>
      <w:proofErr w:type="spellEnd"/>
      <w:r>
        <w:rPr>
          <w:rStyle w:val="Emphasis"/>
        </w:rPr>
        <w:t xml:space="preserve"> occidentalis</w:t>
      </w:r>
      <w:r>
        <w:t xml:space="preserve"> Angel, 1943 (</w:t>
      </w:r>
      <w:proofErr w:type="spellStart"/>
      <w:r>
        <w:t>Bufonidae</w:t>
      </w:r>
      <w:proofErr w:type="spellEnd"/>
      <w:r>
        <w:t xml:space="preserve">). </w:t>
      </w:r>
      <w:r>
        <w:rPr>
          <w:rStyle w:val="Emphasis"/>
        </w:rPr>
        <w:t>Alytes, 16</w:t>
      </w:r>
      <w:r>
        <w:t xml:space="preserve">(3–4), 111–122. </w:t>
      </w:r>
      <w:hyperlink r:id="rId24" w:tgtFrame="_new" w:history="1">
        <w:r>
          <w:rPr>
            <w:rStyle w:val="Hyperlink"/>
          </w:rPr>
          <w:t>https://www.biodiversitylibrary.org/part/385802</w:t>
        </w:r>
      </w:hyperlink>
    </w:p>
    <w:p w14:paraId="4C3239EE" w14:textId="4A7D9479" w:rsidR="00917AFE" w:rsidRPr="00917AFE" w:rsidRDefault="00917AFE" w:rsidP="00917AFE">
      <w:pPr>
        <w:pStyle w:val="NormalWeb"/>
        <w:jc w:val="both"/>
        <w:rPr>
          <w:b/>
          <w:bCs/>
        </w:rPr>
      </w:pPr>
      <w:r w:rsidRPr="00917AFE">
        <w:rPr>
          <w:rStyle w:val="Strong"/>
          <w:b w:val="0"/>
          <w:bCs w:val="0"/>
        </w:rPr>
        <w:t xml:space="preserve">Lamotte, M., &amp; Xavier, F. (1972). Recherches sur le développement embryonnaire de </w:t>
      </w:r>
      <w:proofErr w:type="spellStart"/>
      <w:r w:rsidRPr="00917AFE">
        <w:rPr>
          <w:rStyle w:val="Emphasis"/>
          <w:b/>
          <w:bCs/>
        </w:rPr>
        <w:t>Nectophrynoides</w:t>
      </w:r>
      <w:proofErr w:type="spellEnd"/>
      <w:r w:rsidRPr="00917AFE">
        <w:rPr>
          <w:rStyle w:val="Emphasis"/>
          <w:b/>
          <w:bCs/>
        </w:rPr>
        <w:t xml:space="preserve"> occidentalis</w:t>
      </w:r>
      <w:r w:rsidRPr="00917AFE">
        <w:rPr>
          <w:rStyle w:val="Strong"/>
          <w:b w:val="0"/>
          <w:bCs w:val="0"/>
        </w:rPr>
        <w:t xml:space="preserve"> Angel, amphibien anoure vivipare. </w:t>
      </w:r>
      <w:proofErr w:type="gramStart"/>
      <w:r w:rsidRPr="00917AFE">
        <w:rPr>
          <w:rStyle w:val="Strong"/>
          <w:b w:val="0"/>
          <w:bCs w:val="0"/>
        </w:rPr>
        <w:t>I:</w:t>
      </w:r>
      <w:proofErr w:type="gramEnd"/>
      <w:r w:rsidRPr="00917AFE">
        <w:rPr>
          <w:rStyle w:val="Strong"/>
          <w:b w:val="0"/>
          <w:bCs w:val="0"/>
        </w:rPr>
        <w:t xml:space="preserve"> Les principaux traits morphologiques et biométriques du développement. </w:t>
      </w:r>
      <w:r w:rsidRPr="00917AFE">
        <w:rPr>
          <w:rStyle w:val="Emphasis"/>
          <w:b/>
          <w:bCs/>
        </w:rPr>
        <w:t>Annales d’Embryologie et de Morphogenèse, 5</w:t>
      </w:r>
      <w:r w:rsidRPr="00917AFE">
        <w:rPr>
          <w:rStyle w:val="Strong"/>
          <w:b w:val="0"/>
          <w:bCs w:val="0"/>
        </w:rPr>
        <w:t xml:space="preserve">(4), 315–340. </w:t>
      </w:r>
    </w:p>
    <w:p w14:paraId="3DE546B6" w14:textId="77777777" w:rsidR="00917AFE" w:rsidRDefault="00917AFE" w:rsidP="00917AFE">
      <w:pPr>
        <w:pStyle w:val="NormalWeb"/>
        <w:jc w:val="both"/>
      </w:pPr>
      <w:r>
        <w:t>Lamotte, M., &amp; Roy, R. (</w:t>
      </w:r>
      <w:proofErr w:type="spellStart"/>
      <w:r>
        <w:t>Eds</w:t>
      </w:r>
      <w:proofErr w:type="spellEnd"/>
      <w:r>
        <w:t xml:space="preserve">.). (2003). </w:t>
      </w:r>
      <w:r>
        <w:rPr>
          <w:rStyle w:val="Emphasis"/>
        </w:rPr>
        <w:t>Le peuplement animal du Mont Nimba (Guinée, Côte d’Ivoire, Liberia)</w:t>
      </w:r>
      <w:r>
        <w:t xml:space="preserve"> (</w:t>
      </w:r>
      <w:r>
        <w:rPr>
          <w:rStyle w:val="Emphasis"/>
        </w:rPr>
        <w:t>Mémoires du Muséum National d’Histoire Naturelle</w:t>
      </w:r>
      <w:r>
        <w:t xml:space="preserve">, Vol. 190). Publications scientifiques du Muséum national d’Histoire naturelle. </w:t>
      </w:r>
      <w:hyperlink r:id="rId25" w:tgtFrame="_new" w:history="1">
        <w:r>
          <w:rPr>
            <w:rStyle w:val="Hyperlink"/>
          </w:rPr>
          <w:t>https://sciencepress.mnhn.fr/en/collections/memoires-du-museum-national-d-histoire-naturelle/le-peuplement-animal-du-mont-nimba-guinee-cote-d-ivoire-liberia</w:t>
        </w:r>
      </w:hyperlink>
    </w:p>
    <w:p w14:paraId="1FD6997F" w14:textId="3343595D" w:rsidR="00917AFE" w:rsidRDefault="00917AFE" w:rsidP="00917AFE">
      <w:pPr>
        <w:pStyle w:val="NormalWeb"/>
        <w:jc w:val="both"/>
      </w:pPr>
      <w:proofErr w:type="spellStart"/>
      <w:r>
        <w:t>Lauginie</w:t>
      </w:r>
      <w:proofErr w:type="spellEnd"/>
      <w:r>
        <w:t xml:space="preserve">, F. (2007). La Réserve naturelle intégrale du Mont Nimba, carrefour de la diversité biologique. In </w:t>
      </w:r>
      <w:r>
        <w:rPr>
          <w:rStyle w:val="Emphasis"/>
        </w:rPr>
        <w:t>Conservation de la nature et aires protégées en Côte d’Ivoire</w:t>
      </w:r>
      <w:r>
        <w:t xml:space="preserve"> (pp. 318–340). CEDA/</w:t>
      </w:r>
      <w:proofErr w:type="gramStart"/>
      <w:r>
        <w:t>NEI;</w:t>
      </w:r>
      <w:proofErr w:type="gramEnd"/>
      <w:r>
        <w:t xml:space="preserve"> Afrique Nature International. </w:t>
      </w:r>
    </w:p>
    <w:p w14:paraId="06CB6DC3" w14:textId="77777777" w:rsidR="00917AFE" w:rsidRDefault="00917AFE" w:rsidP="00917AFE">
      <w:pPr>
        <w:pStyle w:val="NormalWeb"/>
        <w:jc w:val="both"/>
      </w:pPr>
      <w:r>
        <w:t xml:space="preserve">Lowe, K., Castley, J. G., &amp; Hero, J. M. (2013). Acid </w:t>
      </w:r>
      <w:proofErr w:type="spellStart"/>
      <w:r>
        <w:t>frogs</w:t>
      </w:r>
      <w:proofErr w:type="spellEnd"/>
      <w:r>
        <w:t xml:space="preserve"> can stand the </w:t>
      </w:r>
      <w:proofErr w:type="spellStart"/>
      <w:proofErr w:type="gramStart"/>
      <w:r>
        <w:t>heat</w:t>
      </w:r>
      <w:proofErr w:type="spellEnd"/>
      <w:r>
        <w:t>:</w:t>
      </w:r>
      <w:proofErr w:type="gramEnd"/>
      <w:r>
        <w:t xml:space="preserve"> </w:t>
      </w:r>
      <w:proofErr w:type="spellStart"/>
      <w:r>
        <w:t>Amphibian</w:t>
      </w:r>
      <w:proofErr w:type="spellEnd"/>
      <w:r>
        <w:t xml:space="preserve"> </w:t>
      </w:r>
      <w:proofErr w:type="spellStart"/>
      <w:r>
        <w:t>resilience</w:t>
      </w:r>
      <w:proofErr w:type="spellEnd"/>
      <w:r>
        <w:t xml:space="preserve"> to </w:t>
      </w:r>
      <w:proofErr w:type="spellStart"/>
      <w:r>
        <w:t>wildfire</w:t>
      </w:r>
      <w:proofErr w:type="spellEnd"/>
      <w:r>
        <w:t xml:space="preserve"> in </w:t>
      </w:r>
      <w:proofErr w:type="spellStart"/>
      <w:r>
        <w:t>coastal</w:t>
      </w:r>
      <w:proofErr w:type="spellEnd"/>
      <w:r>
        <w:t xml:space="preserve"> </w:t>
      </w:r>
      <w:proofErr w:type="spellStart"/>
      <w:r>
        <w:t>wetlands</w:t>
      </w:r>
      <w:proofErr w:type="spellEnd"/>
      <w:r>
        <w:t xml:space="preserve"> of </w:t>
      </w:r>
      <w:proofErr w:type="spellStart"/>
      <w:r>
        <w:t>eastern</w:t>
      </w:r>
      <w:proofErr w:type="spellEnd"/>
      <w:r>
        <w:t xml:space="preserve"> </w:t>
      </w:r>
      <w:proofErr w:type="spellStart"/>
      <w:r>
        <w:t>Australia</w:t>
      </w:r>
      <w:proofErr w:type="spellEnd"/>
      <w:r>
        <w:t xml:space="preserve">. </w:t>
      </w:r>
      <w:r>
        <w:rPr>
          <w:rStyle w:val="Emphasis"/>
        </w:rPr>
        <w:t xml:space="preserve">International Journal of </w:t>
      </w:r>
      <w:proofErr w:type="spellStart"/>
      <w:r>
        <w:rPr>
          <w:rStyle w:val="Emphasis"/>
        </w:rPr>
        <w:t>Wildland</w:t>
      </w:r>
      <w:proofErr w:type="spellEnd"/>
      <w:r>
        <w:rPr>
          <w:rStyle w:val="Emphasis"/>
        </w:rPr>
        <w:t xml:space="preserve"> Fire, 22</w:t>
      </w:r>
      <w:r>
        <w:t xml:space="preserve">(7), 947–958. </w:t>
      </w:r>
      <w:hyperlink r:id="rId26" w:tgtFrame="_new" w:history="1">
        <w:r>
          <w:rPr>
            <w:rStyle w:val="Hyperlink"/>
          </w:rPr>
          <w:t>https://doi.org/10.1071/WF12128</w:t>
        </w:r>
      </w:hyperlink>
    </w:p>
    <w:p w14:paraId="453E9666" w14:textId="77777777" w:rsidR="00917AFE" w:rsidRDefault="00917AFE" w:rsidP="00917AFE">
      <w:pPr>
        <w:pStyle w:val="NormalWeb"/>
        <w:jc w:val="both"/>
      </w:pPr>
      <w:r>
        <w:t xml:space="preserve">Muñoz, A., </w:t>
      </w:r>
      <w:proofErr w:type="spellStart"/>
      <w:r>
        <w:t>Felicísimo</w:t>
      </w:r>
      <w:proofErr w:type="spellEnd"/>
      <w:r>
        <w:t xml:space="preserve">, Á. M., &amp; Santos, X. (2019). </w:t>
      </w:r>
      <w:proofErr w:type="spellStart"/>
      <w:r>
        <w:t>Assessing</w:t>
      </w:r>
      <w:proofErr w:type="spellEnd"/>
      <w:r>
        <w:t xml:space="preserve"> the </w:t>
      </w:r>
      <w:proofErr w:type="spellStart"/>
      <w:r>
        <w:t>resistance</w:t>
      </w:r>
      <w:proofErr w:type="spellEnd"/>
      <w:r>
        <w:t xml:space="preserve"> of a </w:t>
      </w:r>
      <w:proofErr w:type="spellStart"/>
      <w:r>
        <w:t>breeding</w:t>
      </w:r>
      <w:proofErr w:type="spellEnd"/>
      <w:r>
        <w:t xml:space="preserve"> </w:t>
      </w:r>
      <w:proofErr w:type="spellStart"/>
      <w:r>
        <w:t>amphibian</w:t>
      </w:r>
      <w:proofErr w:type="spellEnd"/>
      <w:r>
        <w:t xml:space="preserve"> </w:t>
      </w:r>
      <w:proofErr w:type="spellStart"/>
      <w:r>
        <w:t>community</w:t>
      </w:r>
      <w:proofErr w:type="spellEnd"/>
      <w:r>
        <w:t xml:space="preserve"> to a large </w:t>
      </w:r>
      <w:proofErr w:type="spellStart"/>
      <w:r>
        <w:t>wildfire</w:t>
      </w:r>
      <w:proofErr w:type="spellEnd"/>
      <w:r>
        <w:t xml:space="preserve">. </w:t>
      </w:r>
      <w:r>
        <w:rPr>
          <w:rStyle w:val="Emphasis"/>
        </w:rPr>
        <w:t xml:space="preserve">Acta </w:t>
      </w:r>
      <w:proofErr w:type="spellStart"/>
      <w:r>
        <w:rPr>
          <w:rStyle w:val="Emphasis"/>
        </w:rPr>
        <w:t>Oecologica</w:t>
      </w:r>
      <w:proofErr w:type="spellEnd"/>
      <w:r>
        <w:rPr>
          <w:rStyle w:val="Emphasis"/>
        </w:rPr>
        <w:t>, 99</w:t>
      </w:r>
      <w:r>
        <w:t>, Article 103439. https://doi.org/10.1016/j.actao.2019.103439</w:t>
      </w:r>
    </w:p>
    <w:p w14:paraId="0D1CA89D" w14:textId="77777777" w:rsidR="00917AFE" w:rsidRDefault="00917AFE" w:rsidP="00917AFE">
      <w:pPr>
        <w:pStyle w:val="NormalWeb"/>
        <w:jc w:val="both"/>
      </w:pPr>
      <w:r>
        <w:lastRenderedPageBreak/>
        <w:t xml:space="preserve">Pausas, J. G., &amp; Parr, C. L. (2018). </w:t>
      </w:r>
      <w:proofErr w:type="spellStart"/>
      <w:r>
        <w:t>Towards</w:t>
      </w:r>
      <w:proofErr w:type="spellEnd"/>
      <w:r>
        <w:t xml:space="preserve"> an </w:t>
      </w:r>
      <w:proofErr w:type="spellStart"/>
      <w:r>
        <w:t>understanding</w:t>
      </w:r>
      <w:proofErr w:type="spellEnd"/>
      <w:r>
        <w:t xml:space="preserve"> of the </w:t>
      </w:r>
      <w:proofErr w:type="spellStart"/>
      <w:r>
        <w:t>evolutionary</w:t>
      </w:r>
      <w:proofErr w:type="spellEnd"/>
      <w:r>
        <w:t xml:space="preserve"> </w:t>
      </w:r>
      <w:proofErr w:type="spellStart"/>
      <w:r>
        <w:t>role</w:t>
      </w:r>
      <w:proofErr w:type="spellEnd"/>
      <w:r>
        <w:t xml:space="preserve"> of </w:t>
      </w:r>
      <w:proofErr w:type="spellStart"/>
      <w:r>
        <w:t>fire</w:t>
      </w:r>
      <w:proofErr w:type="spellEnd"/>
      <w:r>
        <w:t xml:space="preserve"> in </w:t>
      </w:r>
      <w:proofErr w:type="spellStart"/>
      <w:r>
        <w:t>animals</w:t>
      </w:r>
      <w:proofErr w:type="spellEnd"/>
      <w:r>
        <w:t xml:space="preserve">. </w:t>
      </w:r>
      <w:proofErr w:type="spellStart"/>
      <w:r>
        <w:rPr>
          <w:rStyle w:val="Emphasis"/>
        </w:rPr>
        <w:t>Evolutionary</w:t>
      </w:r>
      <w:proofErr w:type="spellEnd"/>
      <w:r>
        <w:rPr>
          <w:rStyle w:val="Emphasis"/>
        </w:rPr>
        <w:t xml:space="preserve"> </w:t>
      </w:r>
      <w:proofErr w:type="spellStart"/>
      <w:r>
        <w:rPr>
          <w:rStyle w:val="Emphasis"/>
        </w:rPr>
        <w:t>Ecology</w:t>
      </w:r>
      <w:proofErr w:type="spellEnd"/>
      <w:r>
        <w:rPr>
          <w:rStyle w:val="Emphasis"/>
        </w:rPr>
        <w:t>, 32</w:t>
      </w:r>
      <w:r>
        <w:t xml:space="preserve">(2), 113–125. </w:t>
      </w:r>
      <w:hyperlink r:id="rId27" w:tgtFrame="_new" w:history="1">
        <w:r>
          <w:rPr>
            <w:rStyle w:val="Hyperlink"/>
          </w:rPr>
          <w:t>https://doi.org/10.1007/s10682-018-9927-6</w:t>
        </w:r>
      </w:hyperlink>
    </w:p>
    <w:p w14:paraId="1F7D558C" w14:textId="77777777" w:rsidR="00917AFE" w:rsidRDefault="00917AFE" w:rsidP="00917AFE">
      <w:pPr>
        <w:pStyle w:val="NormalWeb"/>
        <w:jc w:val="both"/>
      </w:pPr>
      <w:r>
        <w:t xml:space="preserve">Pilliod, D. S., Bury, R. B., Hyde, E. J., Pearl, C. A., &amp; Corn, P. S. (2003). Fire and </w:t>
      </w:r>
      <w:proofErr w:type="spellStart"/>
      <w:r>
        <w:t>amphibians</w:t>
      </w:r>
      <w:proofErr w:type="spellEnd"/>
      <w:r>
        <w:t xml:space="preserve"> in North America. </w:t>
      </w:r>
      <w:r>
        <w:rPr>
          <w:rStyle w:val="Emphasis"/>
        </w:rPr>
        <w:t xml:space="preserve">Forest </w:t>
      </w:r>
      <w:proofErr w:type="spellStart"/>
      <w:r>
        <w:rPr>
          <w:rStyle w:val="Emphasis"/>
        </w:rPr>
        <w:t>Ecology</w:t>
      </w:r>
      <w:proofErr w:type="spellEnd"/>
      <w:r>
        <w:rPr>
          <w:rStyle w:val="Emphasis"/>
        </w:rPr>
        <w:t xml:space="preserve"> and Management, 178</w:t>
      </w:r>
      <w:r>
        <w:t xml:space="preserve">(1–2), 163–181. </w:t>
      </w:r>
      <w:hyperlink r:id="rId28" w:tgtFrame="_new" w:history="1">
        <w:r>
          <w:rPr>
            <w:rStyle w:val="Hyperlink"/>
          </w:rPr>
          <w:t>https://doi.org/10.1016/S0378-1127(03)00060-4</w:t>
        </w:r>
      </w:hyperlink>
    </w:p>
    <w:p w14:paraId="26478C6A" w14:textId="77777777" w:rsidR="00917AFE" w:rsidRDefault="00917AFE" w:rsidP="00917AFE">
      <w:pPr>
        <w:pStyle w:val="NormalWeb"/>
        <w:jc w:val="both"/>
      </w:pPr>
      <w:r>
        <w:t xml:space="preserve">Ricketts, T. H., Dinerstein, E., Boucher, T., Brooks, T. M., Butchart, S. H. M., Hoffmann, M., Lamoreux, J. F., Morrison, J., Parr, M., Pilgrim, J. D., Rodrigues, A. S. L., Sechrest, W., Wallace, G. E., Berlin, K., Bielby, J., Burgess, N. D., Church, D. R., Cox, N., Knox, D., . . . Wikramanayake, E. (2005). </w:t>
      </w:r>
      <w:proofErr w:type="spellStart"/>
      <w:r>
        <w:t>Pinpointing</w:t>
      </w:r>
      <w:proofErr w:type="spellEnd"/>
      <w:r>
        <w:t xml:space="preserve"> and </w:t>
      </w:r>
      <w:proofErr w:type="spellStart"/>
      <w:r>
        <w:t>preventing</w:t>
      </w:r>
      <w:proofErr w:type="spellEnd"/>
      <w:r>
        <w:t xml:space="preserve"> imminent extinctions. </w:t>
      </w:r>
      <w:proofErr w:type="spellStart"/>
      <w:r>
        <w:rPr>
          <w:rStyle w:val="Emphasis"/>
        </w:rPr>
        <w:t>Proceedings</w:t>
      </w:r>
      <w:proofErr w:type="spellEnd"/>
      <w:r>
        <w:rPr>
          <w:rStyle w:val="Emphasis"/>
        </w:rPr>
        <w:t xml:space="preserve"> of the National </w:t>
      </w:r>
      <w:proofErr w:type="spellStart"/>
      <w:r>
        <w:rPr>
          <w:rStyle w:val="Emphasis"/>
        </w:rPr>
        <w:t>Academy</w:t>
      </w:r>
      <w:proofErr w:type="spellEnd"/>
      <w:r>
        <w:rPr>
          <w:rStyle w:val="Emphasis"/>
        </w:rPr>
        <w:t xml:space="preserve"> of Sciences, 102</w:t>
      </w:r>
      <w:r>
        <w:t xml:space="preserve">(51), 18497–18501. </w:t>
      </w:r>
      <w:hyperlink r:id="rId29" w:tgtFrame="_new" w:history="1">
        <w:r>
          <w:rPr>
            <w:rStyle w:val="Hyperlink"/>
          </w:rPr>
          <w:t>https://doi.org/10.1073/pnas.0509060102</w:t>
        </w:r>
      </w:hyperlink>
    </w:p>
    <w:p w14:paraId="21E28CF6" w14:textId="41CD7A15" w:rsidR="00917AFE" w:rsidRPr="00917AFE" w:rsidRDefault="00917AFE" w:rsidP="00917AFE">
      <w:pPr>
        <w:pStyle w:val="NormalWeb"/>
        <w:jc w:val="both"/>
        <w:rPr>
          <w:b/>
          <w:bCs/>
        </w:rPr>
      </w:pPr>
      <w:proofErr w:type="spellStart"/>
      <w:r w:rsidRPr="00917AFE">
        <w:rPr>
          <w:rStyle w:val="Strong"/>
          <w:b w:val="0"/>
          <w:bCs w:val="0"/>
        </w:rPr>
        <w:t>Rödel</w:t>
      </w:r>
      <w:proofErr w:type="spellEnd"/>
      <w:r w:rsidRPr="00917AFE">
        <w:rPr>
          <w:rStyle w:val="Strong"/>
          <w:b w:val="0"/>
          <w:bCs w:val="0"/>
        </w:rPr>
        <w:t xml:space="preserve">, M.-O., &amp; Bangoura, M. A. (2004). A conservation </w:t>
      </w:r>
      <w:proofErr w:type="spellStart"/>
      <w:r w:rsidRPr="00917AFE">
        <w:rPr>
          <w:rStyle w:val="Strong"/>
          <w:b w:val="0"/>
          <w:bCs w:val="0"/>
        </w:rPr>
        <w:t>assessment</w:t>
      </w:r>
      <w:proofErr w:type="spellEnd"/>
      <w:r w:rsidRPr="00917AFE">
        <w:rPr>
          <w:rStyle w:val="Strong"/>
          <w:b w:val="0"/>
          <w:bCs w:val="0"/>
        </w:rPr>
        <w:t xml:space="preserve"> of </w:t>
      </w:r>
      <w:proofErr w:type="spellStart"/>
      <w:r w:rsidRPr="00917AFE">
        <w:rPr>
          <w:rStyle w:val="Strong"/>
          <w:b w:val="0"/>
          <w:bCs w:val="0"/>
        </w:rPr>
        <w:t>amphibians</w:t>
      </w:r>
      <w:proofErr w:type="spellEnd"/>
      <w:r w:rsidRPr="00917AFE">
        <w:rPr>
          <w:rStyle w:val="Strong"/>
          <w:b w:val="0"/>
          <w:bCs w:val="0"/>
        </w:rPr>
        <w:t xml:space="preserve"> in the Forêt Classée du Pic de Fon, </w:t>
      </w:r>
      <w:proofErr w:type="spellStart"/>
      <w:r w:rsidRPr="00917AFE">
        <w:rPr>
          <w:rStyle w:val="Strong"/>
          <w:b w:val="0"/>
          <w:bCs w:val="0"/>
        </w:rPr>
        <w:t>Simandou</w:t>
      </w:r>
      <w:proofErr w:type="spellEnd"/>
      <w:r w:rsidRPr="00917AFE">
        <w:rPr>
          <w:rStyle w:val="Strong"/>
          <w:b w:val="0"/>
          <w:bCs w:val="0"/>
        </w:rPr>
        <w:t xml:space="preserve"> Range, </w:t>
      </w:r>
      <w:proofErr w:type="spellStart"/>
      <w:r w:rsidRPr="00917AFE">
        <w:rPr>
          <w:rStyle w:val="Strong"/>
          <w:b w:val="0"/>
          <w:bCs w:val="0"/>
        </w:rPr>
        <w:t>southeastern</w:t>
      </w:r>
      <w:proofErr w:type="spellEnd"/>
      <w:r w:rsidRPr="00917AFE">
        <w:rPr>
          <w:rStyle w:val="Strong"/>
          <w:b w:val="0"/>
          <w:bCs w:val="0"/>
        </w:rPr>
        <w:t xml:space="preserve"> Republic of Guinea, </w:t>
      </w:r>
      <w:proofErr w:type="spellStart"/>
      <w:r w:rsidRPr="00917AFE">
        <w:rPr>
          <w:rStyle w:val="Strong"/>
          <w:b w:val="0"/>
          <w:bCs w:val="0"/>
        </w:rPr>
        <w:t>with</w:t>
      </w:r>
      <w:proofErr w:type="spellEnd"/>
      <w:r w:rsidRPr="00917AFE">
        <w:rPr>
          <w:rStyle w:val="Strong"/>
          <w:b w:val="0"/>
          <w:bCs w:val="0"/>
        </w:rPr>
        <w:t xml:space="preserve"> the description of a new </w:t>
      </w:r>
      <w:proofErr w:type="spellStart"/>
      <w:r w:rsidRPr="00917AFE">
        <w:rPr>
          <w:rStyle w:val="Emphasis"/>
          <w:b/>
          <w:bCs/>
        </w:rPr>
        <w:t>Amnirana</w:t>
      </w:r>
      <w:proofErr w:type="spellEnd"/>
      <w:r w:rsidRPr="00917AFE">
        <w:rPr>
          <w:rStyle w:val="Strong"/>
          <w:b w:val="0"/>
          <w:bCs w:val="0"/>
        </w:rPr>
        <w:t xml:space="preserve"> </w:t>
      </w:r>
      <w:proofErr w:type="spellStart"/>
      <w:r w:rsidRPr="00917AFE">
        <w:rPr>
          <w:rStyle w:val="Strong"/>
          <w:b w:val="0"/>
          <w:bCs w:val="0"/>
        </w:rPr>
        <w:t>species</w:t>
      </w:r>
      <w:proofErr w:type="spellEnd"/>
      <w:r w:rsidRPr="00917AFE">
        <w:rPr>
          <w:rStyle w:val="Strong"/>
          <w:b w:val="0"/>
          <w:bCs w:val="0"/>
        </w:rPr>
        <w:t xml:space="preserve"> (Amphibia Anura Ranidae). </w:t>
      </w:r>
      <w:r w:rsidRPr="00917AFE">
        <w:rPr>
          <w:rStyle w:val="Emphasis"/>
          <w:b/>
          <w:bCs/>
        </w:rPr>
        <w:t xml:space="preserve">Tropical </w:t>
      </w:r>
      <w:proofErr w:type="spellStart"/>
      <w:r w:rsidRPr="00917AFE">
        <w:rPr>
          <w:rStyle w:val="Emphasis"/>
          <w:b/>
          <w:bCs/>
        </w:rPr>
        <w:t>Zoology</w:t>
      </w:r>
      <w:proofErr w:type="spellEnd"/>
      <w:r w:rsidRPr="00917AFE">
        <w:rPr>
          <w:rStyle w:val="Emphasis"/>
          <w:b/>
          <w:bCs/>
        </w:rPr>
        <w:t>, 17</w:t>
      </w:r>
      <w:r w:rsidRPr="00917AFE">
        <w:rPr>
          <w:rStyle w:val="Strong"/>
          <w:b w:val="0"/>
          <w:bCs w:val="0"/>
        </w:rPr>
        <w:t xml:space="preserve">(2), 201–232. </w:t>
      </w:r>
      <w:hyperlink r:id="rId30" w:history="1">
        <w:r w:rsidRPr="00917AFE">
          <w:rPr>
            <w:rStyle w:val="Hyperlink"/>
            <w:b/>
            <w:bCs/>
          </w:rPr>
          <w:t>https://doi.org/10.1080/03946975.2004.10531206</w:t>
        </w:r>
      </w:hyperlink>
    </w:p>
    <w:p w14:paraId="0B4673AA" w14:textId="02D151FF" w:rsidR="00917AFE" w:rsidRDefault="00917AFE" w:rsidP="00917AFE">
      <w:pPr>
        <w:pStyle w:val="NormalWeb"/>
        <w:jc w:val="both"/>
      </w:pPr>
      <w:proofErr w:type="spellStart"/>
      <w:r>
        <w:t>Rödel</w:t>
      </w:r>
      <w:proofErr w:type="spellEnd"/>
      <w:r>
        <w:t xml:space="preserve">, M.-O., &amp; Ernst, R. (2004). </w:t>
      </w:r>
      <w:proofErr w:type="spellStart"/>
      <w:r>
        <w:t>Measuring</w:t>
      </w:r>
      <w:proofErr w:type="spellEnd"/>
      <w:r>
        <w:t xml:space="preserve"> and monitoring </w:t>
      </w:r>
      <w:proofErr w:type="spellStart"/>
      <w:r>
        <w:t>amphibian</w:t>
      </w:r>
      <w:proofErr w:type="spellEnd"/>
      <w:r>
        <w:t xml:space="preserve"> </w:t>
      </w:r>
      <w:proofErr w:type="spellStart"/>
      <w:r>
        <w:t>diversity</w:t>
      </w:r>
      <w:proofErr w:type="spellEnd"/>
      <w:r>
        <w:t xml:space="preserve"> in tropical </w:t>
      </w:r>
      <w:proofErr w:type="spellStart"/>
      <w:r>
        <w:t>forests</w:t>
      </w:r>
      <w:proofErr w:type="spellEnd"/>
      <w:r>
        <w:t xml:space="preserve">. I. An </w:t>
      </w:r>
      <w:proofErr w:type="spellStart"/>
      <w:r>
        <w:t>evaluation</w:t>
      </w:r>
      <w:proofErr w:type="spellEnd"/>
      <w:r>
        <w:t xml:space="preserve"> of </w:t>
      </w:r>
      <w:proofErr w:type="spellStart"/>
      <w:r>
        <w:t>methods</w:t>
      </w:r>
      <w:proofErr w:type="spellEnd"/>
      <w:r>
        <w:t xml:space="preserve"> </w:t>
      </w:r>
      <w:proofErr w:type="spellStart"/>
      <w:r>
        <w:t>with</w:t>
      </w:r>
      <w:proofErr w:type="spellEnd"/>
      <w:r>
        <w:t xml:space="preserve"> </w:t>
      </w:r>
      <w:proofErr w:type="spellStart"/>
      <w:r>
        <w:t>recommendations</w:t>
      </w:r>
      <w:proofErr w:type="spellEnd"/>
      <w:r>
        <w:t xml:space="preserve"> for </w:t>
      </w:r>
      <w:proofErr w:type="spellStart"/>
      <w:r>
        <w:t>standardization</w:t>
      </w:r>
      <w:proofErr w:type="spellEnd"/>
      <w:r>
        <w:t xml:space="preserve">. </w:t>
      </w:r>
      <w:proofErr w:type="spellStart"/>
      <w:r>
        <w:rPr>
          <w:rStyle w:val="Emphasis"/>
        </w:rPr>
        <w:t>Ecotropica</w:t>
      </w:r>
      <w:proofErr w:type="spellEnd"/>
      <w:r>
        <w:rPr>
          <w:rStyle w:val="Emphasis"/>
        </w:rPr>
        <w:t>, 10</w:t>
      </w:r>
      <w:r>
        <w:t xml:space="preserve">, 1–14. </w:t>
      </w:r>
    </w:p>
    <w:p w14:paraId="28D00060" w14:textId="77777777" w:rsidR="00917AFE" w:rsidRDefault="00917AFE" w:rsidP="00917AFE">
      <w:pPr>
        <w:pStyle w:val="NormalWeb"/>
        <w:jc w:val="both"/>
      </w:pPr>
      <w:r>
        <w:t xml:space="preserve">Sandberger-Loua, L., Doumbia, J., &amp; </w:t>
      </w:r>
      <w:proofErr w:type="spellStart"/>
      <w:r>
        <w:t>Rödel</w:t>
      </w:r>
      <w:proofErr w:type="spellEnd"/>
      <w:r>
        <w:t xml:space="preserve">, M.-O. (2016). </w:t>
      </w:r>
      <w:proofErr w:type="spellStart"/>
      <w:r>
        <w:t>Conserving</w:t>
      </w:r>
      <w:proofErr w:type="spellEnd"/>
      <w:r>
        <w:t xml:space="preserve"> the unique to </w:t>
      </w:r>
      <w:proofErr w:type="spellStart"/>
      <w:r>
        <w:t>save</w:t>
      </w:r>
      <w:proofErr w:type="spellEnd"/>
      <w:r>
        <w:t xml:space="preserve"> the </w:t>
      </w:r>
      <w:proofErr w:type="gramStart"/>
      <w:r>
        <w:t>diverse:</w:t>
      </w:r>
      <w:proofErr w:type="gramEnd"/>
      <w:r>
        <w:t xml:space="preserve"> </w:t>
      </w:r>
      <w:proofErr w:type="spellStart"/>
      <w:r>
        <w:t>Identifying</w:t>
      </w:r>
      <w:proofErr w:type="spellEnd"/>
      <w:r>
        <w:t xml:space="preserve"> key </w:t>
      </w:r>
      <w:proofErr w:type="spellStart"/>
      <w:r>
        <w:t>environmental</w:t>
      </w:r>
      <w:proofErr w:type="spellEnd"/>
      <w:r>
        <w:t xml:space="preserve"> </w:t>
      </w:r>
      <w:proofErr w:type="spellStart"/>
      <w:r>
        <w:t>determinants</w:t>
      </w:r>
      <w:proofErr w:type="spellEnd"/>
      <w:r>
        <w:t xml:space="preserve"> for the </w:t>
      </w:r>
      <w:proofErr w:type="spellStart"/>
      <w:r>
        <w:t>persistence</w:t>
      </w:r>
      <w:proofErr w:type="spellEnd"/>
      <w:r>
        <w:t xml:space="preserve"> of the </w:t>
      </w:r>
      <w:proofErr w:type="spellStart"/>
      <w:r>
        <w:t>viviparous</w:t>
      </w:r>
      <w:proofErr w:type="spellEnd"/>
      <w:r>
        <w:t xml:space="preserve"> Nimba </w:t>
      </w:r>
      <w:proofErr w:type="spellStart"/>
      <w:r>
        <w:t>toad</w:t>
      </w:r>
      <w:proofErr w:type="spellEnd"/>
      <w:r>
        <w:t xml:space="preserve"> in </w:t>
      </w:r>
      <w:proofErr w:type="gramStart"/>
      <w:r>
        <w:t>a</w:t>
      </w:r>
      <w:proofErr w:type="gramEnd"/>
      <w:r>
        <w:t xml:space="preserve"> West </w:t>
      </w:r>
      <w:proofErr w:type="spellStart"/>
      <w:r>
        <w:t>African</w:t>
      </w:r>
      <w:proofErr w:type="spellEnd"/>
      <w:r>
        <w:t xml:space="preserve"> World Heritage Site. </w:t>
      </w:r>
      <w:proofErr w:type="spellStart"/>
      <w:r>
        <w:rPr>
          <w:rStyle w:val="Emphasis"/>
        </w:rPr>
        <w:t>Biological</w:t>
      </w:r>
      <w:proofErr w:type="spellEnd"/>
      <w:r>
        <w:rPr>
          <w:rStyle w:val="Emphasis"/>
        </w:rPr>
        <w:t xml:space="preserve"> Conservation, 198</w:t>
      </w:r>
      <w:r>
        <w:t xml:space="preserve">, 15–21. </w:t>
      </w:r>
      <w:hyperlink r:id="rId31" w:tgtFrame="_new" w:history="1">
        <w:r>
          <w:rPr>
            <w:rStyle w:val="Hyperlink"/>
          </w:rPr>
          <w:t>https://doi.org/10.1016/j.biocon.2016.03.033</w:t>
        </w:r>
      </w:hyperlink>
    </w:p>
    <w:p w14:paraId="4EAB1E84" w14:textId="77777777" w:rsidR="00917AFE" w:rsidRDefault="00917AFE" w:rsidP="00917AFE">
      <w:pPr>
        <w:pStyle w:val="NormalWeb"/>
        <w:jc w:val="both"/>
      </w:pPr>
      <w:r>
        <w:t xml:space="preserve">Sandberger-Loua, L., Müller, H., &amp; </w:t>
      </w:r>
      <w:proofErr w:type="spellStart"/>
      <w:r>
        <w:t>Rödel</w:t>
      </w:r>
      <w:proofErr w:type="spellEnd"/>
      <w:r>
        <w:t xml:space="preserve">, M.-O. (2017). A </w:t>
      </w:r>
      <w:proofErr w:type="spellStart"/>
      <w:r>
        <w:t>review</w:t>
      </w:r>
      <w:proofErr w:type="spellEnd"/>
      <w:r>
        <w:t xml:space="preserve"> of the reproductive </w:t>
      </w:r>
      <w:proofErr w:type="spellStart"/>
      <w:r>
        <w:t>biology</w:t>
      </w:r>
      <w:proofErr w:type="spellEnd"/>
      <w:r>
        <w:t xml:space="preserve"> of the </w:t>
      </w:r>
      <w:proofErr w:type="spellStart"/>
      <w:r>
        <w:t>only</w:t>
      </w:r>
      <w:proofErr w:type="spellEnd"/>
      <w:r>
        <w:t xml:space="preserve"> </w:t>
      </w:r>
      <w:proofErr w:type="spellStart"/>
      <w:r>
        <w:t>known</w:t>
      </w:r>
      <w:proofErr w:type="spellEnd"/>
      <w:r>
        <w:t xml:space="preserve"> </w:t>
      </w:r>
      <w:proofErr w:type="spellStart"/>
      <w:r>
        <w:t>matrotrophic</w:t>
      </w:r>
      <w:proofErr w:type="spellEnd"/>
      <w:r>
        <w:t xml:space="preserve"> </w:t>
      </w:r>
      <w:proofErr w:type="spellStart"/>
      <w:r>
        <w:t>viviparous</w:t>
      </w:r>
      <w:proofErr w:type="spellEnd"/>
      <w:r>
        <w:t xml:space="preserve"> </w:t>
      </w:r>
      <w:proofErr w:type="spellStart"/>
      <w:r>
        <w:t>anuran</w:t>
      </w:r>
      <w:proofErr w:type="spellEnd"/>
      <w:r>
        <w:t xml:space="preserve">, the West </w:t>
      </w:r>
      <w:proofErr w:type="spellStart"/>
      <w:r>
        <w:t>African</w:t>
      </w:r>
      <w:proofErr w:type="spellEnd"/>
      <w:r>
        <w:t xml:space="preserve"> Nimba </w:t>
      </w:r>
      <w:proofErr w:type="spellStart"/>
      <w:r>
        <w:t>toad</w:t>
      </w:r>
      <w:proofErr w:type="spellEnd"/>
      <w:r>
        <w:t xml:space="preserve">, </w:t>
      </w:r>
      <w:proofErr w:type="spellStart"/>
      <w:r>
        <w:rPr>
          <w:rStyle w:val="Emphasis"/>
        </w:rPr>
        <w:t>Nimbaphrynoides</w:t>
      </w:r>
      <w:proofErr w:type="spellEnd"/>
      <w:r>
        <w:rPr>
          <w:rStyle w:val="Emphasis"/>
        </w:rPr>
        <w:t xml:space="preserve"> occidentalis</w:t>
      </w:r>
      <w:r>
        <w:t xml:space="preserve">. </w:t>
      </w:r>
      <w:proofErr w:type="spellStart"/>
      <w:r>
        <w:rPr>
          <w:rStyle w:val="Emphasis"/>
        </w:rPr>
        <w:t>Zoosystematics</w:t>
      </w:r>
      <w:proofErr w:type="spellEnd"/>
      <w:r>
        <w:rPr>
          <w:rStyle w:val="Emphasis"/>
        </w:rPr>
        <w:t xml:space="preserve"> and Evolution, 93</w:t>
      </w:r>
      <w:r>
        <w:t xml:space="preserve">(1), 105–133. </w:t>
      </w:r>
      <w:hyperlink r:id="rId32" w:tgtFrame="_new" w:history="1">
        <w:r>
          <w:rPr>
            <w:rStyle w:val="Hyperlink"/>
          </w:rPr>
          <w:t>https://doi.org/10.3897/zse.93.10489</w:t>
        </w:r>
      </w:hyperlink>
    </w:p>
    <w:p w14:paraId="15BE9E46" w14:textId="77777777" w:rsidR="00917AFE" w:rsidRDefault="00917AFE" w:rsidP="00917AFE">
      <w:pPr>
        <w:pStyle w:val="NormalWeb"/>
        <w:jc w:val="both"/>
      </w:pPr>
      <w:r>
        <w:t xml:space="preserve">Wake, D. B., &amp; Vredenburg, V. T. (2008). Are </w:t>
      </w:r>
      <w:proofErr w:type="spellStart"/>
      <w:r>
        <w:t>we</w:t>
      </w:r>
      <w:proofErr w:type="spellEnd"/>
      <w:r>
        <w:t xml:space="preserve"> in the </w:t>
      </w:r>
      <w:proofErr w:type="spellStart"/>
      <w:r>
        <w:t>midst</w:t>
      </w:r>
      <w:proofErr w:type="spellEnd"/>
      <w:r>
        <w:t xml:space="preserve"> of the </w:t>
      </w:r>
      <w:proofErr w:type="spellStart"/>
      <w:r>
        <w:t>sixth</w:t>
      </w:r>
      <w:proofErr w:type="spellEnd"/>
      <w:r>
        <w:t xml:space="preserve"> mass </w:t>
      </w:r>
      <w:proofErr w:type="gramStart"/>
      <w:r>
        <w:t>extinction?</w:t>
      </w:r>
      <w:proofErr w:type="gramEnd"/>
      <w:r>
        <w:t xml:space="preserve"> A </w:t>
      </w:r>
      <w:proofErr w:type="spellStart"/>
      <w:r>
        <w:t>view</w:t>
      </w:r>
      <w:proofErr w:type="spellEnd"/>
      <w:r>
        <w:t xml:space="preserve"> </w:t>
      </w:r>
      <w:proofErr w:type="spellStart"/>
      <w:r>
        <w:t>from</w:t>
      </w:r>
      <w:proofErr w:type="spellEnd"/>
      <w:r>
        <w:t xml:space="preserve"> the world of </w:t>
      </w:r>
      <w:proofErr w:type="spellStart"/>
      <w:r>
        <w:t>amphibians</w:t>
      </w:r>
      <w:proofErr w:type="spellEnd"/>
      <w:r>
        <w:t xml:space="preserve">. </w:t>
      </w:r>
      <w:proofErr w:type="spellStart"/>
      <w:r>
        <w:rPr>
          <w:rStyle w:val="Emphasis"/>
        </w:rPr>
        <w:t>Proceedings</w:t>
      </w:r>
      <w:proofErr w:type="spellEnd"/>
      <w:r>
        <w:rPr>
          <w:rStyle w:val="Emphasis"/>
        </w:rPr>
        <w:t xml:space="preserve"> of the National </w:t>
      </w:r>
      <w:proofErr w:type="spellStart"/>
      <w:r>
        <w:rPr>
          <w:rStyle w:val="Emphasis"/>
        </w:rPr>
        <w:t>Academy</w:t>
      </w:r>
      <w:proofErr w:type="spellEnd"/>
      <w:r>
        <w:rPr>
          <w:rStyle w:val="Emphasis"/>
        </w:rPr>
        <w:t xml:space="preserve"> of Sciences, 105</w:t>
      </w:r>
      <w:r>
        <w:t xml:space="preserve">(Suppl. 1), 11466–11473. </w:t>
      </w:r>
      <w:hyperlink r:id="rId33" w:tgtFrame="_new" w:history="1">
        <w:r>
          <w:rPr>
            <w:rStyle w:val="Hyperlink"/>
          </w:rPr>
          <w:t>https://doi.org/10.1073/pnas.0801921105</w:t>
        </w:r>
      </w:hyperlink>
    </w:p>
    <w:p w14:paraId="4CCAA19F" w14:textId="0B43D77C" w:rsidR="00917AFE" w:rsidRDefault="00917AFE" w:rsidP="00917AFE">
      <w:pPr>
        <w:pStyle w:val="NormalWeb"/>
        <w:jc w:val="both"/>
      </w:pPr>
      <w:r>
        <w:t xml:space="preserve">Wells, K. D. (2007). </w:t>
      </w:r>
      <w:r>
        <w:rPr>
          <w:rStyle w:val="Emphasis"/>
        </w:rPr>
        <w:t xml:space="preserve">The </w:t>
      </w:r>
      <w:proofErr w:type="spellStart"/>
      <w:r>
        <w:rPr>
          <w:rStyle w:val="Emphasis"/>
        </w:rPr>
        <w:t>ecology</w:t>
      </w:r>
      <w:proofErr w:type="spellEnd"/>
      <w:r>
        <w:rPr>
          <w:rStyle w:val="Emphasis"/>
        </w:rPr>
        <w:t xml:space="preserve"> and </w:t>
      </w:r>
      <w:proofErr w:type="spellStart"/>
      <w:r>
        <w:rPr>
          <w:rStyle w:val="Emphasis"/>
        </w:rPr>
        <w:t>behavior</w:t>
      </w:r>
      <w:proofErr w:type="spellEnd"/>
      <w:r>
        <w:rPr>
          <w:rStyle w:val="Emphasis"/>
        </w:rPr>
        <w:t xml:space="preserve"> of </w:t>
      </w:r>
      <w:proofErr w:type="spellStart"/>
      <w:r>
        <w:rPr>
          <w:rStyle w:val="Emphasis"/>
        </w:rPr>
        <w:t>amphibians</w:t>
      </w:r>
      <w:proofErr w:type="spellEnd"/>
      <w:r>
        <w:t xml:space="preserve">. </w:t>
      </w:r>
      <w:proofErr w:type="spellStart"/>
      <w:r>
        <w:t>University</w:t>
      </w:r>
      <w:proofErr w:type="spellEnd"/>
      <w:r>
        <w:t xml:space="preserve"> of Chicago Press. </w:t>
      </w:r>
      <w:hyperlink r:id="rId34" w:history="1">
        <w:r w:rsidRPr="00917AFE">
          <w:rPr>
            <w:rStyle w:val="Hyperlink"/>
          </w:rPr>
          <w:t>https://doi.org/10.7208/chicago/9780226893334.001.0001</w:t>
        </w:r>
      </w:hyperlink>
    </w:p>
    <w:p w14:paraId="593B442A" w14:textId="77777777" w:rsidR="00D07A5A" w:rsidRPr="00917AFE" w:rsidRDefault="00D07A5A">
      <w:pPr>
        <w:spacing w:line="480" w:lineRule="auto"/>
        <w:rPr>
          <w:rFonts w:ascii="Arial" w:hAnsi="Arial" w:cs="Arial"/>
          <w:sz w:val="22"/>
          <w:szCs w:val="20"/>
        </w:rPr>
      </w:pPr>
    </w:p>
    <w:sectPr w:rsidR="00D07A5A" w:rsidRPr="00917AFE">
      <w:headerReference w:type="default" r:id="rId35"/>
      <w:footerReference w:type="default" r:id="rId36"/>
      <w:headerReference w:type="first" r:id="rId37"/>
      <w:footerReference w:type="first" r:id="rId38"/>
      <w:pgSz w:w="11906" w:h="16838"/>
      <w:pgMar w:top="1417" w:right="1417" w:bottom="1417" w:left="1417" w:header="709" w:footer="709"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5A6E8" w14:textId="77777777" w:rsidR="005D535F" w:rsidRDefault="005D535F">
      <w:pPr>
        <w:spacing w:after="0" w:line="240" w:lineRule="auto"/>
      </w:pPr>
      <w:r>
        <w:separator/>
      </w:r>
    </w:p>
  </w:endnote>
  <w:endnote w:type="continuationSeparator" w:id="0">
    <w:p w14:paraId="000F4DE5" w14:textId="77777777" w:rsidR="005D535F" w:rsidRDefault="005D5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7685" w14:textId="77777777" w:rsidR="00D07A5A" w:rsidRDefault="00000000">
    <w:pPr>
      <w:pStyle w:val="Footer"/>
      <w:jc w:val="right"/>
    </w:pPr>
    <w:r>
      <w:fldChar w:fldCharType="begin"/>
    </w:r>
    <w:r>
      <w:instrText xml:space="preserve"> PAGE </w:instrText>
    </w:r>
    <w:r>
      <w:fldChar w:fldCharType="separate"/>
    </w:r>
    <w:r>
      <w:t>8</w:t>
    </w:r>
    <w:r>
      <w:fldChar w:fldCharType="end"/>
    </w:r>
  </w:p>
  <w:p w14:paraId="73DEBA4F" w14:textId="77777777" w:rsidR="00D07A5A" w:rsidRDefault="00D07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C581" w14:textId="77777777" w:rsidR="00D07A5A" w:rsidRDefault="00000000">
    <w:pPr>
      <w:pStyle w:val="Footer"/>
      <w:jc w:val="right"/>
    </w:pPr>
    <w:r>
      <w:fldChar w:fldCharType="begin"/>
    </w:r>
    <w:r>
      <w:instrText xml:space="preserve"> PAGE </w:instrText>
    </w:r>
    <w:r>
      <w:fldChar w:fldCharType="separate"/>
    </w:r>
    <w:r>
      <w:t>13</w:t>
    </w:r>
    <w:r>
      <w:fldChar w:fldCharType="end"/>
    </w:r>
  </w:p>
  <w:p w14:paraId="5271C612" w14:textId="77777777" w:rsidR="00D07A5A" w:rsidRDefault="00D07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7EC2" w14:textId="77777777" w:rsidR="00D07A5A" w:rsidRDefault="00D07A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B1AAB" w14:textId="77777777" w:rsidR="005D535F" w:rsidRDefault="005D535F">
      <w:pPr>
        <w:spacing w:after="0" w:line="240" w:lineRule="auto"/>
      </w:pPr>
      <w:r>
        <w:separator/>
      </w:r>
    </w:p>
  </w:footnote>
  <w:footnote w:type="continuationSeparator" w:id="0">
    <w:p w14:paraId="6D45E161" w14:textId="77777777" w:rsidR="005D535F" w:rsidRDefault="005D5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D6D1" w14:textId="77777777" w:rsidR="00D07A5A" w:rsidRDefault="00000000">
    <w:pPr>
      <w:pStyle w:val="Header"/>
      <w:rPr>
        <w:lang w:val="en-US" w:eastAsia="en-US"/>
      </w:rPr>
    </w:pPr>
    <w:r>
      <w:rPr>
        <w:lang w:val="en-US" w:eastAsia="en-US"/>
      </w:rPr>
      <w:pict w14:anchorId="5EE38C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26658" o:spid="_x0000_s1026" type="#_x0000_t136" style="position:absolute;left:0;text-align:left;margin-left:0;margin-top:0;width:575.45pt;height:68.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CEF1" w14:textId="77777777" w:rsidR="00D07A5A" w:rsidRDefault="00000000">
    <w:pPr>
      <w:pStyle w:val="Header"/>
      <w:rPr>
        <w:lang w:val="en-US" w:eastAsia="en-US"/>
      </w:rPr>
    </w:pPr>
    <w:r>
      <w:rPr>
        <w:lang w:val="en-US" w:eastAsia="en-US"/>
      </w:rPr>
      <w:pict w14:anchorId="5A8D0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2" o:spid="_x0000_s1025" type="#_x0000_t136" style="position:absolute;left:0;text-align:left;margin-left:0;margin-top:0;width:575.45pt;height:68.8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1DE9" w14:textId="77777777" w:rsidR="00D07A5A" w:rsidRDefault="00D07A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A5CFF"/>
    <w:multiLevelType w:val="multilevel"/>
    <w:tmpl w:val="BB4CD9D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9E4DF6"/>
    <w:multiLevelType w:val="multilevel"/>
    <w:tmpl w:val="34A28F4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824083"/>
    <w:multiLevelType w:val="multilevel"/>
    <w:tmpl w:val="3420166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91C1DCA"/>
    <w:multiLevelType w:val="hybridMultilevel"/>
    <w:tmpl w:val="EBDAA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632B92"/>
    <w:multiLevelType w:val="hybridMultilevel"/>
    <w:tmpl w:val="8168F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302924">
    <w:abstractNumId w:val="2"/>
  </w:num>
  <w:num w:numId="2" w16cid:durableId="1149134333">
    <w:abstractNumId w:val="1"/>
  </w:num>
  <w:num w:numId="3" w16cid:durableId="968391440">
    <w:abstractNumId w:val="0"/>
  </w:num>
  <w:num w:numId="4" w16cid:durableId="1442264009">
    <w:abstractNumId w:val="3"/>
  </w:num>
  <w:num w:numId="5" w16cid:durableId="1663586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7A5A"/>
    <w:rsid w:val="002500B5"/>
    <w:rsid w:val="0025685C"/>
    <w:rsid w:val="005D535F"/>
    <w:rsid w:val="00917AFE"/>
    <w:rsid w:val="00AB0D87"/>
    <w:rsid w:val="00D07A5A"/>
    <w:rsid w:val="00E05B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EAF09"/>
  <w15:docId w15:val="{D61DB532-28F5-47E8-87AB-9CBC91E2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jc w:val="both"/>
    </w:pPr>
    <w:rPr>
      <w:rFonts w:ascii="Times New Roman" w:eastAsia="Calibri" w:hAnsi="Times New Roman" w:cs="Times New Roman"/>
      <w:sz w:val="24"/>
      <w:szCs w:val="22"/>
      <w:lang w:val="fr-FR" w:eastAsia="zh-CN"/>
    </w:rPr>
  </w:style>
  <w:style w:type="paragraph" w:styleId="Heading1">
    <w:name w:val="heading 1"/>
    <w:basedOn w:val="Normal"/>
    <w:next w:val="Normal"/>
    <w:uiPriority w:val="9"/>
    <w:qFormat/>
    <w:pPr>
      <w:keepNext/>
      <w:numPr>
        <w:numId w:val="1"/>
      </w:numPr>
      <w:spacing w:before="120" w:after="120" w:line="360" w:lineRule="auto"/>
      <w:outlineLvl w:val="0"/>
    </w:pPr>
    <w:rPr>
      <w:rFonts w:eastAsia="Times New Roman"/>
      <w:b/>
      <w:bCs/>
      <w:kern w:val="2"/>
      <w:sz w:val="20"/>
      <w:szCs w:val="24"/>
    </w:rPr>
  </w:style>
  <w:style w:type="paragraph" w:styleId="Heading2">
    <w:name w:val="heading 2"/>
    <w:basedOn w:val="Normal"/>
    <w:next w:val="Normal"/>
    <w:uiPriority w:val="9"/>
    <w:unhideWhenUsed/>
    <w:qFormat/>
    <w:pPr>
      <w:keepNext/>
      <w:numPr>
        <w:ilvl w:val="1"/>
        <w:numId w:val="1"/>
      </w:numPr>
      <w:spacing w:before="60" w:after="60" w:line="360" w:lineRule="auto"/>
      <w:ind w:left="709"/>
      <w:outlineLvl w:val="1"/>
    </w:pPr>
    <w:rPr>
      <w:rFonts w:ascii="Arial" w:eastAsia="Times New Roman" w:hAnsi="Arial" w:cs="Arial"/>
      <w:b/>
      <w:bCs/>
      <w:iCs/>
      <w:sz w:val="20"/>
      <w:szCs w:val="28"/>
      <w:shd w:val="clear" w:color="auto" w:fill="FFFFFF"/>
      <w:lang w:val="en-GB"/>
    </w:rPr>
  </w:style>
  <w:style w:type="paragraph" w:styleId="Heading3">
    <w:name w:val="heading 3"/>
    <w:basedOn w:val="Normal"/>
    <w:next w:val="Normal"/>
    <w:uiPriority w:val="9"/>
    <w:semiHidden/>
    <w:unhideWhenUsed/>
    <w:qFormat/>
    <w:pPr>
      <w:keepNext/>
      <w:numPr>
        <w:ilvl w:val="2"/>
        <w:numId w:val="1"/>
      </w:numPr>
      <w:spacing w:before="60" w:after="60" w:line="480" w:lineRule="auto"/>
      <w:ind w:left="1418"/>
      <w:outlineLvl w:val="2"/>
    </w:pPr>
    <w:rPr>
      <w:rFonts w:eastAsia="Times New Roman"/>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Aptos" w:eastAsia="Times New Roman"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3">
    <w:name w:val="WW8Num10z3"/>
    <w:qFormat/>
    <w:rPr>
      <w:rFonts w:ascii="Symbol" w:hAnsi="Symbol" w:cs="Symbol"/>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sz w:val="20"/>
    </w:rPr>
  </w:style>
  <w:style w:type="character" w:customStyle="1" w:styleId="WW8Num12z1">
    <w:name w:val="WW8Num12z1"/>
    <w:qFormat/>
    <w:rPr>
      <w:rFonts w:ascii="Courier New" w:hAnsi="Courier New" w:cs="Courier New"/>
      <w:sz w:val="20"/>
    </w:rPr>
  </w:style>
  <w:style w:type="character" w:customStyle="1" w:styleId="WW8Num12z2">
    <w:name w:val="WW8Num12z2"/>
    <w:qFormat/>
    <w:rPr>
      <w:rFonts w:ascii="Wingdings" w:hAnsi="Wingdings" w:cs="Wingdings"/>
      <w:sz w:val="2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HeaderChar">
    <w:name w:val="Header Char"/>
    <w:qFormat/>
    <w:rPr>
      <w:rFonts w:ascii="Times New Roman" w:hAnsi="Times New Roman" w:cs="Times New Roman"/>
      <w:sz w:val="24"/>
      <w:szCs w:val="22"/>
    </w:rPr>
  </w:style>
  <w:style w:type="character" w:customStyle="1" w:styleId="FooterChar">
    <w:name w:val="Footer Char"/>
    <w:qFormat/>
    <w:rPr>
      <w:rFonts w:ascii="Times New Roman" w:hAnsi="Times New Roman" w:cs="Times New Roman"/>
      <w:sz w:val="24"/>
      <w:szCs w:val="22"/>
    </w:rPr>
  </w:style>
  <w:style w:type="character" w:customStyle="1" w:styleId="Heading1Char">
    <w:name w:val="Heading 1 Char"/>
    <w:qFormat/>
    <w:rPr>
      <w:rFonts w:ascii="Times New Roman" w:eastAsia="Times New Roman" w:hAnsi="Times New Roman" w:cs="Times New Roman"/>
      <w:b/>
      <w:bCs/>
      <w:kern w:val="2"/>
      <w:szCs w:val="24"/>
    </w:rPr>
  </w:style>
  <w:style w:type="character" w:styleId="Hyperlink">
    <w:name w:val="Hyperlink"/>
    <w:rPr>
      <w:color w:val="0000FF"/>
      <w:u w:val="single"/>
    </w:rPr>
  </w:style>
  <w:style w:type="character" w:customStyle="1" w:styleId="Heading2Char">
    <w:name w:val="Heading 2 Char"/>
    <w:qFormat/>
    <w:rPr>
      <w:rFonts w:ascii="Arial" w:eastAsia="Times New Roman" w:hAnsi="Arial" w:cs="Arial"/>
      <w:b/>
      <w:bCs/>
      <w:iCs/>
      <w:szCs w:val="28"/>
      <w:lang w:val="en-GB"/>
    </w:rPr>
  </w:style>
  <w:style w:type="character" w:customStyle="1" w:styleId="Heading3Char">
    <w:name w:val="Heading 3 Char"/>
    <w:qFormat/>
    <w:rPr>
      <w:rFonts w:ascii="Times New Roman" w:eastAsia="Times New Roman" w:hAnsi="Times New Roman" w:cs="Times New Roman"/>
      <w:sz w:val="26"/>
      <w:szCs w:val="26"/>
    </w:rPr>
  </w:style>
  <w:style w:type="character" w:styleId="Emphasis">
    <w:name w:val="Emphasis"/>
    <w:uiPriority w:val="20"/>
    <w:qFormat/>
    <w:rPr>
      <w:i/>
      <w:iCs/>
    </w:rPr>
  </w:style>
  <w:style w:type="character" w:customStyle="1" w:styleId="Heading4Char">
    <w:name w:val="Heading 4 Char"/>
    <w:qFormat/>
    <w:rPr>
      <w:rFonts w:ascii="Aptos" w:eastAsia="Times New Roman" w:hAnsi="Aptos" w:cs="Times New Roman"/>
      <w:b/>
      <w:bCs/>
      <w:sz w:val="28"/>
      <w:szCs w:val="28"/>
    </w:rPr>
  </w:style>
  <w:style w:type="character" w:styleId="Strong">
    <w:name w:val="Strong"/>
    <w:uiPriority w:val="22"/>
    <w:qFormat/>
    <w:rPr>
      <w:b/>
      <w:bCs/>
    </w:rPr>
  </w:style>
  <w:style w:type="character" w:styleId="UnresolvedMention">
    <w:name w:val="Unresolved Mention"/>
    <w:qFormat/>
    <w:rPr>
      <w:color w:val="605E5C"/>
      <w:shd w:val="clear" w:color="auto" w:fill="E1DFDD"/>
    </w:rPr>
  </w:style>
  <w:style w:type="character" w:styleId="CommentReference">
    <w:name w:val="annotation reference"/>
    <w:qFormat/>
    <w:rPr>
      <w:sz w:val="16"/>
      <w:szCs w:val="16"/>
    </w:rPr>
  </w:style>
  <w:style w:type="character" w:customStyle="1" w:styleId="CommentTextChar">
    <w:name w:val="Comment Text Char"/>
    <w:qFormat/>
    <w:rPr>
      <w:rFonts w:ascii="Times New Roman" w:hAnsi="Times New Roman" w:cs="Times New Roman"/>
      <w:lang w:val="fr-FR"/>
    </w:rPr>
  </w:style>
  <w:style w:type="character" w:customStyle="1" w:styleId="CommentSubjectChar">
    <w:name w:val="Comment Subject Char"/>
    <w:qFormat/>
    <w:rPr>
      <w:rFonts w:ascii="Times New Roman" w:hAnsi="Times New Roman" w:cs="Times New Roman"/>
      <w:b/>
      <w:bCs/>
      <w:lang w:val="fr-FR"/>
    </w:rPr>
  </w:style>
  <w:style w:type="character" w:customStyle="1" w:styleId="NoSpacingChar">
    <w:name w:val="No Spacing Char"/>
    <w:qFormat/>
    <w:rPr>
      <w:rFonts w:ascii="Cambria" w:eastAsia="Times New Roman" w:hAnsi="Cambria" w:cs="Cambria"/>
      <w:lang w:val="fr-FR"/>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next w:val="Normal"/>
    <w:qFormat/>
    <w:rPr>
      <w:b/>
      <w:bCs/>
      <w:sz w:val="20"/>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TOCHeading">
    <w:name w:val="TOC Heading"/>
    <w:basedOn w:val="Heading1"/>
    <w:next w:val="Normal"/>
    <w:qFormat/>
    <w:pPr>
      <w:keepLines/>
      <w:numPr>
        <w:numId w:val="0"/>
      </w:numPr>
      <w:spacing w:before="240" w:after="0" w:line="257" w:lineRule="auto"/>
      <w:jc w:val="left"/>
      <w:outlineLvl w:val="9"/>
    </w:pPr>
    <w:rPr>
      <w:rFonts w:ascii="Calibri Light" w:hAnsi="Calibri Light"/>
      <w:b w:val="0"/>
      <w:bCs w:val="0"/>
      <w:color w:val="2E74B5"/>
      <w:kern w:val="0"/>
      <w:sz w:val="32"/>
    </w:rPr>
  </w:style>
  <w:style w:type="paragraph" w:styleId="TOC1">
    <w:name w:val="toc 1"/>
    <w:basedOn w:val="Normal"/>
    <w:next w:val="Normal"/>
  </w:style>
  <w:style w:type="paragraph" w:styleId="TOC2">
    <w:name w:val="toc 2"/>
    <w:basedOn w:val="Normal"/>
    <w:next w:val="Normal"/>
    <w:pPr>
      <w:tabs>
        <w:tab w:val="right" w:leader="dot" w:pos="9062"/>
      </w:tabs>
      <w:spacing w:line="360" w:lineRule="auto"/>
      <w:ind w:left="709" w:hanging="469"/>
    </w:pPr>
  </w:style>
  <w:style w:type="paragraph" w:styleId="TOC3">
    <w:name w:val="toc 3"/>
    <w:basedOn w:val="Normal"/>
    <w:next w:val="Normal"/>
    <w:pPr>
      <w:tabs>
        <w:tab w:val="right" w:leader="dot" w:pos="9062"/>
      </w:tabs>
      <w:spacing w:line="360" w:lineRule="auto"/>
      <w:ind w:left="851" w:hanging="371"/>
    </w:pPr>
  </w:style>
  <w:style w:type="paragraph" w:styleId="TableofFigures">
    <w:name w:val="table of figures"/>
    <w:basedOn w:val="Normal"/>
    <w:next w:val="Normal"/>
    <w:qFormat/>
  </w:style>
  <w:style w:type="paragraph" w:styleId="NormalWeb">
    <w:name w:val="Normal (Web)"/>
    <w:basedOn w:val="Normal"/>
    <w:uiPriority w:val="99"/>
    <w:qFormat/>
    <w:pPr>
      <w:spacing w:before="280" w:after="280" w:line="240" w:lineRule="auto"/>
      <w:jc w:val="left"/>
    </w:pPr>
    <w:rPr>
      <w:rFonts w:eastAsia="Times New Roman"/>
      <w:szCs w:val="24"/>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NoSpacing">
    <w:name w:val="No Spacing"/>
    <w:basedOn w:val="Normal"/>
    <w:qFormat/>
    <w:pPr>
      <w:spacing w:after="0" w:line="240" w:lineRule="auto"/>
    </w:pPr>
    <w:rPr>
      <w:rFonts w:ascii="Cambria" w:eastAsia="Times New Roman" w:hAnsi="Cambria" w:cs="Cambria"/>
      <w:sz w:val="20"/>
      <w:szCs w:val="20"/>
    </w:rPr>
  </w:style>
  <w:style w:type="paragraph" w:styleId="Revision">
    <w:name w:val="Revision"/>
    <w:qFormat/>
    <w:pPr>
      <w:suppressAutoHyphens/>
    </w:pPr>
    <w:rPr>
      <w:rFonts w:ascii="Times New Roman" w:eastAsia="Calibri" w:hAnsi="Times New Roman" w:cs="Times New Roman"/>
      <w:sz w:val="24"/>
      <w:szCs w:val="22"/>
      <w:lang w:val="fr-FR"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hyperlink" Target="https://doi.org/10.4996/fireecology.0601115" TargetMode="External"/><Relationship Id="rId26" Type="http://schemas.openxmlformats.org/officeDocument/2006/relationships/hyperlink" Target="https://doi.org/10.1071/WF12128" TargetMode="External"/><Relationship Id="rId39" Type="http://schemas.openxmlformats.org/officeDocument/2006/relationships/fontTable" Target="fontTable.xml"/><Relationship Id="rId21" Type="http://schemas.openxmlformats.org/officeDocument/2006/relationships/hyperlink" Target="https://doi.org/10.3354/esr00099" TargetMode="External"/><Relationship Id="rId34" Type="http://schemas.openxmlformats.org/officeDocument/2006/relationships/hyperlink" Target="https://doi.org/10.7208/chicago/9780226893334.001.0001"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doi.org/10.1016/j.foreco.2021.119338" TargetMode="External"/><Relationship Id="rId25" Type="http://schemas.openxmlformats.org/officeDocument/2006/relationships/hyperlink" Target="https://sciencepress.mnhn.fr/en/collections/memoires-du-museum-national-d-histoire-naturelle/le-peuplement-animal-du-mont-nimba-guinee-cote-d-ivoire-liberia?utm_source=chatgpt.com" TargetMode="External"/><Relationship Id="rId33" Type="http://schemas.openxmlformats.org/officeDocument/2006/relationships/hyperlink" Target="https://doi.org/10.1073/pnas.0801921105"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s://doi.org/10.1098/rspb.2002.1974" TargetMode="External"/><Relationship Id="rId29" Type="http://schemas.openxmlformats.org/officeDocument/2006/relationships/hyperlink" Target="https://doi.org/10.1073/pnas.05090601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www.biodiversitylibrary.org/part/385802?utm_source=chatgpt.com" TargetMode="External"/><Relationship Id="rId32" Type="http://schemas.openxmlformats.org/officeDocument/2006/relationships/hyperlink" Target="https://doi.org/10.3897/zse.93.10489"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1016/j.foreco.2018.06.018" TargetMode="External"/><Relationship Id="rId28" Type="http://schemas.openxmlformats.org/officeDocument/2006/relationships/hyperlink" Target="https://doi.org/10.1016/S0378-1127(03)00060-4" TargetMode="External"/><Relationship Id="rId36"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yperlink" Target="https://doi.org/10.1016/0006-3207(93)90439-8" TargetMode="External"/><Relationship Id="rId31" Type="http://schemas.openxmlformats.org/officeDocument/2006/relationships/hyperlink" Target="https://doi.org/10.1016/j.biocon.2016.03.033"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hyperlink" Target="https://doi.org/10.4996/fireecology.0702129" TargetMode="External"/><Relationship Id="rId27" Type="http://schemas.openxmlformats.org/officeDocument/2006/relationships/hyperlink" Target="https://doi.org/10.1007/s10682-018-9927-6" TargetMode="External"/><Relationship Id="rId30" Type="http://schemas.openxmlformats.org/officeDocument/2006/relationships/hyperlink" Target="https://doi.org/10.1080/03946975.2004.10531206" TargetMode="External"/><Relationship Id="rId35" Type="http://schemas.openxmlformats.org/officeDocument/2006/relationships/header" Target="head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13</Pages>
  <Words>4823</Words>
  <Characters>27493</Characters>
  <Application>Microsoft Office Word</Application>
  <DocSecurity>0</DocSecurity>
  <Lines>229</Lines>
  <Paragraphs>64</Paragraphs>
  <ScaleCrop>false</ScaleCrop>
  <Company/>
  <LinksUpToDate>false</LinksUpToDate>
  <CharactersWithSpaces>32252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KANGPHIL</dc:creator>
  <cp:keywords/>
  <dc:description/>
  <cp:lastModifiedBy>Editor-90</cp:lastModifiedBy>
  <cp:revision>37</cp:revision>
  <cp:lastPrinted>2026-02-27T08:40:00Z</cp:lastPrinted>
  <dcterms:created xsi:type="dcterms:W3CDTF">2026-05-20T08:28:00Z</dcterms:created>
  <dcterms:modified xsi:type="dcterms:W3CDTF">2026-06-23T10:47:00Z</dcterms:modified>
  <dc:language>en-US</dc:language>
</cp:coreProperties>
</file>