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C426C" w14:textId="1E1F86D4" w:rsidR="00265023" w:rsidRPr="00265023" w:rsidRDefault="00145958" w:rsidP="00145958">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145958">
        <w:rPr>
          <w:rFonts w:ascii="Times New Roman" w:eastAsia="Times New Roman" w:hAnsi="Times New Roman" w:cs="Times New Roman"/>
          <w:b/>
          <w:bCs/>
          <w:sz w:val="36"/>
          <w:szCs w:val="36"/>
          <w:lang w:eastAsia="en-GB"/>
        </w:rPr>
        <w:t>A Critical Review</w:t>
      </w:r>
      <w:r>
        <w:rPr>
          <w:rFonts w:ascii="Times New Roman" w:eastAsia="Times New Roman" w:hAnsi="Times New Roman" w:cs="Times New Roman"/>
          <w:b/>
          <w:bCs/>
          <w:sz w:val="36"/>
          <w:szCs w:val="36"/>
          <w:lang w:eastAsia="en-GB"/>
        </w:rPr>
        <w:t xml:space="preserve"> on </w:t>
      </w:r>
      <w:r w:rsidR="00265023" w:rsidRPr="00265023">
        <w:rPr>
          <w:rFonts w:ascii="Times New Roman" w:eastAsia="Times New Roman" w:hAnsi="Times New Roman" w:cs="Times New Roman"/>
          <w:b/>
          <w:bCs/>
          <w:sz w:val="36"/>
          <w:szCs w:val="36"/>
          <w:lang w:eastAsia="en-GB"/>
        </w:rPr>
        <w:t>Sickle Cell Disease: Pathophysiology, Clinical Burden, and Therapeutic Advances</w:t>
      </w:r>
    </w:p>
    <w:p w14:paraId="19FCE9D3" w14:textId="77777777" w:rsidR="00265023" w:rsidRPr="00265023" w:rsidRDefault="00265023" w:rsidP="00145958">
      <w:pPr>
        <w:spacing w:after="0" w:line="240" w:lineRule="auto"/>
        <w:jc w:val="both"/>
        <w:rPr>
          <w:rFonts w:ascii="Times New Roman" w:eastAsia="Times New Roman" w:hAnsi="Times New Roman" w:cs="Times New Roman"/>
          <w:sz w:val="24"/>
          <w:szCs w:val="24"/>
          <w:lang w:eastAsia="en-GB"/>
        </w:rPr>
      </w:pPr>
    </w:p>
    <w:p w14:paraId="16A30D29" w14:textId="77777777" w:rsidR="00265023" w:rsidRPr="00265023" w:rsidRDefault="00265023" w:rsidP="0014595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t>Abstract</w:t>
      </w:r>
    </w:p>
    <w:p w14:paraId="083CA425"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Sickle cell disease (SCD) is a monogenic haemoglobin disorder caused by a point mutation in the β-globin gene, resulting in the production of haemoglobin S, which polymerises under deoxygenated conditions to distort erythrocytes into characteristic sickle shapes. The consequences of this structural abnormality extend far beyond haemolysis, encompassing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 xml:space="preserve">-occlusion, endothelial activation, chronic organ dysfunction, and profound psychosocial burden. Despite representing one of the most prevalent genetic disorders worldwide, SCD has historically received comparatively little research investment relative to the scale of suffering it causes. The past decade has witnessed a remarkable acceleration in the understanding of SCD pathophysiology and an equally striking transformation in its therapeutic landscape. The regulatory approvals of L-glutamine, lentiviral gene therapy, and CRISPR-Cas9–based gene editing represent genuine milestones in clinical haematology, whilst the post-authorisation withdrawals of crizanlizumab and </w:t>
      </w:r>
      <w:proofErr w:type="spellStart"/>
      <w:r w:rsidRPr="00265023">
        <w:rPr>
          <w:rFonts w:ascii="Times New Roman" w:eastAsia="Times New Roman" w:hAnsi="Times New Roman" w:cs="Times New Roman"/>
          <w:sz w:val="24"/>
          <w:szCs w:val="24"/>
          <w:lang w:eastAsia="en-GB"/>
        </w:rPr>
        <w:t>voxelotor</w:t>
      </w:r>
      <w:proofErr w:type="spellEnd"/>
      <w:r w:rsidRPr="00265023">
        <w:rPr>
          <w:rFonts w:ascii="Times New Roman" w:eastAsia="Times New Roman" w:hAnsi="Times New Roman" w:cs="Times New Roman"/>
          <w:sz w:val="24"/>
          <w:szCs w:val="24"/>
          <w:lang w:eastAsia="en-GB"/>
        </w:rPr>
        <w:t xml:space="preserve"> have underscored the critical importance of clinical over surrogate endpoints in trial design and regulatory evaluation. Nevertheless, the overwhelming majority of affected individuals — concentrated in sub-Saharan Africa, South Asia, and the Middle East — continue to lack access even to hydroxyurea (hydroxycarbamide), let alone to curative options. This critical review synthesises contemporary evidence on the molecular pathophysiology, clinical spectrum, diagnostic strategies, and therapeutic advances in SCD, with particular attention to the growing divide between the scientific frontier and the realities of global care delivery. Persistent gaps in evidence are identified, and areas requiring urgent research and policy action are discussed.</w:t>
      </w:r>
    </w:p>
    <w:p w14:paraId="1971CACA"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b/>
          <w:bCs/>
          <w:sz w:val="24"/>
          <w:szCs w:val="24"/>
          <w:lang w:eastAsia="en-GB"/>
        </w:rPr>
        <w:t>Keywords:</w:t>
      </w:r>
      <w:r w:rsidRPr="00265023">
        <w:rPr>
          <w:rFonts w:ascii="Times New Roman" w:eastAsia="Times New Roman" w:hAnsi="Times New Roman" w:cs="Times New Roman"/>
          <w:sz w:val="24"/>
          <w:szCs w:val="24"/>
          <w:lang w:eastAsia="en-GB"/>
        </w:rPr>
        <w:t xml:space="preserve"> sickle cell disease; haemoglobin S;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-occlusion; gene therapy; CRISPR-Cas9; hydroxyurea; haematopoietic stem cell transplantation; global health; haemoglobinopathy</w:t>
      </w:r>
    </w:p>
    <w:p w14:paraId="3D7D7113" w14:textId="77777777" w:rsidR="00265023" w:rsidRPr="00265023" w:rsidRDefault="00265023" w:rsidP="00145958">
      <w:pPr>
        <w:spacing w:after="0" w:line="240" w:lineRule="auto"/>
        <w:jc w:val="both"/>
        <w:rPr>
          <w:rFonts w:ascii="Times New Roman" w:eastAsia="Times New Roman" w:hAnsi="Times New Roman" w:cs="Times New Roman"/>
          <w:sz w:val="24"/>
          <w:szCs w:val="24"/>
          <w:lang w:eastAsia="en-GB"/>
        </w:rPr>
      </w:pPr>
    </w:p>
    <w:p w14:paraId="1067C540" w14:textId="77777777" w:rsidR="00265023" w:rsidRPr="00265023" w:rsidRDefault="00265023" w:rsidP="0014595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t>1. Introduction</w:t>
      </w:r>
    </w:p>
    <w:p w14:paraId="7806F439"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1.1 Historical Context and Significance</w:t>
      </w:r>
    </w:p>
    <w:p w14:paraId="350E2367" w14:textId="77777777" w:rsidR="00463E83" w:rsidRDefault="00463E83" w:rsidP="00463E83">
      <w:pPr>
        <w:pStyle w:val="isselectedend"/>
        <w:jc w:val="both"/>
      </w:pPr>
      <w:r>
        <w:t xml:space="preserve">Sickle cell disease has a clinical history extending more than a century. The first published medical description of sickled erythrocytes in the English-language literature appeared in 1910, when James Herrick reported peculiar elongated and crescent-shaped red blood corpuscles in the peripheral blood of a young West Indian patient presenting with severe </w:t>
      </w:r>
      <w:proofErr w:type="spellStart"/>
      <w:r>
        <w:t>anaemia</w:t>
      </w:r>
      <w:proofErr w:type="spellEnd"/>
      <w:r>
        <w:t xml:space="preserve">. Although the molecular basis of the condition — a single amino acid substitution in the β-globin chain — was not elucidated until Pauling and colleagues identified it in 1949 as a prototypical molecular disease, the intervening decades progressively revealed the extraordinary pathobiological complexity underlying what might superficially appear to be a simple genetic defect. SCD is now </w:t>
      </w:r>
      <w:proofErr w:type="spellStart"/>
      <w:r>
        <w:t>recognised</w:t>
      </w:r>
      <w:proofErr w:type="spellEnd"/>
      <w:r>
        <w:t xml:space="preserve"> as a systemic vasculopathy with multiorgan involvement, driven by </w:t>
      </w:r>
      <w:proofErr w:type="spellStart"/>
      <w:r>
        <w:t>haemolysis</w:t>
      </w:r>
      <w:proofErr w:type="spellEnd"/>
      <w:r>
        <w:t xml:space="preserve">, </w:t>
      </w:r>
      <w:proofErr w:type="spellStart"/>
      <w:r>
        <w:t>vaso</w:t>
      </w:r>
      <w:proofErr w:type="spellEnd"/>
      <w:r>
        <w:t xml:space="preserve">-occlusion, reperfusion injury, inflammation, and coagulopathy (Kato et al., 2018; </w:t>
      </w:r>
      <w:proofErr w:type="spellStart"/>
      <w:r>
        <w:t>Sundd</w:t>
      </w:r>
      <w:proofErr w:type="spellEnd"/>
      <w:r>
        <w:t xml:space="preserve"> et al., 2019). </w:t>
      </w:r>
      <w:r w:rsidRPr="00463E83">
        <w:rPr>
          <w:rStyle w:val="Strong"/>
          <w:b w:val="0"/>
          <w:bCs w:val="0"/>
          <w:highlight w:val="yellow"/>
        </w:rPr>
        <w:t xml:space="preserve">Recent gene-therapy reviews further indicate that lentiviral gene addition and CRISPR-based genome editing have shifted SCD </w:t>
      </w:r>
      <w:r w:rsidRPr="00463E83">
        <w:rPr>
          <w:rStyle w:val="Strong"/>
          <w:b w:val="0"/>
          <w:bCs w:val="0"/>
          <w:highlight w:val="yellow"/>
        </w:rPr>
        <w:lastRenderedPageBreak/>
        <w:t>research from purely symptomatic disease control toward potentially disease-modifying and curative strategies, although safety, delivery, durability, and cost remain major translational barriers (Ballantine &amp; Tisdale, 2025).</w:t>
      </w:r>
    </w:p>
    <w:p w14:paraId="7A710559" w14:textId="77777777" w:rsidR="00463E83" w:rsidRDefault="00463E83" w:rsidP="00463E83">
      <w:pPr>
        <w:pStyle w:val="NormalWeb"/>
        <w:jc w:val="both"/>
      </w:pPr>
      <w:r>
        <w:t xml:space="preserve">The disease has also occupied a unique and sometimes uncomfortable place in the history of medicine, having been disproportionately concentrated in populations of African descent and, for much of the twentieth century, receiving comparatively little research investment relative to both its scale and its clinical severity (Chakravorty &amp; Williams, 2015). Renewed scientific interest — driven partly by the rise of molecular haematology and partly by recognition of SCD as a paradigmatic target for emerging gene-based therapies — has transformed the understanding and management of the condition in recent years. Yet translating these advances equitably to populations most affected by the disease remains one of the central challenges of contemporary global health. </w:t>
      </w:r>
      <w:r w:rsidRPr="00463E83">
        <w:rPr>
          <w:rStyle w:val="Strong"/>
          <w:b w:val="0"/>
          <w:bCs w:val="0"/>
          <w:highlight w:val="yellow"/>
        </w:rPr>
        <w:t>This concern is especially salient because current gene-modified cellular therapies depend on costly, highly specialised infrastructure that is concentrated in a limited number of advanced health-care systems, thereby risking amplification rather than reduction of existing global inequities in SCD care (Sharma et al., 2024).</w:t>
      </w:r>
    </w:p>
    <w:p w14:paraId="12C42869"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1.2 Global Epidemiology</w:t>
      </w:r>
    </w:p>
    <w:p w14:paraId="0A4F0B1B"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SCD is amongst the most common monogenic diseases in the world. The sickle haemoglobin allele (HbS) arises from a single nucleotide substitution in codon 6 of the β-globin gene on chromosome 11, and its geographic distribution closely follows the historical footprint of </w:t>
      </w:r>
      <w:r w:rsidRPr="00265023">
        <w:rPr>
          <w:rFonts w:ascii="Times New Roman" w:eastAsia="Times New Roman" w:hAnsi="Times New Roman" w:cs="Times New Roman"/>
          <w:i/>
          <w:iCs/>
          <w:sz w:val="24"/>
          <w:szCs w:val="24"/>
          <w:lang w:eastAsia="en-GB"/>
        </w:rPr>
        <w:t>Plasmodium falciparum</w:t>
      </w:r>
      <w:r w:rsidRPr="00265023">
        <w:rPr>
          <w:rFonts w:ascii="Times New Roman" w:eastAsia="Times New Roman" w:hAnsi="Times New Roman" w:cs="Times New Roman"/>
          <w:sz w:val="24"/>
          <w:szCs w:val="24"/>
          <w:lang w:eastAsia="en-GB"/>
        </w:rPr>
        <w:t xml:space="preserve"> malaria, reflecting the heterozygote advantage conferred by HbS carriage against severe malaria (Piel et al., 2013b). Approximately 300,000 infants are born with SCD annually worldwide, and modelling projections suggest this figure will rise substantially over coming decades in the absence of expanded preventive and diagnostic interventions (Piel et al., 2013a). The highest disease burden falls on sub-Saharan Africa, where Nigeria and the Democratic Republic of Congo alone account for more than half of global SCD births (Grosse et al., 2011). Significant affected populations also exist in the Middle East, the Indian subcontinent, and, through migration, across Europe and North America (Piel et al., 2017).</w:t>
      </w:r>
    </w:p>
    <w:p w14:paraId="1569BED0"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Life expectancy in SCD has improved markedly in high-income countries over the past four decades, largely owing to newborn screening, prophylactic penicillin, pneumococcal vaccination, and hydroxyurea therapy; median survival in the United States now extends into the fifth decade (Ware et al., 2017). In contrast, survival data from much of sub-Saharan Africa remain alarming: pre-clinical diagnosis is rare, and more than half of children born with SCD in these settings may die before their fifth birthday (Grosse et al., 2011; World Health Organization, </w:t>
      </w:r>
      <w:r w:rsidR="00F465E0">
        <w:rPr>
          <w:rFonts w:ascii="Times New Roman" w:eastAsia="Times New Roman" w:hAnsi="Times New Roman" w:cs="Times New Roman"/>
          <w:sz w:val="24"/>
          <w:szCs w:val="24"/>
          <w:lang w:eastAsia="en-GB"/>
        </w:rPr>
        <w:t>2025</w:t>
      </w:r>
      <w:r w:rsidRPr="00265023">
        <w:rPr>
          <w:rFonts w:ascii="Times New Roman" w:eastAsia="Times New Roman" w:hAnsi="Times New Roman" w:cs="Times New Roman"/>
          <w:sz w:val="24"/>
          <w:szCs w:val="24"/>
          <w:lang w:eastAsia="en-GB"/>
        </w:rPr>
        <w:t>). These disparities reflect deeply entrenched structural inequities in health systems and demand urgent policy intervention.</w:t>
      </w:r>
    </w:p>
    <w:p w14:paraId="14C9E74A"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1.3 Scope and Objectives</w:t>
      </w:r>
    </w:p>
    <w:p w14:paraId="20BABE6D"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This article provides a critical and comprehensive narrative review of current knowledge in sickle cell disease. The scope encompasses molecular pathophysiology, the clinical spectrum of acute and chronic complications, diagnostic and screening strategies, approved disease-modifying therapies, and advances in haematopoietic stem cell transplantation and gene therapy. Psychosocial dimensions and global health disparities are also addressed. The objectives are to synthesise and critically evaluate the contemporary evidence base, to </w:t>
      </w:r>
      <w:r w:rsidRPr="00265023">
        <w:rPr>
          <w:rFonts w:ascii="Times New Roman" w:eastAsia="Times New Roman" w:hAnsi="Times New Roman" w:cs="Times New Roman"/>
          <w:sz w:val="24"/>
          <w:szCs w:val="24"/>
          <w:lang w:eastAsia="en-GB"/>
        </w:rPr>
        <w:lastRenderedPageBreak/>
        <w:t>highlight areas of scientific progress alongside persistent knowledge gaps, and to situate therapeutic advances within the broader context of equitable global health delivery.</w:t>
      </w:r>
    </w:p>
    <w:p w14:paraId="37282C72" w14:textId="77777777" w:rsidR="00265023" w:rsidRPr="00265023" w:rsidRDefault="00265023" w:rsidP="00145958">
      <w:pPr>
        <w:spacing w:after="0" w:line="240" w:lineRule="auto"/>
        <w:jc w:val="both"/>
        <w:rPr>
          <w:rFonts w:ascii="Times New Roman" w:eastAsia="Times New Roman" w:hAnsi="Times New Roman" w:cs="Times New Roman"/>
          <w:sz w:val="24"/>
          <w:szCs w:val="24"/>
          <w:lang w:eastAsia="en-GB"/>
        </w:rPr>
      </w:pPr>
    </w:p>
    <w:p w14:paraId="1B3DEAE2" w14:textId="77777777" w:rsidR="00265023" w:rsidRPr="00265023" w:rsidRDefault="00265023" w:rsidP="0014595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t>2. Methods for Literature Selection</w:t>
      </w:r>
    </w:p>
    <w:p w14:paraId="31688EEF"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2.1 Search Strategy and Databases</w:t>
      </w:r>
    </w:p>
    <w:p w14:paraId="13402E75"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A narrative review approach was adopted for this article, reflecting the multidisciplinary breadth of the topic and the heterogeneity of evidence across pathophysiology, clinical medicine, public health, and emerging therapeutics. As Greenhalgh et al. (2018) have argued, narrative reviews are particularly well-suited when the aim is to synthesise a complex, evolving body of literature across multiple disciplines, rather than to answer a single focused clinical question amenable to meta-analytic pooling. A systematic meta-analytic framework was not considered appropriate given the diverse study designs, endpoints, and patient populations represented across the SCD literature.</w:t>
      </w:r>
    </w:p>
    <w:p w14:paraId="20430ADC"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The literature search was conducted across the following databases: PubMed/MEDLINE, Web of Science, Scopus, EMBASE, the Cochrane Library, ClinicalTrials.gov (for registered trials with published results), the Global Index Medicus (encompassing LILACS, AIM, IMSEAR, WPRIM, and EMRO, to capture studies from low- and middle-income countries where SCD burden is greatest), and the WHO Institutional Repository for Information Sharing (IRIS). The primary search window was defined from </w:t>
      </w:r>
      <w:r w:rsidR="002C7E26">
        <w:rPr>
          <w:rFonts w:ascii="Times New Roman" w:eastAsia="Times New Roman" w:hAnsi="Times New Roman" w:cs="Times New Roman"/>
          <w:sz w:val="24"/>
          <w:szCs w:val="24"/>
          <w:lang w:eastAsia="en-GB"/>
        </w:rPr>
        <w:t xml:space="preserve">1 January </w:t>
      </w:r>
      <w:r w:rsidRPr="00265023">
        <w:rPr>
          <w:rFonts w:ascii="Times New Roman" w:eastAsia="Times New Roman" w:hAnsi="Times New Roman" w:cs="Times New Roman"/>
          <w:sz w:val="24"/>
          <w:szCs w:val="24"/>
          <w:lang w:eastAsia="en-GB"/>
        </w:rPr>
        <w:t xml:space="preserve">2015 to 26 May 2026, chosen to reflect the modern era of SCD management characterised by expanded clinical trial activity, multiple regulatory approvals, and the emergence of gene-based curative strategies. Seminal older studies — including those from the </w:t>
      </w:r>
      <w:proofErr w:type="spellStart"/>
      <w:r w:rsidRPr="00265023">
        <w:rPr>
          <w:rFonts w:ascii="Times New Roman" w:eastAsia="Times New Roman" w:hAnsi="Times New Roman" w:cs="Times New Roman"/>
          <w:sz w:val="24"/>
          <w:szCs w:val="24"/>
          <w:lang w:eastAsia="en-GB"/>
        </w:rPr>
        <w:t>Multicenter</w:t>
      </w:r>
      <w:proofErr w:type="spellEnd"/>
      <w:r w:rsidRPr="00265023">
        <w:rPr>
          <w:rFonts w:ascii="Times New Roman" w:eastAsia="Times New Roman" w:hAnsi="Times New Roman" w:cs="Times New Roman"/>
          <w:sz w:val="24"/>
          <w:szCs w:val="24"/>
          <w:lang w:eastAsia="en-GB"/>
        </w:rPr>
        <w:t xml:space="preserve"> Study of Hydroxyurea in Sickle Cell </w:t>
      </w:r>
      <w:proofErr w:type="spellStart"/>
      <w:r w:rsidRPr="00265023">
        <w:rPr>
          <w:rFonts w:ascii="Times New Roman" w:eastAsia="Times New Roman" w:hAnsi="Times New Roman" w:cs="Times New Roman"/>
          <w:sz w:val="24"/>
          <w:szCs w:val="24"/>
          <w:lang w:eastAsia="en-GB"/>
        </w:rPr>
        <w:t>Anemia</w:t>
      </w:r>
      <w:proofErr w:type="spellEnd"/>
      <w:r w:rsidRPr="00265023">
        <w:rPr>
          <w:rFonts w:ascii="Times New Roman" w:eastAsia="Times New Roman" w:hAnsi="Times New Roman" w:cs="Times New Roman"/>
          <w:sz w:val="24"/>
          <w:szCs w:val="24"/>
          <w:lang w:eastAsia="en-GB"/>
        </w:rPr>
        <w:t xml:space="preserve"> (MSH) and the STOP transcranial Doppler trial — were incorporated as classic references where their foundational influence on the field remains undiminished.</w:t>
      </w:r>
    </w:p>
    <w:p w14:paraId="470450EB"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2.2 Search Terms and Inclusion Criteria</w:t>
      </w:r>
    </w:p>
    <w:p w14:paraId="0BA12DA7"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Principal search strings included combinations of: "sickle cell disease", "sickle cell anaemia", "haemoglobin S",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w:t>
      </w:r>
      <w:proofErr w:type="spellStart"/>
      <w:r w:rsidRPr="00265023">
        <w:rPr>
          <w:rFonts w:ascii="Times New Roman" w:eastAsia="Times New Roman" w:hAnsi="Times New Roman" w:cs="Times New Roman"/>
          <w:sz w:val="24"/>
          <w:szCs w:val="24"/>
          <w:lang w:eastAsia="en-GB"/>
        </w:rPr>
        <w:t>HbSC</w:t>
      </w:r>
      <w:proofErr w:type="spellEnd"/>
      <w:r w:rsidRPr="00265023">
        <w:rPr>
          <w:rFonts w:ascii="Times New Roman" w:eastAsia="Times New Roman" w:hAnsi="Times New Roman" w:cs="Times New Roman"/>
          <w:sz w:val="24"/>
          <w:szCs w:val="24"/>
          <w:lang w:eastAsia="en-GB"/>
        </w:rPr>
        <w:t>",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-occlusive crisis", "acute chest syndrome", "haematopoietic stem cell transplantation", "gene therapy sickle cell", "CRISPR sickle cell", "hydroxyurea sickle cell", "crizanlizumab", "</w:t>
      </w:r>
      <w:proofErr w:type="spellStart"/>
      <w:r w:rsidRPr="00265023">
        <w:rPr>
          <w:rFonts w:ascii="Times New Roman" w:eastAsia="Times New Roman" w:hAnsi="Times New Roman" w:cs="Times New Roman"/>
          <w:sz w:val="24"/>
          <w:szCs w:val="24"/>
          <w:lang w:eastAsia="en-GB"/>
        </w:rPr>
        <w:t>voxelotor</w:t>
      </w:r>
      <w:proofErr w:type="spellEnd"/>
      <w:r w:rsidRPr="00265023">
        <w:rPr>
          <w:rFonts w:ascii="Times New Roman" w:eastAsia="Times New Roman" w:hAnsi="Times New Roman" w:cs="Times New Roman"/>
          <w:sz w:val="24"/>
          <w:szCs w:val="24"/>
          <w:lang w:eastAsia="en-GB"/>
        </w:rPr>
        <w:t>", "L-glutamine sickle cell", "newborn screening sickle cell", "sickle cell epidemiology", and "sickle cell quality of life". Boolean operators were used to combine and refine terms. Inclusion criteria required full-text articles published in peer-reviewed journals; grey literature, conference abstracts, preprints, trade publications, book chapters, and patents were excluded. Language inclusion was restricted to English. Authoritative reports from the World Health Organization were included where no peer-reviewed equivalent provided comparable global epidemiological data, identified by verifiable institutional URL. Search terms were aligned with standard clinical nomenclature as established in current literature (Ware et al., 2017).</w:t>
      </w:r>
    </w:p>
    <w:p w14:paraId="416110D2"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2.3 Screening and Selection Workflow</w:t>
      </w:r>
    </w:p>
    <w:p w14:paraId="43CF281F"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Retrieved records were screened initially at the title and abstract level for relevance to the defined topic domains. Duplicates identified across databases were removed before full-text </w:t>
      </w:r>
      <w:r w:rsidRPr="00265023">
        <w:rPr>
          <w:rFonts w:ascii="Times New Roman" w:eastAsia="Times New Roman" w:hAnsi="Times New Roman" w:cs="Times New Roman"/>
          <w:sz w:val="24"/>
          <w:szCs w:val="24"/>
          <w:lang w:eastAsia="en-GB"/>
        </w:rPr>
        <w:lastRenderedPageBreak/>
        <w:t>review. Full-text articles were assessed against inclusion criteria, with priority given to randomised controlled trials, large cohort studies, systematic reviews, and high-impact narrative reviews in leading journals. Studies with clear methodological weaknesses, underpowered and unreplicated pilot datasets, or publications of questionable peer-review rigour were excluded. The final reference corpus represents the most relevant and methodologically robust literature available to support the claims made herein; the prioritisation of studies by design quality and consistency of replication reflects best practice for evidence synthesis in complex multidisciplinary fields (Greenhalgh et al., 2018).</w:t>
      </w:r>
    </w:p>
    <w:p w14:paraId="7D431350" w14:textId="77777777" w:rsidR="00265023" w:rsidRPr="00265023" w:rsidRDefault="00265023" w:rsidP="00145958">
      <w:pPr>
        <w:spacing w:after="0" w:line="240" w:lineRule="auto"/>
        <w:jc w:val="both"/>
        <w:rPr>
          <w:rFonts w:ascii="Times New Roman" w:eastAsia="Times New Roman" w:hAnsi="Times New Roman" w:cs="Times New Roman"/>
          <w:sz w:val="24"/>
          <w:szCs w:val="24"/>
          <w:lang w:eastAsia="en-GB"/>
        </w:rPr>
      </w:pPr>
    </w:p>
    <w:p w14:paraId="1148CD0A" w14:textId="77777777" w:rsidR="00265023" w:rsidRPr="00265023" w:rsidRDefault="00265023" w:rsidP="0014595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t>3. Molecular Pathophysiology of Sickle Cell Disease</w:t>
      </w:r>
    </w:p>
    <w:p w14:paraId="30EEBE8B"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3.1 The Sickle Haemoglobin Mutation and HbS Polymerisation</w:t>
      </w:r>
    </w:p>
    <w:p w14:paraId="5210A007"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SCD results from a single nucleotide substitution (GAG→GTG) in codon 6 of the β-globin gene, causing the replacement of glutamic acid with valine at the sixth position of the β-globin chain and producing haemoglobin S (HbS) in place of normal haemoglobin A (Piel et al., 2017). In homozygous individuals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who carry the most severe common form of the disease, this substitution alters the surface chemistry of the haemoglobin tetramer in its deoxygenated conformation, exposing a hydrophobic pocket that permits HbS molecules to form intermolecular contacts and polymerise into long, rigid fibres (</w:t>
      </w:r>
      <w:proofErr w:type="spellStart"/>
      <w:r w:rsidRPr="00265023">
        <w:rPr>
          <w:rFonts w:ascii="Times New Roman" w:eastAsia="Times New Roman" w:hAnsi="Times New Roman" w:cs="Times New Roman"/>
          <w:sz w:val="24"/>
          <w:szCs w:val="24"/>
          <w:lang w:eastAsia="en-GB"/>
        </w:rPr>
        <w:t>Sundd</w:t>
      </w:r>
      <w:proofErr w:type="spellEnd"/>
      <w:r w:rsidRPr="00265023">
        <w:rPr>
          <w:rFonts w:ascii="Times New Roman" w:eastAsia="Times New Roman" w:hAnsi="Times New Roman" w:cs="Times New Roman"/>
          <w:sz w:val="24"/>
          <w:szCs w:val="24"/>
          <w:lang w:eastAsia="en-GB"/>
        </w:rPr>
        <w:t xml:space="preserve"> et al., 2019). These polymer fibres distort the erythrocyte membrane into the iconic crescent or sickle shape, dramatically increasing cell rigidity and fragility.</w:t>
      </w:r>
    </w:p>
    <w:p w14:paraId="62D81BF6"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The polymerisation process is highly sensitive to the intracellular concentration of deoxygenated HbS and exhibits a characteristic nucleation delay time before rapid fibre elongation. Below a critical concentration threshold, sickling does not occur spontaneously; however, during transit through the microcirculation — particularly under conditions of low oxygen tension, acidosis, dehydration, or elevated temperature — the threshold is readily exceeded (Kato et al., 2018). Importantly, sickling is reversible upon reoxygenation in the early stages of disease, but repeated cycles of sickling and unsickling cause cumulative membrane damage, producing dense, dehydrated, irreversibly sickled cells that haemolyse readily and contribute disproportionately to the anaemia and vascular injury that are central to clinical disease expression (Pecker &amp; </w:t>
      </w:r>
      <w:proofErr w:type="spellStart"/>
      <w:r w:rsidRPr="00265023">
        <w:rPr>
          <w:rFonts w:ascii="Times New Roman" w:eastAsia="Times New Roman" w:hAnsi="Times New Roman" w:cs="Times New Roman"/>
          <w:sz w:val="24"/>
          <w:szCs w:val="24"/>
          <w:lang w:eastAsia="en-GB"/>
        </w:rPr>
        <w:t>Lanzkron</w:t>
      </w:r>
      <w:proofErr w:type="spellEnd"/>
      <w:r w:rsidRPr="00265023">
        <w:rPr>
          <w:rFonts w:ascii="Times New Roman" w:eastAsia="Times New Roman" w:hAnsi="Times New Roman" w:cs="Times New Roman"/>
          <w:sz w:val="24"/>
          <w:szCs w:val="24"/>
          <w:lang w:eastAsia="en-GB"/>
        </w:rPr>
        <w:t>, 2021).</w:t>
      </w:r>
    </w:p>
    <w:p w14:paraId="17B58A08"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3.2 Cellular and Vascular Consequences of Sickling</w:t>
      </w:r>
    </w:p>
    <w:p w14:paraId="2A7D0A55"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The pathophysiology of SCD extends considerably beyond the mechanical deformation of erythrocytes. Sickle cells exhibit abnormal adhesion to the vascular endothelium, mediated through interactions involving integrins, selectins, and various plasma proteins (</w:t>
      </w:r>
      <w:proofErr w:type="spellStart"/>
      <w:r w:rsidRPr="00265023">
        <w:rPr>
          <w:rFonts w:ascii="Times New Roman" w:eastAsia="Times New Roman" w:hAnsi="Times New Roman" w:cs="Times New Roman"/>
          <w:sz w:val="24"/>
          <w:szCs w:val="24"/>
          <w:lang w:eastAsia="en-GB"/>
        </w:rPr>
        <w:t>Sundd</w:t>
      </w:r>
      <w:proofErr w:type="spellEnd"/>
      <w:r w:rsidRPr="00265023">
        <w:rPr>
          <w:rFonts w:ascii="Times New Roman" w:eastAsia="Times New Roman" w:hAnsi="Times New Roman" w:cs="Times New Roman"/>
          <w:sz w:val="24"/>
          <w:szCs w:val="24"/>
          <w:lang w:eastAsia="en-GB"/>
        </w:rPr>
        <w:t xml:space="preserve"> et al., 2019). Endothelial cell activation, partly triggered by haem and haemoglobin released during intravascular haemolysis, leads to upregulation of adhesion molecules including vascular cell adhesion molecule 1 (VCAM-1) and E-selectin, which further amplify the adhesive cascade. The result is a cycle of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-occlusion in which rigid sickle cells, activated neutrophils, and platelets collectively impede microvascular flow, generating ischaemia-reperfusion injury in downstream tissues (Kato et al., 2018).</w:t>
      </w:r>
    </w:p>
    <w:p w14:paraId="1A0225EA"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A clinically critical consequence of intravascular haemolysis is the release of cell-free haemoglobin into plasma. Free haemoglobin avidly scavenges nitric oxide (NO), a potent </w:t>
      </w:r>
      <w:r w:rsidRPr="00265023">
        <w:rPr>
          <w:rFonts w:ascii="Times New Roman" w:eastAsia="Times New Roman" w:hAnsi="Times New Roman" w:cs="Times New Roman"/>
          <w:sz w:val="24"/>
          <w:szCs w:val="24"/>
          <w:lang w:eastAsia="en-GB"/>
        </w:rPr>
        <w:lastRenderedPageBreak/>
        <w:t xml:space="preserve">vasodilator, generating vasoconstrictive </w:t>
      </w:r>
      <w:proofErr w:type="spellStart"/>
      <w:r w:rsidRPr="00265023">
        <w:rPr>
          <w:rFonts w:ascii="Times New Roman" w:eastAsia="Times New Roman" w:hAnsi="Times New Roman" w:cs="Times New Roman"/>
          <w:sz w:val="24"/>
          <w:szCs w:val="24"/>
          <w:lang w:eastAsia="en-GB"/>
        </w:rPr>
        <w:t>peroxynitrite</w:t>
      </w:r>
      <w:proofErr w:type="spellEnd"/>
      <w:r w:rsidRPr="00265023">
        <w:rPr>
          <w:rFonts w:ascii="Times New Roman" w:eastAsia="Times New Roman" w:hAnsi="Times New Roman" w:cs="Times New Roman"/>
          <w:sz w:val="24"/>
          <w:szCs w:val="24"/>
          <w:lang w:eastAsia="en-GB"/>
        </w:rPr>
        <w:t xml:space="preserve"> and impairing endothelium-dependent vasorelaxation (</w:t>
      </w:r>
      <w:proofErr w:type="spellStart"/>
      <w:r w:rsidRPr="00265023">
        <w:rPr>
          <w:rFonts w:ascii="Times New Roman" w:eastAsia="Times New Roman" w:hAnsi="Times New Roman" w:cs="Times New Roman"/>
          <w:sz w:val="24"/>
          <w:szCs w:val="24"/>
          <w:lang w:eastAsia="en-GB"/>
        </w:rPr>
        <w:t>Sundd</w:t>
      </w:r>
      <w:proofErr w:type="spellEnd"/>
      <w:r w:rsidRPr="00265023">
        <w:rPr>
          <w:rFonts w:ascii="Times New Roman" w:eastAsia="Times New Roman" w:hAnsi="Times New Roman" w:cs="Times New Roman"/>
          <w:sz w:val="24"/>
          <w:szCs w:val="24"/>
          <w:lang w:eastAsia="en-GB"/>
        </w:rPr>
        <w:t xml:space="preserve"> et al., 2019). Simultaneously, haemolysis liberates arginase from red blood cells, which degrades L-arginine — the substrate for NO synthesis — further eroding NO bioavailability. This haemolysis-driven NO dysregulation underlies much of the vasculopathy characteristic of SCD, including contributions to pulmonary hypertension, priapism, leg ulcers, and systolic dysfunction (Gladwin &amp; Sachdev, 2012). In parallel, activated platelets and elevated thrombin generation create a prothrombotic milieu that compounds microvascular obstruction and increases the risk of ischaemic stroke and venous thromboembolism (DeBaun et al., 2012).</w:t>
      </w:r>
    </w:p>
    <w:p w14:paraId="5F753CFA"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3.3 Genetic Modifiers and Haemoglobin F</w:t>
      </w:r>
    </w:p>
    <w:p w14:paraId="2FB11ACA"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The clinical expression of SCD is substantially modulated by several genetic factors, the most therapeutically important of which is the level of foetal haemoglobin (HbF; α₂γ₂) in adult erythrocytes. HbF inhibits HbS polymerisation by acting as a molecular dilutant and by forming mixed tetramers that are incapable of participating in polymer formation (</w:t>
      </w:r>
      <w:proofErr w:type="spellStart"/>
      <w:r w:rsidRPr="00265023">
        <w:rPr>
          <w:rFonts w:ascii="Times New Roman" w:eastAsia="Times New Roman" w:hAnsi="Times New Roman" w:cs="Times New Roman"/>
          <w:sz w:val="24"/>
          <w:szCs w:val="24"/>
          <w:lang w:eastAsia="en-GB"/>
        </w:rPr>
        <w:t>Lettre</w:t>
      </w:r>
      <w:proofErr w:type="spellEnd"/>
      <w:r w:rsidRPr="00265023">
        <w:rPr>
          <w:rFonts w:ascii="Times New Roman" w:eastAsia="Times New Roman" w:hAnsi="Times New Roman" w:cs="Times New Roman"/>
          <w:sz w:val="24"/>
          <w:szCs w:val="24"/>
          <w:lang w:eastAsia="en-GB"/>
        </w:rPr>
        <w:t xml:space="preserve"> &amp; Bauer, 2016). Individuals with naturally elevated HbF levels — such as those with co-inherited hereditary persistence of foetal haemoglobin — have substantially milder disease phenotypes, a finding that provided the scientific rationale for hydroxyurea therapy and, subsequently, for HbF-reactivating gene therapy strategies (Bauer &amp; Orkin, 2015).</w:t>
      </w:r>
    </w:p>
    <w:p w14:paraId="385D744D"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Genome-wide association studies have identified several quantitative trait loci governing HbF levels in adults, most notably variants in the </w:t>
      </w:r>
      <w:r w:rsidRPr="00265023">
        <w:rPr>
          <w:rFonts w:ascii="Times New Roman" w:eastAsia="Times New Roman" w:hAnsi="Times New Roman" w:cs="Times New Roman"/>
          <w:i/>
          <w:iCs/>
          <w:sz w:val="24"/>
          <w:szCs w:val="24"/>
          <w:lang w:eastAsia="en-GB"/>
        </w:rPr>
        <w:t>BCL11A</w:t>
      </w:r>
      <w:r w:rsidRPr="00265023">
        <w:rPr>
          <w:rFonts w:ascii="Times New Roman" w:eastAsia="Times New Roman" w:hAnsi="Times New Roman" w:cs="Times New Roman"/>
          <w:sz w:val="24"/>
          <w:szCs w:val="24"/>
          <w:lang w:eastAsia="en-GB"/>
        </w:rPr>
        <w:t xml:space="preserve"> gene on chromosome 2 and the </w:t>
      </w:r>
      <w:r w:rsidRPr="00265023">
        <w:rPr>
          <w:rFonts w:ascii="Times New Roman" w:eastAsia="Times New Roman" w:hAnsi="Times New Roman" w:cs="Times New Roman"/>
          <w:i/>
          <w:iCs/>
          <w:sz w:val="24"/>
          <w:szCs w:val="24"/>
          <w:lang w:eastAsia="en-GB"/>
        </w:rPr>
        <w:t>HBS1L-MYB</w:t>
      </w:r>
      <w:r w:rsidRPr="00265023">
        <w:rPr>
          <w:rFonts w:ascii="Times New Roman" w:eastAsia="Times New Roman" w:hAnsi="Times New Roman" w:cs="Times New Roman"/>
          <w:sz w:val="24"/>
          <w:szCs w:val="24"/>
          <w:lang w:eastAsia="en-GB"/>
        </w:rPr>
        <w:t xml:space="preserve"> intergenic region on chromosome 6q. BCL11A encodes a transcription factor that represses γ-globin gene expression; its targeted disruption — achievable with considerable precision through CRISPR-Cas9 editing — is central to several gene therapy strategies now entering clinical practice (Bauer &amp; Orkin, 2015; </w:t>
      </w:r>
      <w:proofErr w:type="spellStart"/>
      <w:r w:rsidRPr="00265023">
        <w:rPr>
          <w:rFonts w:ascii="Times New Roman" w:eastAsia="Times New Roman" w:hAnsi="Times New Roman" w:cs="Times New Roman"/>
          <w:sz w:val="24"/>
          <w:szCs w:val="24"/>
          <w:lang w:eastAsia="en-GB"/>
        </w:rPr>
        <w:t>Frangoul</w:t>
      </w:r>
      <w:proofErr w:type="spellEnd"/>
      <w:r w:rsidRPr="00265023">
        <w:rPr>
          <w:rFonts w:ascii="Times New Roman" w:eastAsia="Times New Roman" w:hAnsi="Times New Roman" w:cs="Times New Roman"/>
          <w:sz w:val="24"/>
          <w:szCs w:val="24"/>
          <w:lang w:eastAsia="en-GB"/>
        </w:rPr>
        <w:t xml:space="preserve"> et al., 2021). Additional genetic modifiers include co-inherited α-thalassaemia trait, which reduces intracellular HbS concentration by reducing mean cell haemoglobin content and thereby lessens sickling, and the β-globin haplotype background (Bantu, Benin, Senegal, Cameroon, and Asian haplotypes), which influences baseline γ-globin expression and disease severity across populations (Saraf et al., </w:t>
      </w:r>
      <w:r w:rsidR="00F465E0" w:rsidRPr="00F465E0">
        <w:rPr>
          <w:rFonts w:ascii="Times New Roman" w:eastAsia="Times New Roman" w:hAnsi="Times New Roman" w:cs="Times New Roman"/>
          <w:sz w:val="24"/>
          <w:szCs w:val="24"/>
          <w:lang w:eastAsia="en-GB"/>
        </w:rPr>
        <w:t>2014</w:t>
      </w:r>
      <w:r w:rsidRPr="00265023">
        <w:rPr>
          <w:rFonts w:ascii="Times New Roman" w:eastAsia="Times New Roman" w:hAnsi="Times New Roman" w:cs="Times New Roman"/>
          <w:sz w:val="24"/>
          <w:szCs w:val="24"/>
          <w:lang w:eastAsia="en-GB"/>
        </w:rPr>
        <w:t>).</w:t>
      </w:r>
    </w:p>
    <w:p w14:paraId="74437B4C"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The main pathophysiological mechanisms of SCD, their molecular and cellular substrates, and their clinical correlates are summarised in Table 1.</w:t>
      </w:r>
    </w:p>
    <w:p w14:paraId="5BDDFDD5"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b/>
          <w:bCs/>
          <w:sz w:val="24"/>
          <w:szCs w:val="24"/>
          <w:lang w:eastAsia="en-GB"/>
        </w:rPr>
        <w:t>Table 1: Summary of Key Pathophysiological Mechanisms in Sickle Cell Disease</w:t>
      </w:r>
    </w:p>
    <w:tbl>
      <w:tblPr>
        <w:tblStyle w:val="TableGrid"/>
        <w:tblW w:w="0" w:type="auto"/>
        <w:tblLook w:val="04A0" w:firstRow="1" w:lastRow="0" w:firstColumn="1" w:lastColumn="0" w:noHBand="0" w:noVBand="1"/>
      </w:tblPr>
      <w:tblGrid>
        <w:gridCol w:w="2190"/>
        <w:gridCol w:w="3617"/>
        <w:gridCol w:w="3435"/>
      </w:tblGrid>
      <w:tr w:rsidR="00265023" w:rsidRPr="00265023" w14:paraId="7F99DB22" w14:textId="77777777" w:rsidTr="002C7E26">
        <w:tc>
          <w:tcPr>
            <w:tcW w:w="0" w:type="auto"/>
            <w:hideMark/>
          </w:tcPr>
          <w:p w14:paraId="6E5FAB85"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Mechanism</w:t>
            </w:r>
          </w:p>
        </w:tc>
        <w:tc>
          <w:tcPr>
            <w:tcW w:w="0" w:type="auto"/>
            <w:hideMark/>
          </w:tcPr>
          <w:p w14:paraId="6743F0AB"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Molecular/Cellular Basis</w:t>
            </w:r>
          </w:p>
        </w:tc>
        <w:tc>
          <w:tcPr>
            <w:tcW w:w="0" w:type="auto"/>
            <w:hideMark/>
          </w:tcPr>
          <w:p w14:paraId="3474CAEE"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Principal Clinical Consequences</w:t>
            </w:r>
          </w:p>
        </w:tc>
      </w:tr>
      <w:tr w:rsidR="00265023" w:rsidRPr="00265023" w14:paraId="736B5E78" w14:textId="77777777" w:rsidTr="002C7E26">
        <w:tc>
          <w:tcPr>
            <w:tcW w:w="0" w:type="auto"/>
            <w:hideMark/>
          </w:tcPr>
          <w:p w14:paraId="4C789CEA"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HbS polymerisation</w:t>
            </w:r>
          </w:p>
        </w:tc>
        <w:tc>
          <w:tcPr>
            <w:tcW w:w="0" w:type="auto"/>
            <w:hideMark/>
          </w:tcPr>
          <w:p w14:paraId="4A2896B2"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Glu6Val substitution; hydrophobic fibre formation under deoxygenation</w:t>
            </w:r>
          </w:p>
        </w:tc>
        <w:tc>
          <w:tcPr>
            <w:tcW w:w="0" w:type="auto"/>
            <w:hideMark/>
          </w:tcPr>
          <w:p w14:paraId="122A14C4"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Erythrocyte sickling, haemolysis, microvascular obstruction</w:t>
            </w:r>
          </w:p>
        </w:tc>
      </w:tr>
      <w:tr w:rsidR="00265023" w:rsidRPr="00265023" w14:paraId="157D46C8" w14:textId="77777777" w:rsidTr="002C7E26">
        <w:tc>
          <w:tcPr>
            <w:tcW w:w="0" w:type="auto"/>
            <w:hideMark/>
          </w:tcPr>
          <w:p w14:paraId="7914156E"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Adhesion-mediated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-occlusion</w:t>
            </w:r>
          </w:p>
        </w:tc>
        <w:tc>
          <w:tcPr>
            <w:tcW w:w="0" w:type="auto"/>
            <w:hideMark/>
          </w:tcPr>
          <w:p w14:paraId="12871646"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Sickle cell–endothelium interactions via selectins, integrins, VCAM-1</w:t>
            </w:r>
          </w:p>
        </w:tc>
        <w:tc>
          <w:tcPr>
            <w:tcW w:w="0" w:type="auto"/>
            <w:hideMark/>
          </w:tcPr>
          <w:p w14:paraId="636E31E7"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Vaso-occlusive crisis, ischaemia-reperfusion injury, multiorgan damage</w:t>
            </w:r>
          </w:p>
        </w:tc>
      </w:tr>
      <w:tr w:rsidR="00265023" w:rsidRPr="00265023" w14:paraId="6E7A4D0B" w14:textId="77777777" w:rsidTr="002C7E26">
        <w:tc>
          <w:tcPr>
            <w:tcW w:w="0" w:type="auto"/>
            <w:hideMark/>
          </w:tcPr>
          <w:p w14:paraId="021134A9"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Haemolysis and NO dysregulation</w:t>
            </w:r>
          </w:p>
        </w:tc>
        <w:tc>
          <w:tcPr>
            <w:tcW w:w="0" w:type="auto"/>
            <w:hideMark/>
          </w:tcPr>
          <w:p w14:paraId="691DEE3D"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Cell-free Hb scavenges NO; erythrocyte arginase degrades L-arginine</w:t>
            </w:r>
          </w:p>
        </w:tc>
        <w:tc>
          <w:tcPr>
            <w:tcW w:w="0" w:type="auto"/>
            <w:hideMark/>
          </w:tcPr>
          <w:p w14:paraId="3C4998DE"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Vasculopathy, pulmonary hypertension, priapism, leg ulcers</w:t>
            </w:r>
          </w:p>
        </w:tc>
      </w:tr>
      <w:tr w:rsidR="00265023" w:rsidRPr="00265023" w14:paraId="0DF73542" w14:textId="77777777" w:rsidTr="002C7E26">
        <w:tc>
          <w:tcPr>
            <w:tcW w:w="0" w:type="auto"/>
            <w:hideMark/>
          </w:tcPr>
          <w:p w14:paraId="64EA9B60"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Endothelial </w:t>
            </w:r>
            <w:r w:rsidRPr="00265023">
              <w:rPr>
                <w:rFonts w:ascii="Times New Roman" w:eastAsia="Times New Roman" w:hAnsi="Times New Roman" w:cs="Times New Roman"/>
                <w:sz w:val="24"/>
                <w:szCs w:val="24"/>
                <w:lang w:eastAsia="en-GB"/>
              </w:rPr>
              <w:lastRenderedPageBreak/>
              <w:t>activation</w:t>
            </w:r>
          </w:p>
        </w:tc>
        <w:tc>
          <w:tcPr>
            <w:tcW w:w="0" w:type="auto"/>
            <w:hideMark/>
          </w:tcPr>
          <w:p w14:paraId="17579FCC"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lastRenderedPageBreak/>
              <w:t>Haem-driven NF-</w:t>
            </w:r>
            <w:proofErr w:type="spellStart"/>
            <w:r w:rsidRPr="00265023">
              <w:rPr>
                <w:rFonts w:ascii="Times New Roman" w:eastAsia="Times New Roman" w:hAnsi="Times New Roman" w:cs="Times New Roman"/>
                <w:sz w:val="24"/>
                <w:szCs w:val="24"/>
                <w:lang w:eastAsia="en-GB"/>
              </w:rPr>
              <w:t>κB</w:t>
            </w:r>
            <w:proofErr w:type="spellEnd"/>
            <w:r w:rsidRPr="00265023">
              <w:rPr>
                <w:rFonts w:ascii="Times New Roman" w:eastAsia="Times New Roman" w:hAnsi="Times New Roman" w:cs="Times New Roman"/>
                <w:sz w:val="24"/>
                <w:szCs w:val="24"/>
                <w:lang w:eastAsia="en-GB"/>
              </w:rPr>
              <w:t xml:space="preserve"> signalling; </w:t>
            </w:r>
            <w:r w:rsidRPr="00265023">
              <w:rPr>
                <w:rFonts w:ascii="Times New Roman" w:eastAsia="Times New Roman" w:hAnsi="Times New Roman" w:cs="Times New Roman"/>
                <w:sz w:val="24"/>
                <w:szCs w:val="24"/>
                <w:lang w:eastAsia="en-GB"/>
              </w:rPr>
              <w:lastRenderedPageBreak/>
              <w:t>upregulation of adhesion molecules</w:t>
            </w:r>
          </w:p>
        </w:tc>
        <w:tc>
          <w:tcPr>
            <w:tcW w:w="0" w:type="auto"/>
            <w:hideMark/>
          </w:tcPr>
          <w:p w14:paraId="179A1A7F"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lastRenderedPageBreak/>
              <w:t xml:space="preserve">Chronic vascular inflammation, </w:t>
            </w:r>
            <w:r w:rsidRPr="00265023">
              <w:rPr>
                <w:rFonts w:ascii="Times New Roman" w:eastAsia="Times New Roman" w:hAnsi="Times New Roman" w:cs="Times New Roman"/>
                <w:sz w:val="24"/>
                <w:szCs w:val="24"/>
                <w:lang w:eastAsia="en-GB"/>
              </w:rPr>
              <w:lastRenderedPageBreak/>
              <w:t>progressive organ injury</w:t>
            </w:r>
          </w:p>
        </w:tc>
      </w:tr>
      <w:tr w:rsidR="00265023" w:rsidRPr="00265023" w14:paraId="58B08683" w14:textId="77777777" w:rsidTr="002C7E26">
        <w:tc>
          <w:tcPr>
            <w:tcW w:w="0" w:type="auto"/>
            <w:hideMark/>
          </w:tcPr>
          <w:p w14:paraId="5FC2E484"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lastRenderedPageBreak/>
              <w:t>Prothrombotic state</w:t>
            </w:r>
          </w:p>
        </w:tc>
        <w:tc>
          <w:tcPr>
            <w:tcW w:w="0" w:type="auto"/>
            <w:hideMark/>
          </w:tcPr>
          <w:p w14:paraId="52C576FD"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Platelet activation, thrombin generation, phosphatidylserine externalisation</w:t>
            </w:r>
          </w:p>
        </w:tc>
        <w:tc>
          <w:tcPr>
            <w:tcW w:w="0" w:type="auto"/>
            <w:hideMark/>
          </w:tcPr>
          <w:p w14:paraId="7C72BC58"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Stroke, venous thromboembolism, microvascular thrombosis</w:t>
            </w:r>
          </w:p>
        </w:tc>
      </w:tr>
      <w:tr w:rsidR="00265023" w:rsidRPr="00265023" w14:paraId="5BDFCBBE" w14:textId="77777777" w:rsidTr="002C7E26">
        <w:tc>
          <w:tcPr>
            <w:tcW w:w="0" w:type="auto"/>
            <w:hideMark/>
          </w:tcPr>
          <w:p w14:paraId="072523E3"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HbF suppression by BCL11A</w:t>
            </w:r>
          </w:p>
        </w:tc>
        <w:tc>
          <w:tcPr>
            <w:tcW w:w="0" w:type="auto"/>
            <w:hideMark/>
          </w:tcPr>
          <w:p w14:paraId="36DE7C34"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Transcriptional repression of γ-globin in erythroid cells</w:t>
            </w:r>
          </w:p>
        </w:tc>
        <w:tc>
          <w:tcPr>
            <w:tcW w:w="0" w:type="auto"/>
            <w:hideMark/>
          </w:tcPr>
          <w:p w14:paraId="104FAE56"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Increased polymerisation; key therapeutic target for HbF induction</w:t>
            </w:r>
          </w:p>
        </w:tc>
      </w:tr>
    </w:tbl>
    <w:p w14:paraId="33982233"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A3740">
        <w:rPr>
          <w:rFonts w:ascii="Times New Roman" w:eastAsia="Times New Roman" w:hAnsi="Times New Roman" w:cs="Times New Roman"/>
          <w:i/>
          <w:iCs/>
          <w:sz w:val="24"/>
          <w:szCs w:val="24"/>
          <w:lang w:val="nl-BE" w:eastAsia="en-GB"/>
        </w:rPr>
        <w:t xml:space="preserve">Sources: Kato et al. (2018); Sundd et al. (2019); Piel et al. </w:t>
      </w:r>
      <w:r w:rsidRPr="00265023">
        <w:rPr>
          <w:rFonts w:ascii="Times New Roman" w:eastAsia="Times New Roman" w:hAnsi="Times New Roman" w:cs="Times New Roman"/>
          <w:i/>
          <w:iCs/>
          <w:sz w:val="24"/>
          <w:szCs w:val="24"/>
          <w:lang w:eastAsia="en-GB"/>
        </w:rPr>
        <w:t>(2017); Bauer &amp; Orkin (2015); Gladwin &amp; Sachdev (2012)</w:t>
      </w:r>
    </w:p>
    <w:p w14:paraId="6E64C0C3" w14:textId="77777777" w:rsidR="00265023" w:rsidRPr="00265023" w:rsidRDefault="00265023" w:rsidP="00145958">
      <w:pPr>
        <w:spacing w:after="0" w:line="240" w:lineRule="auto"/>
        <w:jc w:val="both"/>
        <w:rPr>
          <w:rFonts w:ascii="Times New Roman" w:eastAsia="Times New Roman" w:hAnsi="Times New Roman" w:cs="Times New Roman"/>
          <w:sz w:val="24"/>
          <w:szCs w:val="24"/>
          <w:lang w:eastAsia="en-GB"/>
        </w:rPr>
      </w:pPr>
    </w:p>
    <w:p w14:paraId="2A43E88F" w14:textId="77777777" w:rsidR="00265023" w:rsidRPr="00265023" w:rsidRDefault="00265023" w:rsidP="0014595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t>4. Clinical Manifestations and Complications</w:t>
      </w:r>
    </w:p>
    <w:p w14:paraId="0A3D8933"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4.1 Acute Vaso-occlusive Events and Pain</w:t>
      </w:r>
    </w:p>
    <w:p w14:paraId="75C5156F"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The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-occlusive crisis (VOC) is the hallmark acute event of SCD and constitutes the leading cause of emergency department visits and hospitalisation in affected individuals. VOC is characterised by acute, often excruciating pain arising from ischaemia in bones, muscles, and soft tissues as sickle cells obstruct the microvasculature. Pain can affect any body region but preferentially involves the back, hips, knees, and chest (Brandow et al., 2020). Triggering factors include physiological stress, cold exposure, dehydration, hypoxia, and infection, though in many episodes no clear precipitant is identifiable. Longitudinal diary studies have demonstrated that painful episodes in SCD occur as a continuous spectrum of severity, with substantial disease-associated pain managed outside hospital — a pattern that challenges simple hospitalisation-based estimates of clinical burden (Ballas et al., 2012).</w:t>
      </w:r>
    </w:p>
    <w:p w14:paraId="24D42E19"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The management of acute VOC has long relied upon opioid analgesia, intravenous hydration, and supplemental oxygen. Despite decades of clinical experience, the evidential base for many standard practice elements remains modest, and individualisation of pain management is increasingly emphasised (</w:t>
      </w:r>
      <w:r w:rsidR="00D25C36">
        <w:rPr>
          <w:rFonts w:ascii="Times New Roman" w:eastAsia="Times New Roman" w:hAnsi="Times New Roman" w:cs="Times New Roman"/>
          <w:sz w:val="24"/>
          <w:szCs w:val="24"/>
          <w:lang w:eastAsia="en-GB"/>
        </w:rPr>
        <w:t>Brandow &amp; DeBaun, 2018</w:t>
      </w:r>
      <w:r w:rsidRPr="00265023">
        <w:rPr>
          <w:rFonts w:ascii="Times New Roman" w:eastAsia="Times New Roman" w:hAnsi="Times New Roman" w:cs="Times New Roman"/>
          <w:sz w:val="24"/>
          <w:szCs w:val="24"/>
          <w:lang w:eastAsia="en-GB"/>
        </w:rPr>
        <w:t xml:space="preserve">). Undertreatment of pain is well documented across healthcare systems, particularly in adult patients, and is partly attributable to implicit biases concerning pain reporting in Black patients (Haywood et al., 2014). The American Society of </w:t>
      </w:r>
      <w:proofErr w:type="spellStart"/>
      <w:r w:rsidRPr="00265023">
        <w:rPr>
          <w:rFonts w:ascii="Times New Roman" w:eastAsia="Times New Roman" w:hAnsi="Times New Roman" w:cs="Times New Roman"/>
          <w:sz w:val="24"/>
          <w:szCs w:val="24"/>
          <w:lang w:eastAsia="en-GB"/>
        </w:rPr>
        <w:t>Hematology</w:t>
      </w:r>
      <w:proofErr w:type="spellEnd"/>
      <w:r w:rsidRPr="00265023">
        <w:rPr>
          <w:rFonts w:ascii="Times New Roman" w:eastAsia="Times New Roman" w:hAnsi="Times New Roman" w:cs="Times New Roman"/>
          <w:sz w:val="24"/>
          <w:szCs w:val="24"/>
          <w:lang w:eastAsia="en-GB"/>
        </w:rPr>
        <w:t xml:space="preserve"> 2020 guidelines on pain management in SCD emphasise timely, adequate analgesia and multimodal approaches, alongside concerted efforts to reduce stigma and improve the quality of clinical encounters (Brandow et al., 2020).</w:t>
      </w:r>
    </w:p>
    <w:p w14:paraId="7AF948C6"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4.2 Acute Chest Syndrome and Pulmonary Complications</w:t>
      </w:r>
    </w:p>
    <w:p w14:paraId="4869D003"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Acute chest syndrome (ACS) is a potentially life-threatening pulmonary complication of SCD, defined by the combination of a new pulmonary infiltrate on imaging with one or more accompanying features — fever, hypoxia, tachypnoea, or chest pain (</w:t>
      </w:r>
      <w:proofErr w:type="spellStart"/>
      <w:r w:rsidRPr="00265023">
        <w:rPr>
          <w:rFonts w:ascii="Times New Roman" w:eastAsia="Times New Roman" w:hAnsi="Times New Roman" w:cs="Times New Roman"/>
          <w:sz w:val="24"/>
          <w:szCs w:val="24"/>
          <w:lang w:eastAsia="en-GB"/>
        </w:rPr>
        <w:t>Vichinsky</w:t>
      </w:r>
      <w:proofErr w:type="spellEnd"/>
      <w:r w:rsidRPr="00265023">
        <w:rPr>
          <w:rFonts w:ascii="Times New Roman" w:eastAsia="Times New Roman" w:hAnsi="Times New Roman" w:cs="Times New Roman"/>
          <w:sz w:val="24"/>
          <w:szCs w:val="24"/>
          <w:lang w:eastAsia="en-GB"/>
        </w:rPr>
        <w:t xml:space="preserve"> et al., 2000). ACS represents the second most common cause of hospitalisation in SCD and is the leading cause of disease-related death in adults. Its aetiology is multifactorial: pulmonary fat embolism from infarcted bone marrow, bacterial, viral, or atypical respiratory pathogens, in situ sickling in the pulmonary microvasculature, and hypoventilation from splinting due to painful rib infarction all contribute, frequently in combination (</w:t>
      </w:r>
      <w:proofErr w:type="spellStart"/>
      <w:r w:rsidRPr="00265023">
        <w:rPr>
          <w:rFonts w:ascii="Times New Roman" w:eastAsia="Times New Roman" w:hAnsi="Times New Roman" w:cs="Times New Roman"/>
          <w:sz w:val="24"/>
          <w:szCs w:val="24"/>
          <w:lang w:eastAsia="en-GB"/>
        </w:rPr>
        <w:t>Vichinsky</w:t>
      </w:r>
      <w:proofErr w:type="spellEnd"/>
      <w:r w:rsidRPr="00265023">
        <w:rPr>
          <w:rFonts w:ascii="Times New Roman" w:eastAsia="Times New Roman" w:hAnsi="Times New Roman" w:cs="Times New Roman"/>
          <w:sz w:val="24"/>
          <w:szCs w:val="24"/>
          <w:lang w:eastAsia="en-GB"/>
        </w:rPr>
        <w:t xml:space="preserve"> et al., 2000). </w:t>
      </w:r>
      <w:r w:rsidRPr="00265023">
        <w:rPr>
          <w:rFonts w:ascii="Times New Roman" w:eastAsia="Times New Roman" w:hAnsi="Times New Roman" w:cs="Times New Roman"/>
          <w:sz w:val="24"/>
          <w:szCs w:val="24"/>
          <w:lang w:eastAsia="en-GB"/>
        </w:rPr>
        <w:lastRenderedPageBreak/>
        <w:t>Management includes incentive spirometry, bronchodilators, broad-spectrum antibiotics, and simple or exchange transfusion, with mechanical ventilation reserved for severe cases.</w:t>
      </w:r>
    </w:p>
    <w:p w14:paraId="1E5DD524"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Beyond ACS, chronic pulmonary hypertension (PH) represents a serious long-term complication, particularly in adults with a haemolysis-predominant phenotype. The prevalence of elevated tricuspid regurgitant jet velocity (TRJV ≥ 2.5 m/s) on echocardiography, a recognised surrogate marker for PH, has been observed in approximately 25–30% of adults with SCD, and this finding is strongly associated with increased mortality risk (Gladwin &amp; Sachdev, 2012; Liem et al., 2019). The pathogenesis involves chronic haemolysis-driven NO deficiency, </w:t>
      </w:r>
      <w:proofErr w:type="spellStart"/>
      <w:r w:rsidRPr="00265023">
        <w:rPr>
          <w:rFonts w:ascii="Times New Roman" w:eastAsia="Times New Roman" w:hAnsi="Times New Roman" w:cs="Times New Roman"/>
          <w:sz w:val="24"/>
          <w:szCs w:val="24"/>
          <w:lang w:eastAsia="en-GB"/>
        </w:rPr>
        <w:t>vasoproliferative</w:t>
      </w:r>
      <w:proofErr w:type="spellEnd"/>
      <w:r w:rsidRPr="00265023">
        <w:rPr>
          <w:rFonts w:ascii="Times New Roman" w:eastAsia="Times New Roman" w:hAnsi="Times New Roman" w:cs="Times New Roman"/>
          <w:sz w:val="24"/>
          <w:szCs w:val="24"/>
          <w:lang w:eastAsia="en-GB"/>
        </w:rPr>
        <w:t xml:space="preserve"> pulmonary vascular remodelling, and, in some individuals, recurrent pulmonary thromboembolism. The ASH 2019 guidelines for cardiopulmonary disease in SCD offer evidence-based recommendations on echocardiographic screening, diagnostic confirmation by right heart catheterisation, and referral pathways for specialised PH management (Liem et al., 2019).</w:t>
      </w:r>
    </w:p>
    <w:p w14:paraId="10C67596"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4.3 Cerebrovascular Disease and Neurocognitive Outcomes</w:t>
      </w:r>
    </w:p>
    <w:p w14:paraId="2899B51D"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Stroke is amongst the most devastating acute complications of SCD and carries substantial morbidity, particularly in children. Data from the pre-systematic screening era indicate that children with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xml:space="preserve"> disease faced a stroke risk approximately 300 times that of age-matched peers without SCD (Adams et al., 1998). The landmark STOP trial established that regular blood transfusion to maintain HbS levels below 30% substantially reduced first-stroke risk in children identified as high-risk through transcranial Doppler (TCD) ultrasonography, and TCD screening has since become a cornerstone of stroke prevention in paediatric SCD (Adams et al., 1998). The subsequent </w:t>
      </w:r>
      <w:proofErr w:type="spellStart"/>
      <w:r w:rsidRPr="00265023">
        <w:rPr>
          <w:rFonts w:ascii="Times New Roman" w:eastAsia="Times New Roman" w:hAnsi="Times New Roman" w:cs="Times New Roman"/>
          <w:sz w:val="24"/>
          <w:szCs w:val="24"/>
          <w:lang w:eastAsia="en-GB"/>
        </w:rPr>
        <w:t>TWiTCH</w:t>
      </w:r>
      <w:proofErr w:type="spellEnd"/>
      <w:r w:rsidRPr="00265023">
        <w:rPr>
          <w:rFonts w:ascii="Times New Roman" w:eastAsia="Times New Roman" w:hAnsi="Times New Roman" w:cs="Times New Roman"/>
          <w:sz w:val="24"/>
          <w:szCs w:val="24"/>
          <w:lang w:eastAsia="en-GB"/>
        </w:rPr>
        <w:t xml:space="preserve"> trial demonstrated that hydroxycarbamide is non-inferior to chronic transfusion for maintaining previously normalised TCD velocities in appropriately selected children, providing a clinically important step-down option that avoids the complications of long-term transfusion, including alloimmunisation and iron overload (Ware et al., 2016).</w:t>
      </w:r>
    </w:p>
    <w:p w14:paraId="2BC5E72A"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Beyond overt stroke, silent cerebral infarcts (SCIs) are detected on MRI in approximately 35% of children with SCD by age 18, representing a prevalent and progressive form of cerebrovascular injury that correlates with impaired cognitive performance, academic difficulties, and reduced quality of life (DeBaun et al., 2012). The ASH 2020 guidelines for cerebrovascular disease in SCD synthesise current evidence on screening, primary and secondary stroke prevention, and the management of SCIs, though the optimal approach to incidentally detected SCIs in neurologically asymptomatic children remains an area of ongoing investigation and clinical debate (DeBaun et al., 2020).</w:t>
      </w:r>
    </w:p>
    <w:p w14:paraId="6241F0A0"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4.4 Chronic Organ Damage</w:t>
      </w:r>
    </w:p>
    <w:p w14:paraId="16B91713"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The chronic, systemic vasculopathy of SCD ultimately damages virtually every organ system, and progressive multiorgan dysfunction is the principal driver of premature mortality in adults. Renal involvement is particularly prevalent: sickle nephropathy encompasses a spectrum ranging from early defects in urinary concentrating ability and glomerular hyperfiltration to progressive chronic kidney disease (CKD) and, in a substantial proportion of adults, end-stage renal disease (Nath &amp; Hebbel, 2015). The pathophysiology involves sickling in the uniquely hypoxic, acidic, and hyperosmolar renal medullary environment, leading to medullary microinfarction, tubular dysfunction, and, over time, glomerulosclerosis driven by haemodynamic stress.</w:t>
      </w:r>
    </w:p>
    <w:p w14:paraId="55B6EB6C"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lastRenderedPageBreak/>
        <w:t xml:space="preserve">Avascular necrosis of the femoral and humeral heads, the result of subchondral bone infarction, is a common source of chronic pain and functional disability, with cumulative incidence rates approaching 50% in adults with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xml:space="preserve"> disease (Kato et al., 2018). Hepatobiliary complications — including pigment gallstones secondary to chronic haemolysis, hepatic iron overload from </w:t>
      </w:r>
      <w:proofErr w:type="spellStart"/>
      <w:r w:rsidRPr="00265023">
        <w:rPr>
          <w:rFonts w:ascii="Times New Roman" w:eastAsia="Times New Roman" w:hAnsi="Times New Roman" w:cs="Times New Roman"/>
          <w:sz w:val="24"/>
          <w:szCs w:val="24"/>
          <w:lang w:eastAsia="en-GB"/>
        </w:rPr>
        <w:t>transfusional</w:t>
      </w:r>
      <w:proofErr w:type="spellEnd"/>
      <w:r w:rsidRPr="00265023">
        <w:rPr>
          <w:rFonts w:ascii="Times New Roman" w:eastAsia="Times New Roman" w:hAnsi="Times New Roman" w:cs="Times New Roman"/>
          <w:sz w:val="24"/>
          <w:szCs w:val="24"/>
          <w:lang w:eastAsia="en-GB"/>
        </w:rPr>
        <w:t xml:space="preserve"> and absorptive mechanisms, and sickle hepatopathy — add further to chronic morbidity. Priapism, proliferative retinopathy, and chronic leg ulcers are additional manifestations that disproportionately affect adults, each linked mechanistically to the haemolytic, NO-depleted </w:t>
      </w:r>
      <w:proofErr w:type="spellStart"/>
      <w:r w:rsidRPr="00265023">
        <w:rPr>
          <w:rFonts w:ascii="Times New Roman" w:eastAsia="Times New Roman" w:hAnsi="Times New Roman" w:cs="Times New Roman"/>
          <w:sz w:val="24"/>
          <w:szCs w:val="24"/>
          <w:lang w:eastAsia="en-GB"/>
        </w:rPr>
        <w:t>vasculopathic</w:t>
      </w:r>
      <w:proofErr w:type="spellEnd"/>
      <w:r w:rsidRPr="00265023">
        <w:rPr>
          <w:rFonts w:ascii="Times New Roman" w:eastAsia="Times New Roman" w:hAnsi="Times New Roman" w:cs="Times New Roman"/>
          <w:sz w:val="24"/>
          <w:szCs w:val="24"/>
          <w:lang w:eastAsia="en-GB"/>
        </w:rPr>
        <w:t xml:space="preserve"> phenotype (Gladwin &amp; Sachdev, 2012). The cumulative burden of multiorgan impairment in adult patients with SCD is substantial, profoundly reducing functional capacity and health-related quality of life (Pecker &amp; </w:t>
      </w:r>
      <w:proofErr w:type="spellStart"/>
      <w:r w:rsidRPr="00265023">
        <w:rPr>
          <w:rFonts w:ascii="Times New Roman" w:eastAsia="Times New Roman" w:hAnsi="Times New Roman" w:cs="Times New Roman"/>
          <w:sz w:val="24"/>
          <w:szCs w:val="24"/>
          <w:lang w:eastAsia="en-GB"/>
        </w:rPr>
        <w:t>Lanzkron</w:t>
      </w:r>
      <w:proofErr w:type="spellEnd"/>
      <w:r w:rsidRPr="00265023">
        <w:rPr>
          <w:rFonts w:ascii="Times New Roman" w:eastAsia="Times New Roman" w:hAnsi="Times New Roman" w:cs="Times New Roman"/>
          <w:sz w:val="24"/>
          <w:szCs w:val="24"/>
          <w:lang w:eastAsia="en-GB"/>
        </w:rPr>
        <w:t>, 2021).</w:t>
      </w:r>
    </w:p>
    <w:p w14:paraId="65727EED"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The major acute and chronic complications of SCD are summarised in Table 2.</w:t>
      </w:r>
    </w:p>
    <w:p w14:paraId="747C2B20"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b/>
          <w:bCs/>
          <w:sz w:val="24"/>
          <w:szCs w:val="24"/>
          <w:lang w:eastAsia="en-GB"/>
        </w:rPr>
        <w:t>Table 2: Summary of Major Acute and Chronic Complications in Sickle Cell Disease</w:t>
      </w:r>
    </w:p>
    <w:tbl>
      <w:tblPr>
        <w:tblStyle w:val="TableGrid"/>
        <w:tblW w:w="0" w:type="auto"/>
        <w:tblLook w:val="04A0" w:firstRow="1" w:lastRow="0" w:firstColumn="1" w:lastColumn="0" w:noHBand="0" w:noVBand="1"/>
      </w:tblPr>
      <w:tblGrid>
        <w:gridCol w:w="1840"/>
        <w:gridCol w:w="2146"/>
        <w:gridCol w:w="2640"/>
        <w:gridCol w:w="2616"/>
      </w:tblGrid>
      <w:tr w:rsidR="00265023" w:rsidRPr="00265023" w14:paraId="68BF319D" w14:textId="77777777" w:rsidTr="002C7E26">
        <w:tc>
          <w:tcPr>
            <w:tcW w:w="0" w:type="auto"/>
            <w:hideMark/>
          </w:tcPr>
          <w:p w14:paraId="5A8F7371"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Complication</w:t>
            </w:r>
          </w:p>
        </w:tc>
        <w:tc>
          <w:tcPr>
            <w:tcW w:w="0" w:type="auto"/>
            <w:hideMark/>
          </w:tcPr>
          <w:p w14:paraId="4C4CA9F7"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Estimated Frequency</w:t>
            </w:r>
          </w:p>
        </w:tc>
        <w:tc>
          <w:tcPr>
            <w:tcW w:w="0" w:type="auto"/>
            <w:hideMark/>
          </w:tcPr>
          <w:p w14:paraId="3421427F"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Key Clinical Features</w:t>
            </w:r>
          </w:p>
        </w:tc>
        <w:tc>
          <w:tcPr>
            <w:tcW w:w="0" w:type="auto"/>
            <w:hideMark/>
          </w:tcPr>
          <w:p w14:paraId="7B00CCD6"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Evidence-Based Intervention</w:t>
            </w:r>
          </w:p>
        </w:tc>
      </w:tr>
      <w:tr w:rsidR="00265023" w:rsidRPr="00265023" w14:paraId="44260476" w14:textId="77777777" w:rsidTr="002C7E26">
        <w:tc>
          <w:tcPr>
            <w:tcW w:w="0" w:type="auto"/>
            <w:hideMark/>
          </w:tcPr>
          <w:p w14:paraId="09DF4841"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Vaso-occlusive crisis</w:t>
            </w:r>
          </w:p>
        </w:tc>
        <w:tc>
          <w:tcPr>
            <w:tcW w:w="0" w:type="auto"/>
            <w:hideMark/>
          </w:tcPr>
          <w:p w14:paraId="55E38E86"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Most common acute event; several episodes per year in severely affected individuals</w:t>
            </w:r>
          </w:p>
        </w:tc>
        <w:tc>
          <w:tcPr>
            <w:tcW w:w="0" w:type="auto"/>
            <w:hideMark/>
          </w:tcPr>
          <w:p w14:paraId="15DF8B44"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Severe musculoskeletal and visceral pain; no structural tissue loss in most episodes</w:t>
            </w:r>
          </w:p>
        </w:tc>
        <w:tc>
          <w:tcPr>
            <w:tcW w:w="0" w:type="auto"/>
            <w:hideMark/>
          </w:tcPr>
          <w:p w14:paraId="3BEE6859"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Adequate analgesia; hydration; hydroxyurea for prevention</w:t>
            </w:r>
          </w:p>
        </w:tc>
      </w:tr>
      <w:tr w:rsidR="00265023" w:rsidRPr="00265023" w14:paraId="13E71E8C" w14:textId="77777777" w:rsidTr="002C7E26">
        <w:tc>
          <w:tcPr>
            <w:tcW w:w="0" w:type="auto"/>
            <w:hideMark/>
          </w:tcPr>
          <w:p w14:paraId="0185EC73"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Acute chest syndrome</w:t>
            </w:r>
          </w:p>
        </w:tc>
        <w:tc>
          <w:tcPr>
            <w:tcW w:w="0" w:type="auto"/>
            <w:hideMark/>
          </w:tcPr>
          <w:p w14:paraId="09CCB97E"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~30% lifetime in </w:t>
            </w:r>
            <w:proofErr w:type="spellStart"/>
            <w:r w:rsidRPr="00265023">
              <w:rPr>
                <w:rFonts w:ascii="Times New Roman" w:eastAsia="Times New Roman" w:hAnsi="Times New Roman" w:cs="Times New Roman"/>
                <w:sz w:val="24"/>
                <w:szCs w:val="24"/>
                <w:lang w:eastAsia="en-GB"/>
              </w:rPr>
              <w:t>HbSS</w:t>
            </w:r>
            <w:proofErr w:type="spellEnd"/>
          </w:p>
        </w:tc>
        <w:tc>
          <w:tcPr>
            <w:tcW w:w="0" w:type="auto"/>
            <w:hideMark/>
          </w:tcPr>
          <w:p w14:paraId="0DF4D5B8"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New pulmonary infiltrate; fever, hypoxia, chest pain</w:t>
            </w:r>
          </w:p>
        </w:tc>
        <w:tc>
          <w:tcPr>
            <w:tcW w:w="0" w:type="auto"/>
            <w:hideMark/>
          </w:tcPr>
          <w:p w14:paraId="04B7A2A4"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Incentive spirometry; transfusion; broad-spectrum antibiotics</w:t>
            </w:r>
          </w:p>
        </w:tc>
      </w:tr>
      <w:tr w:rsidR="00265023" w:rsidRPr="00265023" w14:paraId="12BE159A" w14:textId="77777777" w:rsidTr="002C7E26">
        <w:tc>
          <w:tcPr>
            <w:tcW w:w="0" w:type="auto"/>
            <w:hideMark/>
          </w:tcPr>
          <w:p w14:paraId="248B9C18"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Overt stroke (pre-TCD screening era)</w:t>
            </w:r>
          </w:p>
        </w:tc>
        <w:tc>
          <w:tcPr>
            <w:tcW w:w="0" w:type="auto"/>
            <w:hideMark/>
          </w:tcPr>
          <w:p w14:paraId="1AEFFB88"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~11% of children with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xml:space="preserve"> by age 20 without prevention</w:t>
            </w:r>
          </w:p>
        </w:tc>
        <w:tc>
          <w:tcPr>
            <w:tcW w:w="0" w:type="auto"/>
            <w:hideMark/>
          </w:tcPr>
          <w:p w14:paraId="03915216"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Hemiplegia, aphasia, seizures</w:t>
            </w:r>
          </w:p>
        </w:tc>
        <w:tc>
          <w:tcPr>
            <w:tcW w:w="0" w:type="auto"/>
            <w:hideMark/>
          </w:tcPr>
          <w:p w14:paraId="7906BE43"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TCD screening; chronic transfusion; hydroxycarbamide step-down</w:t>
            </w:r>
          </w:p>
        </w:tc>
      </w:tr>
      <w:tr w:rsidR="00265023" w:rsidRPr="00265023" w14:paraId="75D94C6D" w14:textId="77777777" w:rsidTr="002C7E26">
        <w:tc>
          <w:tcPr>
            <w:tcW w:w="0" w:type="auto"/>
            <w:hideMark/>
          </w:tcPr>
          <w:p w14:paraId="214F7D8E"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Silent cerebral infarcts</w:t>
            </w:r>
          </w:p>
        </w:tc>
        <w:tc>
          <w:tcPr>
            <w:tcW w:w="0" w:type="auto"/>
            <w:hideMark/>
          </w:tcPr>
          <w:p w14:paraId="01906471"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~35% of children with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xml:space="preserve"> by age 18</w:t>
            </w:r>
          </w:p>
        </w:tc>
        <w:tc>
          <w:tcPr>
            <w:tcW w:w="0" w:type="auto"/>
            <w:hideMark/>
          </w:tcPr>
          <w:p w14:paraId="1B69EAD7"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Cognitive impairment; academic underperformance</w:t>
            </w:r>
          </w:p>
        </w:tc>
        <w:tc>
          <w:tcPr>
            <w:tcW w:w="0" w:type="auto"/>
            <w:hideMark/>
          </w:tcPr>
          <w:p w14:paraId="4962FEE4"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Ongoing research; selected transfusion in high-risk individuals</w:t>
            </w:r>
          </w:p>
        </w:tc>
      </w:tr>
      <w:tr w:rsidR="00265023" w:rsidRPr="00265023" w14:paraId="5E4EF90A" w14:textId="77777777" w:rsidTr="002C7E26">
        <w:tc>
          <w:tcPr>
            <w:tcW w:w="0" w:type="auto"/>
            <w:hideMark/>
          </w:tcPr>
          <w:p w14:paraId="2C55E0CB"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Pulmonary hypertension</w:t>
            </w:r>
          </w:p>
        </w:tc>
        <w:tc>
          <w:tcPr>
            <w:tcW w:w="0" w:type="auto"/>
            <w:hideMark/>
          </w:tcPr>
          <w:p w14:paraId="759D9480"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~25–30% (elevated TRJV ≥ 2.5 m/s) in adults</w:t>
            </w:r>
          </w:p>
        </w:tc>
        <w:tc>
          <w:tcPr>
            <w:tcW w:w="0" w:type="auto"/>
            <w:hideMark/>
          </w:tcPr>
          <w:p w14:paraId="3956DAA7"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Exertional dyspnoea; associated with increased mortality</w:t>
            </w:r>
          </w:p>
        </w:tc>
        <w:tc>
          <w:tcPr>
            <w:tcW w:w="0" w:type="auto"/>
            <w:hideMark/>
          </w:tcPr>
          <w:p w14:paraId="540EFEBA"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Hydroxyurea; cardiopulmonary evaluation; PDE5 inhibitors in selected cases</w:t>
            </w:r>
          </w:p>
        </w:tc>
      </w:tr>
      <w:tr w:rsidR="00265023" w:rsidRPr="00265023" w14:paraId="68794E29" w14:textId="77777777" w:rsidTr="002C7E26">
        <w:tc>
          <w:tcPr>
            <w:tcW w:w="0" w:type="auto"/>
            <w:hideMark/>
          </w:tcPr>
          <w:p w14:paraId="16B4DBD0"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Sickle nephropathy</w:t>
            </w:r>
          </w:p>
        </w:tc>
        <w:tc>
          <w:tcPr>
            <w:tcW w:w="0" w:type="auto"/>
            <w:hideMark/>
          </w:tcPr>
          <w:p w14:paraId="3361729C"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Progressive; end-stage renal disease in ~5–18% of adults</w:t>
            </w:r>
          </w:p>
        </w:tc>
        <w:tc>
          <w:tcPr>
            <w:tcW w:w="0" w:type="auto"/>
            <w:hideMark/>
          </w:tcPr>
          <w:p w14:paraId="3C769F6B"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Haematuria, proteinuria, progressive CKD</w:t>
            </w:r>
          </w:p>
        </w:tc>
        <w:tc>
          <w:tcPr>
            <w:tcW w:w="0" w:type="auto"/>
            <w:hideMark/>
          </w:tcPr>
          <w:p w14:paraId="2DCE900F"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ACE inhibitors; manage anaemia; hydroxyurea</w:t>
            </w:r>
          </w:p>
        </w:tc>
      </w:tr>
      <w:tr w:rsidR="00265023" w:rsidRPr="00265023" w14:paraId="38C62A62" w14:textId="77777777" w:rsidTr="002C7E26">
        <w:tc>
          <w:tcPr>
            <w:tcW w:w="0" w:type="auto"/>
            <w:hideMark/>
          </w:tcPr>
          <w:p w14:paraId="10B87C60"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Avascular necrosis</w:t>
            </w:r>
          </w:p>
        </w:tc>
        <w:tc>
          <w:tcPr>
            <w:tcW w:w="0" w:type="auto"/>
            <w:hideMark/>
          </w:tcPr>
          <w:p w14:paraId="10881D8F"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Cumulative ~50% in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xml:space="preserve"> adults</w:t>
            </w:r>
          </w:p>
        </w:tc>
        <w:tc>
          <w:tcPr>
            <w:tcW w:w="0" w:type="auto"/>
            <w:hideMark/>
          </w:tcPr>
          <w:p w14:paraId="50E2B0A5"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Bone and joint pain; progressive articular collapse</w:t>
            </w:r>
          </w:p>
        </w:tc>
        <w:tc>
          <w:tcPr>
            <w:tcW w:w="0" w:type="auto"/>
            <w:hideMark/>
          </w:tcPr>
          <w:p w14:paraId="239F7E8A"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Physiotherapy; orthopaedic intervention; analgesia</w:t>
            </w:r>
          </w:p>
        </w:tc>
      </w:tr>
    </w:tbl>
    <w:p w14:paraId="2554B890"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A3740">
        <w:rPr>
          <w:rFonts w:ascii="Times New Roman" w:eastAsia="Times New Roman" w:hAnsi="Times New Roman" w:cs="Times New Roman"/>
          <w:i/>
          <w:iCs/>
          <w:sz w:val="24"/>
          <w:szCs w:val="24"/>
          <w:lang w:val="nl-BE" w:eastAsia="en-GB"/>
        </w:rPr>
        <w:t xml:space="preserve">Sources: Ware et al. (2017); Kato et al. (2018); Adams et al. (1998); DeBaun et al. (2012); Vichinsky et al. (2000); Gladwin &amp; Sachdev (2012); Nath &amp; Hebbel (2015); Liem et al. </w:t>
      </w:r>
      <w:r w:rsidRPr="00265023">
        <w:rPr>
          <w:rFonts w:ascii="Times New Roman" w:eastAsia="Times New Roman" w:hAnsi="Times New Roman" w:cs="Times New Roman"/>
          <w:i/>
          <w:iCs/>
          <w:sz w:val="24"/>
          <w:szCs w:val="24"/>
          <w:lang w:eastAsia="en-GB"/>
        </w:rPr>
        <w:t>(2019)</w:t>
      </w:r>
    </w:p>
    <w:p w14:paraId="3E392050" w14:textId="77777777" w:rsidR="00265023" w:rsidRPr="00265023" w:rsidRDefault="00265023" w:rsidP="00145958">
      <w:pPr>
        <w:spacing w:after="0" w:line="240" w:lineRule="auto"/>
        <w:jc w:val="both"/>
        <w:rPr>
          <w:rFonts w:ascii="Times New Roman" w:eastAsia="Times New Roman" w:hAnsi="Times New Roman" w:cs="Times New Roman"/>
          <w:sz w:val="24"/>
          <w:szCs w:val="24"/>
          <w:lang w:eastAsia="en-GB"/>
        </w:rPr>
      </w:pPr>
    </w:p>
    <w:p w14:paraId="30997927" w14:textId="77777777" w:rsidR="00265023" w:rsidRPr="00265023" w:rsidRDefault="00265023" w:rsidP="0014595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t>5. Diagnosis and Screening</w:t>
      </w:r>
    </w:p>
    <w:p w14:paraId="0AC989B7"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5.1 Laboratory Diagnosis</w:t>
      </w:r>
    </w:p>
    <w:p w14:paraId="70B4DBF6"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The definitive diagnosis of SCD rests on haemoglobin analysis, which can be achieved through several techniques including high-performance liquid chromatography (HPLC), isoelectric focusing (IEF), haemoglobin electrophoresis, and capillary electrophoresis. Each method carries characteristic advantages in terms of throughput, accuracy, and cost; HPLC and capillary electrophoresis are generally regarded as most suitable for high-volume newborn screening laboratories (Brandow &amp; Liem, 2022). Molecular genetic testing for the Glu6Val mutation provides unambiguous genotypic confirmation and is increasingly used in both clinical and research contexts. In clinical practice, accurate genotyping is essential to distinguish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xml:space="preserve"> from </w:t>
      </w:r>
      <w:proofErr w:type="spellStart"/>
      <w:r w:rsidRPr="00265023">
        <w:rPr>
          <w:rFonts w:ascii="Times New Roman" w:eastAsia="Times New Roman" w:hAnsi="Times New Roman" w:cs="Times New Roman"/>
          <w:sz w:val="24"/>
          <w:szCs w:val="24"/>
          <w:lang w:eastAsia="en-GB"/>
        </w:rPr>
        <w:t>HbSC</w:t>
      </w:r>
      <w:proofErr w:type="spellEnd"/>
      <w:r w:rsidRPr="00265023">
        <w:rPr>
          <w:rFonts w:ascii="Times New Roman" w:eastAsia="Times New Roman" w:hAnsi="Times New Roman" w:cs="Times New Roman"/>
          <w:sz w:val="24"/>
          <w:szCs w:val="24"/>
          <w:lang w:eastAsia="en-GB"/>
        </w:rPr>
        <w:t xml:space="preserve"> disease, HbS/β-thalassaemia (either HbS/β⁺ or HbS/β⁰), and other compound heterozygous conditions that collectively constitute the broader "sickle cell disease" diagnostic grouping, since these genotypes differ meaningfully in clinical severity and management implications (Piel et al., 2017).</w:t>
      </w:r>
    </w:p>
    <w:p w14:paraId="65676C31"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The peripheral blood film in SCD typically demonstrates sickle-shaped cells, target cells, polychromasia, Howell-Jolly bodies reflecting functional </w:t>
      </w:r>
      <w:proofErr w:type="spellStart"/>
      <w:r w:rsidRPr="00265023">
        <w:rPr>
          <w:rFonts w:ascii="Times New Roman" w:eastAsia="Times New Roman" w:hAnsi="Times New Roman" w:cs="Times New Roman"/>
          <w:sz w:val="24"/>
          <w:szCs w:val="24"/>
          <w:lang w:eastAsia="en-GB"/>
        </w:rPr>
        <w:t>hyposplenism</w:t>
      </w:r>
      <w:proofErr w:type="spellEnd"/>
      <w:r w:rsidRPr="00265023">
        <w:rPr>
          <w:rFonts w:ascii="Times New Roman" w:eastAsia="Times New Roman" w:hAnsi="Times New Roman" w:cs="Times New Roman"/>
          <w:sz w:val="24"/>
          <w:szCs w:val="24"/>
          <w:lang w:eastAsia="en-GB"/>
        </w:rPr>
        <w:t xml:space="preserve">, and nucleated red blood cells. Haematological indices characteristically show a normocytic or microcytic anaemia (haemoglobin approximately 6–9 g/dL in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xml:space="preserve">), reticulocytosis, and elevated lactate dehydrogenase and bilirubin as markers of haemolysis. A haemoglobin consistently above 9 g/dL in an </w:t>
      </w:r>
      <w:proofErr w:type="spellStart"/>
      <w:r w:rsidRPr="00265023">
        <w:rPr>
          <w:rFonts w:ascii="Times New Roman" w:eastAsia="Times New Roman" w:hAnsi="Times New Roman" w:cs="Times New Roman"/>
          <w:sz w:val="24"/>
          <w:szCs w:val="24"/>
          <w:lang w:eastAsia="en-GB"/>
        </w:rPr>
        <w:t>untransfused</w:t>
      </w:r>
      <w:proofErr w:type="spellEnd"/>
      <w:r w:rsidRPr="00265023">
        <w:rPr>
          <w:rFonts w:ascii="Times New Roman" w:eastAsia="Times New Roman" w:hAnsi="Times New Roman" w:cs="Times New Roman"/>
          <w:sz w:val="24"/>
          <w:szCs w:val="24"/>
          <w:lang w:eastAsia="en-GB"/>
        </w:rPr>
        <w:t xml:space="preserve">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xml:space="preserve"> patient should prompt diagnostic reassessment or investigation for co-inherited α-thalassaemia trait, which ameliorates intracellular HbS concentration and haemolytic severity (Yawn et al., 2014).</w:t>
      </w:r>
    </w:p>
    <w:p w14:paraId="4BAE8F82"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5.2 Newborn Screening Programmes</w:t>
      </w:r>
    </w:p>
    <w:p w14:paraId="02C443CC"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Universal newborn screening (NBS) for SCD has transformed outcomes in high-income countries by enabling early diagnosis before the onset of life-threatening complications. The introduction of prophylactic penicillin and pneumococcal vaccination from early infancy, made possible by timely diagnosis, has reduced pneumococcal septicaemia — historically a major cause of infant death in SCD — to negligible levels in settings with effective NBS programmes (Streetly et al., </w:t>
      </w:r>
      <w:r w:rsidR="00F465E0" w:rsidRPr="00F465E0">
        <w:rPr>
          <w:rFonts w:ascii="Times New Roman" w:eastAsia="Times New Roman" w:hAnsi="Times New Roman" w:cs="Times New Roman"/>
          <w:sz w:val="24"/>
          <w:szCs w:val="24"/>
          <w:lang w:eastAsia="en-GB"/>
        </w:rPr>
        <w:t>2018</w:t>
      </w:r>
      <w:r w:rsidRPr="00265023">
        <w:rPr>
          <w:rFonts w:ascii="Times New Roman" w:eastAsia="Times New Roman" w:hAnsi="Times New Roman" w:cs="Times New Roman"/>
          <w:sz w:val="24"/>
          <w:szCs w:val="24"/>
          <w:lang w:eastAsia="en-GB"/>
        </w:rPr>
        <w:t xml:space="preserve">; Therrell et al., 2015). The United Kingdom's national NBS programme, one of the most comprehensive in the world, has demonstrated sustained improvements in infant mortality and early clinical outcomes across its first decade of operation (Streetly et al., </w:t>
      </w:r>
      <w:r w:rsidR="00F465E0" w:rsidRPr="00F465E0">
        <w:rPr>
          <w:rFonts w:ascii="Times New Roman" w:eastAsia="Times New Roman" w:hAnsi="Times New Roman" w:cs="Times New Roman"/>
          <w:sz w:val="24"/>
          <w:szCs w:val="24"/>
          <w:lang w:eastAsia="en-GB"/>
        </w:rPr>
        <w:t>2018</w:t>
      </w:r>
      <w:r w:rsidRPr="00265023">
        <w:rPr>
          <w:rFonts w:ascii="Times New Roman" w:eastAsia="Times New Roman" w:hAnsi="Times New Roman" w:cs="Times New Roman"/>
          <w:sz w:val="24"/>
          <w:szCs w:val="24"/>
          <w:lang w:eastAsia="en-GB"/>
        </w:rPr>
        <w:t>).</w:t>
      </w:r>
    </w:p>
    <w:p w14:paraId="3E69AD38"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Globally, however, NBS coverage for SCD remains profoundly uneven. Fewer than 20% of newborns with SCD in Africa are currently identified in the neonatal period (World Health Organization, </w:t>
      </w:r>
      <w:r w:rsidR="00F465E0">
        <w:rPr>
          <w:rFonts w:ascii="Times New Roman" w:eastAsia="Times New Roman" w:hAnsi="Times New Roman" w:cs="Times New Roman"/>
          <w:sz w:val="24"/>
          <w:szCs w:val="24"/>
          <w:lang w:eastAsia="en-GB"/>
        </w:rPr>
        <w:t>2025</w:t>
      </w:r>
      <w:r w:rsidRPr="00265023">
        <w:rPr>
          <w:rFonts w:ascii="Times New Roman" w:eastAsia="Times New Roman" w:hAnsi="Times New Roman" w:cs="Times New Roman"/>
          <w:sz w:val="24"/>
          <w:szCs w:val="24"/>
          <w:lang w:eastAsia="en-GB"/>
        </w:rPr>
        <w:t>; Grosse et al., 2011). Nigeria, which carries the highest global burden of SCD births, has made incremental progress in establishing regional NBS pilots, but national universal coverage remains distant given resource constraints, infrastructure deficits, and the decentralised nature of health service delivery (</w:t>
      </w:r>
      <w:proofErr w:type="spellStart"/>
      <w:r w:rsidRPr="00265023">
        <w:rPr>
          <w:rFonts w:ascii="Times New Roman" w:eastAsia="Times New Roman" w:hAnsi="Times New Roman" w:cs="Times New Roman"/>
          <w:sz w:val="24"/>
          <w:szCs w:val="24"/>
          <w:lang w:eastAsia="en-GB"/>
        </w:rPr>
        <w:t>Tluway</w:t>
      </w:r>
      <w:proofErr w:type="spellEnd"/>
      <w:r w:rsidRPr="00265023">
        <w:rPr>
          <w:rFonts w:ascii="Times New Roman" w:eastAsia="Times New Roman" w:hAnsi="Times New Roman" w:cs="Times New Roman"/>
          <w:sz w:val="24"/>
          <w:szCs w:val="24"/>
          <w:lang w:eastAsia="en-GB"/>
        </w:rPr>
        <w:t xml:space="preserve"> &amp; Makani, 2017). Without early diagnosis, simple and inexpensive preventive interventions cannot be delivered, and the majority of affected children in high-burden countries continue to die of conditions that are entirely preventable in adequately resourced settings.</w:t>
      </w:r>
    </w:p>
    <w:p w14:paraId="77271B74"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lastRenderedPageBreak/>
        <w:t>5.3 Point-of-Care Diagnostics</w:t>
      </w:r>
    </w:p>
    <w:p w14:paraId="32552761"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The development of affordable, reliable point-of-care (POC) diagnostic devices represents a technologically important response to the diagnostic gap in low-resource settings. Traditional laboratory-based confirmation of SCD diagnosis depends on infrastructure — refrigerated reagents, trained laboratory personnel, reliable electricity supply, and functional equipment — that is frequently unavailable at peripheral health facilities across sub-Saharan Africa (</w:t>
      </w:r>
      <w:proofErr w:type="spellStart"/>
      <w:r w:rsidRPr="00265023">
        <w:rPr>
          <w:rFonts w:ascii="Times New Roman" w:eastAsia="Times New Roman" w:hAnsi="Times New Roman" w:cs="Times New Roman"/>
          <w:sz w:val="24"/>
          <w:szCs w:val="24"/>
          <w:lang w:eastAsia="en-GB"/>
        </w:rPr>
        <w:t>Nnodu</w:t>
      </w:r>
      <w:proofErr w:type="spellEnd"/>
      <w:r w:rsidRPr="00265023">
        <w:rPr>
          <w:rFonts w:ascii="Times New Roman" w:eastAsia="Times New Roman" w:hAnsi="Times New Roman" w:cs="Times New Roman"/>
          <w:sz w:val="24"/>
          <w:szCs w:val="24"/>
          <w:lang w:eastAsia="en-GB"/>
        </w:rPr>
        <w:t xml:space="preserve"> et al., 2019). Several lateral flow immunoassay devices targeting HbS and </w:t>
      </w:r>
      <w:proofErr w:type="spellStart"/>
      <w:r w:rsidRPr="00265023">
        <w:rPr>
          <w:rFonts w:ascii="Times New Roman" w:eastAsia="Times New Roman" w:hAnsi="Times New Roman" w:cs="Times New Roman"/>
          <w:sz w:val="24"/>
          <w:szCs w:val="24"/>
          <w:lang w:eastAsia="en-GB"/>
        </w:rPr>
        <w:t>HbC</w:t>
      </w:r>
      <w:proofErr w:type="spellEnd"/>
      <w:r w:rsidRPr="00265023">
        <w:rPr>
          <w:rFonts w:ascii="Times New Roman" w:eastAsia="Times New Roman" w:hAnsi="Times New Roman" w:cs="Times New Roman"/>
          <w:sz w:val="24"/>
          <w:szCs w:val="24"/>
          <w:lang w:eastAsia="en-GB"/>
        </w:rPr>
        <w:t xml:space="preserve"> have been developed and validated; the </w:t>
      </w:r>
      <w:proofErr w:type="spellStart"/>
      <w:r w:rsidRPr="00265023">
        <w:rPr>
          <w:rFonts w:ascii="Times New Roman" w:eastAsia="Times New Roman" w:hAnsi="Times New Roman" w:cs="Times New Roman"/>
          <w:sz w:val="24"/>
          <w:szCs w:val="24"/>
          <w:lang w:eastAsia="en-GB"/>
        </w:rPr>
        <w:t>HemoTypeSC</w:t>
      </w:r>
      <w:proofErr w:type="spellEnd"/>
      <w:r w:rsidRPr="00265023">
        <w:rPr>
          <w:rFonts w:ascii="Times New Roman" w:eastAsia="Times New Roman" w:hAnsi="Times New Roman" w:cs="Times New Roman"/>
          <w:sz w:val="24"/>
          <w:szCs w:val="24"/>
          <w:lang w:eastAsia="en-GB"/>
        </w:rPr>
        <w:t xml:space="preserve"> system, for example, achieved sensitivity and specificity exceeding 99% in multi-country validation studies, while delivering a result within 10 minutes from a </w:t>
      </w:r>
      <w:proofErr w:type="spellStart"/>
      <w:r w:rsidRPr="00265023">
        <w:rPr>
          <w:rFonts w:ascii="Times New Roman" w:eastAsia="Times New Roman" w:hAnsi="Times New Roman" w:cs="Times New Roman"/>
          <w:sz w:val="24"/>
          <w:szCs w:val="24"/>
          <w:lang w:eastAsia="en-GB"/>
        </w:rPr>
        <w:t>fingerprick</w:t>
      </w:r>
      <w:proofErr w:type="spellEnd"/>
      <w:r w:rsidRPr="00265023">
        <w:rPr>
          <w:rFonts w:ascii="Times New Roman" w:eastAsia="Times New Roman" w:hAnsi="Times New Roman" w:cs="Times New Roman"/>
          <w:sz w:val="24"/>
          <w:szCs w:val="24"/>
          <w:lang w:eastAsia="en-GB"/>
        </w:rPr>
        <w:t xml:space="preserve"> blood sample at low cost (</w:t>
      </w:r>
      <w:proofErr w:type="spellStart"/>
      <w:r w:rsidRPr="00265023">
        <w:rPr>
          <w:rFonts w:ascii="Times New Roman" w:eastAsia="Times New Roman" w:hAnsi="Times New Roman" w:cs="Times New Roman"/>
          <w:sz w:val="24"/>
          <w:szCs w:val="24"/>
          <w:lang w:eastAsia="en-GB"/>
        </w:rPr>
        <w:t>Nnodu</w:t>
      </w:r>
      <w:proofErr w:type="spellEnd"/>
      <w:r w:rsidRPr="00265023">
        <w:rPr>
          <w:rFonts w:ascii="Times New Roman" w:eastAsia="Times New Roman" w:hAnsi="Times New Roman" w:cs="Times New Roman"/>
          <w:sz w:val="24"/>
          <w:szCs w:val="24"/>
          <w:lang w:eastAsia="en-GB"/>
        </w:rPr>
        <w:t xml:space="preserve"> et al., 2019). Scaling up such technologies — integrated within national NBS frameworks and community health worker programmes — offers a practicable path towards closing the diagnostic gap in the highest-burden regions. The principal diagnostic approaches are compared in Table 3.</w:t>
      </w:r>
    </w:p>
    <w:p w14:paraId="07D47FFF"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b/>
          <w:bCs/>
          <w:sz w:val="24"/>
          <w:szCs w:val="24"/>
          <w:lang w:eastAsia="en-GB"/>
        </w:rPr>
        <w:t>Table 3: Principal Diagnostic Approaches in Sickle Cell Disease</w:t>
      </w:r>
    </w:p>
    <w:tbl>
      <w:tblPr>
        <w:tblStyle w:val="TableGrid"/>
        <w:tblW w:w="0" w:type="auto"/>
        <w:tblLook w:val="04A0" w:firstRow="1" w:lastRow="0" w:firstColumn="1" w:lastColumn="0" w:noHBand="0" w:noVBand="1"/>
      </w:tblPr>
      <w:tblGrid>
        <w:gridCol w:w="1627"/>
        <w:gridCol w:w="2583"/>
        <w:gridCol w:w="1962"/>
        <w:gridCol w:w="1535"/>
        <w:gridCol w:w="1535"/>
      </w:tblGrid>
      <w:tr w:rsidR="00265023" w:rsidRPr="00265023" w14:paraId="03785B5E" w14:textId="77777777" w:rsidTr="002C7E26">
        <w:tc>
          <w:tcPr>
            <w:tcW w:w="0" w:type="auto"/>
            <w:hideMark/>
          </w:tcPr>
          <w:p w14:paraId="7E3EFF3F"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Method</w:t>
            </w:r>
          </w:p>
        </w:tc>
        <w:tc>
          <w:tcPr>
            <w:tcW w:w="0" w:type="auto"/>
            <w:hideMark/>
          </w:tcPr>
          <w:p w14:paraId="51D31B22"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Technology</w:t>
            </w:r>
          </w:p>
        </w:tc>
        <w:tc>
          <w:tcPr>
            <w:tcW w:w="0" w:type="auto"/>
            <w:hideMark/>
          </w:tcPr>
          <w:p w14:paraId="2AC4BBF2"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Setting</w:t>
            </w:r>
          </w:p>
        </w:tc>
        <w:tc>
          <w:tcPr>
            <w:tcW w:w="0" w:type="auto"/>
            <w:hideMark/>
          </w:tcPr>
          <w:p w14:paraId="586B0F86"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Advantages</w:t>
            </w:r>
          </w:p>
        </w:tc>
        <w:tc>
          <w:tcPr>
            <w:tcW w:w="0" w:type="auto"/>
            <w:hideMark/>
          </w:tcPr>
          <w:p w14:paraId="1E3F7501"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Limitations</w:t>
            </w:r>
          </w:p>
        </w:tc>
      </w:tr>
      <w:tr w:rsidR="00265023" w:rsidRPr="00265023" w14:paraId="2FAC9824" w14:textId="77777777" w:rsidTr="002C7E26">
        <w:tc>
          <w:tcPr>
            <w:tcW w:w="0" w:type="auto"/>
            <w:hideMark/>
          </w:tcPr>
          <w:p w14:paraId="3B55DADF"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HPLC</w:t>
            </w:r>
          </w:p>
        </w:tc>
        <w:tc>
          <w:tcPr>
            <w:tcW w:w="0" w:type="auto"/>
            <w:hideMark/>
          </w:tcPr>
          <w:p w14:paraId="67BA7FEA"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Chromatographic separation of Hb variants</w:t>
            </w:r>
          </w:p>
        </w:tc>
        <w:tc>
          <w:tcPr>
            <w:tcW w:w="0" w:type="auto"/>
            <w:hideMark/>
          </w:tcPr>
          <w:p w14:paraId="78CA2B37"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Centralised laboratory</w:t>
            </w:r>
          </w:p>
        </w:tc>
        <w:tc>
          <w:tcPr>
            <w:tcW w:w="0" w:type="auto"/>
            <w:hideMark/>
          </w:tcPr>
          <w:p w14:paraId="7EE8DCCE"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High accuracy; quantifies all Hb fractions; standard for NBS</w:t>
            </w:r>
          </w:p>
        </w:tc>
        <w:tc>
          <w:tcPr>
            <w:tcW w:w="0" w:type="auto"/>
            <w:hideMark/>
          </w:tcPr>
          <w:p w14:paraId="466BC68B"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Expensive equipment; requires technical expertise</w:t>
            </w:r>
          </w:p>
        </w:tc>
      </w:tr>
      <w:tr w:rsidR="00265023" w:rsidRPr="00265023" w14:paraId="66D823FE" w14:textId="77777777" w:rsidTr="002C7E26">
        <w:tc>
          <w:tcPr>
            <w:tcW w:w="0" w:type="auto"/>
            <w:hideMark/>
          </w:tcPr>
          <w:p w14:paraId="0B556829"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Isoelectric focusing</w:t>
            </w:r>
          </w:p>
        </w:tc>
        <w:tc>
          <w:tcPr>
            <w:tcW w:w="0" w:type="auto"/>
            <w:hideMark/>
          </w:tcPr>
          <w:p w14:paraId="6689A085"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Charge-based Hb separation on gel</w:t>
            </w:r>
          </w:p>
        </w:tc>
        <w:tc>
          <w:tcPr>
            <w:tcW w:w="0" w:type="auto"/>
            <w:hideMark/>
          </w:tcPr>
          <w:p w14:paraId="48DFEDED"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NBS laboratories</w:t>
            </w:r>
          </w:p>
        </w:tc>
        <w:tc>
          <w:tcPr>
            <w:tcW w:w="0" w:type="auto"/>
            <w:hideMark/>
          </w:tcPr>
          <w:p w14:paraId="51B76E3F"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Reliable for neonatal screening; well-validated</w:t>
            </w:r>
          </w:p>
        </w:tc>
        <w:tc>
          <w:tcPr>
            <w:tcW w:w="0" w:type="auto"/>
            <w:hideMark/>
          </w:tcPr>
          <w:p w14:paraId="050D35DD"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Requires skilled interpretation; labour-intensive</w:t>
            </w:r>
          </w:p>
        </w:tc>
      </w:tr>
      <w:tr w:rsidR="00265023" w:rsidRPr="00265023" w14:paraId="5AABC4BE" w14:textId="77777777" w:rsidTr="002C7E26">
        <w:tc>
          <w:tcPr>
            <w:tcW w:w="0" w:type="auto"/>
            <w:hideMark/>
          </w:tcPr>
          <w:p w14:paraId="0CE9B6C5"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Capillary electrophoresis</w:t>
            </w:r>
          </w:p>
        </w:tc>
        <w:tc>
          <w:tcPr>
            <w:tcW w:w="0" w:type="auto"/>
            <w:hideMark/>
          </w:tcPr>
          <w:p w14:paraId="7D1561D4"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Automated Hb separation</w:t>
            </w:r>
          </w:p>
        </w:tc>
        <w:tc>
          <w:tcPr>
            <w:tcW w:w="0" w:type="auto"/>
            <w:hideMark/>
          </w:tcPr>
          <w:p w14:paraId="3857000C"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Central/regional labs</w:t>
            </w:r>
          </w:p>
        </w:tc>
        <w:tc>
          <w:tcPr>
            <w:tcW w:w="0" w:type="auto"/>
            <w:hideMark/>
          </w:tcPr>
          <w:p w14:paraId="7CA993EA"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Automated; rapid; highly accurate; used in large NBS programmes</w:t>
            </w:r>
          </w:p>
        </w:tc>
        <w:tc>
          <w:tcPr>
            <w:tcW w:w="0" w:type="auto"/>
            <w:hideMark/>
          </w:tcPr>
          <w:p w14:paraId="109C63C2"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Cost; infrastructure dependence</w:t>
            </w:r>
          </w:p>
        </w:tc>
      </w:tr>
      <w:tr w:rsidR="00265023" w:rsidRPr="00265023" w14:paraId="2B50CC24" w14:textId="77777777" w:rsidTr="002C7E26">
        <w:tc>
          <w:tcPr>
            <w:tcW w:w="0" w:type="auto"/>
            <w:hideMark/>
          </w:tcPr>
          <w:p w14:paraId="0AA7A0DE"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Lateral flow assay (e.g., </w:t>
            </w:r>
            <w:proofErr w:type="spellStart"/>
            <w:r w:rsidRPr="00265023">
              <w:rPr>
                <w:rFonts w:ascii="Times New Roman" w:eastAsia="Times New Roman" w:hAnsi="Times New Roman" w:cs="Times New Roman"/>
                <w:sz w:val="24"/>
                <w:szCs w:val="24"/>
                <w:lang w:eastAsia="en-GB"/>
              </w:rPr>
              <w:t>HemoTypeSC</w:t>
            </w:r>
            <w:proofErr w:type="spellEnd"/>
            <w:r w:rsidRPr="00265023">
              <w:rPr>
                <w:rFonts w:ascii="Times New Roman" w:eastAsia="Times New Roman" w:hAnsi="Times New Roman" w:cs="Times New Roman"/>
                <w:sz w:val="24"/>
                <w:szCs w:val="24"/>
                <w:lang w:eastAsia="en-GB"/>
              </w:rPr>
              <w:t>)</w:t>
            </w:r>
          </w:p>
        </w:tc>
        <w:tc>
          <w:tcPr>
            <w:tcW w:w="0" w:type="auto"/>
            <w:hideMark/>
          </w:tcPr>
          <w:p w14:paraId="5BD31114"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Immunochromatographic strip</w:t>
            </w:r>
          </w:p>
        </w:tc>
        <w:tc>
          <w:tcPr>
            <w:tcW w:w="0" w:type="auto"/>
            <w:hideMark/>
          </w:tcPr>
          <w:p w14:paraId="4B432174"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Point-of-care/field settings</w:t>
            </w:r>
          </w:p>
        </w:tc>
        <w:tc>
          <w:tcPr>
            <w:tcW w:w="0" w:type="auto"/>
            <w:hideMark/>
          </w:tcPr>
          <w:p w14:paraId="69673C46"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Low cost; minimal infrastructure; rapid (≤10 min)</w:t>
            </w:r>
          </w:p>
        </w:tc>
        <w:tc>
          <w:tcPr>
            <w:tcW w:w="0" w:type="auto"/>
            <w:hideMark/>
          </w:tcPr>
          <w:p w14:paraId="3880412A"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Semi-quantitative; confirmatory testing needed</w:t>
            </w:r>
          </w:p>
        </w:tc>
      </w:tr>
      <w:tr w:rsidR="00265023" w:rsidRPr="00265023" w14:paraId="10D0B52B" w14:textId="77777777" w:rsidTr="002C7E26">
        <w:tc>
          <w:tcPr>
            <w:tcW w:w="0" w:type="auto"/>
            <w:hideMark/>
          </w:tcPr>
          <w:p w14:paraId="55B4396C"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DNA-based genotyping</w:t>
            </w:r>
          </w:p>
        </w:tc>
        <w:tc>
          <w:tcPr>
            <w:tcW w:w="0" w:type="auto"/>
            <w:hideMark/>
          </w:tcPr>
          <w:p w14:paraId="7E0BD4D9"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PCR/Sanger sequencing</w:t>
            </w:r>
          </w:p>
        </w:tc>
        <w:tc>
          <w:tcPr>
            <w:tcW w:w="0" w:type="auto"/>
            <w:hideMark/>
          </w:tcPr>
          <w:p w14:paraId="26F18943"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Specialist/research</w:t>
            </w:r>
          </w:p>
        </w:tc>
        <w:tc>
          <w:tcPr>
            <w:tcW w:w="0" w:type="auto"/>
            <w:hideMark/>
          </w:tcPr>
          <w:p w14:paraId="1B2B8FB5"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Definitive genotypic confirmation; prenatal diagnosis</w:t>
            </w:r>
          </w:p>
        </w:tc>
        <w:tc>
          <w:tcPr>
            <w:tcW w:w="0" w:type="auto"/>
            <w:hideMark/>
          </w:tcPr>
          <w:p w14:paraId="7134C75A"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High cost; specialist laboratory required</w:t>
            </w:r>
          </w:p>
        </w:tc>
      </w:tr>
    </w:tbl>
    <w:p w14:paraId="31C2F4A2"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i/>
          <w:iCs/>
          <w:sz w:val="24"/>
          <w:szCs w:val="24"/>
          <w:lang w:eastAsia="en-GB"/>
        </w:rPr>
        <w:t xml:space="preserve">Sources: Brandow &amp; Liem (2022); Piel et al. </w:t>
      </w:r>
      <w:r w:rsidRPr="00AA3740">
        <w:rPr>
          <w:rFonts w:ascii="Times New Roman" w:eastAsia="Times New Roman" w:hAnsi="Times New Roman" w:cs="Times New Roman"/>
          <w:i/>
          <w:iCs/>
          <w:sz w:val="24"/>
          <w:szCs w:val="24"/>
          <w:lang w:val="nl-BE" w:eastAsia="en-GB"/>
        </w:rPr>
        <w:t xml:space="preserve">(2017); Nnodu et al. (2019); Streetly et al. </w:t>
      </w:r>
      <w:r w:rsidRPr="00265023">
        <w:rPr>
          <w:rFonts w:ascii="Times New Roman" w:eastAsia="Times New Roman" w:hAnsi="Times New Roman" w:cs="Times New Roman"/>
          <w:i/>
          <w:iCs/>
          <w:sz w:val="24"/>
          <w:szCs w:val="24"/>
          <w:lang w:eastAsia="en-GB"/>
        </w:rPr>
        <w:t>(</w:t>
      </w:r>
      <w:r w:rsidR="00F465E0" w:rsidRPr="00F465E0">
        <w:rPr>
          <w:rFonts w:ascii="Times New Roman" w:eastAsia="Times New Roman" w:hAnsi="Times New Roman" w:cs="Times New Roman"/>
          <w:i/>
          <w:iCs/>
          <w:sz w:val="24"/>
          <w:szCs w:val="24"/>
          <w:lang w:eastAsia="en-GB"/>
        </w:rPr>
        <w:t>2018</w:t>
      </w:r>
      <w:r w:rsidRPr="00265023">
        <w:rPr>
          <w:rFonts w:ascii="Times New Roman" w:eastAsia="Times New Roman" w:hAnsi="Times New Roman" w:cs="Times New Roman"/>
          <w:i/>
          <w:iCs/>
          <w:sz w:val="24"/>
          <w:szCs w:val="24"/>
          <w:lang w:eastAsia="en-GB"/>
        </w:rPr>
        <w:t>)</w:t>
      </w:r>
    </w:p>
    <w:p w14:paraId="1F2FC5AB" w14:textId="77777777" w:rsidR="00265023" w:rsidRPr="00265023" w:rsidRDefault="00265023" w:rsidP="00145958">
      <w:pPr>
        <w:spacing w:after="0" w:line="240" w:lineRule="auto"/>
        <w:jc w:val="both"/>
        <w:rPr>
          <w:rFonts w:ascii="Times New Roman" w:eastAsia="Times New Roman" w:hAnsi="Times New Roman" w:cs="Times New Roman"/>
          <w:sz w:val="24"/>
          <w:szCs w:val="24"/>
          <w:lang w:eastAsia="en-GB"/>
        </w:rPr>
      </w:pPr>
    </w:p>
    <w:p w14:paraId="06BEEA4C" w14:textId="77777777" w:rsidR="00265023" w:rsidRPr="00265023" w:rsidRDefault="00265023" w:rsidP="0014595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lastRenderedPageBreak/>
        <w:t>6. Disease-Modifying and Supportive Therapies</w:t>
      </w:r>
    </w:p>
    <w:p w14:paraId="652F096C"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6.1 Hydroxyurea (Hydroxycarbamide)</w:t>
      </w:r>
    </w:p>
    <w:p w14:paraId="58896DB1"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Hydroxyurea (hydroxycarbamide) remains the most widely used and best-evidenced disease-modifying therapy for SCD. Its primary mechanism involves ribonucleotide reductase inhibition, which perturbs erythropoiesis and recruits committed erythroid progenitors at a stage when γ-globin gene expression remains active, thereby increasing the proportion of HbF-containing erythrocytes in circulation (</w:t>
      </w:r>
      <w:proofErr w:type="spellStart"/>
      <w:r w:rsidRPr="00265023">
        <w:rPr>
          <w:rFonts w:ascii="Times New Roman" w:eastAsia="Times New Roman" w:hAnsi="Times New Roman" w:cs="Times New Roman"/>
          <w:sz w:val="24"/>
          <w:szCs w:val="24"/>
          <w:lang w:eastAsia="en-GB"/>
        </w:rPr>
        <w:t>Lettre</w:t>
      </w:r>
      <w:proofErr w:type="spellEnd"/>
      <w:r w:rsidRPr="00265023">
        <w:rPr>
          <w:rFonts w:ascii="Times New Roman" w:eastAsia="Times New Roman" w:hAnsi="Times New Roman" w:cs="Times New Roman"/>
          <w:sz w:val="24"/>
          <w:szCs w:val="24"/>
          <w:lang w:eastAsia="en-GB"/>
        </w:rPr>
        <w:t xml:space="preserve"> &amp; Bauer, 2016). The landmark </w:t>
      </w:r>
      <w:proofErr w:type="spellStart"/>
      <w:r w:rsidRPr="00265023">
        <w:rPr>
          <w:rFonts w:ascii="Times New Roman" w:eastAsia="Times New Roman" w:hAnsi="Times New Roman" w:cs="Times New Roman"/>
          <w:sz w:val="24"/>
          <w:szCs w:val="24"/>
          <w:lang w:eastAsia="en-GB"/>
        </w:rPr>
        <w:t>Multicenter</w:t>
      </w:r>
      <w:proofErr w:type="spellEnd"/>
      <w:r w:rsidRPr="00265023">
        <w:rPr>
          <w:rFonts w:ascii="Times New Roman" w:eastAsia="Times New Roman" w:hAnsi="Times New Roman" w:cs="Times New Roman"/>
          <w:sz w:val="24"/>
          <w:szCs w:val="24"/>
          <w:lang w:eastAsia="en-GB"/>
        </w:rPr>
        <w:t xml:space="preserve"> Study of Hydroxyurea (MSH) trial demonstrated that hydroxyurea reduced the median annual crisis rate by nearly half and significantly reduced the incidence of ACS and transfusion requirements in adults with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xml:space="preserve"> disease (</w:t>
      </w:r>
      <w:proofErr w:type="spellStart"/>
      <w:r w:rsidRPr="00265023">
        <w:rPr>
          <w:rFonts w:ascii="Times New Roman" w:eastAsia="Times New Roman" w:hAnsi="Times New Roman" w:cs="Times New Roman"/>
          <w:sz w:val="24"/>
          <w:szCs w:val="24"/>
          <w:lang w:eastAsia="en-GB"/>
        </w:rPr>
        <w:t>Charache</w:t>
      </w:r>
      <w:proofErr w:type="spellEnd"/>
      <w:r w:rsidRPr="00265023">
        <w:rPr>
          <w:rFonts w:ascii="Times New Roman" w:eastAsia="Times New Roman" w:hAnsi="Times New Roman" w:cs="Times New Roman"/>
          <w:sz w:val="24"/>
          <w:szCs w:val="24"/>
          <w:lang w:eastAsia="en-GB"/>
        </w:rPr>
        <w:t xml:space="preserve"> et al., 1995). Subsequent long-term follow-up revealed a substantial survival benefit, and hydroxyurea is now recommended by major haematology societies for all patients with </w:t>
      </w:r>
      <w:proofErr w:type="spellStart"/>
      <w:r w:rsidRPr="00265023">
        <w:rPr>
          <w:rFonts w:ascii="Times New Roman" w:eastAsia="Times New Roman" w:hAnsi="Times New Roman" w:cs="Times New Roman"/>
          <w:sz w:val="24"/>
          <w:szCs w:val="24"/>
          <w:lang w:eastAsia="en-GB"/>
        </w:rPr>
        <w:t>HbSS</w:t>
      </w:r>
      <w:proofErr w:type="spellEnd"/>
      <w:r w:rsidRPr="00265023">
        <w:rPr>
          <w:rFonts w:ascii="Times New Roman" w:eastAsia="Times New Roman" w:hAnsi="Times New Roman" w:cs="Times New Roman"/>
          <w:sz w:val="24"/>
          <w:szCs w:val="24"/>
          <w:lang w:eastAsia="en-GB"/>
        </w:rPr>
        <w:t xml:space="preserve"> or HbSβ⁰ thalassaemia from as early as nine months of age (Yawn et al., 2014).</w:t>
      </w:r>
    </w:p>
    <w:p w14:paraId="2B420A00"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Despite its efficacy and well-established safety profile after decades of clinical use, hydroxyurea uptake remains suboptimal even in high-income countries. Barriers include patient and clinician concerns about long-term toxicity and teratogenicity, inadequate prescribing among non-specialist practitioners, and challenges with adherence, particularly among adolescents (</w:t>
      </w:r>
      <w:r w:rsidR="00F465E0" w:rsidRPr="00F465E0">
        <w:rPr>
          <w:rFonts w:ascii="Times New Roman" w:eastAsia="Times New Roman" w:hAnsi="Times New Roman" w:cs="Times New Roman"/>
          <w:sz w:val="24"/>
          <w:szCs w:val="24"/>
          <w:lang w:eastAsia="en-GB"/>
        </w:rPr>
        <w:t>Ware, 2015</w:t>
      </w:r>
      <w:r w:rsidRPr="00265023">
        <w:rPr>
          <w:rFonts w:ascii="Times New Roman" w:eastAsia="Times New Roman" w:hAnsi="Times New Roman" w:cs="Times New Roman"/>
          <w:sz w:val="24"/>
          <w:szCs w:val="24"/>
          <w:lang w:eastAsia="en-GB"/>
        </w:rPr>
        <w:t xml:space="preserve">). In lower-income countries, cost, supply-chain fragility, limited prescriber awareness, and the absence of monitoring infrastructure remain the dominant obstacles. The </w:t>
      </w:r>
      <w:proofErr w:type="spellStart"/>
      <w:r w:rsidRPr="00265023">
        <w:rPr>
          <w:rFonts w:ascii="Times New Roman" w:eastAsia="Times New Roman" w:hAnsi="Times New Roman" w:cs="Times New Roman"/>
          <w:sz w:val="24"/>
          <w:szCs w:val="24"/>
          <w:lang w:eastAsia="en-GB"/>
        </w:rPr>
        <w:t>TWiTCH</w:t>
      </w:r>
      <w:proofErr w:type="spellEnd"/>
      <w:r w:rsidRPr="00265023">
        <w:rPr>
          <w:rFonts w:ascii="Times New Roman" w:eastAsia="Times New Roman" w:hAnsi="Times New Roman" w:cs="Times New Roman"/>
          <w:sz w:val="24"/>
          <w:szCs w:val="24"/>
          <w:lang w:eastAsia="en-GB"/>
        </w:rPr>
        <w:t xml:space="preserve"> trial provided important evidence that hydroxycarbamide is non-inferior to chronic transfusion for maintaining previously normalised TCD velocities in appropriately selected children, supporting its use as a less burdensome long-term strategy for stroke risk reduction; it has further been estimated that widespread hydroxyurea deployment in sub-Saharan Africa could avert hundreds of thousands of child deaths annually (Ware et al., 2016; Piel et al., 2013a; Chakravorty &amp; Williams, 2015).</w:t>
      </w:r>
    </w:p>
    <w:p w14:paraId="1F866EA7"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 xml:space="preserve">6.2 L-Glutamine, Crizanlizumab, and </w:t>
      </w:r>
      <w:proofErr w:type="spellStart"/>
      <w:r w:rsidRPr="00265023">
        <w:rPr>
          <w:rFonts w:ascii="Times New Roman" w:eastAsia="Times New Roman" w:hAnsi="Times New Roman" w:cs="Times New Roman"/>
          <w:b/>
          <w:bCs/>
          <w:sz w:val="24"/>
          <w:szCs w:val="24"/>
          <w:lang w:eastAsia="en-GB"/>
        </w:rPr>
        <w:t>Voxelotor</w:t>
      </w:r>
      <w:proofErr w:type="spellEnd"/>
    </w:p>
    <w:p w14:paraId="034FCF8B"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Three additional agents received regulatory approval in the United States between 2017 and 2019, substantially expanding the therapeutic armamentarium for SCD management. L-glutamine (</w:t>
      </w:r>
      <w:proofErr w:type="spellStart"/>
      <w:r w:rsidRPr="00265023">
        <w:rPr>
          <w:rFonts w:ascii="Times New Roman" w:eastAsia="Times New Roman" w:hAnsi="Times New Roman" w:cs="Times New Roman"/>
          <w:sz w:val="24"/>
          <w:szCs w:val="24"/>
          <w:lang w:eastAsia="en-GB"/>
        </w:rPr>
        <w:t>Endari</w:t>
      </w:r>
      <w:proofErr w:type="spellEnd"/>
      <w:r w:rsidRPr="00265023">
        <w:rPr>
          <w:rFonts w:ascii="Times New Roman" w:eastAsia="Times New Roman" w:hAnsi="Times New Roman" w:cs="Times New Roman"/>
          <w:sz w:val="24"/>
          <w:szCs w:val="24"/>
          <w:lang w:eastAsia="en-GB"/>
        </w:rPr>
        <w:t>) was approved by the US FDA in 2017 based on a phase 3 randomised controlled trial demonstrating a statistically significant reduction in the median number of sickle cell crises and hospitalisations over a 48-week treatment period (</w:t>
      </w:r>
      <w:proofErr w:type="spellStart"/>
      <w:r w:rsidRPr="00265023">
        <w:rPr>
          <w:rFonts w:ascii="Times New Roman" w:eastAsia="Times New Roman" w:hAnsi="Times New Roman" w:cs="Times New Roman"/>
          <w:sz w:val="24"/>
          <w:szCs w:val="24"/>
          <w:lang w:eastAsia="en-GB"/>
        </w:rPr>
        <w:t>Niihara</w:t>
      </w:r>
      <w:proofErr w:type="spellEnd"/>
      <w:r w:rsidRPr="00265023">
        <w:rPr>
          <w:rFonts w:ascii="Times New Roman" w:eastAsia="Times New Roman" w:hAnsi="Times New Roman" w:cs="Times New Roman"/>
          <w:sz w:val="24"/>
          <w:szCs w:val="24"/>
          <w:lang w:eastAsia="en-GB"/>
        </w:rPr>
        <w:t xml:space="preserve"> et al., 2018). The proposed mechanism involves replenishment of the nicotinamide adenine dinucleotide (NAD) redox pool in erythrocytes, thereby reducing oxidative stress; however, the magnitude of clinical benefit was modest and the trial enrolled an exclusively US patient population, limiting generalisability to other healthcare contexts.</w:t>
      </w:r>
    </w:p>
    <w:p w14:paraId="27D9B6ED"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Crizanlizumab, a humanised monoclonal antibody targeting P-selectin, was approved in 2019 following the SUSTAIN trial, which demonstrated a 45.3% reduction in the annual rate of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-occlusive crises compared with placebo in patients aged 16 years and older, regardless of concomitant hydroxyurea use (</w:t>
      </w:r>
      <w:proofErr w:type="spellStart"/>
      <w:r w:rsidRPr="00265023">
        <w:rPr>
          <w:rFonts w:ascii="Times New Roman" w:eastAsia="Times New Roman" w:hAnsi="Times New Roman" w:cs="Times New Roman"/>
          <w:sz w:val="24"/>
          <w:szCs w:val="24"/>
          <w:lang w:eastAsia="en-GB"/>
        </w:rPr>
        <w:t>Ataga</w:t>
      </w:r>
      <w:proofErr w:type="spellEnd"/>
      <w:r w:rsidRPr="00265023">
        <w:rPr>
          <w:rFonts w:ascii="Times New Roman" w:eastAsia="Times New Roman" w:hAnsi="Times New Roman" w:cs="Times New Roman"/>
          <w:sz w:val="24"/>
          <w:szCs w:val="24"/>
          <w:lang w:eastAsia="en-GB"/>
        </w:rPr>
        <w:t xml:space="preserve"> et al., 2017). P-selectin is an adhesion molecule expressed on activated endothelial cells and platelets that plays a pivotal role in the multicellular adhesion cascades central to SCD pathophysiology; its pharmacological blockade disrupts the cellular interactions underlying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-occlusion (</w:t>
      </w:r>
      <w:proofErr w:type="spellStart"/>
      <w:r w:rsidRPr="00265023">
        <w:rPr>
          <w:rFonts w:ascii="Times New Roman" w:eastAsia="Times New Roman" w:hAnsi="Times New Roman" w:cs="Times New Roman"/>
          <w:sz w:val="24"/>
          <w:szCs w:val="24"/>
          <w:lang w:eastAsia="en-GB"/>
        </w:rPr>
        <w:t>Sundd</w:t>
      </w:r>
      <w:proofErr w:type="spellEnd"/>
      <w:r w:rsidRPr="00265023">
        <w:rPr>
          <w:rFonts w:ascii="Times New Roman" w:eastAsia="Times New Roman" w:hAnsi="Times New Roman" w:cs="Times New Roman"/>
          <w:sz w:val="24"/>
          <w:szCs w:val="24"/>
          <w:lang w:eastAsia="en-GB"/>
        </w:rPr>
        <w:t xml:space="preserve"> et al., 2019). However, the confirmatory STAND trial, evaluating a higher dose of crizanlizumab, did not replicate the magnitude of benefit observed in SUSTAIN, and the European Medicines </w:t>
      </w:r>
      <w:r w:rsidRPr="00265023">
        <w:rPr>
          <w:rFonts w:ascii="Times New Roman" w:eastAsia="Times New Roman" w:hAnsi="Times New Roman" w:cs="Times New Roman"/>
          <w:sz w:val="24"/>
          <w:szCs w:val="24"/>
          <w:lang w:eastAsia="en-GB"/>
        </w:rPr>
        <w:lastRenderedPageBreak/>
        <w:t>Agency subsequently withdrew its conditional marketing authorisation for the agent. This regulatory development underscores the critical importance of robust confirmatory trial data before broad adoption of novel agents approved on the basis of single pivotal studies.</w:t>
      </w:r>
    </w:p>
    <w:p w14:paraId="664B7B1D"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spellStart"/>
      <w:r w:rsidRPr="00265023">
        <w:rPr>
          <w:rFonts w:ascii="Times New Roman" w:eastAsia="Times New Roman" w:hAnsi="Times New Roman" w:cs="Times New Roman"/>
          <w:sz w:val="24"/>
          <w:szCs w:val="24"/>
          <w:lang w:eastAsia="en-GB"/>
        </w:rPr>
        <w:t>Voxelotor</w:t>
      </w:r>
      <w:proofErr w:type="spellEnd"/>
      <w:r w:rsidRPr="00265023">
        <w:rPr>
          <w:rFonts w:ascii="Times New Roman" w:eastAsia="Times New Roman" w:hAnsi="Times New Roman" w:cs="Times New Roman"/>
          <w:sz w:val="24"/>
          <w:szCs w:val="24"/>
          <w:lang w:eastAsia="en-GB"/>
        </w:rPr>
        <w:t xml:space="preserve"> (GBT440, </w:t>
      </w:r>
      <w:proofErr w:type="spellStart"/>
      <w:r w:rsidRPr="00265023">
        <w:rPr>
          <w:rFonts w:ascii="Times New Roman" w:eastAsia="Times New Roman" w:hAnsi="Times New Roman" w:cs="Times New Roman"/>
          <w:sz w:val="24"/>
          <w:szCs w:val="24"/>
          <w:lang w:eastAsia="en-GB"/>
        </w:rPr>
        <w:t>Oxbryta</w:t>
      </w:r>
      <w:proofErr w:type="spellEnd"/>
      <w:r w:rsidRPr="00265023">
        <w:rPr>
          <w:rFonts w:ascii="Times New Roman" w:eastAsia="Times New Roman" w:hAnsi="Times New Roman" w:cs="Times New Roman"/>
          <w:sz w:val="24"/>
          <w:szCs w:val="24"/>
          <w:lang w:eastAsia="en-GB"/>
        </w:rPr>
        <w:t xml:space="preserve">) was approved in 2019 based on the phase 3 HOPE trial, which demonstrated that </w:t>
      </w:r>
      <w:proofErr w:type="spellStart"/>
      <w:r w:rsidRPr="00265023">
        <w:rPr>
          <w:rFonts w:ascii="Times New Roman" w:eastAsia="Times New Roman" w:hAnsi="Times New Roman" w:cs="Times New Roman"/>
          <w:sz w:val="24"/>
          <w:szCs w:val="24"/>
          <w:lang w:eastAsia="en-GB"/>
        </w:rPr>
        <w:t>voxelotor</w:t>
      </w:r>
      <w:proofErr w:type="spellEnd"/>
      <w:r w:rsidRPr="00265023">
        <w:rPr>
          <w:rFonts w:ascii="Times New Roman" w:eastAsia="Times New Roman" w:hAnsi="Times New Roman" w:cs="Times New Roman"/>
          <w:sz w:val="24"/>
          <w:szCs w:val="24"/>
          <w:lang w:eastAsia="en-GB"/>
        </w:rPr>
        <w:t xml:space="preserve"> significantly increased haemoglobin concentrations (mean increase of approximately 1 g/dL) and reduced markers of haemolysis compared with placebo (</w:t>
      </w:r>
      <w:proofErr w:type="spellStart"/>
      <w:r w:rsidRPr="00265023">
        <w:rPr>
          <w:rFonts w:ascii="Times New Roman" w:eastAsia="Times New Roman" w:hAnsi="Times New Roman" w:cs="Times New Roman"/>
          <w:sz w:val="24"/>
          <w:szCs w:val="24"/>
          <w:lang w:eastAsia="en-GB"/>
        </w:rPr>
        <w:t>Vichinsky</w:t>
      </w:r>
      <w:proofErr w:type="spellEnd"/>
      <w:r w:rsidRPr="00265023">
        <w:rPr>
          <w:rFonts w:ascii="Times New Roman" w:eastAsia="Times New Roman" w:hAnsi="Times New Roman" w:cs="Times New Roman"/>
          <w:sz w:val="24"/>
          <w:szCs w:val="24"/>
          <w:lang w:eastAsia="en-GB"/>
        </w:rPr>
        <w:t xml:space="preserve"> et al., 2019). </w:t>
      </w:r>
      <w:proofErr w:type="spellStart"/>
      <w:r w:rsidRPr="00265023">
        <w:rPr>
          <w:rFonts w:ascii="Times New Roman" w:eastAsia="Times New Roman" w:hAnsi="Times New Roman" w:cs="Times New Roman"/>
          <w:sz w:val="24"/>
          <w:szCs w:val="24"/>
          <w:lang w:eastAsia="en-GB"/>
        </w:rPr>
        <w:t>Voxelotor</w:t>
      </w:r>
      <w:proofErr w:type="spellEnd"/>
      <w:r w:rsidRPr="00265023">
        <w:rPr>
          <w:rFonts w:ascii="Times New Roman" w:eastAsia="Times New Roman" w:hAnsi="Times New Roman" w:cs="Times New Roman"/>
          <w:sz w:val="24"/>
          <w:szCs w:val="24"/>
          <w:lang w:eastAsia="en-GB"/>
        </w:rPr>
        <w:t xml:space="preserve"> acts by forming a reversible covalent bond to haemoglobin and stabilising its oxygenated R-state conformation, reducing the proportion of </w:t>
      </w:r>
      <w:proofErr w:type="spellStart"/>
      <w:r w:rsidRPr="00265023">
        <w:rPr>
          <w:rFonts w:ascii="Times New Roman" w:eastAsia="Times New Roman" w:hAnsi="Times New Roman" w:cs="Times New Roman"/>
          <w:sz w:val="24"/>
          <w:szCs w:val="24"/>
          <w:lang w:eastAsia="en-GB"/>
        </w:rPr>
        <w:t>deoxyHbS</w:t>
      </w:r>
      <w:proofErr w:type="spellEnd"/>
      <w:r w:rsidRPr="00265023">
        <w:rPr>
          <w:rFonts w:ascii="Times New Roman" w:eastAsia="Times New Roman" w:hAnsi="Times New Roman" w:cs="Times New Roman"/>
          <w:sz w:val="24"/>
          <w:szCs w:val="24"/>
          <w:lang w:eastAsia="en-GB"/>
        </w:rPr>
        <w:t xml:space="preserve"> available for polymerisation. Open-label extension data provided additional evidence for sustained haematological improvement (Howard et al., </w:t>
      </w:r>
      <w:r w:rsidR="00D25C36">
        <w:rPr>
          <w:rFonts w:ascii="Times New Roman" w:eastAsia="Times New Roman" w:hAnsi="Times New Roman" w:cs="Times New Roman"/>
          <w:sz w:val="24"/>
          <w:szCs w:val="24"/>
          <w:lang w:eastAsia="en-GB"/>
        </w:rPr>
        <w:t>2019</w:t>
      </w:r>
      <w:r w:rsidRPr="00265023">
        <w:rPr>
          <w:rFonts w:ascii="Times New Roman" w:eastAsia="Times New Roman" w:hAnsi="Times New Roman" w:cs="Times New Roman"/>
          <w:sz w:val="24"/>
          <w:szCs w:val="24"/>
          <w:lang w:eastAsia="en-GB"/>
        </w:rPr>
        <w:t xml:space="preserve">). However, the paradox at the heart of </w:t>
      </w:r>
      <w:proofErr w:type="spellStart"/>
      <w:r w:rsidRPr="00265023">
        <w:rPr>
          <w:rFonts w:ascii="Times New Roman" w:eastAsia="Times New Roman" w:hAnsi="Times New Roman" w:cs="Times New Roman"/>
          <w:sz w:val="24"/>
          <w:szCs w:val="24"/>
          <w:lang w:eastAsia="en-GB"/>
        </w:rPr>
        <w:t>voxelotor's</w:t>
      </w:r>
      <w:proofErr w:type="spellEnd"/>
      <w:r w:rsidRPr="00265023">
        <w:rPr>
          <w:rFonts w:ascii="Times New Roman" w:eastAsia="Times New Roman" w:hAnsi="Times New Roman" w:cs="Times New Roman"/>
          <w:sz w:val="24"/>
          <w:szCs w:val="24"/>
          <w:lang w:eastAsia="en-GB"/>
        </w:rPr>
        <w:t xml:space="preserve"> mechanism — that preventing HbS from releasing oxygen in tissues may reduce oxygen delivery even as anaemia improves — raised legitimate concerns from the outset about whether haematological surrogates would translate into clinical benefit (Tisdale et al., 2020). These concerns were ultimately validated when, in 2024, </w:t>
      </w:r>
      <w:proofErr w:type="spellStart"/>
      <w:r w:rsidRPr="00265023">
        <w:rPr>
          <w:rFonts w:ascii="Times New Roman" w:eastAsia="Times New Roman" w:hAnsi="Times New Roman" w:cs="Times New Roman"/>
          <w:sz w:val="24"/>
          <w:szCs w:val="24"/>
          <w:lang w:eastAsia="en-GB"/>
        </w:rPr>
        <w:t>voxelotor</w:t>
      </w:r>
      <w:proofErr w:type="spellEnd"/>
      <w:r w:rsidRPr="00265023">
        <w:rPr>
          <w:rFonts w:ascii="Times New Roman" w:eastAsia="Times New Roman" w:hAnsi="Times New Roman" w:cs="Times New Roman"/>
          <w:sz w:val="24"/>
          <w:szCs w:val="24"/>
          <w:lang w:eastAsia="en-GB"/>
        </w:rPr>
        <w:t xml:space="preserve"> was voluntarily withdrawn from global markets following post-authorisation confirmatory studies that raised unexpected safety signals, a development that has meaningfully shaped the regulatory calculus for future SCD drug approvals and reinforced the importance of clinical rather than surrogate endpoints in definitive SCD trials.</w:t>
      </w:r>
    </w:p>
    <w:p w14:paraId="78BEF048"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6.3 Transfusion Therapy</w:t>
      </w:r>
    </w:p>
    <w:p w14:paraId="5014F7CF"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Both simple and exchange transfusion play important roles in the management of SCD, acutely and chronically. Simple transfusion corrects severe anaemia in the context of aplastic crisis (typically from parvovirus B19 infection), acute splenic sequestration, or </w:t>
      </w:r>
      <w:proofErr w:type="spellStart"/>
      <w:r w:rsidRPr="00265023">
        <w:rPr>
          <w:rFonts w:ascii="Times New Roman" w:eastAsia="Times New Roman" w:hAnsi="Times New Roman" w:cs="Times New Roman"/>
          <w:sz w:val="24"/>
          <w:szCs w:val="24"/>
          <w:lang w:eastAsia="en-GB"/>
        </w:rPr>
        <w:t>hyperhaehmolytic</w:t>
      </w:r>
      <w:proofErr w:type="spellEnd"/>
      <w:r w:rsidRPr="00265023">
        <w:rPr>
          <w:rFonts w:ascii="Times New Roman" w:eastAsia="Times New Roman" w:hAnsi="Times New Roman" w:cs="Times New Roman"/>
          <w:sz w:val="24"/>
          <w:szCs w:val="24"/>
          <w:lang w:eastAsia="en-GB"/>
        </w:rPr>
        <w:t xml:space="preserve"> episodes. Exchange transfusion — the simultaneous removal of sickle erythrocytes with replacement by donor blood — more effectively reduces HbS percentage without substantially increasing viscosity and is indicated for severe ACS, acute neurological events, and multi-organ failure (Yawn et al., 2014). Chronic transfusion programmes, maintaining HbS below 30% through monthly exchange or simple transfusion, remain the standard of care for primary stroke prevention in children identified as high-risk by TCD, and their efficacy in this indication has been documented for nearly three decades (Adams et al., 1998).</w:t>
      </w:r>
    </w:p>
    <w:p w14:paraId="4F73B191"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The principal complications of chronic transfusion are alloimmunisation and secondary iron overload. Alloimmunisation rates are particularly elevated in SCD because of the extensive red cell antigen mismatch between patients of sub-Saharan African ancestry and the predominantly European-ancestry blood donor pool in high-income countries; extended antigen-matched transfusion programmes partially address this risk but do not eliminate it entirely (Pecker &amp; </w:t>
      </w:r>
      <w:proofErr w:type="spellStart"/>
      <w:r w:rsidRPr="00265023">
        <w:rPr>
          <w:rFonts w:ascii="Times New Roman" w:eastAsia="Times New Roman" w:hAnsi="Times New Roman" w:cs="Times New Roman"/>
          <w:sz w:val="24"/>
          <w:szCs w:val="24"/>
          <w:lang w:eastAsia="en-GB"/>
        </w:rPr>
        <w:t>Lanzkron</w:t>
      </w:r>
      <w:proofErr w:type="spellEnd"/>
      <w:r w:rsidRPr="00265023">
        <w:rPr>
          <w:rFonts w:ascii="Times New Roman" w:eastAsia="Times New Roman" w:hAnsi="Times New Roman" w:cs="Times New Roman"/>
          <w:sz w:val="24"/>
          <w:szCs w:val="24"/>
          <w:lang w:eastAsia="en-GB"/>
        </w:rPr>
        <w:t xml:space="preserve">, 2021). Secondary iron overload from both </w:t>
      </w:r>
      <w:proofErr w:type="spellStart"/>
      <w:r w:rsidRPr="00265023">
        <w:rPr>
          <w:rFonts w:ascii="Times New Roman" w:eastAsia="Times New Roman" w:hAnsi="Times New Roman" w:cs="Times New Roman"/>
          <w:sz w:val="24"/>
          <w:szCs w:val="24"/>
          <w:lang w:eastAsia="en-GB"/>
        </w:rPr>
        <w:t>transfusional</w:t>
      </w:r>
      <w:proofErr w:type="spellEnd"/>
      <w:r w:rsidRPr="00265023">
        <w:rPr>
          <w:rFonts w:ascii="Times New Roman" w:eastAsia="Times New Roman" w:hAnsi="Times New Roman" w:cs="Times New Roman"/>
          <w:sz w:val="24"/>
          <w:szCs w:val="24"/>
          <w:lang w:eastAsia="en-GB"/>
        </w:rPr>
        <w:t xml:space="preserve"> and absorptive sources requires chelation therapy with deferoxamine, deferasirox, or deferiprone, imposing additional treatment burden and monitoring requirements that must be carefully integrated into long-term care planning.</w:t>
      </w:r>
    </w:p>
    <w:p w14:paraId="246FDAB3"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Four pharmacological agents that have received regulatory approval for SCD at various points are summarised in Table 4; noting that the approval status of two has since been modified or withdrawn, the table reflects both the historical and current regulatory positions of each agent.</w:t>
      </w:r>
    </w:p>
    <w:p w14:paraId="7225C264"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b/>
          <w:bCs/>
          <w:sz w:val="24"/>
          <w:szCs w:val="24"/>
          <w:lang w:eastAsia="en-GB"/>
        </w:rPr>
        <w:lastRenderedPageBreak/>
        <w:t>Table 4: Pharmacological Agents That Have Received Regulatory Approval for Sickle Cell Disease</w:t>
      </w:r>
    </w:p>
    <w:tbl>
      <w:tblPr>
        <w:tblStyle w:val="TableGrid"/>
        <w:tblW w:w="0" w:type="auto"/>
        <w:tblLook w:val="04A0" w:firstRow="1" w:lastRow="0" w:firstColumn="1" w:lastColumn="0" w:noHBand="0" w:noVBand="1"/>
      </w:tblPr>
      <w:tblGrid>
        <w:gridCol w:w="1596"/>
        <w:gridCol w:w="1649"/>
        <w:gridCol w:w="1623"/>
        <w:gridCol w:w="1258"/>
        <w:gridCol w:w="1675"/>
        <w:gridCol w:w="1441"/>
      </w:tblGrid>
      <w:tr w:rsidR="00265023" w:rsidRPr="00265023" w14:paraId="0959CEA7" w14:textId="77777777" w:rsidTr="002C7E26">
        <w:tc>
          <w:tcPr>
            <w:tcW w:w="0" w:type="auto"/>
            <w:hideMark/>
          </w:tcPr>
          <w:p w14:paraId="2D9F6D77"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Agent</w:t>
            </w:r>
          </w:p>
        </w:tc>
        <w:tc>
          <w:tcPr>
            <w:tcW w:w="0" w:type="auto"/>
            <w:hideMark/>
          </w:tcPr>
          <w:p w14:paraId="583740E0"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Class</w:t>
            </w:r>
          </w:p>
        </w:tc>
        <w:tc>
          <w:tcPr>
            <w:tcW w:w="0" w:type="auto"/>
            <w:hideMark/>
          </w:tcPr>
          <w:p w14:paraId="5AC0B8A0"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Mechanism</w:t>
            </w:r>
          </w:p>
        </w:tc>
        <w:tc>
          <w:tcPr>
            <w:tcW w:w="0" w:type="auto"/>
            <w:hideMark/>
          </w:tcPr>
          <w:p w14:paraId="2E77B781"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Key Trial</w:t>
            </w:r>
          </w:p>
        </w:tc>
        <w:tc>
          <w:tcPr>
            <w:tcW w:w="0" w:type="auto"/>
            <w:hideMark/>
          </w:tcPr>
          <w:p w14:paraId="41C7A07D"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Main Outcome Demonstrated</w:t>
            </w:r>
          </w:p>
        </w:tc>
        <w:tc>
          <w:tcPr>
            <w:tcW w:w="0" w:type="auto"/>
            <w:hideMark/>
          </w:tcPr>
          <w:p w14:paraId="22649FF9"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Approval Status</w:t>
            </w:r>
          </w:p>
        </w:tc>
      </w:tr>
      <w:tr w:rsidR="00265023" w:rsidRPr="00265023" w14:paraId="47CC235E" w14:textId="77777777" w:rsidTr="002C7E26">
        <w:tc>
          <w:tcPr>
            <w:tcW w:w="0" w:type="auto"/>
            <w:hideMark/>
          </w:tcPr>
          <w:p w14:paraId="5559A32D"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Hydroxyurea</w:t>
            </w:r>
          </w:p>
        </w:tc>
        <w:tc>
          <w:tcPr>
            <w:tcW w:w="0" w:type="auto"/>
            <w:hideMark/>
          </w:tcPr>
          <w:p w14:paraId="6AD5CC43"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Ribonucleotide reductase inhibitor</w:t>
            </w:r>
          </w:p>
        </w:tc>
        <w:tc>
          <w:tcPr>
            <w:tcW w:w="0" w:type="auto"/>
            <w:hideMark/>
          </w:tcPr>
          <w:p w14:paraId="270A1B28"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HbF induction; leucocyte reduction; rheological effects</w:t>
            </w:r>
          </w:p>
        </w:tc>
        <w:tc>
          <w:tcPr>
            <w:tcW w:w="0" w:type="auto"/>
            <w:hideMark/>
          </w:tcPr>
          <w:p w14:paraId="49C087E6"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MSH (</w:t>
            </w:r>
            <w:proofErr w:type="spellStart"/>
            <w:r w:rsidRPr="00265023">
              <w:rPr>
                <w:rFonts w:ascii="Times New Roman" w:eastAsia="Times New Roman" w:hAnsi="Times New Roman" w:cs="Times New Roman"/>
                <w:sz w:val="24"/>
                <w:szCs w:val="24"/>
                <w:lang w:eastAsia="en-GB"/>
              </w:rPr>
              <w:t>Charache</w:t>
            </w:r>
            <w:proofErr w:type="spellEnd"/>
            <w:r w:rsidRPr="00265023">
              <w:rPr>
                <w:rFonts w:ascii="Times New Roman" w:eastAsia="Times New Roman" w:hAnsi="Times New Roman" w:cs="Times New Roman"/>
                <w:sz w:val="24"/>
                <w:szCs w:val="24"/>
                <w:lang w:eastAsia="en-GB"/>
              </w:rPr>
              <w:t xml:space="preserve"> et al., 1995)</w:t>
            </w:r>
          </w:p>
        </w:tc>
        <w:tc>
          <w:tcPr>
            <w:tcW w:w="0" w:type="auto"/>
            <w:hideMark/>
          </w:tcPr>
          <w:p w14:paraId="7A2A6F7F"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~44% reduction in annual crisis rate; reduced ACS and mortality</w:t>
            </w:r>
          </w:p>
        </w:tc>
        <w:tc>
          <w:tcPr>
            <w:tcW w:w="0" w:type="auto"/>
            <w:hideMark/>
          </w:tcPr>
          <w:p w14:paraId="49045F63"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FDA approved 1998; widely approved globally</w:t>
            </w:r>
          </w:p>
        </w:tc>
      </w:tr>
      <w:tr w:rsidR="00265023" w:rsidRPr="00265023" w14:paraId="46619B84" w14:textId="77777777" w:rsidTr="002C7E26">
        <w:tc>
          <w:tcPr>
            <w:tcW w:w="0" w:type="auto"/>
            <w:hideMark/>
          </w:tcPr>
          <w:p w14:paraId="7D75B525"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L-Glutamine</w:t>
            </w:r>
          </w:p>
        </w:tc>
        <w:tc>
          <w:tcPr>
            <w:tcW w:w="0" w:type="auto"/>
            <w:hideMark/>
          </w:tcPr>
          <w:p w14:paraId="27B35124"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Amino acid supplement</w:t>
            </w:r>
          </w:p>
        </w:tc>
        <w:tc>
          <w:tcPr>
            <w:tcW w:w="0" w:type="auto"/>
            <w:hideMark/>
          </w:tcPr>
          <w:p w14:paraId="253C9FEE"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NAD redox pool augmentation; reduced oxidative stress</w:t>
            </w:r>
          </w:p>
        </w:tc>
        <w:tc>
          <w:tcPr>
            <w:tcW w:w="0" w:type="auto"/>
            <w:hideMark/>
          </w:tcPr>
          <w:p w14:paraId="21D03CBD"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Phase 3 (</w:t>
            </w:r>
            <w:proofErr w:type="spellStart"/>
            <w:r w:rsidRPr="00265023">
              <w:rPr>
                <w:rFonts w:ascii="Times New Roman" w:eastAsia="Times New Roman" w:hAnsi="Times New Roman" w:cs="Times New Roman"/>
                <w:sz w:val="24"/>
                <w:szCs w:val="24"/>
                <w:lang w:eastAsia="en-GB"/>
              </w:rPr>
              <w:t>Niihara</w:t>
            </w:r>
            <w:proofErr w:type="spellEnd"/>
            <w:r w:rsidRPr="00265023">
              <w:rPr>
                <w:rFonts w:ascii="Times New Roman" w:eastAsia="Times New Roman" w:hAnsi="Times New Roman" w:cs="Times New Roman"/>
                <w:sz w:val="24"/>
                <w:szCs w:val="24"/>
                <w:lang w:eastAsia="en-GB"/>
              </w:rPr>
              <w:t xml:space="preserve"> et al., 2018)</w:t>
            </w:r>
          </w:p>
        </w:tc>
        <w:tc>
          <w:tcPr>
            <w:tcW w:w="0" w:type="auto"/>
            <w:hideMark/>
          </w:tcPr>
          <w:p w14:paraId="4CB6D8E1"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Reduction in crisis frequency and hospitalisations</w:t>
            </w:r>
          </w:p>
        </w:tc>
        <w:tc>
          <w:tcPr>
            <w:tcW w:w="0" w:type="auto"/>
            <w:hideMark/>
          </w:tcPr>
          <w:p w14:paraId="1DAB0EC0"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FDA approved 2017</w:t>
            </w:r>
          </w:p>
        </w:tc>
      </w:tr>
      <w:tr w:rsidR="00265023" w:rsidRPr="00265023" w14:paraId="382E9A8E" w14:textId="77777777" w:rsidTr="002C7E26">
        <w:tc>
          <w:tcPr>
            <w:tcW w:w="0" w:type="auto"/>
            <w:hideMark/>
          </w:tcPr>
          <w:p w14:paraId="2997E089"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Crizanlizumab</w:t>
            </w:r>
          </w:p>
        </w:tc>
        <w:tc>
          <w:tcPr>
            <w:tcW w:w="0" w:type="auto"/>
            <w:hideMark/>
          </w:tcPr>
          <w:p w14:paraId="428DA97B"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Anti–P-selectin monoclonal antibody</w:t>
            </w:r>
          </w:p>
        </w:tc>
        <w:tc>
          <w:tcPr>
            <w:tcW w:w="0" w:type="auto"/>
            <w:hideMark/>
          </w:tcPr>
          <w:p w14:paraId="4FABB8FC"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Blockade of adhesion cascades central to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-occlusion</w:t>
            </w:r>
          </w:p>
        </w:tc>
        <w:tc>
          <w:tcPr>
            <w:tcW w:w="0" w:type="auto"/>
            <w:hideMark/>
          </w:tcPr>
          <w:p w14:paraId="09E48B91"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SUSTAIN (</w:t>
            </w:r>
            <w:proofErr w:type="spellStart"/>
            <w:r w:rsidRPr="00265023">
              <w:rPr>
                <w:rFonts w:ascii="Times New Roman" w:eastAsia="Times New Roman" w:hAnsi="Times New Roman" w:cs="Times New Roman"/>
                <w:sz w:val="24"/>
                <w:szCs w:val="24"/>
                <w:lang w:eastAsia="en-GB"/>
              </w:rPr>
              <w:t>Ataga</w:t>
            </w:r>
            <w:proofErr w:type="spellEnd"/>
            <w:r w:rsidRPr="00265023">
              <w:rPr>
                <w:rFonts w:ascii="Times New Roman" w:eastAsia="Times New Roman" w:hAnsi="Times New Roman" w:cs="Times New Roman"/>
                <w:sz w:val="24"/>
                <w:szCs w:val="24"/>
                <w:lang w:eastAsia="en-GB"/>
              </w:rPr>
              <w:t xml:space="preserve"> et al., 2017)</w:t>
            </w:r>
          </w:p>
        </w:tc>
        <w:tc>
          <w:tcPr>
            <w:tcW w:w="0" w:type="auto"/>
            <w:hideMark/>
          </w:tcPr>
          <w:p w14:paraId="1FCB025C"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45.3% reduction in annual VOC rate</w:t>
            </w:r>
          </w:p>
        </w:tc>
        <w:tc>
          <w:tcPr>
            <w:tcW w:w="0" w:type="auto"/>
            <w:hideMark/>
          </w:tcPr>
          <w:p w14:paraId="4A263E3E"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FDA approved 2019; EMA conditional authorisation withdrawn</w:t>
            </w:r>
          </w:p>
        </w:tc>
      </w:tr>
      <w:tr w:rsidR="00265023" w:rsidRPr="00265023" w14:paraId="10BFC78F" w14:textId="77777777" w:rsidTr="002C7E26">
        <w:tc>
          <w:tcPr>
            <w:tcW w:w="0" w:type="auto"/>
            <w:hideMark/>
          </w:tcPr>
          <w:p w14:paraId="6EEBFEBE" w14:textId="77777777" w:rsidR="00265023" w:rsidRPr="00265023" w:rsidRDefault="00265023" w:rsidP="00145958">
            <w:pPr>
              <w:jc w:val="both"/>
              <w:rPr>
                <w:rFonts w:ascii="Times New Roman" w:eastAsia="Times New Roman" w:hAnsi="Times New Roman" w:cs="Times New Roman"/>
                <w:sz w:val="24"/>
                <w:szCs w:val="24"/>
                <w:lang w:eastAsia="en-GB"/>
              </w:rPr>
            </w:pPr>
            <w:proofErr w:type="spellStart"/>
            <w:r w:rsidRPr="00265023">
              <w:rPr>
                <w:rFonts w:ascii="Times New Roman" w:eastAsia="Times New Roman" w:hAnsi="Times New Roman" w:cs="Times New Roman"/>
                <w:sz w:val="24"/>
                <w:szCs w:val="24"/>
                <w:lang w:eastAsia="en-GB"/>
              </w:rPr>
              <w:t>Voxelotor</w:t>
            </w:r>
            <w:proofErr w:type="spellEnd"/>
          </w:p>
        </w:tc>
        <w:tc>
          <w:tcPr>
            <w:tcW w:w="0" w:type="auto"/>
            <w:hideMark/>
          </w:tcPr>
          <w:p w14:paraId="6E98B1F6"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HbS polymerisation inhibitor</w:t>
            </w:r>
          </w:p>
        </w:tc>
        <w:tc>
          <w:tcPr>
            <w:tcW w:w="0" w:type="auto"/>
            <w:hideMark/>
          </w:tcPr>
          <w:p w14:paraId="72F01CC8"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Stabilises oxygenated HbS conformation; reduces polymerisation</w:t>
            </w:r>
          </w:p>
        </w:tc>
        <w:tc>
          <w:tcPr>
            <w:tcW w:w="0" w:type="auto"/>
            <w:hideMark/>
          </w:tcPr>
          <w:p w14:paraId="008D0C96"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HOPE (</w:t>
            </w:r>
            <w:proofErr w:type="spellStart"/>
            <w:r w:rsidRPr="00265023">
              <w:rPr>
                <w:rFonts w:ascii="Times New Roman" w:eastAsia="Times New Roman" w:hAnsi="Times New Roman" w:cs="Times New Roman"/>
                <w:sz w:val="24"/>
                <w:szCs w:val="24"/>
                <w:lang w:eastAsia="en-GB"/>
              </w:rPr>
              <w:t>Vichinsky</w:t>
            </w:r>
            <w:proofErr w:type="spellEnd"/>
            <w:r w:rsidRPr="00265023">
              <w:rPr>
                <w:rFonts w:ascii="Times New Roman" w:eastAsia="Times New Roman" w:hAnsi="Times New Roman" w:cs="Times New Roman"/>
                <w:sz w:val="24"/>
                <w:szCs w:val="24"/>
                <w:lang w:eastAsia="en-GB"/>
              </w:rPr>
              <w:t xml:space="preserve"> et al., 2019)</w:t>
            </w:r>
          </w:p>
        </w:tc>
        <w:tc>
          <w:tcPr>
            <w:tcW w:w="0" w:type="auto"/>
            <w:hideMark/>
          </w:tcPr>
          <w:p w14:paraId="3E288792"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Increased haemoglobin; reduced markers of haemolysis</w:t>
            </w:r>
          </w:p>
        </w:tc>
        <w:tc>
          <w:tcPr>
            <w:tcW w:w="0" w:type="auto"/>
            <w:hideMark/>
          </w:tcPr>
          <w:p w14:paraId="33E5C4E8"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FDA approved 2019; voluntarily withdrawn globally 2024</w:t>
            </w:r>
          </w:p>
        </w:tc>
      </w:tr>
    </w:tbl>
    <w:p w14:paraId="2857732C"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i/>
          <w:iCs/>
          <w:sz w:val="24"/>
          <w:szCs w:val="24"/>
          <w:lang w:eastAsia="en-GB"/>
        </w:rPr>
        <w:t xml:space="preserve">Sources: </w:t>
      </w:r>
      <w:proofErr w:type="spellStart"/>
      <w:r w:rsidRPr="00265023">
        <w:rPr>
          <w:rFonts w:ascii="Times New Roman" w:eastAsia="Times New Roman" w:hAnsi="Times New Roman" w:cs="Times New Roman"/>
          <w:i/>
          <w:iCs/>
          <w:sz w:val="24"/>
          <w:szCs w:val="24"/>
          <w:lang w:eastAsia="en-GB"/>
        </w:rPr>
        <w:t>Charache</w:t>
      </w:r>
      <w:proofErr w:type="spellEnd"/>
      <w:r w:rsidRPr="00265023">
        <w:rPr>
          <w:rFonts w:ascii="Times New Roman" w:eastAsia="Times New Roman" w:hAnsi="Times New Roman" w:cs="Times New Roman"/>
          <w:i/>
          <w:iCs/>
          <w:sz w:val="24"/>
          <w:szCs w:val="24"/>
          <w:lang w:eastAsia="en-GB"/>
        </w:rPr>
        <w:t xml:space="preserve"> et al. (1995); </w:t>
      </w:r>
      <w:proofErr w:type="spellStart"/>
      <w:r w:rsidRPr="00265023">
        <w:rPr>
          <w:rFonts w:ascii="Times New Roman" w:eastAsia="Times New Roman" w:hAnsi="Times New Roman" w:cs="Times New Roman"/>
          <w:i/>
          <w:iCs/>
          <w:sz w:val="24"/>
          <w:szCs w:val="24"/>
          <w:lang w:eastAsia="en-GB"/>
        </w:rPr>
        <w:t>Niihara</w:t>
      </w:r>
      <w:proofErr w:type="spellEnd"/>
      <w:r w:rsidRPr="00265023">
        <w:rPr>
          <w:rFonts w:ascii="Times New Roman" w:eastAsia="Times New Roman" w:hAnsi="Times New Roman" w:cs="Times New Roman"/>
          <w:i/>
          <w:iCs/>
          <w:sz w:val="24"/>
          <w:szCs w:val="24"/>
          <w:lang w:eastAsia="en-GB"/>
        </w:rPr>
        <w:t xml:space="preserve"> et al. </w:t>
      </w:r>
      <w:r w:rsidRPr="00AA3740">
        <w:rPr>
          <w:rFonts w:ascii="Times New Roman" w:eastAsia="Times New Roman" w:hAnsi="Times New Roman" w:cs="Times New Roman"/>
          <w:i/>
          <w:iCs/>
          <w:sz w:val="24"/>
          <w:szCs w:val="24"/>
          <w:lang w:val="nl-BE" w:eastAsia="en-GB"/>
        </w:rPr>
        <w:t xml:space="preserve">(2018); Ataga et al. (2017); Vichinsky et al. </w:t>
      </w:r>
      <w:r w:rsidRPr="00265023">
        <w:rPr>
          <w:rFonts w:ascii="Times New Roman" w:eastAsia="Times New Roman" w:hAnsi="Times New Roman" w:cs="Times New Roman"/>
          <w:i/>
          <w:iCs/>
          <w:sz w:val="24"/>
          <w:szCs w:val="24"/>
          <w:lang w:eastAsia="en-GB"/>
        </w:rPr>
        <w:t>(2019)</w:t>
      </w:r>
    </w:p>
    <w:p w14:paraId="3DEA17A1" w14:textId="77777777" w:rsidR="00265023" w:rsidRPr="00265023" w:rsidRDefault="00265023" w:rsidP="00145958">
      <w:pPr>
        <w:spacing w:after="0" w:line="240" w:lineRule="auto"/>
        <w:jc w:val="both"/>
        <w:rPr>
          <w:rFonts w:ascii="Times New Roman" w:eastAsia="Times New Roman" w:hAnsi="Times New Roman" w:cs="Times New Roman"/>
          <w:sz w:val="24"/>
          <w:szCs w:val="24"/>
          <w:lang w:eastAsia="en-GB"/>
        </w:rPr>
      </w:pPr>
    </w:p>
    <w:p w14:paraId="5899619D" w14:textId="77777777" w:rsidR="00265023" w:rsidRPr="00265023" w:rsidRDefault="00265023" w:rsidP="0014595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t>7. Curative and Emerging Therapies</w:t>
      </w:r>
    </w:p>
    <w:p w14:paraId="0F42B3FB"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7.1 Allogeneic Haematopoietic Stem Cell Transplantation</w:t>
      </w:r>
    </w:p>
    <w:p w14:paraId="0CFF65E6"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Allogeneic haematopoietic stem cell transplantation (HSCT) remains the only long-established curative modality for SCD and, in appropriately selected patients with a fully HLA-matched sibling donor, achieves long-term event-free survival rates of approximately 90% in children (Hsieh et al., 2014). The longstanding barrier to more widespread use has been the risk of treatment-related morbidity and mortality, graft-versus-host disease (GvHD), graft failure, and — most fundamentally — the rarity of HLA-identical sibling donors. Only approximately 15–25% of patients with SCD have a fully matched sibling, a proportion that falls further in smaller family units increasingly common in affected communities globally (Eapen et al., 2019).</w:t>
      </w:r>
    </w:p>
    <w:p w14:paraId="3CF4E77F"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lastRenderedPageBreak/>
        <w:t>Non-myeloablative conditioning regimens have substantially reduced transplant-related mortality in adults with SCD, enabling HSCT to be extended progressively beyond the paediatric population. Hsieh et al. (2014) reported that a non-myeloablative HLA-matched sibling HSCT protocol using alemtuzumab and low-dose total body irradiation achieved a 26% incidence of graft rejection but an 87% overall survival and a 79% cure rate among those who successfully engrafted, without significant GvHD. Extended multicentre registry analyses have confirmed that patient age, conditioning intensity, and donor source all significantly affect outcomes, with younger patients receiving myeloablative matched-sibling transplants achieving the best results, while outcomes with mismatched donors remain inferior and require further improvement. The expanding use of haploidentical donors, combined with refined post-transplant cyclophosphamide–based GvHD prophylaxis, is gradually widening curative access to patients without an HLA-matched sibling, though long-term data remain limited and this approach cannot yet be recommended as routine practice outside experienced centres (Eapen et al., 2019).</w:t>
      </w:r>
    </w:p>
    <w:p w14:paraId="1A61BCCB"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7.2 Gene Therapy Approaches</w:t>
      </w:r>
    </w:p>
    <w:p w14:paraId="3294806D"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The absence of a suitable sibling donor for the great majority of patients with SCD has driven intense interest in autologous gene therapy approaches, which use the patient's own haematopoietic stem and progenitor cells (HSPCs) as the therapeutic substrate. This strategy circumvents the need for a matched donor and eliminates the risk of GvHD, while enabling delivery of a corrective genetic modification to erythroid lineage cells. Two broad strategies have reached clinical translation: lentiviral vector-mediated delivery of a functional anti-sickling β-globin transgene, and approaches targeting HbF reactivation through silencing of the erythroid BCL11A repressor.</w:t>
      </w:r>
    </w:p>
    <w:p w14:paraId="060FB6C9"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The first published success in SCD gene therapy used a lentiviral vector to deliver a modified β-globin gene — the anti-sickling βT87Q variant — into autologous HSPCs, followed by myeloablative busulfan conditioning and reinfusion (</w:t>
      </w:r>
      <w:proofErr w:type="spellStart"/>
      <w:r w:rsidRPr="00265023">
        <w:rPr>
          <w:rFonts w:ascii="Times New Roman" w:eastAsia="Times New Roman" w:hAnsi="Times New Roman" w:cs="Times New Roman"/>
          <w:sz w:val="24"/>
          <w:szCs w:val="24"/>
          <w:lang w:eastAsia="en-GB"/>
        </w:rPr>
        <w:t>Ribeil</w:t>
      </w:r>
      <w:proofErr w:type="spellEnd"/>
      <w:r w:rsidRPr="00265023">
        <w:rPr>
          <w:rFonts w:ascii="Times New Roman" w:eastAsia="Times New Roman" w:hAnsi="Times New Roman" w:cs="Times New Roman"/>
          <w:sz w:val="24"/>
          <w:szCs w:val="24"/>
          <w:lang w:eastAsia="en-GB"/>
        </w:rPr>
        <w:t xml:space="preserve"> et al., 2017). In the initial patient — a young man with severe transfusion-dependent SCD — the approach achieved transfusion independence and sustained anti-sickling haemoglobin production at approximately 50% of total haemoglobin, with complete resolution of painful crises and ACS events. Subsequent multicentre clinical development of this approach, designated </w:t>
      </w:r>
      <w:proofErr w:type="spellStart"/>
      <w:r w:rsidRPr="00265023">
        <w:rPr>
          <w:rFonts w:ascii="Times New Roman" w:eastAsia="Times New Roman" w:hAnsi="Times New Roman" w:cs="Times New Roman"/>
          <w:sz w:val="24"/>
          <w:szCs w:val="24"/>
          <w:lang w:eastAsia="en-GB"/>
        </w:rPr>
        <w:t>lovotibeglogene</w:t>
      </w:r>
      <w:proofErr w:type="spellEnd"/>
      <w:r w:rsidRPr="00265023">
        <w:rPr>
          <w:rFonts w:ascii="Times New Roman" w:eastAsia="Times New Roman" w:hAnsi="Times New Roman" w:cs="Times New Roman"/>
          <w:sz w:val="24"/>
          <w:szCs w:val="24"/>
          <w:lang w:eastAsia="en-GB"/>
        </w:rPr>
        <w:t xml:space="preserve"> autotemcel (</w:t>
      </w:r>
      <w:proofErr w:type="spellStart"/>
      <w:r w:rsidRPr="00265023">
        <w:rPr>
          <w:rFonts w:ascii="Times New Roman" w:eastAsia="Times New Roman" w:hAnsi="Times New Roman" w:cs="Times New Roman"/>
          <w:sz w:val="24"/>
          <w:szCs w:val="24"/>
          <w:lang w:eastAsia="en-GB"/>
        </w:rPr>
        <w:t>lovo</w:t>
      </w:r>
      <w:proofErr w:type="spellEnd"/>
      <w:r w:rsidRPr="00265023">
        <w:rPr>
          <w:rFonts w:ascii="Times New Roman" w:eastAsia="Times New Roman" w:hAnsi="Times New Roman" w:cs="Times New Roman"/>
          <w:sz w:val="24"/>
          <w:szCs w:val="24"/>
          <w:lang w:eastAsia="en-GB"/>
        </w:rPr>
        <w:t xml:space="preserve">-cel, now commercially marketed as Lyfgenia), produced compelling results in a larger patient cohort: Kanter et al. (2022) reported that among enrolled patients who received </w:t>
      </w:r>
      <w:proofErr w:type="spellStart"/>
      <w:r w:rsidRPr="00265023">
        <w:rPr>
          <w:rFonts w:ascii="Times New Roman" w:eastAsia="Times New Roman" w:hAnsi="Times New Roman" w:cs="Times New Roman"/>
          <w:sz w:val="24"/>
          <w:szCs w:val="24"/>
          <w:lang w:eastAsia="en-GB"/>
        </w:rPr>
        <w:t>lovo</w:t>
      </w:r>
      <w:proofErr w:type="spellEnd"/>
      <w:r w:rsidRPr="00265023">
        <w:rPr>
          <w:rFonts w:ascii="Times New Roman" w:eastAsia="Times New Roman" w:hAnsi="Times New Roman" w:cs="Times New Roman"/>
          <w:sz w:val="24"/>
          <w:szCs w:val="24"/>
          <w:lang w:eastAsia="en-GB"/>
        </w:rPr>
        <w:t>-cel and had at least 12 months of post-engraftment follow-up, the large majority achieved complete resolution of severe VOC — a transformative outcome relative to baseline crisis rates. Lovo-cel received FDA approval in December 2023. A distinct lentiviral strategy employing short hairpin RNA to silence BCL11A expression specifically in erythroid cells, thereby reactivating endogenous γ-globin production rather than delivering an exogenous transgene, was reported by Esrick et al. (2021) to yield robust HbF induction in adult patients with SCD, with HbF comprising 20–41% of total haemoglobin in treated individuals and accompanying improvement in clinical outcomes.</w:t>
      </w:r>
    </w:p>
    <w:p w14:paraId="23E3E0B0"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7.3 Gene Editing with CRISPR-Cas9</w:t>
      </w:r>
    </w:p>
    <w:p w14:paraId="782F8518"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The most widely anticipated development in SCD therapeutics has been the clinical application of CRISPR-Cas9 gene editing. </w:t>
      </w:r>
      <w:proofErr w:type="spellStart"/>
      <w:r w:rsidRPr="00265023">
        <w:rPr>
          <w:rFonts w:ascii="Times New Roman" w:eastAsia="Times New Roman" w:hAnsi="Times New Roman" w:cs="Times New Roman"/>
          <w:sz w:val="24"/>
          <w:szCs w:val="24"/>
          <w:lang w:eastAsia="en-GB"/>
        </w:rPr>
        <w:t>Exagamglogene</w:t>
      </w:r>
      <w:proofErr w:type="spellEnd"/>
      <w:r w:rsidRPr="00265023">
        <w:rPr>
          <w:rFonts w:ascii="Times New Roman" w:eastAsia="Times New Roman" w:hAnsi="Times New Roman" w:cs="Times New Roman"/>
          <w:sz w:val="24"/>
          <w:szCs w:val="24"/>
          <w:lang w:eastAsia="en-GB"/>
        </w:rPr>
        <w:t xml:space="preserve"> autotemcel (exa-cel, commercially marketed as </w:t>
      </w:r>
      <w:proofErr w:type="spellStart"/>
      <w:r w:rsidRPr="00265023">
        <w:rPr>
          <w:rFonts w:ascii="Times New Roman" w:eastAsia="Times New Roman" w:hAnsi="Times New Roman" w:cs="Times New Roman"/>
          <w:sz w:val="24"/>
          <w:szCs w:val="24"/>
          <w:lang w:eastAsia="en-GB"/>
        </w:rPr>
        <w:t>Casgevy</w:t>
      </w:r>
      <w:proofErr w:type="spellEnd"/>
      <w:r w:rsidRPr="00265023">
        <w:rPr>
          <w:rFonts w:ascii="Times New Roman" w:eastAsia="Times New Roman" w:hAnsi="Times New Roman" w:cs="Times New Roman"/>
          <w:sz w:val="24"/>
          <w:szCs w:val="24"/>
          <w:lang w:eastAsia="en-GB"/>
        </w:rPr>
        <w:t xml:space="preserve">) uses CRISPR-Cas9 to introduce targeted disruptions in </w:t>
      </w:r>
      <w:r w:rsidRPr="00265023">
        <w:rPr>
          <w:rFonts w:ascii="Times New Roman" w:eastAsia="Times New Roman" w:hAnsi="Times New Roman" w:cs="Times New Roman"/>
          <w:sz w:val="24"/>
          <w:szCs w:val="24"/>
          <w:lang w:eastAsia="en-GB"/>
        </w:rPr>
        <w:lastRenderedPageBreak/>
        <w:t>the erythroid-specific enhancer region of the BCL11A gene within autologous HSPCs, reducing BCL11A expression specifically in erythroid cells and thereby de-repressing γ-globin gene transcription. The result is robust and durable HbF induction, which inhibits HbS polymerisation across the full pathophysiological spectrum of the disease.</w:t>
      </w:r>
    </w:p>
    <w:p w14:paraId="5211DCA8"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proofErr w:type="spellStart"/>
      <w:r w:rsidRPr="00265023">
        <w:rPr>
          <w:rFonts w:ascii="Times New Roman" w:eastAsia="Times New Roman" w:hAnsi="Times New Roman" w:cs="Times New Roman"/>
          <w:sz w:val="24"/>
          <w:szCs w:val="24"/>
          <w:lang w:eastAsia="en-GB"/>
        </w:rPr>
        <w:t>Frangoul</w:t>
      </w:r>
      <w:proofErr w:type="spellEnd"/>
      <w:r w:rsidRPr="00265023">
        <w:rPr>
          <w:rFonts w:ascii="Times New Roman" w:eastAsia="Times New Roman" w:hAnsi="Times New Roman" w:cs="Times New Roman"/>
          <w:sz w:val="24"/>
          <w:szCs w:val="24"/>
          <w:lang w:eastAsia="en-GB"/>
        </w:rPr>
        <w:t xml:space="preserve"> et al. (2021) first reported results from the CLIMB SCD-121 trial in the initial patient, a young adult woman with a history of more than seven VOC episodes annually, who achieved complete resolution of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 xml:space="preserve">-occlusive crises and remained transfusion-independent throughout follow-up, with HbF constituting approximately 43% of total haemoglobin. The subsequent extended cohort analysis by </w:t>
      </w:r>
      <w:proofErr w:type="spellStart"/>
      <w:r w:rsidRPr="00265023">
        <w:rPr>
          <w:rFonts w:ascii="Times New Roman" w:eastAsia="Times New Roman" w:hAnsi="Times New Roman" w:cs="Times New Roman"/>
          <w:sz w:val="24"/>
          <w:szCs w:val="24"/>
          <w:lang w:eastAsia="en-GB"/>
        </w:rPr>
        <w:t>Frangoul</w:t>
      </w:r>
      <w:proofErr w:type="spellEnd"/>
      <w:r w:rsidRPr="00265023">
        <w:rPr>
          <w:rFonts w:ascii="Times New Roman" w:eastAsia="Times New Roman" w:hAnsi="Times New Roman" w:cs="Times New Roman"/>
          <w:sz w:val="24"/>
          <w:szCs w:val="24"/>
          <w:lang w:eastAsia="en-GB"/>
        </w:rPr>
        <w:t xml:space="preserve"> et al. (2024) reported data on a substantially larger patient group: among those with at least 12 months of evaluable follow-up, 97% were free from severe VOC, and the overwhelming majority were free from SCD-related hospitalisation. </w:t>
      </w:r>
      <w:proofErr w:type="spellStart"/>
      <w:r w:rsidRPr="00265023">
        <w:rPr>
          <w:rFonts w:ascii="Times New Roman" w:eastAsia="Times New Roman" w:hAnsi="Times New Roman" w:cs="Times New Roman"/>
          <w:sz w:val="24"/>
          <w:szCs w:val="24"/>
          <w:lang w:eastAsia="en-GB"/>
        </w:rPr>
        <w:t>Exagamglogene</w:t>
      </w:r>
      <w:proofErr w:type="spellEnd"/>
      <w:r w:rsidRPr="00265023">
        <w:rPr>
          <w:rFonts w:ascii="Times New Roman" w:eastAsia="Times New Roman" w:hAnsi="Times New Roman" w:cs="Times New Roman"/>
          <w:sz w:val="24"/>
          <w:szCs w:val="24"/>
          <w:lang w:eastAsia="en-GB"/>
        </w:rPr>
        <w:t xml:space="preserve"> autotemcel received regulatory approval from the UK Medicines and Healthcare products Regulatory Agency (MHRA) in November 2023 and from the US FDA in December 2023, representing the first CRISPR-based medicine approved by any regulatory authority anywhere in the world — a milestone of profound significance for the field of molecular medicine (</w:t>
      </w:r>
      <w:proofErr w:type="spellStart"/>
      <w:r w:rsidRPr="00265023">
        <w:rPr>
          <w:rFonts w:ascii="Times New Roman" w:eastAsia="Times New Roman" w:hAnsi="Times New Roman" w:cs="Times New Roman"/>
          <w:sz w:val="24"/>
          <w:szCs w:val="24"/>
          <w:lang w:eastAsia="en-GB"/>
        </w:rPr>
        <w:t>Frangoul</w:t>
      </w:r>
      <w:proofErr w:type="spellEnd"/>
      <w:r w:rsidRPr="00265023">
        <w:rPr>
          <w:rFonts w:ascii="Times New Roman" w:eastAsia="Times New Roman" w:hAnsi="Times New Roman" w:cs="Times New Roman"/>
          <w:sz w:val="24"/>
          <w:szCs w:val="24"/>
          <w:lang w:eastAsia="en-GB"/>
        </w:rPr>
        <w:t xml:space="preserve"> et al., 2024; Tisdale et al., 2020).</w:t>
      </w:r>
    </w:p>
    <w:p w14:paraId="124B0B73"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Despite these extraordinary early results, the practical application of both gene therapy and gene editing strategies faces formidable challenges. Both approaches currently require high-dose myeloablative conditioning with busulfan, which carries risks of gonadal toxicity, infertility, hepatic </w:t>
      </w:r>
      <w:proofErr w:type="spellStart"/>
      <w:r w:rsidRPr="00265023">
        <w:rPr>
          <w:rFonts w:ascii="Times New Roman" w:eastAsia="Times New Roman" w:hAnsi="Times New Roman" w:cs="Times New Roman"/>
          <w:sz w:val="24"/>
          <w:szCs w:val="24"/>
          <w:lang w:eastAsia="en-GB"/>
        </w:rPr>
        <w:t>veno</w:t>
      </w:r>
      <w:proofErr w:type="spellEnd"/>
      <w:r w:rsidRPr="00265023">
        <w:rPr>
          <w:rFonts w:ascii="Times New Roman" w:eastAsia="Times New Roman" w:hAnsi="Times New Roman" w:cs="Times New Roman"/>
          <w:sz w:val="24"/>
          <w:szCs w:val="24"/>
          <w:lang w:eastAsia="en-GB"/>
        </w:rPr>
        <w:t>-occlusive disease, secondary malignancy, and significant procedural morbidity in patients already burdened by chronic organ damage. The requirement for highly specialised manufacturing, long stem cell mobilisation and culture timelines, and treatment delivery at academic tertiary centres restricts access to well-resourced settings. Treatment costs in the United States have been reported in the region of US$ 2–3 million per patient, placing these therapies entirely beyond reach for the vast majority of the global SCD population (Brandow &amp; Liem, 2022; Tisdale et al., 2020).</w:t>
      </w:r>
    </w:p>
    <w:p w14:paraId="6402FC43"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7.4 Other Emerging Therapeutic Strategies</w:t>
      </w:r>
    </w:p>
    <w:p w14:paraId="61948D19"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Several additional therapeutic avenues are under clinical investigation at various stages of maturity. Inhibitors of adhesion cascades beyond P-selectin blockade include agents targeting E-selectin and very late antigen 4 (VLA-4) integrin, which mediate complementary adhesive interactions between leucocytes and endothelium in the </w:t>
      </w:r>
      <w:proofErr w:type="spellStart"/>
      <w:r w:rsidRPr="00265023">
        <w:rPr>
          <w:rFonts w:ascii="Times New Roman" w:eastAsia="Times New Roman" w:hAnsi="Times New Roman" w:cs="Times New Roman"/>
          <w:sz w:val="24"/>
          <w:szCs w:val="24"/>
          <w:lang w:eastAsia="en-GB"/>
        </w:rPr>
        <w:t>vaso</w:t>
      </w:r>
      <w:proofErr w:type="spellEnd"/>
      <w:r w:rsidRPr="00265023">
        <w:rPr>
          <w:rFonts w:ascii="Times New Roman" w:eastAsia="Times New Roman" w:hAnsi="Times New Roman" w:cs="Times New Roman"/>
          <w:sz w:val="24"/>
          <w:szCs w:val="24"/>
          <w:lang w:eastAsia="en-GB"/>
        </w:rPr>
        <w:t>-occlusive pathway. Pan-selectin inhibitors are under investigation in early-phase trials and may offer advantages over single-selectin blockade given the redundancy of adhesion mechanisms in SCD pathophysiology.</w:t>
      </w:r>
    </w:p>
    <w:p w14:paraId="1AF5F477"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Pharmacological HbF induction through pathways independent of hydroxyurea continues to attract significant research interest. Small-molecule modulators of the BCL11A regulatory axis, DNMT1 inhibitors, and histone deacetylase inhibitors have all demonstrated HbF-inducing activity in preclinical and early-phase clinical settings, with the goal of providing alternative or synergistic approaches to HbF reactivation in patients who are intolerant of or inadequately responsive to hydroxyurea (</w:t>
      </w:r>
      <w:proofErr w:type="spellStart"/>
      <w:r w:rsidRPr="00265023">
        <w:rPr>
          <w:rFonts w:ascii="Times New Roman" w:eastAsia="Times New Roman" w:hAnsi="Times New Roman" w:cs="Times New Roman"/>
          <w:sz w:val="24"/>
          <w:szCs w:val="24"/>
          <w:lang w:eastAsia="en-GB"/>
        </w:rPr>
        <w:t>Lettre</w:t>
      </w:r>
      <w:proofErr w:type="spellEnd"/>
      <w:r w:rsidRPr="00265023">
        <w:rPr>
          <w:rFonts w:ascii="Times New Roman" w:eastAsia="Times New Roman" w:hAnsi="Times New Roman" w:cs="Times New Roman"/>
          <w:sz w:val="24"/>
          <w:szCs w:val="24"/>
          <w:lang w:eastAsia="en-GB"/>
        </w:rPr>
        <w:t xml:space="preserve"> &amp; Bauer, 2016). Pyruvate kinase activators, notably </w:t>
      </w:r>
      <w:proofErr w:type="spellStart"/>
      <w:r w:rsidRPr="00265023">
        <w:rPr>
          <w:rFonts w:ascii="Times New Roman" w:eastAsia="Times New Roman" w:hAnsi="Times New Roman" w:cs="Times New Roman"/>
          <w:sz w:val="24"/>
          <w:szCs w:val="24"/>
          <w:lang w:eastAsia="en-GB"/>
        </w:rPr>
        <w:t>mitapivat</w:t>
      </w:r>
      <w:proofErr w:type="spellEnd"/>
      <w:r w:rsidRPr="00265023">
        <w:rPr>
          <w:rFonts w:ascii="Times New Roman" w:eastAsia="Times New Roman" w:hAnsi="Times New Roman" w:cs="Times New Roman"/>
          <w:sz w:val="24"/>
          <w:szCs w:val="24"/>
          <w:lang w:eastAsia="en-GB"/>
        </w:rPr>
        <w:t xml:space="preserve"> (AG-348), which increase erythrocyte ATP content and reduce 2,3-diphosphoglycerate concentrations — thereby increasing HbS oxygen affinity and reducing sickling — are also under evaluation in SCD following demonstration of efficacy in the related disorder pyruvate kinase deficiency. Perhaps most consequentially for global equity, the development of in vivo delivery strategies for gene-editing machinery — potentially using lipid nanoparticles or adeno-associated vectors to deliver CRISPR components directly </w:t>
      </w:r>
      <w:r w:rsidRPr="00265023">
        <w:rPr>
          <w:rFonts w:ascii="Times New Roman" w:eastAsia="Times New Roman" w:hAnsi="Times New Roman" w:cs="Times New Roman"/>
          <w:sz w:val="24"/>
          <w:szCs w:val="24"/>
          <w:lang w:eastAsia="en-GB"/>
        </w:rPr>
        <w:lastRenderedPageBreak/>
        <w:t>to bone marrow HSPCs without ex vivo manipulation — could eventually obviate the need for myeloablative conditioning and specialised cell processing infrastructure, making curative intervention far more broadly accessible (Tisdale et al., 2020; Brandow &amp; Liem, 2022). Clinical translation of in vivo editing in SCD remains at an early stage, and considerable technical and safety challenges must be resolved before human application.</w:t>
      </w:r>
    </w:p>
    <w:p w14:paraId="68B040C9" w14:textId="77777777" w:rsidR="00265023" w:rsidRPr="00265023" w:rsidRDefault="00265023" w:rsidP="00145958">
      <w:pPr>
        <w:spacing w:after="0" w:line="240" w:lineRule="auto"/>
        <w:jc w:val="both"/>
        <w:rPr>
          <w:rFonts w:ascii="Times New Roman" w:eastAsia="Times New Roman" w:hAnsi="Times New Roman" w:cs="Times New Roman"/>
          <w:sz w:val="24"/>
          <w:szCs w:val="24"/>
          <w:lang w:eastAsia="en-GB"/>
        </w:rPr>
      </w:pPr>
    </w:p>
    <w:p w14:paraId="4CB24AC4" w14:textId="77777777" w:rsidR="00265023" w:rsidRPr="00265023" w:rsidRDefault="00265023" w:rsidP="0014595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t>8. Psychosocial Burden and Health Systems Challenges</w:t>
      </w:r>
    </w:p>
    <w:p w14:paraId="6EEB22AF"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8.1 Psychosocial and Quality-of-Life Dimensions</w:t>
      </w:r>
    </w:p>
    <w:p w14:paraId="4D9E797A"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The lived experience of SCD extends well beyond its physical manifestations. Chronic pain, fatigue, and unpredictable acute crises profoundly disrupt social functioning, educational attainment, occupational performance, and intimate relationships. Children with SCD demonstrate higher rates of school absenteeism, cognitive difficulties attributable to silent cerebral infarction, and social isolation compared with healthy peers; adults confront barriers to employment and health insurance, alongside the sustained psychological weight of managing a chronic life-limiting condition (DeBaun et al., 2012; Pecker &amp; </w:t>
      </w:r>
      <w:proofErr w:type="spellStart"/>
      <w:r w:rsidRPr="00265023">
        <w:rPr>
          <w:rFonts w:ascii="Times New Roman" w:eastAsia="Times New Roman" w:hAnsi="Times New Roman" w:cs="Times New Roman"/>
          <w:sz w:val="24"/>
          <w:szCs w:val="24"/>
          <w:lang w:eastAsia="en-GB"/>
        </w:rPr>
        <w:t>Lanzkron</w:t>
      </w:r>
      <w:proofErr w:type="spellEnd"/>
      <w:r w:rsidRPr="00265023">
        <w:rPr>
          <w:rFonts w:ascii="Times New Roman" w:eastAsia="Times New Roman" w:hAnsi="Times New Roman" w:cs="Times New Roman"/>
          <w:sz w:val="24"/>
          <w:szCs w:val="24"/>
          <w:lang w:eastAsia="en-GB"/>
        </w:rPr>
        <w:t>, 2021).</w:t>
      </w:r>
    </w:p>
    <w:p w14:paraId="53A7185B"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Perceived racial discrimination in clinical encounters represents a specific and extensively documented contributor to healthcare disengagement in SCD populations in the United States and other high-income countries. Patients frequently report being disbelieved about their pain severity, labelled as drug-seeking, and subjected to longer waiting times than patients presenting with comparable conditions of other aetiologies (Haywood et al., 2014). Such experiences corrode trust in healthcare providers, reduce adherence to prescribed treatments, and contribute to delayed presentation during acute crises — all of which compound clinical outcomes over time. Addressing structural racial bias in clinical practice is increasingly recognised as an integral component of SCD quality improvement, not merely a matter of social justice, since its effects translate directly into measurable clinical harms (</w:t>
      </w:r>
      <w:r w:rsidR="00D25C36">
        <w:rPr>
          <w:rFonts w:ascii="Times New Roman" w:eastAsia="Times New Roman" w:hAnsi="Times New Roman" w:cs="Times New Roman"/>
          <w:sz w:val="24"/>
          <w:szCs w:val="24"/>
          <w:lang w:eastAsia="en-GB"/>
        </w:rPr>
        <w:t>Brandow &amp; DeBaun, 2018</w:t>
      </w:r>
      <w:r w:rsidRPr="00265023">
        <w:rPr>
          <w:rFonts w:ascii="Times New Roman" w:eastAsia="Times New Roman" w:hAnsi="Times New Roman" w:cs="Times New Roman"/>
          <w:sz w:val="24"/>
          <w:szCs w:val="24"/>
          <w:lang w:eastAsia="en-GB"/>
        </w:rPr>
        <w:t>).</w:t>
      </w:r>
    </w:p>
    <w:p w14:paraId="4C5E4F7F" w14:textId="77777777" w:rsidR="00265023" w:rsidRPr="00265023" w:rsidRDefault="00265023" w:rsidP="0014595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8.2 Global Health Inequities</w:t>
      </w:r>
    </w:p>
    <w:p w14:paraId="591C9F51"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The global burden of SCD is strikingly misaligned with the distribution of research funding and therapeutic innovation. An estimated 75–80% of global SCD births occur in sub-Saharan Africa, yet the region receives a small fraction of global SCD research investment, and many health systems in the highest-burden countries lack even basic infrastructure to confirm diagnosis, dispense hydroxyurea, or provide safe blood transfusion (World Health Organization, </w:t>
      </w:r>
      <w:r w:rsidR="00F465E0">
        <w:rPr>
          <w:rFonts w:ascii="Times New Roman" w:eastAsia="Times New Roman" w:hAnsi="Times New Roman" w:cs="Times New Roman"/>
          <w:sz w:val="24"/>
          <w:szCs w:val="24"/>
          <w:lang w:eastAsia="en-GB"/>
        </w:rPr>
        <w:t>2025</w:t>
      </w:r>
      <w:r w:rsidRPr="00265023">
        <w:rPr>
          <w:rFonts w:ascii="Times New Roman" w:eastAsia="Times New Roman" w:hAnsi="Times New Roman" w:cs="Times New Roman"/>
          <w:sz w:val="24"/>
          <w:szCs w:val="24"/>
          <w:lang w:eastAsia="en-GB"/>
        </w:rPr>
        <w:t xml:space="preserve">; Weatherall, 2010). The absence of national newborn screening programmes, inadequate specialist workforce, and unreliable drug supply chains mean that proven, inexpensive interventions — prophylactic penicillin, pneumococcal vaccination, hydroxyurea, and folic acid supplementation — remain inaccessible to many children who would benefit from them (Chakravorty &amp; Williams, 2015; </w:t>
      </w:r>
      <w:proofErr w:type="spellStart"/>
      <w:r w:rsidRPr="00265023">
        <w:rPr>
          <w:rFonts w:ascii="Times New Roman" w:eastAsia="Times New Roman" w:hAnsi="Times New Roman" w:cs="Times New Roman"/>
          <w:sz w:val="24"/>
          <w:szCs w:val="24"/>
          <w:lang w:eastAsia="en-GB"/>
        </w:rPr>
        <w:t>Tluway</w:t>
      </w:r>
      <w:proofErr w:type="spellEnd"/>
      <w:r w:rsidRPr="00265023">
        <w:rPr>
          <w:rFonts w:ascii="Times New Roman" w:eastAsia="Times New Roman" w:hAnsi="Times New Roman" w:cs="Times New Roman"/>
          <w:sz w:val="24"/>
          <w:szCs w:val="24"/>
          <w:lang w:eastAsia="en-GB"/>
        </w:rPr>
        <w:t xml:space="preserve"> &amp; Makani, 2017).</w:t>
      </w:r>
    </w:p>
    <w:p w14:paraId="3A18BAA5"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The contrast between this reality and the sophisticated therapeutic development unfolding in wealthy Northern and Western health systems is stark. Even within high-income countries, access to gene therapy trials and approved gene-based products has been largely confined to academic medical centres, leaving many patients — particularly those with complex social circumstances, inadequate insurance coverage, or geographic remoteness — outside the reach </w:t>
      </w:r>
      <w:r w:rsidRPr="00265023">
        <w:rPr>
          <w:rFonts w:ascii="Times New Roman" w:eastAsia="Times New Roman" w:hAnsi="Times New Roman" w:cs="Times New Roman"/>
          <w:sz w:val="24"/>
          <w:szCs w:val="24"/>
          <w:lang w:eastAsia="en-GB"/>
        </w:rPr>
        <w:lastRenderedPageBreak/>
        <w:t>of transformative new treatments (Brandow &amp; Liem, 2022). It has been estimated that universal hydroxyurea deployment in sub-Saharan Africa could avert hundreds of thousands of child deaths annually at a cost representing a small fraction of that required for a single gene therapy course (Piel et al., 2013a; Chakravorty &amp; Williams, 2015). The policy implications of this arithmetic are profound: the global SCD research and treatment agenda must give genuine weight to incremental, scalable, affordable interventions — not solely to frontier therapies — if it is to achieve equitable impact at scale.</w:t>
      </w:r>
    </w:p>
    <w:p w14:paraId="61BD2C13"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At an institutional level, the World Health Organization and allied national health ministries have progressively increased their engagement with SCD as a public health priority since the 2006 World Health Assembly resolution recognising SCD as a public health problem (World Health Organization, </w:t>
      </w:r>
      <w:r w:rsidR="00F465E0">
        <w:rPr>
          <w:rFonts w:ascii="Times New Roman" w:eastAsia="Times New Roman" w:hAnsi="Times New Roman" w:cs="Times New Roman"/>
          <w:sz w:val="24"/>
          <w:szCs w:val="24"/>
          <w:lang w:eastAsia="en-GB"/>
        </w:rPr>
        <w:t>2025</w:t>
      </w:r>
      <w:r w:rsidRPr="00265023">
        <w:rPr>
          <w:rFonts w:ascii="Times New Roman" w:eastAsia="Times New Roman" w:hAnsi="Times New Roman" w:cs="Times New Roman"/>
          <w:sz w:val="24"/>
          <w:szCs w:val="24"/>
          <w:lang w:eastAsia="en-GB"/>
        </w:rPr>
        <w:t>). The development of integrated SCD programmes — combining community awareness, newborn screening, specialist paediatric care pathways, and structured transition to adult services — in Tanzania, Ghana, Nigeria, and other high-burden African countries represents an important operational model, though sustaining such programmes at national scale against competing health system priorities and chronic underfunding remains a formidable challenge (</w:t>
      </w:r>
      <w:proofErr w:type="spellStart"/>
      <w:r w:rsidRPr="00265023">
        <w:rPr>
          <w:rFonts w:ascii="Times New Roman" w:eastAsia="Times New Roman" w:hAnsi="Times New Roman" w:cs="Times New Roman"/>
          <w:sz w:val="24"/>
          <w:szCs w:val="24"/>
          <w:lang w:eastAsia="en-GB"/>
        </w:rPr>
        <w:t>Tluway</w:t>
      </w:r>
      <w:proofErr w:type="spellEnd"/>
      <w:r w:rsidRPr="00265023">
        <w:rPr>
          <w:rFonts w:ascii="Times New Roman" w:eastAsia="Times New Roman" w:hAnsi="Times New Roman" w:cs="Times New Roman"/>
          <w:sz w:val="24"/>
          <w:szCs w:val="24"/>
          <w:lang w:eastAsia="en-GB"/>
        </w:rPr>
        <w:t xml:space="preserve"> &amp; Makani, 2017; Grosse et al., 2011).</w:t>
      </w:r>
    </w:p>
    <w:p w14:paraId="3150B077"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The key global and health systems challenges facing SCD management are summarised in Table 5.</w:t>
      </w:r>
    </w:p>
    <w:p w14:paraId="7F8E9DB8"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b/>
          <w:bCs/>
          <w:sz w:val="24"/>
          <w:szCs w:val="24"/>
          <w:lang w:eastAsia="en-GB"/>
        </w:rPr>
        <w:t>Table 5: Global and Health Systems Challenges in Sickle Cell Disease Management</w:t>
      </w:r>
    </w:p>
    <w:tbl>
      <w:tblPr>
        <w:tblStyle w:val="TableGrid"/>
        <w:tblW w:w="0" w:type="auto"/>
        <w:tblLook w:val="04A0" w:firstRow="1" w:lastRow="0" w:firstColumn="1" w:lastColumn="0" w:noHBand="0" w:noVBand="1"/>
      </w:tblPr>
      <w:tblGrid>
        <w:gridCol w:w="1772"/>
        <w:gridCol w:w="2915"/>
        <w:gridCol w:w="2561"/>
        <w:gridCol w:w="1994"/>
      </w:tblGrid>
      <w:tr w:rsidR="00265023" w:rsidRPr="00265023" w14:paraId="4A41BC6D" w14:textId="77777777" w:rsidTr="002C7E26">
        <w:tc>
          <w:tcPr>
            <w:tcW w:w="0" w:type="auto"/>
            <w:hideMark/>
          </w:tcPr>
          <w:p w14:paraId="1D45898B"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Domain</w:t>
            </w:r>
          </w:p>
        </w:tc>
        <w:tc>
          <w:tcPr>
            <w:tcW w:w="0" w:type="auto"/>
            <w:hideMark/>
          </w:tcPr>
          <w:p w14:paraId="0FBA49FA"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Principal Challenge</w:t>
            </w:r>
          </w:p>
        </w:tc>
        <w:tc>
          <w:tcPr>
            <w:tcW w:w="0" w:type="auto"/>
            <w:hideMark/>
          </w:tcPr>
          <w:p w14:paraId="78B4C34C"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Potential Strategy</w:t>
            </w:r>
          </w:p>
        </w:tc>
        <w:tc>
          <w:tcPr>
            <w:tcW w:w="0" w:type="auto"/>
            <w:hideMark/>
          </w:tcPr>
          <w:p w14:paraId="49B545C0" w14:textId="77777777" w:rsidR="00265023" w:rsidRPr="00265023" w:rsidRDefault="00265023" w:rsidP="00145958">
            <w:pPr>
              <w:jc w:val="both"/>
              <w:rPr>
                <w:rFonts w:ascii="Times New Roman" w:eastAsia="Times New Roman" w:hAnsi="Times New Roman" w:cs="Times New Roman"/>
                <w:b/>
                <w:bCs/>
                <w:sz w:val="24"/>
                <w:szCs w:val="24"/>
                <w:lang w:eastAsia="en-GB"/>
              </w:rPr>
            </w:pPr>
            <w:r w:rsidRPr="00265023">
              <w:rPr>
                <w:rFonts w:ascii="Times New Roman" w:eastAsia="Times New Roman" w:hAnsi="Times New Roman" w:cs="Times New Roman"/>
                <w:b/>
                <w:bCs/>
                <w:sz w:val="24"/>
                <w:szCs w:val="24"/>
                <w:lang w:eastAsia="en-GB"/>
              </w:rPr>
              <w:t>Key Evidence</w:t>
            </w:r>
          </w:p>
        </w:tc>
      </w:tr>
      <w:tr w:rsidR="00265023" w:rsidRPr="00265023" w14:paraId="669AA003" w14:textId="77777777" w:rsidTr="002C7E26">
        <w:tc>
          <w:tcPr>
            <w:tcW w:w="0" w:type="auto"/>
            <w:hideMark/>
          </w:tcPr>
          <w:p w14:paraId="56E68E18"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Epidemiology and awareness</w:t>
            </w:r>
          </w:p>
        </w:tc>
        <w:tc>
          <w:tcPr>
            <w:tcW w:w="0" w:type="auto"/>
            <w:hideMark/>
          </w:tcPr>
          <w:p w14:paraId="65E60928"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Majority of SCD births undiagnosed in sub-Saharan Africa; no NBS in most high-burden countries</w:t>
            </w:r>
          </w:p>
        </w:tc>
        <w:tc>
          <w:tcPr>
            <w:tcW w:w="0" w:type="auto"/>
            <w:hideMark/>
          </w:tcPr>
          <w:p w14:paraId="44FA2696"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Universal newborn screening; community awareness campaigns</w:t>
            </w:r>
          </w:p>
        </w:tc>
        <w:tc>
          <w:tcPr>
            <w:tcW w:w="0" w:type="auto"/>
            <w:hideMark/>
          </w:tcPr>
          <w:p w14:paraId="4BA72747"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Grosse et al. (2011); World Health Organization (</w:t>
            </w:r>
            <w:r w:rsidR="00F465E0">
              <w:rPr>
                <w:rFonts w:ascii="Times New Roman" w:eastAsia="Times New Roman" w:hAnsi="Times New Roman" w:cs="Times New Roman"/>
                <w:sz w:val="24"/>
                <w:szCs w:val="24"/>
                <w:lang w:eastAsia="en-GB"/>
              </w:rPr>
              <w:t>2025</w:t>
            </w:r>
            <w:r w:rsidRPr="00265023">
              <w:rPr>
                <w:rFonts w:ascii="Times New Roman" w:eastAsia="Times New Roman" w:hAnsi="Times New Roman" w:cs="Times New Roman"/>
                <w:sz w:val="24"/>
                <w:szCs w:val="24"/>
                <w:lang w:eastAsia="en-GB"/>
              </w:rPr>
              <w:t>)</w:t>
            </w:r>
          </w:p>
        </w:tc>
      </w:tr>
      <w:tr w:rsidR="00265023" w:rsidRPr="00265023" w14:paraId="288CFCBE" w14:textId="77777777" w:rsidTr="002C7E26">
        <w:tc>
          <w:tcPr>
            <w:tcW w:w="0" w:type="auto"/>
            <w:hideMark/>
          </w:tcPr>
          <w:p w14:paraId="54F98F65"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Diagnosis</w:t>
            </w:r>
          </w:p>
        </w:tc>
        <w:tc>
          <w:tcPr>
            <w:tcW w:w="0" w:type="auto"/>
            <w:hideMark/>
          </w:tcPr>
          <w:p w14:paraId="04FEFCA6"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No access to HPLC or capillary electrophoresis at peripheral health facilities</w:t>
            </w:r>
          </w:p>
        </w:tc>
        <w:tc>
          <w:tcPr>
            <w:tcW w:w="0" w:type="auto"/>
            <w:hideMark/>
          </w:tcPr>
          <w:p w14:paraId="452F0F72"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Scale-up of POC diagnostics integrated with NBS</w:t>
            </w:r>
          </w:p>
        </w:tc>
        <w:tc>
          <w:tcPr>
            <w:tcW w:w="0" w:type="auto"/>
            <w:hideMark/>
          </w:tcPr>
          <w:p w14:paraId="39706986" w14:textId="77777777" w:rsidR="00265023" w:rsidRPr="00265023" w:rsidRDefault="00265023" w:rsidP="00145958">
            <w:pPr>
              <w:jc w:val="both"/>
              <w:rPr>
                <w:rFonts w:ascii="Times New Roman" w:eastAsia="Times New Roman" w:hAnsi="Times New Roman" w:cs="Times New Roman"/>
                <w:sz w:val="24"/>
                <w:szCs w:val="24"/>
                <w:lang w:eastAsia="en-GB"/>
              </w:rPr>
            </w:pPr>
            <w:proofErr w:type="spellStart"/>
            <w:r w:rsidRPr="00265023">
              <w:rPr>
                <w:rFonts w:ascii="Times New Roman" w:eastAsia="Times New Roman" w:hAnsi="Times New Roman" w:cs="Times New Roman"/>
                <w:sz w:val="24"/>
                <w:szCs w:val="24"/>
                <w:lang w:eastAsia="en-GB"/>
              </w:rPr>
              <w:t>Nnodu</w:t>
            </w:r>
            <w:proofErr w:type="spellEnd"/>
            <w:r w:rsidRPr="00265023">
              <w:rPr>
                <w:rFonts w:ascii="Times New Roman" w:eastAsia="Times New Roman" w:hAnsi="Times New Roman" w:cs="Times New Roman"/>
                <w:sz w:val="24"/>
                <w:szCs w:val="24"/>
                <w:lang w:eastAsia="en-GB"/>
              </w:rPr>
              <w:t xml:space="preserve"> et al. (2019)</w:t>
            </w:r>
          </w:p>
        </w:tc>
      </w:tr>
      <w:tr w:rsidR="00265023" w:rsidRPr="00265023" w14:paraId="12433F94" w14:textId="77777777" w:rsidTr="002C7E26">
        <w:tc>
          <w:tcPr>
            <w:tcW w:w="0" w:type="auto"/>
            <w:hideMark/>
          </w:tcPr>
          <w:p w14:paraId="43C8CE4E"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Treatment access</w:t>
            </w:r>
          </w:p>
        </w:tc>
        <w:tc>
          <w:tcPr>
            <w:tcW w:w="0" w:type="auto"/>
            <w:hideMark/>
          </w:tcPr>
          <w:p w14:paraId="099F528B"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Hydroxyurea unavailable or unaffordable across most high-burden settings</w:t>
            </w:r>
          </w:p>
        </w:tc>
        <w:tc>
          <w:tcPr>
            <w:tcW w:w="0" w:type="auto"/>
            <w:hideMark/>
          </w:tcPr>
          <w:p w14:paraId="402E478F"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Inclusion in national essential medicines lists; generic procurement</w:t>
            </w:r>
          </w:p>
        </w:tc>
        <w:tc>
          <w:tcPr>
            <w:tcW w:w="0" w:type="auto"/>
            <w:hideMark/>
          </w:tcPr>
          <w:p w14:paraId="4A7C011B"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Chakravorty &amp; Williams (2015)</w:t>
            </w:r>
          </w:p>
        </w:tc>
      </w:tr>
      <w:tr w:rsidR="00265023" w:rsidRPr="00265023" w14:paraId="0505D9AD" w14:textId="77777777" w:rsidTr="002C7E26">
        <w:tc>
          <w:tcPr>
            <w:tcW w:w="0" w:type="auto"/>
            <w:hideMark/>
          </w:tcPr>
          <w:p w14:paraId="38EAD148"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Transfusion safety</w:t>
            </w:r>
          </w:p>
        </w:tc>
        <w:tc>
          <w:tcPr>
            <w:tcW w:w="0" w:type="auto"/>
            <w:hideMark/>
          </w:tcPr>
          <w:p w14:paraId="236B79B2"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Unreliable blood supply; high alloimmunisation rates due to donor–recipient antigen mismatch</w:t>
            </w:r>
          </w:p>
        </w:tc>
        <w:tc>
          <w:tcPr>
            <w:tcW w:w="0" w:type="auto"/>
            <w:hideMark/>
          </w:tcPr>
          <w:p w14:paraId="6D286087"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Strengthen blood banking infrastructure; extended antigen matching</w:t>
            </w:r>
          </w:p>
        </w:tc>
        <w:tc>
          <w:tcPr>
            <w:tcW w:w="0" w:type="auto"/>
            <w:hideMark/>
          </w:tcPr>
          <w:p w14:paraId="410C0418"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Pecker &amp; </w:t>
            </w:r>
            <w:proofErr w:type="spellStart"/>
            <w:r w:rsidRPr="00265023">
              <w:rPr>
                <w:rFonts w:ascii="Times New Roman" w:eastAsia="Times New Roman" w:hAnsi="Times New Roman" w:cs="Times New Roman"/>
                <w:sz w:val="24"/>
                <w:szCs w:val="24"/>
                <w:lang w:eastAsia="en-GB"/>
              </w:rPr>
              <w:t>Lanzkron</w:t>
            </w:r>
            <w:proofErr w:type="spellEnd"/>
            <w:r w:rsidRPr="00265023">
              <w:rPr>
                <w:rFonts w:ascii="Times New Roman" w:eastAsia="Times New Roman" w:hAnsi="Times New Roman" w:cs="Times New Roman"/>
                <w:sz w:val="24"/>
                <w:szCs w:val="24"/>
                <w:lang w:eastAsia="en-GB"/>
              </w:rPr>
              <w:t xml:space="preserve"> (2021)</w:t>
            </w:r>
          </w:p>
        </w:tc>
      </w:tr>
      <w:tr w:rsidR="00265023" w:rsidRPr="00265023" w14:paraId="38A0777C" w14:textId="77777777" w:rsidTr="002C7E26">
        <w:tc>
          <w:tcPr>
            <w:tcW w:w="0" w:type="auto"/>
            <w:hideMark/>
          </w:tcPr>
          <w:p w14:paraId="4C7C63DD"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Research equity</w:t>
            </w:r>
          </w:p>
        </w:tc>
        <w:tc>
          <w:tcPr>
            <w:tcW w:w="0" w:type="auto"/>
            <w:hideMark/>
          </w:tcPr>
          <w:p w14:paraId="5B1000F5"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Predominance of clinical trials in high-income countries; limited African-led SCD research capacity</w:t>
            </w:r>
          </w:p>
        </w:tc>
        <w:tc>
          <w:tcPr>
            <w:tcW w:w="0" w:type="auto"/>
            <w:hideMark/>
          </w:tcPr>
          <w:p w14:paraId="10019185"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Investment in African-led research consortia; platform trial infrastructure</w:t>
            </w:r>
          </w:p>
        </w:tc>
        <w:tc>
          <w:tcPr>
            <w:tcW w:w="0" w:type="auto"/>
            <w:hideMark/>
          </w:tcPr>
          <w:p w14:paraId="27385EFA" w14:textId="77777777" w:rsidR="00265023" w:rsidRPr="00265023" w:rsidRDefault="00265023" w:rsidP="00145958">
            <w:pPr>
              <w:jc w:val="both"/>
              <w:rPr>
                <w:rFonts w:ascii="Times New Roman" w:eastAsia="Times New Roman" w:hAnsi="Times New Roman" w:cs="Times New Roman"/>
                <w:sz w:val="24"/>
                <w:szCs w:val="24"/>
                <w:lang w:eastAsia="en-GB"/>
              </w:rPr>
            </w:pPr>
            <w:proofErr w:type="spellStart"/>
            <w:r w:rsidRPr="00265023">
              <w:rPr>
                <w:rFonts w:ascii="Times New Roman" w:eastAsia="Times New Roman" w:hAnsi="Times New Roman" w:cs="Times New Roman"/>
                <w:sz w:val="24"/>
                <w:szCs w:val="24"/>
                <w:lang w:eastAsia="en-GB"/>
              </w:rPr>
              <w:t>Tluway</w:t>
            </w:r>
            <w:proofErr w:type="spellEnd"/>
            <w:r w:rsidRPr="00265023">
              <w:rPr>
                <w:rFonts w:ascii="Times New Roman" w:eastAsia="Times New Roman" w:hAnsi="Times New Roman" w:cs="Times New Roman"/>
                <w:sz w:val="24"/>
                <w:szCs w:val="24"/>
                <w:lang w:eastAsia="en-GB"/>
              </w:rPr>
              <w:t xml:space="preserve"> &amp; Makani (2017)</w:t>
            </w:r>
          </w:p>
        </w:tc>
      </w:tr>
      <w:tr w:rsidR="00265023" w:rsidRPr="00AA3740" w14:paraId="4D50CB6F" w14:textId="77777777" w:rsidTr="002C7E26">
        <w:tc>
          <w:tcPr>
            <w:tcW w:w="0" w:type="auto"/>
            <w:hideMark/>
          </w:tcPr>
          <w:p w14:paraId="7F14A1A4"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Gene therapy access</w:t>
            </w:r>
          </w:p>
        </w:tc>
        <w:tc>
          <w:tcPr>
            <w:tcW w:w="0" w:type="auto"/>
            <w:hideMark/>
          </w:tcPr>
          <w:p w14:paraId="558A095D"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Treatment costs of US$ 2–3 million; complex infrastructure requirements</w:t>
            </w:r>
          </w:p>
        </w:tc>
        <w:tc>
          <w:tcPr>
            <w:tcW w:w="0" w:type="auto"/>
            <w:hideMark/>
          </w:tcPr>
          <w:p w14:paraId="2B960722"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Development of in vivo delivery approaches; tiered pricing frameworks</w:t>
            </w:r>
          </w:p>
        </w:tc>
        <w:tc>
          <w:tcPr>
            <w:tcW w:w="0" w:type="auto"/>
            <w:hideMark/>
          </w:tcPr>
          <w:p w14:paraId="359C6EBB" w14:textId="77777777" w:rsidR="00265023" w:rsidRPr="00AA3740" w:rsidRDefault="00265023" w:rsidP="00145958">
            <w:pPr>
              <w:jc w:val="both"/>
              <w:rPr>
                <w:rFonts w:ascii="Times New Roman" w:eastAsia="Times New Roman" w:hAnsi="Times New Roman" w:cs="Times New Roman"/>
                <w:sz w:val="24"/>
                <w:szCs w:val="24"/>
                <w:lang w:val="nl-BE" w:eastAsia="en-GB"/>
              </w:rPr>
            </w:pPr>
            <w:r w:rsidRPr="00AA3740">
              <w:rPr>
                <w:rFonts w:ascii="Times New Roman" w:eastAsia="Times New Roman" w:hAnsi="Times New Roman" w:cs="Times New Roman"/>
                <w:sz w:val="24"/>
                <w:szCs w:val="24"/>
                <w:lang w:val="nl-BE" w:eastAsia="en-GB"/>
              </w:rPr>
              <w:t>Tisdale et al. (2020); Brandow &amp; Liem (2022)</w:t>
            </w:r>
          </w:p>
        </w:tc>
      </w:tr>
      <w:tr w:rsidR="00265023" w:rsidRPr="00265023" w14:paraId="59A33438" w14:textId="77777777" w:rsidTr="002C7E26">
        <w:tc>
          <w:tcPr>
            <w:tcW w:w="0" w:type="auto"/>
            <w:hideMark/>
          </w:tcPr>
          <w:p w14:paraId="2F993073"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Psychosocial and clinical </w:t>
            </w:r>
            <w:r w:rsidRPr="00265023">
              <w:rPr>
                <w:rFonts w:ascii="Times New Roman" w:eastAsia="Times New Roman" w:hAnsi="Times New Roman" w:cs="Times New Roman"/>
                <w:sz w:val="24"/>
                <w:szCs w:val="24"/>
                <w:lang w:eastAsia="en-GB"/>
              </w:rPr>
              <w:lastRenderedPageBreak/>
              <w:t>care</w:t>
            </w:r>
          </w:p>
        </w:tc>
        <w:tc>
          <w:tcPr>
            <w:tcW w:w="0" w:type="auto"/>
            <w:hideMark/>
          </w:tcPr>
          <w:p w14:paraId="22E47E6D"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lastRenderedPageBreak/>
              <w:t xml:space="preserve">Racial bias in clinical encounters; chronic pain </w:t>
            </w:r>
            <w:r w:rsidRPr="00265023">
              <w:rPr>
                <w:rFonts w:ascii="Times New Roman" w:eastAsia="Times New Roman" w:hAnsi="Times New Roman" w:cs="Times New Roman"/>
                <w:sz w:val="24"/>
                <w:szCs w:val="24"/>
                <w:lang w:eastAsia="en-GB"/>
              </w:rPr>
              <w:lastRenderedPageBreak/>
              <w:t>undertreatment; stigma</w:t>
            </w:r>
          </w:p>
        </w:tc>
        <w:tc>
          <w:tcPr>
            <w:tcW w:w="0" w:type="auto"/>
            <w:hideMark/>
          </w:tcPr>
          <w:p w14:paraId="32D2DC7D"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lastRenderedPageBreak/>
              <w:t xml:space="preserve">Implicit bias training; multidisciplinary SCD </w:t>
            </w:r>
            <w:r w:rsidRPr="00265023">
              <w:rPr>
                <w:rFonts w:ascii="Times New Roman" w:eastAsia="Times New Roman" w:hAnsi="Times New Roman" w:cs="Times New Roman"/>
                <w:sz w:val="24"/>
                <w:szCs w:val="24"/>
                <w:lang w:eastAsia="en-GB"/>
              </w:rPr>
              <w:lastRenderedPageBreak/>
              <w:t>care teams; patient advocacy</w:t>
            </w:r>
          </w:p>
        </w:tc>
        <w:tc>
          <w:tcPr>
            <w:tcW w:w="0" w:type="auto"/>
            <w:hideMark/>
          </w:tcPr>
          <w:p w14:paraId="5E61666C" w14:textId="77777777" w:rsidR="00265023" w:rsidRPr="00265023" w:rsidRDefault="00265023" w:rsidP="00145958">
            <w:pPr>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lastRenderedPageBreak/>
              <w:t>Haywood et al. (2014)</w:t>
            </w:r>
          </w:p>
        </w:tc>
      </w:tr>
    </w:tbl>
    <w:p w14:paraId="65173344"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i/>
          <w:iCs/>
          <w:sz w:val="24"/>
          <w:szCs w:val="24"/>
          <w:lang w:eastAsia="en-GB"/>
        </w:rPr>
        <w:t>Sources: Grosse et al. (2011); World Health Organization (</w:t>
      </w:r>
      <w:r w:rsidR="00F465E0">
        <w:rPr>
          <w:rFonts w:ascii="Times New Roman" w:eastAsia="Times New Roman" w:hAnsi="Times New Roman" w:cs="Times New Roman"/>
          <w:sz w:val="24"/>
          <w:szCs w:val="24"/>
          <w:lang w:eastAsia="en-GB"/>
        </w:rPr>
        <w:t>2025</w:t>
      </w:r>
      <w:r w:rsidRPr="00265023">
        <w:rPr>
          <w:rFonts w:ascii="Times New Roman" w:eastAsia="Times New Roman" w:hAnsi="Times New Roman" w:cs="Times New Roman"/>
          <w:i/>
          <w:iCs/>
          <w:sz w:val="24"/>
          <w:szCs w:val="24"/>
          <w:lang w:eastAsia="en-GB"/>
        </w:rPr>
        <w:t xml:space="preserve">); </w:t>
      </w:r>
      <w:proofErr w:type="spellStart"/>
      <w:r w:rsidRPr="00265023">
        <w:rPr>
          <w:rFonts w:ascii="Times New Roman" w:eastAsia="Times New Roman" w:hAnsi="Times New Roman" w:cs="Times New Roman"/>
          <w:i/>
          <w:iCs/>
          <w:sz w:val="24"/>
          <w:szCs w:val="24"/>
          <w:lang w:eastAsia="en-GB"/>
        </w:rPr>
        <w:t>Nnodu</w:t>
      </w:r>
      <w:proofErr w:type="spellEnd"/>
      <w:r w:rsidRPr="00265023">
        <w:rPr>
          <w:rFonts w:ascii="Times New Roman" w:eastAsia="Times New Roman" w:hAnsi="Times New Roman" w:cs="Times New Roman"/>
          <w:i/>
          <w:iCs/>
          <w:sz w:val="24"/>
          <w:szCs w:val="24"/>
          <w:lang w:eastAsia="en-GB"/>
        </w:rPr>
        <w:t xml:space="preserve"> et al. (2019); Chakravorty &amp; Williams (2015); Pecker &amp; </w:t>
      </w:r>
      <w:proofErr w:type="spellStart"/>
      <w:r w:rsidRPr="00265023">
        <w:rPr>
          <w:rFonts w:ascii="Times New Roman" w:eastAsia="Times New Roman" w:hAnsi="Times New Roman" w:cs="Times New Roman"/>
          <w:i/>
          <w:iCs/>
          <w:sz w:val="24"/>
          <w:szCs w:val="24"/>
          <w:lang w:eastAsia="en-GB"/>
        </w:rPr>
        <w:t>Lanzkron</w:t>
      </w:r>
      <w:proofErr w:type="spellEnd"/>
      <w:r w:rsidRPr="00265023">
        <w:rPr>
          <w:rFonts w:ascii="Times New Roman" w:eastAsia="Times New Roman" w:hAnsi="Times New Roman" w:cs="Times New Roman"/>
          <w:i/>
          <w:iCs/>
          <w:sz w:val="24"/>
          <w:szCs w:val="24"/>
          <w:lang w:eastAsia="en-GB"/>
        </w:rPr>
        <w:t xml:space="preserve"> (2021); </w:t>
      </w:r>
      <w:proofErr w:type="spellStart"/>
      <w:r w:rsidRPr="00265023">
        <w:rPr>
          <w:rFonts w:ascii="Times New Roman" w:eastAsia="Times New Roman" w:hAnsi="Times New Roman" w:cs="Times New Roman"/>
          <w:i/>
          <w:iCs/>
          <w:sz w:val="24"/>
          <w:szCs w:val="24"/>
          <w:lang w:eastAsia="en-GB"/>
        </w:rPr>
        <w:t>Tluway</w:t>
      </w:r>
      <w:proofErr w:type="spellEnd"/>
      <w:r w:rsidRPr="00265023">
        <w:rPr>
          <w:rFonts w:ascii="Times New Roman" w:eastAsia="Times New Roman" w:hAnsi="Times New Roman" w:cs="Times New Roman"/>
          <w:i/>
          <w:iCs/>
          <w:sz w:val="24"/>
          <w:szCs w:val="24"/>
          <w:lang w:eastAsia="en-GB"/>
        </w:rPr>
        <w:t xml:space="preserve"> &amp; Makani (2017); Tisdale et al. (2020); Brandow &amp; Liem (2022); Haywood et al. (2014)</w:t>
      </w:r>
    </w:p>
    <w:p w14:paraId="46169942" w14:textId="77777777" w:rsidR="00265023" w:rsidRPr="00265023" w:rsidRDefault="00265023" w:rsidP="00145958">
      <w:pPr>
        <w:spacing w:after="0" w:line="240" w:lineRule="auto"/>
        <w:jc w:val="both"/>
        <w:rPr>
          <w:rFonts w:ascii="Times New Roman" w:eastAsia="Times New Roman" w:hAnsi="Times New Roman" w:cs="Times New Roman"/>
          <w:sz w:val="24"/>
          <w:szCs w:val="24"/>
          <w:lang w:eastAsia="en-GB"/>
        </w:rPr>
      </w:pPr>
    </w:p>
    <w:p w14:paraId="6C0265D8" w14:textId="77777777" w:rsidR="00265023" w:rsidRPr="00265023" w:rsidRDefault="00265023" w:rsidP="0014595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t>9. Conclusions</w:t>
      </w:r>
    </w:p>
    <w:p w14:paraId="330A0CC0"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Sickle cell disease exemplifies both the extraordinary advances that molecular medicine can achieve and the persistent inequities that can render those advances largely irrelevant to those most affected. The past decade has witnessed a transformation in the conceptual understanding of SCD pathophysiology — progressing beyond an erythrocyte-centric sickling model to a multidimensional framework encompassing endothelial activation, haemolysis-driven vasculopathy, coagulation dysregulation, and chronic systemic inflammation. This richer mechanistic understanding has catalysed a wave of therapeutic innovation culminating in the approval of L-glutamine, </w:t>
      </w:r>
      <w:proofErr w:type="spellStart"/>
      <w:r w:rsidRPr="00265023">
        <w:rPr>
          <w:rFonts w:ascii="Times New Roman" w:eastAsia="Times New Roman" w:hAnsi="Times New Roman" w:cs="Times New Roman"/>
          <w:sz w:val="24"/>
          <w:szCs w:val="24"/>
          <w:lang w:eastAsia="en-GB"/>
        </w:rPr>
        <w:t>lovotibeglogene</w:t>
      </w:r>
      <w:proofErr w:type="spellEnd"/>
      <w:r w:rsidRPr="00265023">
        <w:rPr>
          <w:rFonts w:ascii="Times New Roman" w:eastAsia="Times New Roman" w:hAnsi="Times New Roman" w:cs="Times New Roman"/>
          <w:sz w:val="24"/>
          <w:szCs w:val="24"/>
          <w:lang w:eastAsia="en-GB"/>
        </w:rPr>
        <w:t xml:space="preserve"> autotemcel, and </w:t>
      </w:r>
      <w:proofErr w:type="spellStart"/>
      <w:r w:rsidRPr="00265023">
        <w:rPr>
          <w:rFonts w:ascii="Times New Roman" w:eastAsia="Times New Roman" w:hAnsi="Times New Roman" w:cs="Times New Roman"/>
          <w:sz w:val="24"/>
          <w:szCs w:val="24"/>
          <w:lang w:eastAsia="en-GB"/>
        </w:rPr>
        <w:t>exagamglogene</w:t>
      </w:r>
      <w:proofErr w:type="spellEnd"/>
      <w:r w:rsidRPr="00265023">
        <w:rPr>
          <w:rFonts w:ascii="Times New Roman" w:eastAsia="Times New Roman" w:hAnsi="Times New Roman" w:cs="Times New Roman"/>
          <w:sz w:val="24"/>
          <w:szCs w:val="24"/>
          <w:lang w:eastAsia="en-GB"/>
        </w:rPr>
        <w:t xml:space="preserve"> autotemcel, and the demonstration that CRISPR-Cas9 gene editing can achieve durable resolution of sickle cell crises in the overwhelming majority of treated patients marks a genuine inflection point in the history of haematological medicine.</w:t>
      </w:r>
    </w:p>
    <w:p w14:paraId="2397F034"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At the same time, several important cautions must accompany this narrative of progress. The long-term safety profiles of gene therapy and gene editing approaches require sustained post-market surveillance, particularly with respect to late genotoxicity, potential insertional mutagenesis, and the consequences of myeloablative conditioning in patients with pre-existing multiorgan disease. The full withdrawal of crizanlizumab's conditional European marketing authorisation, and the 2024 voluntary global withdrawal of </w:t>
      </w:r>
      <w:proofErr w:type="spellStart"/>
      <w:r w:rsidRPr="00265023">
        <w:rPr>
          <w:rFonts w:ascii="Times New Roman" w:eastAsia="Times New Roman" w:hAnsi="Times New Roman" w:cs="Times New Roman"/>
          <w:sz w:val="24"/>
          <w:szCs w:val="24"/>
          <w:lang w:eastAsia="en-GB"/>
        </w:rPr>
        <w:t>voxelotor</w:t>
      </w:r>
      <w:proofErr w:type="spellEnd"/>
      <w:r w:rsidRPr="00265023">
        <w:rPr>
          <w:rFonts w:ascii="Times New Roman" w:eastAsia="Times New Roman" w:hAnsi="Times New Roman" w:cs="Times New Roman"/>
          <w:sz w:val="24"/>
          <w:szCs w:val="24"/>
          <w:lang w:eastAsia="en-GB"/>
        </w:rPr>
        <w:t xml:space="preserve"> following post-authorisation safety concerns, serve as sharp and instructive counterpoints to the enthusiasm surrounding newer agents. Both regulatory setbacks underscore the necessity of demanding clinical endpoint data — organ protection, event-free survival, and patient-reported outcomes — rather than haematological surrogates alone, before broad clinical implementation of novel agents. The fact that two of the four pharmacological approvals achieved between 2017 and 2019 ultimately did not survive rigorous post-authorisation scrutiny should sharpen both future trial design and regulatory expectations.</w:t>
      </w:r>
    </w:p>
    <w:p w14:paraId="2BC1B20E" w14:textId="1FA36130"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Looking forward, the field is poised for further advances on several fronts. In vivo delivery of gene-editing machinery — designed to spare patients the rigours of myeloablative conditioning and ex vivo cell processing — holds genuine potential to democratise access to curative therapy over the coming decade. Combination pharmacological strategies pairing hydroxyurea with mechanism-complementary agents may achieve clinically meaningful additive benefit for patients who are unable or unwilling to pursue gene-based approaches. Improved characterisation and treatment of cognitive outcomes in paediatric SCD could avert one of the most debilitating long-term sequelae of the disease. Ultimately, however, scientific achievement in SCD will translate into genuine global impact only if it is accompanied by proportionate investment in health systems strengthening, diagnostic infrastructure, essential medicine access, and workforce development in the regions where the burden of the disease is greatest. The distance between the gene therapy clinic and the district hospital in a high-</w:t>
      </w:r>
      <w:r w:rsidRPr="00265023">
        <w:rPr>
          <w:rFonts w:ascii="Times New Roman" w:eastAsia="Times New Roman" w:hAnsi="Times New Roman" w:cs="Times New Roman"/>
          <w:sz w:val="24"/>
          <w:szCs w:val="24"/>
          <w:lang w:eastAsia="en-GB"/>
        </w:rPr>
        <w:lastRenderedPageBreak/>
        <w:t>burden, low-resource setting represents a challenge that neither science nor medicine can address alone.</w:t>
      </w:r>
    </w:p>
    <w:p w14:paraId="40D87EBB" w14:textId="77777777" w:rsidR="00265023" w:rsidRPr="00265023" w:rsidRDefault="00265023" w:rsidP="0014595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t>10. Limitations</w:t>
      </w:r>
    </w:p>
    <w:p w14:paraId="4C8295E3"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This review has several limitations that should be acknowledged. As a narrative rather than systematic review, it is inherently susceptible to selection bias in the identification and weighting of primary literature; while the multi-database search strategy and structured screening workflow were designed to mitigate this, the final synthesis necessarily reflects judgements about relevance and quality that carry an element of subjectivity. The restriction to English-language publications may have excluded relevant research produced in other languages, particularly from high-burden regions of Africa, South Asia, and the Middle East where important operational and health systems research may be disseminated primarily in local languages.</w:t>
      </w:r>
    </w:p>
    <w:p w14:paraId="48BD0A05" w14:textId="77777777" w:rsidR="00265023" w:rsidRPr="00265023" w:rsidRDefault="00265023" w:rsidP="0014595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65023">
        <w:rPr>
          <w:rFonts w:ascii="Times New Roman" w:eastAsia="Times New Roman" w:hAnsi="Times New Roman" w:cs="Times New Roman"/>
          <w:sz w:val="24"/>
          <w:szCs w:val="24"/>
          <w:lang w:eastAsia="en-GB"/>
        </w:rPr>
        <w:t xml:space="preserve">The rapidly evolving character of the SCD therapeutic landscape — particularly the gene therapy and gene editing field — means that some data presented here may be superseded by more recent trial results or regulatory developments. Clinical trial data for </w:t>
      </w:r>
      <w:proofErr w:type="spellStart"/>
      <w:r w:rsidRPr="00265023">
        <w:rPr>
          <w:rFonts w:ascii="Times New Roman" w:eastAsia="Times New Roman" w:hAnsi="Times New Roman" w:cs="Times New Roman"/>
          <w:sz w:val="24"/>
          <w:szCs w:val="24"/>
          <w:lang w:eastAsia="en-GB"/>
        </w:rPr>
        <w:t>exagamglogene</w:t>
      </w:r>
      <w:proofErr w:type="spellEnd"/>
      <w:r w:rsidRPr="00265023">
        <w:rPr>
          <w:rFonts w:ascii="Times New Roman" w:eastAsia="Times New Roman" w:hAnsi="Times New Roman" w:cs="Times New Roman"/>
          <w:sz w:val="24"/>
          <w:szCs w:val="24"/>
          <w:lang w:eastAsia="en-GB"/>
        </w:rPr>
        <w:t xml:space="preserve"> autotemcel and </w:t>
      </w:r>
      <w:proofErr w:type="spellStart"/>
      <w:r w:rsidRPr="00265023">
        <w:rPr>
          <w:rFonts w:ascii="Times New Roman" w:eastAsia="Times New Roman" w:hAnsi="Times New Roman" w:cs="Times New Roman"/>
          <w:sz w:val="24"/>
          <w:szCs w:val="24"/>
          <w:lang w:eastAsia="en-GB"/>
        </w:rPr>
        <w:t>lovotibeglogene</w:t>
      </w:r>
      <w:proofErr w:type="spellEnd"/>
      <w:r w:rsidRPr="00265023">
        <w:rPr>
          <w:rFonts w:ascii="Times New Roman" w:eastAsia="Times New Roman" w:hAnsi="Times New Roman" w:cs="Times New Roman"/>
          <w:sz w:val="24"/>
          <w:szCs w:val="24"/>
          <w:lang w:eastAsia="en-GB"/>
        </w:rPr>
        <w:t xml:space="preserve"> autotemcel are based on relatively limited patient numbers and follow-up durations, and extrapolation of efficacy and safety to broader, more diverse SCD populations must be approached with appropriate caution. Economic analyses of emerging therapies and formal assessments of their cost-effectiveness within different healthcare systems were beyond the scope of this review but represent critically important research priorities to inform equitable access policy and resource allocation decisions globally. Finally, the review did not undertake formal quality appraisal of individual studies using standardised tools; assessment of methodological robustness was necessarily qualitative, drawing on study design, sample size, endpoint selection, and consistency of findings across independent datasets. Readers are encouraged to consult the original primary sources when detailed methodological scrutiny is required.</w:t>
      </w:r>
    </w:p>
    <w:p w14:paraId="263848EA" w14:textId="77777777" w:rsidR="005B3ABF" w:rsidRPr="00CB30CD" w:rsidRDefault="005B3ABF" w:rsidP="00145958">
      <w:pPr>
        <w:jc w:val="both"/>
        <w:rPr>
          <w:rFonts w:ascii="Calibri" w:eastAsia="Calibri" w:hAnsi="Calibri" w:cs="Times New Roman"/>
          <w:b/>
          <w:bCs/>
          <w:kern w:val="2"/>
          <w:highlight w:val="yellow"/>
          <w:lang w:val="en-US"/>
        </w:rPr>
      </w:pPr>
      <w:bookmarkStart w:id="0" w:name="_Hlk218868534"/>
      <w:bookmarkStart w:id="1" w:name="_Hlk229240739"/>
      <w:bookmarkStart w:id="2" w:name="_Hlk226454370"/>
      <w:bookmarkStart w:id="3" w:name="_Hlk226813079"/>
    </w:p>
    <w:bookmarkEnd w:id="0"/>
    <w:bookmarkEnd w:id="1"/>
    <w:bookmarkEnd w:id="2"/>
    <w:bookmarkEnd w:id="3"/>
    <w:p w14:paraId="0755EA6F" w14:textId="77777777" w:rsidR="00CF0147" w:rsidRPr="00CB30CD" w:rsidRDefault="00CF0147" w:rsidP="00CF0147">
      <w:pPr>
        <w:spacing w:after="0" w:line="240" w:lineRule="auto"/>
        <w:jc w:val="both"/>
        <w:rPr>
          <w:rFonts w:ascii="Times New Roman" w:eastAsia="Times New Roman" w:hAnsi="Times New Roman" w:cs="Times New Roman"/>
          <w:b/>
          <w:bCs/>
          <w:sz w:val="24"/>
          <w:szCs w:val="24"/>
          <w:lang w:eastAsia="en-GB"/>
        </w:rPr>
      </w:pPr>
      <w:r w:rsidRPr="00CB30CD">
        <w:rPr>
          <w:rFonts w:ascii="Times New Roman" w:eastAsia="Times New Roman" w:hAnsi="Times New Roman" w:cs="Times New Roman"/>
          <w:b/>
          <w:bCs/>
          <w:sz w:val="24"/>
          <w:szCs w:val="24"/>
          <w:lang w:eastAsia="en-GB"/>
        </w:rPr>
        <w:t>Declaration of AI Use</w:t>
      </w:r>
    </w:p>
    <w:p w14:paraId="17363284" w14:textId="060F46CC" w:rsidR="00265023" w:rsidRPr="00265023" w:rsidRDefault="00CF0147" w:rsidP="00CF0147">
      <w:pPr>
        <w:spacing w:after="0" w:line="240" w:lineRule="auto"/>
        <w:jc w:val="both"/>
        <w:rPr>
          <w:rFonts w:ascii="Times New Roman" w:eastAsia="Times New Roman" w:hAnsi="Times New Roman" w:cs="Times New Roman"/>
          <w:sz w:val="24"/>
          <w:szCs w:val="24"/>
          <w:lang w:eastAsia="en-GB"/>
        </w:rPr>
      </w:pPr>
      <w:r w:rsidRPr="00CF0147">
        <w:rPr>
          <w:rFonts w:ascii="Times New Roman" w:eastAsia="Times New Roman" w:hAnsi="Times New Roman" w:cs="Times New Roman"/>
          <w:sz w:val="24"/>
          <w:szCs w:val="24"/>
          <w:lang w:eastAsia="en-GB"/>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53CBD7C" w14:textId="77777777" w:rsidR="00265023" w:rsidRPr="00265023" w:rsidRDefault="00265023" w:rsidP="0014595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265023">
        <w:rPr>
          <w:rFonts w:ascii="Times New Roman" w:eastAsia="Times New Roman" w:hAnsi="Times New Roman" w:cs="Times New Roman"/>
          <w:b/>
          <w:bCs/>
          <w:sz w:val="27"/>
          <w:szCs w:val="27"/>
          <w:lang w:eastAsia="en-GB"/>
        </w:rPr>
        <w:t>References</w:t>
      </w:r>
    </w:p>
    <w:p w14:paraId="740AE9BF"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Adams, R. J., McKie, V. C., Hsu, L., Files, B., Vichinsky, E., Pegelow, C., Abboud, M., Gallagher, D., </w:t>
      </w:r>
      <w:proofErr w:type="spellStart"/>
      <w:r w:rsidRPr="00AA3740">
        <w:rPr>
          <w:rFonts w:ascii="Times New Roman" w:eastAsia="Times New Roman" w:hAnsi="Times New Roman" w:cs="Times New Roman"/>
          <w:sz w:val="24"/>
          <w:szCs w:val="24"/>
          <w:lang w:val="en-US"/>
        </w:rPr>
        <w:t>Kutlar</w:t>
      </w:r>
      <w:proofErr w:type="spellEnd"/>
      <w:r w:rsidRPr="00AA3740">
        <w:rPr>
          <w:rFonts w:ascii="Times New Roman" w:eastAsia="Times New Roman" w:hAnsi="Times New Roman" w:cs="Times New Roman"/>
          <w:sz w:val="24"/>
          <w:szCs w:val="24"/>
          <w:lang w:val="en-US"/>
        </w:rPr>
        <w:t xml:space="preserve">, A., Nichols, F. T., Bonds, D. R., &amp; Brambilla, D. (1998). Prevention of a first stroke by transfusions in children with sickle cell anemia and abnormal results on transcranial Doppler ultrasonography. </w:t>
      </w:r>
      <w:r w:rsidRPr="00AA3740">
        <w:rPr>
          <w:rFonts w:ascii="Times New Roman" w:eastAsia="Times New Roman" w:hAnsi="Times New Roman" w:cs="Times New Roman"/>
          <w:i/>
          <w:iCs/>
          <w:sz w:val="24"/>
          <w:szCs w:val="24"/>
          <w:lang w:val="en-US"/>
        </w:rPr>
        <w:t>New England Journal of Medicine, 339</w:t>
      </w:r>
      <w:r w:rsidRPr="00AA3740">
        <w:rPr>
          <w:rFonts w:ascii="Times New Roman" w:eastAsia="Times New Roman" w:hAnsi="Times New Roman" w:cs="Times New Roman"/>
          <w:sz w:val="24"/>
          <w:szCs w:val="24"/>
          <w:lang w:val="en-US"/>
        </w:rPr>
        <w:t xml:space="preserve">(1), 5–11. </w:t>
      </w:r>
      <w:hyperlink r:id="rId7" w:tgtFrame="_new" w:history="1">
        <w:r w:rsidRPr="00AA3740">
          <w:rPr>
            <w:rFonts w:ascii="Times New Roman" w:eastAsia="Times New Roman" w:hAnsi="Times New Roman" w:cs="Times New Roman"/>
            <w:color w:val="0000FF"/>
            <w:sz w:val="24"/>
            <w:szCs w:val="24"/>
            <w:u w:val="single"/>
            <w:lang w:val="en-US"/>
          </w:rPr>
          <w:t>https://doi.org/10.1056/NEJM199807023390102</w:t>
        </w:r>
      </w:hyperlink>
    </w:p>
    <w:p w14:paraId="61B64AF5"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AA3740">
        <w:rPr>
          <w:rFonts w:ascii="Times New Roman" w:eastAsia="Times New Roman" w:hAnsi="Times New Roman" w:cs="Times New Roman"/>
          <w:sz w:val="24"/>
          <w:szCs w:val="24"/>
          <w:lang w:val="en-US"/>
        </w:rPr>
        <w:lastRenderedPageBreak/>
        <w:t>Ataga</w:t>
      </w:r>
      <w:proofErr w:type="spellEnd"/>
      <w:r w:rsidRPr="00AA3740">
        <w:rPr>
          <w:rFonts w:ascii="Times New Roman" w:eastAsia="Times New Roman" w:hAnsi="Times New Roman" w:cs="Times New Roman"/>
          <w:sz w:val="24"/>
          <w:szCs w:val="24"/>
          <w:lang w:val="en-US"/>
        </w:rPr>
        <w:t xml:space="preserve">, K. I., </w:t>
      </w:r>
      <w:proofErr w:type="spellStart"/>
      <w:r w:rsidRPr="00AA3740">
        <w:rPr>
          <w:rFonts w:ascii="Times New Roman" w:eastAsia="Times New Roman" w:hAnsi="Times New Roman" w:cs="Times New Roman"/>
          <w:sz w:val="24"/>
          <w:szCs w:val="24"/>
          <w:lang w:val="en-US"/>
        </w:rPr>
        <w:t>Kutlar</w:t>
      </w:r>
      <w:proofErr w:type="spellEnd"/>
      <w:r w:rsidRPr="00AA3740">
        <w:rPr>
          <w:rFonts w:ascii="Times New Roman" w:eastAsia="Times New Roman" w:hAnsi="Times New Roman" w:cs="Times New Roman"/>
          <w:sz w:val="24"/>
          <w:szCs w:val="24"/>
          <w:lang w:val="en-US"/>
        </w:rPr>
        <w:t xml:space="preserve">, A., Kanter, J., Liles, D., Cançado, R. D., </w:t>
      </w:r>
      <w:proofErr w:type="spellStart"/>
      <w:r w:rsidRPr="00AA3740">
        <w:rPr>
          <w:rFonts w:ascii="Times New Roman" w:eastAsia="Times New Roman" w:hAnsi="Times New Roman" w:cs="Times New Roman"/>
          <w:sz w:val="24"/>
          <w:szCs w:val="24"/>
          <w:lang w:val="en-US"/>
        </w:rPr>
        <w:t>Friedrisch</w:t>
      </w:r>
      <w:proofErr w:type="spellEnd"/>
      <w:r w:rsidRPr="00AA3740">
        <w:rPr>
          <w:rFonts w:ascii="Times New Roman" w:eastAsia="Times New Roman" w:hAnsi="Times New Roman" w:cs="Times New Roman"/>
          <w:sz w:val="24"/>
          <w:szCs w:val="24"/>
          <w:lang w:val="en-US"/>
        </w:rPr>
        <w:t xml:space="preserve">, J. R., Guthrie, T. H., Knight-Madden, J., Alvarez, O. A., </w:t>
      </w:r>
      <w:proofErr w:type="spellStart"/>
      <w:r w:rsidRPr="00AA3740">
        <w:rPr>
          <w:rFonts w:ascii="Times New Roman" w:eastAsia="Times New Roman" w:hAnsi="Times New Roman" w:cs="Times New Roman"/>
          <w:sz w:val="24"/>
          <w:szCs w:val="24"/>
          <w:lang w:val="en-US"/>
        </w:rPr>
        <w:t>Gordeuk</w:t>
      </w:r>
      <w:proofErr w:type="spellEnd"/>
      <w:r w:rsidRPr="00AA3740">
        <w:rPr>
          <w:rFonts w:ascii="Times New Roman" w:eastAsia="Times New Roman" w:hAnsi="Times New Roman" w:cs="Times New Roman"/>
          <w:sz w:val="24"/>
          <w:szCs w:val="24"/>
          <w:lang w:val="en-US"/>
        </w:rPr>
        <w:t xml:space="preserve">, V. R., </w:t>
      </w:r>
      <w:proofErr w:type="spellStart"/>
      <w:r w:rsidRPr="00AA3740">
        <w:rPr>
          <w:rFonts w:ascii="Times New Roman" w:eastAsia="Times New Roman" w:hAnsi="Times New Roman" w:cs="Times New Roman"/>
          <w:sz w:val="24"/>
          <w:szCs w:val="24"/>
          <w:lang w:val="en-US"/>
        </w:rPr>
        <w:t>Gualandro</w:t>
      </w:r>
      <w:proofErr w:type="spellEnd"/>
      <w:r w:rsidRPr="00AA3740">
        <w:rPr>
          <w:rFonts w:ascii="Times New Roman" w:eastAsia="Times New Roman" w:hAnsi="Times New Roman" w:cs="Times New Roman"/>
          <w:sz w:val="24"/>
          <w:szCs w:val="24"/>
          <w:lang w:val="en-US"/>
        </w:rPr>
        <w:t xml:space="preserve">, S., Colella, M. P., Smith, W. R., Rollins, S. A., Stocker, J. W., &amp; Rother, R. P. (2017). Crizanlizumab for the prevention of pain crises in sickle cell disease. </w:t>
      </w:r>
      <w:r w:rsidRPr="00AA3740">
        <w:rPr>
          <w:rFonts w:ascii="Times New Roman" w:eastAsia="Times New Roman" w:hAnsi="Times New Roman" w:cs="Times New Roman"/>
          <w:i/>
          <w:iCs/>
          <w:sz w:val="24"/>
          <w:szCs w:val="24"/>
          <w:lang w:val="en-US"/>
        </w:rPr>
        <w:t>New England Journal of Medicine, 376</w:t>
      </w:r>
      <w:r w:rsidRPr="00AA3740">
        <w:rPr>
          <w:rFonts w:ascii="Times New Roman" w:eastAsia="Times New Roman" w:hAnsi="Times New Roman" w:cs="Times New Roman"/>
          <w:sz w:val="24"/>
          <w:szCs w:val="24"/>
          <w:lang w:val="en-US"/>
        </w:rPr>
        <w:t xml:space="preserve">(5), 429–439. </w:t>
      </w:r>
      <w:hyperlink r:id="rId8" w:tgtFrame="_new" w:history="1">
        <w:r w:rsidRPr="00AA3740">
          <w:rPr>
            <w:rFonts w:ascii="Times New Roman" w:eastAsia="Times New Roman" w:hAnsi="Times New Roman" w:cs="Times New Roman"/>
            <w:color w:val="0000FF"/>
            <w:sz w:val="24"/>
            <w:szCs w:val="24"/>
            <w:u w:val="single"/>
            <w:lang w:val="en-US"/>
          </w:rPr>
          <w:t>https://doi.org/10.1056/NEJMoa1611770</w:t>
        </w:r>
      </w:hyperlink>
    </w:p>
    <w:p w14:paraId="29667B89"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Ballas, S. K., Gupta, K., &amp; Adams-Graves, P. (2012). Sickle cell pain: A critical reappraisal. </w:t>
      </w:r>
      <w:r w:rsidRPr="00AA3740">
        <w:rPr>
          <w:rFonts w:ascii="Times New Roman" w:eastAsia="Times New Roman" w:hAnsi="Times New Roman" w:cs="Times New Roman"/>
          <w:i/>
          <w:iCs/>
          <w:sz w:val="24"/>
          <w:szCs w:val="24"/>
          <w:lang w:val="en-US"/>
        </w:rPr>
        <w:t>Blood, 120</w:t>
      </w:r>
      <w:r w:rsidRPr="00AA3740">
        <w:rPr>
          <w:rFonts w:ascii="Times New Roman" w:eastAsia="Times New Roman" w:hAnsi="Times New Roman" w:cs="Times New Roman"/>
          <w:sz w:val="24"/>
          <w:szCs w:val="24"/>
          <w:lang w:val="en-US"/>
        </w:rPr>
        <w:t xml:space="preserve">(18), 3647–3656. </w:t>
      </w:r>
      <w:hyperlink r:id="rId9" w:tgtFrame="_new" w:history="1">
        <w:r w:rsidRPr="00AA3740">
          <w:rPr>
            <w:rFonts w:ascii="Times New Roman" w:eastAsia="Times New Roman" w:hAnsi="Times New Roman" w:cs="Times New Roman"/>
            <w:color w:val="0000FF"/>
            <w:sz w:val="24"/>
            <w:szCs w:val="24"/>
            <w:u w:val="single"/>
            <w:lang w:val="en-US"/>
          </w:rPr>
          <w:t>https://doi.org/10.1182/blood-2012-04-383430</w:t>
        </w:r>
      </w:hyperlink>
    </w:p>
    <w:p w14:paraId="5B9E0B23"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Bauer, D. E., &amp; Orkin, S. H. (2015). Hemoglobin switching’s surprise: The versatile transcription factor BCL11A is a master repressor of fetal hemoglobin. </w:t>
      </w:r>
      <w:r w:rsidRPr="00AA3740">
        <w:rPr>
          <w:rFonts w:ascii="Times New Roman" w:eastAsia="Times New Roman" w:hAnsi="Times New Roman" w:cs="Times New Roman"/>
          <w:i/>
          <w:iCs/>
          <w:sz w:val="24"/>
          <w:szCs w:val="24"/>
          <w:lang w:val="en-US"/>
        </w:rPr>
        <w:t>Current Opinion in Genetics &amp; Development, 33</w:t>
      </w:r>
      <w:r w:rsidRPr="00AA3740">
        <w:rPr>
          <w:rFonts w:ascii="Times New Roman" w:eastAsia="Times New Roman" w:hAnsi="Times New Roman" w:cs="Times New Roman"/>
          <w:sz w:val="24"/>
          <w:szCs w:val="24"/>
          <w:lang w:val="en-US"/>
        </w:rPr>
        <w:t xml:space="preserve">, 62–70. </w:t>
      </w:r>
      <w:hyperlink r:id="rId10" w:tgtFrame="_new" w:history="1">
        <w:r w:rsidRPr="00AA3740">
          <w:rPr>
            <w:rFonts w:ascii="Times New Roman" w:eastAsia="Times New Roman" w:hAnsi="Times New Roman" w:cs="Times New Roman"/>
            <w:color w:val="0000FF"/>
            <w:sz w:val="24"/>
            <w:szCs w:val="24"/>
            <w:u w:val="single"/>
            <w:lang w:val="en-US"/>
          </w:rPr>
          <w:t>https://doi.org/10.1016/j.gde.2015.08.001</w:t>
        </w:r>
      </w:hyperlink>
    </w:p>
    <w:p w14:paraId="591E2BC9"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Brandow, A. M., &amp; DeBaun, M. R. (2018). Key components of pain management for children and adults with sickle cell disease. </w:t>
      </w:r>
      <w:r w:rsidRPr="00AA3740">
        <w:rPr>
          <w:rFonts w:ascii="Times New Roman" w:eastAsia="Times New Roman" w:hAnsi="Times New Roman" w:cs="Times New Roman"/>
          <w:i/>
          <w:iCs/>
          <w:sz w:val="24"/>
          <w:szCs w:val="24"/>
          <w:lang w:val="en-US"/>
        </w:rPr>
        <w:t>Hematology/Oncology Clinics of North America, 32</w:t>
      </w:r>
      <w:r w:rsidRPr="00AA3740">
        <w:rPr>
          <w:rFonts w:ascii="Times New Roman" w:eastAsia="Times New Roman" w:hAnsi="Times New Roman" w:cs="Times New Roman"/>
          <w:sz w:val="24"/>
          <w:szCs w:val="24"/>
          <w:lang w:val="en-US"/>
        </w:rPr>
        <w:t xml:space="preserve">(3), 535–550. </w:t>
      </w:r>
      <w:hyperlink r:id="rId11" w:tgtFrame="_new" w:history="1">
        <w:r w:rsidRPr="00AA3740">
          <w:rPr>
            <w:rFonts w:ascii="Times New Roman" w:eastAsia="Times New Roman" w:hAnsi="Times New Roman" w:cs="Times New Roman"/>
            <w:color w:val="0000FF"/>
            <w:sz w:val="24"/>
            <w:szCs w:val="24"/>
            <w:u w:val="single"/>
            <w:lang w:val="en-US"/>
          </w:rPr>
          <w:t>https://doi.org/10.1016/j.hoc.2018.01.014</w:t>
        </w:r>
      </w:hyperlink>
    </w:p>
    <w:p w14:paraId="75829156"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Brandow, A. M., &amp; Liem, R. I. (2022). Advances in the diagnosis and treatment of sickle cell disease. </w:t>
      </w:r>
      <w:r w:rsidRPr="00AA3740">
        <w:rPr>
          <w:rFonts w:ascii="Times New Roman" w:eastAsia="Times New Roman" w:hAnsi="Times New Roman" w:cs="Times New Roman"/>
          <w:i/>
          <w:iCs/>
          <w:sz w:val="24"/>
          <w:szCs w:val="24"/>
          <w:lang w:val="en-US"/>
        </w:rPr>
        <w:t>Journal of Hematology &amp; Oncology, 15</w:t>
      </w:r>
      <w:r w:rsidRPr="00AA3740">
        <w:rPr>
          <w:rFonts w:ascii="Times New Roman" w:eastAsia="Times New Roman" w:hAnsi="Times New Roman" w:cs="Times New Roman"/>
          <w:sz w:val="24"/>
          <w:szCs w:val="24"/>
          <w:lang w:val="en-US"/>
        </w:rPr>
        <w:t xml:space="preserve">(1), Article 20. </w:t>
      </w:r>
      <w:hyperlink r:id="rId12" w:tgtFrame="_new" w:history="1">
        <w:r w:rsidRPr="00AA3740">
          <w:rPr>
            <w:rFonts w:ascii="Times New Roman" w:eastAsia="Times New Roman" w:hAnsi="Times New Roman" w:cs="Times New Roman"/>
            <w:color w:val="0000FF"/>
            <w:sz w:val="24"/>
            <w:szCs w:val="24"/>
            <w:u w:val="single"/>
            <w:lang w:val="en-US"/>
          </w:rPr>
          <w:t>https://doi.org/10.1186/s13045-022-01237-z</w:t>
        </w:r>
      </w:hyperlink>
    </w:p>
    <w:p w14:paraId="2D0E8FD9"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Brandow, A. M., Carroll, C. P., Creary, S., Edwards-Elliott, R., Glassberg, J., Hurley, R. W., </w:t>
      </w:r>
      <w:proofErr w:type="spellStart"/>
      <w:r w:rsidRPr="00AA3740">
        <w:rPr>
          <w:rFonts w:ascii="Times New Roman" w:eastAsia="Times New Roman" w:hAnsi="Times New Roman" w:cs="Times New Roman"/>
          <w:sz w:val="24"/>
          <w:szCs w:val="24"/>
          <w:lang w:val="en-US"/>
        </w:rPr>
        <w:t>Kutlar</w:t>
      </w:r>
      <w:proofErr w:type="spellEnd"/>
      <w:r w:rsidRPr="00AA3740">
        <w:rPr>
          <w:rFonts w:ascii="Times New Roman" w:eastAsia="Times New Roman" w:hAnsi="Times New Roman" w:cs="Times New Roman"/>
          <w:sz w:val="24"/>
          <w:szCs w:val="24"/>
          <w:lang w:val="en-US"/>
        </w:rPr>
        <w:t xml:space="preserve">, A., </w:t>
      </w:r>
      <w:proofErr w:type="spellStart"/>
      <w:r w:rsidRPr="00AA3740">
        <w:rPr>
          <w:rFonts w:ascii="Times New Roman" w:eastAsia="Times New Roman" w:hAnsi="Times New Roman" w:cs="Times New Roman"/>
          <w:sz w:val="24"/>
          <w:szCs w:val="24"/>
          <w:lang w:val="en-US"/>
        </w:rPr>
        <w:t>Seisa</w:t>
      </w:r>
      <w:proofErr w:type="spellEnd"/>
      <w:r w:rsidRPr="00AA3740">
        <w:rPr>
          <w:rFonts w:ascii="Times New Roman" w:eastAsia="Times New Roman" w:hAnsi="Times New Roman" w:cs="Times New Roman"/>
          <w:sz w:val="24"/>
          <w:szCs w:val="24"/>
          <w:lang w:val="en-US"/>
        </w:rPr>
        <w:t xml:space="preserve">, M., Stinson, J., Strouse, J. J., Yusuf, F., Zempsky, W., &amp; Lang, E. (2020). American Society of Hematology 2020 guidelines for sickle cell disease: Management of acute and chronic pain. </w:t>
      </w:r>
      <w:r w:rsidRPr="00AA3740">
        <w:rPr>
          <w:rFonts w:ascii="Times New Roman" w:eastAsia="Times New Roman" w:hAnsi="Times New Roman" w:cs="Times New Roman"/>
          <w:i/>
          <w:iCs/>
          <w:sz w:val="24"/>
          <w:szCs w:val="24"/>
          <w:lang w:val="en-US"/>
        </w:rPr>
        <w:t>Blood Advances, 4</w:t>
      </w:r>
      <w:r w:rsidRPr="00AA3740">
        <w:rPr>
          <w:rFonts w:ascii="Times New Roman" w:eastAsia="Times New Roman" w:hAnsi="Times New Roman" w:cs="Times New Roman"/>
          <w:sz w:val="24"/>
          <w:szCs w:val="24"/>
          <w:lang w:val="en-US"/>
        </w:rPr>
        <w:t xml:space="preserve">(12), 2656–2701. </w:t>
      </w:r>
      <w:hyperlink r:id="rId13" w:tgtFrame="_new" w:history="1">
        <w:r w:rsidRPr="00AA3740">
          <w:rPr>
            <w:rFonts w:ascii="Times New Roman" w:eastAsia="Times New Roman" w:hAnsi="Times New Roman" w:cs="Times New Roman"/>
            <w:color w:val="0000FF"/>
            <w:sz w:val="24"/>
            <w:szCs w:val="24"/>
            <w:u w:val="single"/>
            <w:lang w:val="en-US"/>
          </w:rPr>
          <w:t>https://doi.org/10.1182/bloodadvances.2020001851</w:t>
        </w:r>
      </w:hyperlink>
    </w:p>
    <w:p w14:paraId="22B13833"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Chakravorty, S., &amp; Williams, T. N. (2015). Sickle cell disease: A neglected chronic disease of increasing global health importance. </w:t>
      </w:r>
      <w:r w:rsidRPr="00AA3740">
        <w:rPr>
          <w:rFonts w:ascii="Times New Roman" w:eastAsia="Times New Roman" w:hAnsi="Times New Roman" w:cs="Times New Roman"/>
          <w:i/>
          <w:iCs/>
          <w:sz w:val="24"/>
          <w:szCs w:val="24"/>
          <w:lang w:val="en-US"/>
        </w:rPr>
        <w:t>Archives of Disease in Childhood, 100</w:t>
      </w:r>
      <w:r w:rsidRPr="00AA3740">
        <w:rPr>
          <w:rFonts w:ascii="Times New Roman" w:eastAsia="Times New Roman" w:hAnsi="Times New Roman" w:cs="Times New Roman"/>
          <w:sz w:val="24"/>
          <w:szCs w:val="24"/>
          <w:lang w:val="en-US"/>
        </w:rPr>
        <w:t xml:space="preserve">(1), 48–53. </w:t>
      </w:r>
      <w:hyperlink r:id="rId14" w:tgtFrame="_new" w:history="1">
        <w:r w:rsidRPr="00AA3740">
          <w:rPr>
            <w:rFonts w:ascii="Times New Roman" w:eastAsia="Times New Roman" w:hAnsi="Times New Roman" w:cs="Times New Roman"/>
            <w:color w:val="0000FF"/>
            <w:sz w:val="24"/>
            <w:szCs w:val="24"/>
            <w:u w:val="single"/>
            <w:lang w:val="en-US"/>
          </w:rPr>
          <w:t>https://doi.org/10.1136/archdischild-2013-303773</w:t>
        </w:r>
      </w:hyperlink>
    </w:p>
    <w:p w14:paraId="03C5B122"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AA3740">
        <w:rPr>
          <w:rFonts w:ascii="Times New Roman" w:eastAsia="Times New Roman" w:hAnsi="Times New Roman" w:cs="Times New Roman"/>
          <w:sz w:val="24"/>
          <w:szCs w:val="24"/>
          <w:lang w:val="en-US"/>
        </w:rPr>
        <w:t>Charache</w:t>
      </w:r>
      <w:proofErr w:type="spellEnd"/>
      <w:r w:rsidRPr="00AA3740">
        <w:rPr>
          <w:rFonts w:ascii="Times New Roman" w:eastAsia="Times New Roman" w:hAnsi="Times New Roman" w:cs="Times New Roman"/>
          <w:sz w:val="24"/>
          <w:szCs w:val="24"/>
          <w:lang w:val="en-US"/>
        </w:rPr>
        <w:t xml:space="preserve">, S., Terrin, M. L., Moore, R. D., Dover, G. J., Barton, F. B., Eckert, S. V., McMahon, R. P., &amp; Bonds, D. R. (1995). Effect of hydroxyurea on the frequency of painful crises in sickle cell anemia. </w:t>
      </w:r>
      <w:r w:rsidRPr="00AA3740">
        <w:rPr>
          <w:rFonts w:ascii="Times New Roman" w:eastAsia="Times New Roman" w:hAnsi="Times New Roman" w:cs="Times New Roman"/>
          <w:i/>
          <w:iCs/>
          <w:sz w:val="24"/>
          <w:szCs w:val="24"/>
          <w:lang w:val="en-US"/>
        </w:rPr>
        <w:t>New England Journal of Medicine, 332</w:t>
      </w:r>
      <w:r w:rsidRPr="00AA3740">
        <w:rPr>
          <w:rFonts w:ascii="Times New Roman" w:eastAsia="Times New Roman" w:hAnsi="Times New Roman" w:cs="Times New Roman"/>
          <w:sz w:val="24"/>
          <w:szCs w:val="24"/>
          <w:lang w:val="en-US"/>
        </w:rPr>
        <w:t xml:space="preserve">(20), 1317–1322. </w:t>
      </w:r>
      <w:hyperlink r:id="rId15" w:tgtFrame="_new" w:history="1">
        <w:r w:rsidRPr="00AA3740">
          <w:rPr>
            <w:rFonts w:ascii="Times New Roman" w:eastAsia="Times New Roman" w:hAnsi="Times New Roman" w:cs="Times New Roman"/>
            <w:color w:val="0000FF"/>
            <w:sz w:val="24"/>
            <w:szCs w:val="24"/>
            <w:u w:val="single"/>
            <w:lang w:val="en-US"/>
          </w:rPr>
          <w:t>https://doi.org/10.1056/NEJM199505183322001</w:t>
        </w:r>
      </w:hyperlink>
    </w:p>
    <w:p w14:paraId="52290618"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DeBaun, M. R., Armstrong, F. D., McKinstry, R. C., Ware, R. E., Vichinsky, E., &amp; Kirkham, F. J. (2012). Silent cerebral infarcts: A review on a prevalent and progressive cause of neurologic injury in sickle cell anemia. </w:t>
      </w:r>
      <w:r w:rsidRPr="00AA3740">
        <w:rPr>
          <w:rFonts w:ascii="Times New Roman" w:eastAsia="Times New Roman" w:hAnsi="Times New Roman" w:cs="Times New Roman"/>
          <w:i/>
          <w:iCs/>
          <w:sz w:val="24"/>
          <w:szCs w:val="24"/>
          <w:lang w:val="en-US"/>
        </w:rPr>
        <w:t>Blood, 119</w:t>
      </w:r>
      <w:r w:rsidRPr="00AA3740">
        <w:rPr>
          <w:rFonts w:ascii="Times New Roman" w:eastAsia="Times New Roman" w:hAnsi="Times New Roman" w:cs="Times New Roman"/>
          <w:sz w:val="24"/>
          <w:szCs w:val="24"/>
          <w:lang w:val="en-US"/>
        </w:rPr>
        <w:t xml:space="preserve">(20), 4587–4596. </w:t>
      </w:r>
      <w:hyperlink r:id="rId16" w:tgtFrame="_new" w:history="1">
        <w:r w:rsidRPr="00AA3740">
          <w:rPr>
            <w:rFonts w:ascii="Times New Roman" w:eastAsia="Times New Roman" w:hAnsi="Times New Roman" w:cs="Times New Roman"/>
            <w:color w:val="0000FF"/>
            <w:sz w:val="24"/>
            <w:szCs w:val="24"/>
            <w:u w:val="single"/>
            <w:lang w:val="en-US"/>
          </w:rPr>
          <w:t>https://doi.org/10.1182/blood-2011-02-272682</w:t>
        </w:r>
      </w:hyperlink>
    </w:p>
    <w:p w14:paraId="0ADBAF06"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DeBaun, M. R., Jordan, L. C., King, A. A., Schatz, J., </w:t>
      </w:r>
      <w:proofErr w:type="spellStart"/>
      <w:r w:rsidRPr="00AA3740">
        <w:rPr>
          <w:rFonts w:ascii="Times New Roman" w:eastAsia="Times New Roman" w:hAnsi="Times New Roman" w:cs="Times New Roman"/>
          <w:sz w:val="24"/>
          <w:szCs w:val="24"/>
          <w:lang w:val="en-US"/>
        </w:rPr>
        <w:t>Vichinsky</w:t>
      </w:r>
      <w:proofErr w:type="spellEnd"/>
      <w:r w:rsidRPr="00AA3740">
        <w:rPr>
          <w:rFonts w:ascii="Times New Roman" w:eastAsia="Times New Roman" w:hAnsi="Times New Roman" w:cs="Times New Roman"/>
          <w:sz w:val="24"/>
          <w:szCs w:val="24"/>
          <w:lang w:val="en-US"/>
        </w:rPr>
        <w:t xml:space="preserve">, E., Fox, C. K., McKinstry, R. C., Telfer, P., Kraut, M. A., </w:t>
      </w:r>
      <w:proofErr w:type="spellStart"/>
      <w:r w:rsidRPr="00AA3740">
        <w:rPr>
          <w:rFonts w:ascii="Times New Roman" w:eastAsia="Times New Roman" w:hAnsi="Times New Roman" w:cs="Times New Roman"/>
          <w:sz w:val="24"/>
          <w:szCs w:val="24"/>
          <w:lang w:val="en-US"/>
        </w:rPr>
        <w:t>Daraz</w:t>
      </w:r>
      <w:proofErr w:type="spellEnd"/>
      <w:r w:rsidRPr="00AA3740">
        <w:rPr>
          <w:rFonts w:ascii="Times New Roman" w:eastAsia="Times New Roman" w:hAnsi="Times New Roman" w:cs="Times New Roman"/>
          <w:sz w:val="24"/>
          <w:szCs w:val="24"/>
          <w:lang w:val="en-US"/>
        </w:rPr>
        <w:t xml:space="preserve">, L., Kirkham, F. J., &amp; Murad, M. H. (2020). American Society of Hematology 2020 guidelines for sickle cell disease: Prevention, diagnosis, and treatment of cerebrovascular disease in children and adults. </w:t>
      </w:r>
      <w:r w:rsidRPr="00AA3740">
        <w:rPr>
          <w:rFonts w:ascii="Times New Roman" w:eastAsia="Times New Roman" w:hAnsi="Times New Roman" w:cs="Times New Roman"/>
          <w:i/>
          <w:iCs/>
          <w:sz w:val="24"/>
          <w:szCs w:val="24"/>
          <w:lang w:val="en-US"/>
        </w:rPr>
        <w:t>Blood Advances, 4</w:t>
      </w:r>
      <w:r w:rsidRPr="00AA3740">
        <w:rPr>
          <w:rFonts w:ascii="Times New Roman" w:eastAsia="Times New Roman" w:hAnsi="Times New Roman" w:cs="Times New Roman"/>
          <w:sz w:val="24"/>
          <w:szCs w:val="24"/>
          <w:lang w:val="en-US"/>
        </w:rPr>
        <w:t xml:space="preserve">(8), 1554–1588. </w:t>
      </w:r>
      <w:hyperlink r:id="rId17" w:tgtFrame="_new" w:history="1">
        <w:r w:rsidRPr="00AA3740">
          <w:rPr>
            <w:rFonts w:ascii="Times New Roman" w:eastAsia="Times New Roman" w:hAnsi="Times New Roman" w:cs="Times New Roman"/>
            <w:color w:val="0000FF"/>
            <w:sz w:val="24"/>
            <w:szCs w:val="24"/>
            <w:u w:val="single"/>
            <w:lang w:val="en-US"/>
          </w:rPr>
          <w:t>https://doi.org/10.1182/bloodadvances.2019001142</w:t>
        </w:r>
      </w:hyperlink>
    </w:p>
    <w:p w14:paraId="28D626AA"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Eapen, M., Brazauskas, R., Walters, M. C., Bernaudin, F., Bo-</w:t>
      </w:r>
      <w:proofErr w:type="spellStart"/>
      <w:r w:rsidRPr="00AA3740">
        <w:rPr>
          <w:rFonts w:ascii="Times New Roman" w:eastAsia="Times New Roman" w:hAnsi="Times New Roman" w:cs="Times New Roman"/>
          <w:sz w:val="24"/>
          <w:szCs w:val="24"/>
          <w:lang w:val="en-US"/>
        </w:rPr>
        <w:t>Subait</w:t>
      </w:r>
      <w:proofErr w:type="spellEnd"/>
      <w:r w:rsidRPr="00AA3740">
        <w:rPr>
          <w:rFonts w:ascii="Times New Roman" w:eastAsia="Times New Roman" w:hAnsi="Times New Roman" w:cs="Times New Roman"/>
          <w:sz w:val="24"/>
          <w:szCs w:val="24"/>
          <w:lang w:val="en-US"/>
        </w:rPr>
        <w:t xml:space="preserve">, K., Fitzhugh, C. D., Hankins, J. S., Kanter, J., </w:t>
      </w:r>
      <w:proofErr w:type="spellStart"/>
      <w:r w:rsidRPr="00AA3740">
        <w:rPr>
          <w:rFonts w:ascii="Times New Roman" w:eastAsia="Times New Roman" w:hAnsi="Times New Roman" w:cs="Times New Roman"/>
          <w:sz w:val="24"/>
          <w:szCs w:val="24"/>
          <w:lang w:val="en-US"/>
        </w:rPr>
        <w:t>Meerpohl</w:t>
      </w:r>
      <w:proofErr w:type="spellEnd"/>
      <w:r w:rsidRPr="00AA3740">
        <w:rPr>
          <w:rFonts w:ascii="Times New Roman" w:eastAsia="Times New Roman" w:hAnsi="Times New Roman" w:cs="Times New Roman"/>
          <w:sz w:val="24"/>
          <w:szCs w:val="24"/>
          <w:lang w:val="en-US"/>
        </w:rPr>
        <w:t xml:space="preserve">, J. J., Bolaños-Meade, J., Panepinto, J. A., Rondelli, D., Shenoy, S., Williamson, J., Woolford, T. L., Gluckman, E., Wagner, J. E., &amp; </w:t>
      </w:r>
      <w:r w:rsidRPr="00AA3740">
        <w:rPr>
          <w:rFonts w:ascii="Times New Roman" w:eastAsia="Times New Roman" w:hAnsi="Times New Roman" w:cs="Times New Roman"/>
          <w:sz w:val="24"/>
          <w:szCs w:val="24"/>
          <w:lang w:val="en-US"/>
        </w:rPr>
        <w:lastRenderedPageBreak/>
        <w:t xml:space="preserve">Tisdale, J. F. (2019). Effect of donor type and conditioning regimen intensity on allogeneic transplantation outcomes in patients with sickle cell disease: A retrospective </w:t>
      </w:r>
      <w:proofErr w:type="spellStart"/>
      <w:r w:rsidRPr="00AA3740">
        <w:rPr>
          <w:rFonts w:ascii="Times New Roman" w:eastAsia="Times New Roman" w:hAnsi="Times New Roman" w:cs="Times New Roman"/>
          <w:sz w:val="24"/>
          <w:szCs w:val="24"/>
          <w:lang w:val="en-US"/>
        </w:rPr>
        <w:t>multicentre</w:t>
      </w:r>
      <w:proofErr w:type="spellEnd"/>
      <w:r w:rsidRPr="00AA3740">
        <w:rPr>
          <w:rFonts w:ascii="Times New Roman" w:eastAsia="Times New Roman" w:hAnsi="Times New Roman" w:cs="Times New Roman"/>
          <w:sz w:val="24"/>
          <w:szCs w:val="24"/>
          <w:lang w:val="en-US"/>
        </w:rPr>
        <w:t xml:space="preserve">, cohort study. </w:t>
      </w:r>
      <w:r w:rsidRPr="00AA3740">
        <w:rPr>
          <w:rFonts w:ascii="Times New Roman" w:eastAsia="Times New Roman" w:hAnsi="Times New Roman" w:cs="Times New Roman"/>
          <w:i/>
          <w:iCs/>
          <w:sz w:val="24"/>
          <w:szCs w:val="24"/>
          <w:lang w:val="en-US"/>
        </w:rPr>
        <w:t xml:space="preserve">The Lancet </w:t>
      </w:r>
      <w:proofErr w:type="spellStart"/>
      <w:r w:rsidRPr="00AA3740">
        <w:rPr>
          <w:rFonts w:ascii="Times New Roman" w:eastAsia="Times New Roman" w:hAnsi="Times New Roman" w:cs="Times New Roman"/>
          <w:i/>
          <w:iCs/>
          <w:sz w:val="24"/>
          <w:szCs w:val="24"/>
          <w:lang w:val="en-US"/>
        </w:rPr>
        <w:t>Haematology</w:t>
      </w:r>
      <w:proofErr w:type="spellEnd"/>
      <w:r w:rsidRPr="00AA3740">
        <w:rPr>
          <w:rFonts w:ascii="Times New Roman" w:eastAsia="Times New Roman" w:hAnsi="Times New Roman" w:cs="Times New Roman"/>
          <w:i/>
          <w:iCs/>
          <w:sz w:val="24"/>
          <w:szCs w:val="24"/>
          <w:lang w:val="en-US"/>
        </w:rPr>
        <w:t>, 6</w:t>
      </w:r>
      <w:r w:rsidRPr="00AA3740">
        <w:rPr>
          <w:rFonts w:ascii="Times New Roman" w:eastAsia="Times New Roman" w:hAnsi="Times New Roman" w:cs="Times New Roman"/>
          <w:sz w:val="24"/>
          <w:szCs w:val="24"/>
          <w:lang w:val="en-US"/>
        </w:rPr>
        <w:t xml:space="preserve">(11), e585–e596. </w:t>
      </w:r>
      <w:hyperlink r:id="rId18" w:tgtFrame="_new" w:history="1">
        <w:r w:rsidRPr="00AA3740">
          <w:rPr>
            <w:rFonts w:ascii="Times New Roman" w:eastAsia="Times New Roman" w:hAnsi="Times New Roman" w:cs="Times New Roman"/>
            <w:color w:val="0000FF"/>
            <w:sz w:val="24"/>
            <w:szCs w:val="24"/>
            <w:u w:val="single"/>
            <w:lang w:val="en-US"/>
          </w:rPr>
          <w:t>https://doi.org/10.1016/S2352-3026(19)30154-1</w:t>
        </w:r>
      </w:hyperlink>
    </w:p>
    <w:p w14:paraId="3A96050D"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Esrick, E. B., Lehmann, L. E., Biffi, A., Achebe, M., Brendel, C., </w:t>
      </w:r>
      <w:proofErr w:type="spellStart"/>
      <w:r w:rsidRPr="00AA3740">
        <w:rPr>
          <w:rFonts w:ascii="Times New Roman" w:eastAsia="Times New Roman" w:hAnsi="Times New Roman" w:cs="Times New Roman"/>
          <w:sz w:val="24"/>
          <w:szCs w:val="24"/>
          <w:lang w:val="en-US"/>
        </w:rPr>
        <w:t>Ciuculescu</w:t>
      </w:r>
      <w:proofErr w:type="spellEnd"/>
      <w:r w:rsidRPr="00AA3740">
        <w:rPr>
          <w:rFonts w:ascii="Times New Roman" w:eastAsia="Times New Roman" w:hAnsi="Times New Roman" w:cs="Times New Roman"/>
          <w:sz w:val="24"/>
          <w:szCs w:val="24"/>
          <w:lang w:val="en-US"/>
        </w:rPr>
        <w:t xml:space="preserve">, M. F., Daley, H., MacKinnon, B., Morris, E., Federico, A., </w:t>
      </w:r>
      <w:proofErr w:type="spellStart"/>
      <w:r w:rsidRPr="00AA3740">
        <w:rPr>
          <w:rFonts w:ascii="Times New Roman" w:eastAsia="Times New Roman" w:hAnsi="Times New Roman" w:cs="Times New Roman"/>
          <w:sz w:val="24"/>
          <w:szCs w:val="24"/>
          <w:lang w:val="en-US"/>
        </w:rPr>
        <w:t>Abriss</w:t>
      </w:r>
      <w:proofErr w:type="spellEnd"/>
      <w:r w:rsidRPr="00AA3740">
        <w:rPr>
          <w:rFonts w:ascii="Times New Roman" w:eastAsia="Times New Roman" w:hAnsi="Times New Roman" w:cs="Times New Roman"/>
          <w:sz w:val="24"/>
          <w:szCs w:val="24"/>
          <w:lang w:val="en-US"/>
        </w:rPr>
        <w:t xml:space="preserve">, D., Boardman, K., </w:t>
      </w:r>
      <w:proofErr w:type="spellStart"/>
      <w:r w:rsidRPr="00AA3740">
        <w:rPr>
          <w:rFonts w:ascii="Times New Roman" w:eastAsia="Times New Roman" w:hAnsi="Times New Roman" w:cs="Times New Roman"/>
          <w:sz w:val="24"/>
          <w:szCs w:val="24"/>
          <w:lang w:val="en-US"/>
        </w:rPr>
        <w:t>Khelladi</w:t>
      </w:r>
      <w:proofErr w:type="spellEnd"/>
      <w:r w:rsidRPr="00AA3740">
        <w:rPr>
          <w:rFonts w:ascii="Times New Roman" w:eastAsia="Times New Roman" w:hAnsi="Times New Roman" w:cs="Times New Roman"/>
          <w:sz w:val="24"/>
          <w:szCs w:val="24"/>
          <w:lang w:val="en-US"/>
        </w:rPr>
        <w:t xml:space="preserve">, R., Shaw, K., Negre, H., Negre, O., </w:t>
      </w:r>
      <w:proofErr w:type="spellStart"/>
      <w:r w:rsidRPr="00AA3740">
        <w:rPr>
          <w:rFonts w:ascii="Times New Roman" w:eastAsia="Times New Roman" w:hAnsi="Times New Roman" w:cs="Times New Roman"/>
          <w:sz w:val="24"/>
          <w:szCs w:val="24"/>
          <w:lang w:val="en-US"/>
        </w:rPr>
        <w:t>Nikiforow</w:t>
      </w:r>
      <w:proofErr w:type="spellEnd"/>
      <w:r w:rsidRPr="00AA3740">
        <w:rPr>
          <w:rFonts w:ascii="Times New Roman" w:eastAsia="Times New Roman" w:hAnsi="Times New Roman" w:cs="Times New Roman"/>
          <w:sz w:val="24"/>
          <w:szCs w:val="24"/>
          <w:lang w:val="en-US"/>
        </w:rPr>
        <w:t xml:space="preserve">, S., Ritz, J., Pai, S.-Y., … Williams, D. A. (2021). Post-transcriptional genetic silencing of BCL11A to treat sickle cell disease. </w:t>
      </w:r>
      <w:r w:rsidRPr="00AA3740">
        <w:rPr>
          <w:rFonts w:ascii="Times New Roman" w:eastAsia="Times New Roman" w:hAnsi="Times New Roman" w:cs="Times New Roman"/>
          <w:i/>
          <w:iCs/>
          <w:sz w:val="24"/>
          <w:szCs w:val="24"/>
          <w:lang w:val="en-US"/>
        </w:rPr>
        <w:t>New England Journal of Medicine, 384</w:t>
      </w:r>
      <w:r w:rsidRPr="00AA3740">
        <w:rPr>
          <w:rFonts w:ascii="Times New Roman" w:eastAsia="Times New Roman" w:hAnsi="Times New Roman" w:cs="Times New Roman"/>
          <w:sz w:val="24"/>
          <w:szCs w:val="24"/>
          <w:lang w:val="en-US"/>
        </w:rPr>
        <w:t xml:space="preserve">(3), 205–215. </w:t>
      </w:r>
      <w:hyperlink r:id="rId19" w:tgtFrame="_new" w:history="1">
        <w:r w:rsidRPr="00AA3740">
          <w:rPr>
            <w:rFonts w:ascii="Times New Roman" w:eastAsia="Times New Roman" w:hAnsi="Times New Roman" w:cs="Times New Roman"/>
            <w:color w:val="0000FF"/>
            <w:sz w:val="24"/>
            <w:szCs w:val="24"/>
            <w:u w:val="single"/>
            <w:lang w:val="en-US"/>
          </w:rPr>
          <w:t>https://doi.org/10.1056/NEJMoa2029392</w:t>
        </w:r>
      </w:hyperlink>
    </w:p>
    <w:p w14:paraId="284C8D87"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AA3740">
        <w:rPr>
          <w:rFonts w:ascii="Times New Roman" w:eastAsia="Times New Roman" w:hAnsi="Times New Roman" w:cs="Times New Roman"/>
          <w:sz w:val="24"/>
          <w:szCs w:val="24"/>
          <w:lang w:val="en-US"/>
        </w:rPr>
        <w:t>Frangoul</w:t>
      </w:r>
      <w:proofErr w:type="spellEnd"/>
      <w:r w:rsidRPr="00AA3740">
        <w:rPr>
          <w:rFonts w:ascii="Times New Roman" w:eastAsia="Times New Roman" w:hAnsi="Times New Roman" w:cs="Times New Roman"/>
          <w:sz w:val="24"/>
          <w:szCs w:val="24"/>
          <w:lang w:val="en-US"/>
        </w:rPr>
        <w:t xml:space="preserve">, H., Altshuler, D., Cappellini, M. D., Chen, Y.-S., Domm, J., Eustace, B. K., Foell, J., de la Fuente, J., Grupp, S., Handgretinger, R., Ho, T. W., </w:t>
      </w:r>
      <w:proofErr w:type="spellStart"/>
      <w:r w:rsidRPr="00AA3740">
        <w:rPr>
          <w:rFonts w:ascii="Times New Roman" w:eastAsia="Times New Roman" w:hAnsi="Times New Roman" w:cs="Times New Roman"/>
          <w:sz w:val="24"/>
          <w:szCs w:val="24"/>
          <w:lang w:val="en-US"/>
        </w:rPr>
        <w:t>Kattamis</w:t>
      </w:r>
      <w:proofErr w:type="spellEnd"/>
      <w:r w:rsidRPr="00AA3740">
        <w:rPr>
          <w:rFonts w:ascii="Times New Roman" w:eastAsia="Times New Roman" w:hAnsi="Times New Roman" w:cs="Times New Roman"/>
          <w:sz w:val="24"/>
          <w:szCs w:val="24"/>
          <w:lang w:val="en-US"/>
        </w:rPr>
        <w:t xml:space="preserve">, A., Kernytsky, A., </w:t>
      </w:r>
      <w:proofErr w:type="spellStart"/>
      <w:r w:rsidRPr="00AA3740">
        <w:rPr>
          <w:rFonts w:ascii="Times New Roman" w:eastAsia="Times New Roman" w:hAnsi="Times New Roman" w:cs="Times New Roman"/>
          <w:sz w:val="24"/>
          <w:szCs w:val="24"/>
          <w:lang w:val="en-US"/>
        </w:rPr>
        <w:t>Lekstrom</w:t>
      </w:r>
      <w:proofErr w:type="spellEnd"/>
      <w:r w:rsidRPr="00AA3740">
        <w:rPr>
          <w:rFonts w:ascii="Times New Roman" w:eastAsia="Times New Roman" w:hAnsi="Times New Roman" w:cs="Times New Roman"/>
          <w:sz w:val="24"/>
          <w:szCs w:val="24"/>
          <w:lang w:val="en-US"/>
        </w:rPr>
        <w:t xml:space="preserve">-Himes, J., Li, A. M., Locatelli, F., Mapara, M. Y., de Montalembert, M., Rondelli, D., … </w:t>
      </w:r>
      <w:proofErr w:type="spellStart"/>
      <w:r w:rsidRPr="00AA3740">
        <w:rPr>
          <w:rFonts w:ascii="Times New Roman" w:eastAsia="Times New Roman" w:hAnsi="Times New Roman" w:cs="Times New Roman"/>
          <w:sz w:val="24"/>
          <w:szCs w:val="24"/>
          <w:lang w:val="en-US"/>
        </w:rPr>
        <w:t>Corbacioglu</w:t>
      </w:r>
      <w:proofErr w:type="spellEnd"/>
      <w:r w:rsidRPr="00AA3740">
        <w:rPr>
          <w:rFonts w:ascii="Times New Roman" w:eastAsia="Times New Roman" w:hAnsi="Times New Roman" w:cs="Times New Roman"/>
          <w:sz w:val="24"/>
          <w:szCs w:val="24"/>
          <w:lang w:val="en-US"/>
        </w:rPr>
        <w:t xml:space="preserve">, S. (2021). CRISPR-Cas9 gene editing for sickle cell disease and β-thalassemia. </w:t>
      </w:r>
      <w:r w:rsidRPr="00AA3740">
        <w:rPr>
          <w:rFonts w:ascii="Times New Roman" w:eastAsia="Times New Roman" w:hAnsi="Times New Roman" w:cs="Times New Roman"/>
          <w:i/>
          <w:iCs/>
          <w:sz w:val="24"/>
          <w:szCs w:val="24"/>
          <w:lang w:val="en-US"/>
        </w:rPr>
        <w:t>New England Journal of Medicine, 384</w:t>
      </w:r>
      <w:r w:rsidRPr="00AA3740">
        <w:rPr>
          <w:rFonts w:ascii="Times New Roman" w:eastAsia="Times New Roman" w:hAnsi="Times New Roman" w:cs="Times New Roman"/>
          <w:sz w:val="24"/>
          <w:szCs w:val="24"/>
          <w:lang w:val="en-US"/>
        </w:rPr>
        <w:t xml:space="preserve">(3), 252–260. </w:t>
      </w:r>
      <w:hyperlink r:id="rId20" w:tgtFrame="_new" w:history="1">
        <w:r w:rsidRPr="00AA3740">
          <w:rPr>
            <w:rFonts w:ascii="Times New Roman" w:eastAsia="Times New Roman" w:hAnsi="Times New Roman" w:cs="Times New Roman"/>
            <w:color w:val="0000FF"/>
            <w:sz w:val="24"/>
            <w:szCs w:val="24"/>
            <w:u w:val="single"/>
            <w:lang w:val="en-US"/>
          </w:rPr>
          <w:t>https://doi.org/10.1056/NEJMoa2031054</w:t>
        </w:r>
      </w:hyperlink>
    </w:p>
    <w:p w14:paraId="1BDE4AAA"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AA3740">
        <w:rPr>
          <w:rFonts w:ascii="Times New Roman" w:eastAsia="Times New Roman" w:hAnsi="Times New Roman" w:cs="Times New Roman"/>
          <w:sz w:val="24"/>
          <w:szCs w:val="24"/>
          <w:lang w:val="en-US"/>
        </w:rPr>
        <w:t>Frangoul</w:t>
      </w:r>
      <w:proofErr w:type="spellEnd"/>
      <w:r w:rsidRPr="00AA3740">
        <w:rPr>
          <w:rFonts w:ascii="Times New Roman" w:eastAsia="Times New Roman" w:hAnsi="Times New Roman" w:cs="Times New Roman"/>
          <w:sz w:val="24"/>
          <w:szCs w:val="24"/>
          <w:lang w:val="en-US"/>
        </w:rPr>
        <w:t xml:space="preserve">, H., Locatelli, F., Sharma, A., Bhatia, M., Mapara, M., Molinari, L., Wall, D., Liem, R. I., Telfer, P., Shah, A. J., </w:t>
      </w:r>
      <w:proofErr w:type="spellStart"/>
      <w:r w:rsidRPr="00AA3740">
        <w:rPr>
          <w:rFonts w:ascii="Times New Roman" w:eastAsia="Times New Roman" w:hAnsi="Times New Roman" w:cs="Times New Roman"/>
          <w:sz w:val="24"/>
          <w:szCs w:val="24"/>
          <w:lang w:val="en-US"/>
        </w:rPr>
        <w:t>Cavazzana</w:t>
      </w:r>
      <w:proofErr w:type="spellEnd"/>
      <w:r w:rsidRPr="00AA3740">
        <w:rPr>
          <w:rFonts w:ascii="Times New Roman" w:eastAsia="Times New Roman" w:hAnsi="Times New Roman" w:cs="Times New Roman"/>
          <w:sz w:val="24"/>
          <w:szCs w:val="24"/>
          <w:lang w:val="en-US"/>
        </w:rPr>
        <w:t xml:space="preserve">, M., </w:t>
      </w:r>
      <w:proofErr w:type="spellStart"/>
      <w:r w:rsidRPr="00AA3740">
        <w:rPr>
          <w:rFonts w:ascii="Times New Roman" w:eastAsia="Times New Roman" w:hAnsi="Times New Roman" w:cs="Times New Roman"/>
          <w:sz w:val="24"/>
          <w:szCs w:val="24"/>
          <w:lang w:val="en-US"/>
        </w:rPr>
        <w:t>Corbacioglu</w:t>
      </w:r>
      <w:proofErr w:type="spellEnd"/>
      <w:r w:rsidRPr="00AA3740">
        <w:rPr>
          <w:rFonts w:ascii="Times New Roman" w:eastAsia="Times New Roman" w:hAnsi="Times New Roman" w:cs="Times New Roman"/>
          <w:sz w:val="24"/>
          <w:szCs w:val="24"/>
          <w:lang w:val="en-US"/>
        </w:rPr>
        <w:t xml:space="preserve">, S., Rondelli, D., Meisel, R., </w:t>
      </w:r>
      <w:proofErr w:type="spellStart"/>
      <w:r w:rsidRPr="00AA3740">
        <w:rPr>
          <w:rFonts w:ascii="Times New Roman" w:eastAsia="Times New Roman" w:hAnsi="Times New Roman" w:cs="Times New Roman"/>
          <w:sz w:val="24"/>
          <w:szCs w:val="24"/>
          <w:lang w:val="en-US"/>
        </w:rPr>
        <w:t>Dedeken</w:t>
      </w:r>
      <w:proofErr w:type="spellEnd"/>
      <w:r w:rsidRPr="00AA3740">
        <w:rPr>
          <w:rFonts w:ascii="Times New Roman" w:eastAsia="Times New Roman" w:hAnsi="Times New Roman" w:cs="Times New Roman"/>
          <w:sz w:val="24"/>
          <w:szCs w:val="24"/>
          <w:lang w:val="en-US"/>
        </w:rPr>
        <w:t xml:space="preserve">, L., Lobitz, S., de Montalembert, M., Steinberg, M. H., Walters, M. C., … Grupp, S. A. (2024). </w:t>
      </w:r>
      <w:proofErr w:type="spellStart"/>
      <w:r w:rsidRPr="00AA3740">
        <w:rPr>
          <w:rFonts w:ascii="Times New Roman" w:eastAsia="Times New Roman" w:hAnsi="Times New Roman" w:cs="Times New Roman"/>
          <w:sz w:val="24"/>
          <w:szCs w:val="24"/>
          <w:lang w:val="en-US"/>
        </w:rPr>
        <w:t>Exagamglogene</w:t>
      </w:r>
      <w:proofErr w:type="spellEnd"/>
      <w:r w:rsidRPr="00AA3740">
        <w:rPr>
          <w:rFonts w:ascii="Times New Roman" w:eastAsia="Times New Roman" w:hAnsi="Times New Roman" w:cs="Times New Roman"/>
          <w:sz w:val="24"/>
          <w:szCs w:val="24"/>
          <w:lang w:val="en-US"/>
        </w:rPr>
        <w:t xml:space="preserve"> autotemcel for severe sickle cell disease. </w:t>
      </w:r>
      <w:r w:rsidRPr="00AA3740">
        <w:rPr>
          <w:rFonts w:ascii="Times New Roman" w:eastAsia="Times New Roman" w:hAnsi="Times New Roman" w:cs="Times New Roman"/>
          <w:i/>
          <w:iCs/>
          <w:sz w:val="24"/>
          <w:szCs w:val="24"/>
          <w:lang w:val="en-US"/>
        </w:rPr>
        <w:t>New England Journal of Medicine, 390</w:t>
      </w:r>
      <w:r w:rsidRPr="00AA3740">
        <w:rPr>
          <w:rFonts w:ascii="Times New Roman" w:eastAsia="Times New Roman" w:hAnsi="Times New Roman" w:cs="Times New Roman"/>
          <w:sz w:val="24"/>
          <w:szCs w:val="24"/>
          <w:lang w:val="en-US"/>
        </w:rPr>
        <w:t xml:space="preserve">(18), 1649–1662. </w:t>
      </w:r>
      <w:hyperlink r:id="rId21" w:tgtFrame="_new" w:history="1">
        <w:r w:rsidRPr="00AA3740">
          <w:rPr>
            <w:rFonts w:ascii="Times New Roman" w:eastAsia="Times New Roman" w:hAnsi="Times New Roman" w:cs="Times New Roman"/>
            <w:color w:val="0000FF"/>
            <w:sz w:val="24"/>
            <w:szCs w:val="24"/>
            <w:u w:val="single"/>
            <w:lang w:val="en-US"/>
          </w:rPr>
          <w:t>https://doi.org/10.1056/NEJMoa2309676</w:t>
        </w:r>
      </w:hyperlink>
    </w:p>
    <w:p w14:paraId="39E30E56"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Gladwin, M. T., &amp; Sachdev, V. (2012). Cardiovascular abnormalities in sickle cell disease. </w:t>
      </w:r>
      <w:r w:rsidRPr="00AA3740">
        <w:rPr>
          <w:rFonts w:ascii="Times New Roman" w:eastAsia="Times New Roman" w:hAnsi="Times New Roman" w:cs="Times New Roman"/>
          <w:i/>
          <w:iCs/>
          <w:sz w:val="24"/>
          <w:szCs w:val="24"/>
          <w:lang w:val="en-US"/>
        </w:rPr>
        <w:t>Journal of the American College of Cardiology, 59</w:t>
      </w:r>
      <w:r w:rsidRPr="00AA3740">
        <w:rPr>
          <w:rFonts w:ascii="Times New Roman" w:eastAsia="Times New Roman" w:hAnsi="Times New Roman" w:cs="Times New Roman"/>
          <w:sz w:val="24"/>
          <w:szCs w:val="24"/>
          <w:lang w:val="en-US"/>
        </w:rPr>
        <w:t xml:space="preserve">(13), 1123–1133. </w:t>
      </w:r>
      <w:hyperlink r:id="rId22" w:tgtFrame="_new" w:history="1">
        <w:r w:rsidRPr="00AA3740">
          <w:rPr>
            <w:rFonts w:ascii="Times New Roman" w:eastAsia="Times New Roman" w:hAnsi="Times New Roman" w:cs="Times New Roman"/>
            <w:color w:val="0000FF"/>
            <w:sz w:val="24"/>
            <w:szCs w:val="24"/>
            <w:u w:val="single"/>
            <w:lang w:val="en-US"/>
          </w:rPr>
          <w:t>https://doi.org/10.1016/j.jacc.2011.10.900</w:t>
        </w:r>
      </w:hyperlink>
    </w:p>
    <w:p w14:paraId="56A9C405"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Greenhalgh, T., Thorne, S., &amp; </w:t>
      </w:r>
      <w:proofErr w:type="spellStart"/>
      <w:r w:rsidRPr="00AA3740">
        <w:rPr>
          <w:rFonts w:ascii="Times New Roman" w:eastAsia="Times New Roman" w:hAnsi="Times New Roman" w:cs="Times New Roman"/>
          <w:sz w:val="24"/>
          <w:szCs w:val="24"/>
          <w:lang w:val="en-US"/>
        </w:rPr>
        <w:t>Malterud</w:t>
      </w:r>
      <w:proofErr w:type="spellEnd"/>
      <w:r w:rsidRPr="00AA3740">
        <w:rPr>
          <w:rFonts w:ascii="Times New Roman" w:eastAsia="Times New Roman" w:hAnsi="Times New Roman" w:cs="Times New Roman"/>
          <w:sz w:val="24"/>
          <w:szCs w:val="24"/>
          <w:lang w:val="en-US"/>
        </w:rPr>
        <w:t xml:space="preserve">, K. (2018). Time to challenge the spurious hierarchy of systematic over narrative reviews? </w:t>
      </w:r>
      <w:r w:rsidRPr="00AA3740">
        <w:rPr>
          <w:rFonts w:ascii="Times New Roman" w:eastAsia="Times New Roman" w:hAnsi="Times New Roman" w:cs="Times New Roman"/>
          <w:i/>
          <w:iCs/>
          <w:sz w:val="24"/>
          <w:szCs w:val="24"/>
          <w:lang w:val="en-US"/>
        </w:rPr>
        <w:t>European Journal of Clinical Investigation, 48</w:t>
      </w:r>
      <w:r w:rsidRPr="00AA3740">
        <w:rPr>
          <w:rFonts w:ascii="Times New Roman" w:eastAsia="Times New Roman" w:hAnsi="Times New Roman" w:cs="Times New Roman"/>
          <w:sz w:val="24"/>
          <w:szCs w:val="24"/>
          <w:lang w:val="en-US"/>
        </w:rPr>
        <w:t xml:space="preserve">(6), Article e12931. </w:t>
      </w:r>
      <w:hyperlink r:id="rId23" w:tgtFrame="_new" w:history="1">
        <w:r w:rsidRPr="00AA3740">
          <w:rPr>
            <w:rFonts w:ascii="Times New Roman" w:eastAsia="Times New Roman" w:hAnsi="Times New Roman" w:cs="Times New Roman"/>
            <w:color w:val="0000FF"/>
            <w:sz w:val="24"/>
            <w:szCs w:val="24"/>
            <w:u w:val="single"/>
            <w:lang w:val="en-US"/>
          </w:rPr>
          <w:t>https://doi.org/10.1111/eci.12931</w:t>
        </w:r>
      </w:hyperlink>
    </w:p>
    <w:p w14:paraId="49D1D84C"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Grosse, S. D., Odame, I., Atrash, H. K., </w:t>
      </w:r>
      <w:proofErr w:type="spellStart"/>
      <w:r w:rsidRPr="00AA3740">
        <w:rPr>
          <w:rFonts w:ascii="Times New Roman" w:eastAsia="Times New Roman" w:hAnsi="Times New Roman" w:cs="Times New Roman"/>
          <w:sz w:val="24"/>
          <w:szCs w:val="24"/>
          <w:lang w:val="en-US"/>
        </w:rPr>
        <w:t>Amendah</w:t>
      </w:r>
      <w:proofErr w:type="spellEnd"/>
      <w:r w:rsidRPr="00AA3740">
        <w:rPr>
          <w:rFonts w:ascii="Times New Roman" w:eastAsia="Times New Roman" w:hAnsi="Times New Roman" w:cs="Times New Roman"/>
          <w:sz w:val="24"/>
          <w:szCs w:val="24"/>
          <w:lang w:val="en-US"/>
        </w:rPr>
        <w:t xml:space="preserve">, D. D., Piel, F. B., &amp; Williams, T. N. (2011). Sickle cell disease in Africa: A neglected cause of early childhood mortality. </w:t>
      </w:r>
      <w:r w:rsidRPr="00AA3740">
        <w:rPr>
          <w:rFonts w:ascii="Times New Roman" w:eastAsia="Times New Roman" w:hAnsi="Times New Roman" w:cs="Times New Roman"/>
          <w:i/>
          <w:iCs/>
          <w:sz w:val="24"/>
          <w:szCs w:val="24"/>
          <w:lang w:val="en-US"/>
        </w:rPr>
        <w:t>American Journal of Preventive Medicine, 41</w:t>
      </w:r>
      <w:r w:rsidRPr="00AA3740">
        <w:rPr>
          <w:rFonts w:ascii="Times New Roman" w:eastAsia="Times New Roman" w:hAnsi="Times New Roman" w:cs="Times New Roman"/>
          <w:sz w:val="24"/>
          <w:szCs w:val="24"/>
          <w:lang w:val="en-US"/>
        </w:rPr>
        <w:t xml:space="preserve">(6 Suppl. 4), S398–S405. </w:t>
      </w:r>
      <w:hyperlink r:id="rId24" w:tgtFrame="_new" w:history="1">
        <w:r w:rsidRPr="00AA3740">
          <w:rPr>
            <w:rFonts w:ascii="Times New Roman" w:eastAsia="Times New Roman" w:hAnsi="Times New Roman" w:cs="Times New Roman"/>
            <w:color w:val="0000FF"/>
            <w:sz w:val="24"/>
            <w:szCs w:val="24"/>
            <w:u w:val="single"/>
            <w:lang w:val="en-US"/>
          </w:rPr>
          <w:t>https://doi.org/10.1016/j.amepre.2011.09.013</w:t>
        </w:r>
      </w:hyperlink>
    </w:p>
    <w:p w14:paraId="1263A558"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Haywood, C., Jr., </w:t>
      </w:r>
      <w:proofErr w:type="spellStart"/>
      <w:r w:rsidRPr="00AA3740">
        <w:rPr>
          <w:rFonts w:ascii="Times New Roman" w:eastAsia="Times New Roman" w:hAnsi="Times New Roman" w:cs="Times New Roman"/>
          <w:sz w:val="24"/>
          <w:szCs w:val="24"/>
          <w:lang w:val="en-US"/>
        </w:rPr>
        <w:t>Lanzkron</w:t>
      </w:r>
      <w:proofErr w:type="spellEnd"/>
      <w:r w:rsidRPr="00AA3740">
        <w:rPr>
          <w:rFonts w:ascii="Times New Roman" w:eastAsia="Times New Roman" w:hAnsi="Times New Roman" w:cs="Times New Roman"/>
          <w:sz w:val="24"/>
          <w:szCs w:val="24"/>
          <w:lang w:val="en-US"/>
        </w:rPr>
        <w:t xml:space="preserve">, S., Bediako, S., Strouse, J. J., Haythornthwaite, J., Carroll, C. P., Diener-West, M., </w:t>
      </w:r>
      <w:proofErr w:type="spellStart"/>
      <w:r w:rsidRPr="00AA3740">
        <w:rPr>
          <w:rFonts w:ascii="Times New Roman" w:eastAsia="Times New Roman" w:hAnsi="Times New Roman" w:cs="Times New Roman"/>
          <w:sz w:val="24"/>
          <w:szCs w:val="24"/>
          <w:lang w:val="en-US"/>
        </w:rPr>
        <w:t>Onojobi</w:t>
      </w:r>
      <w:proofErr w:type="spellEnd"/>
      <w:r w:rsidRPr="00AA3740">
        <w:rPr>
          <w:rFonts w:ascii="Times New Roman" w:eastAsia="Times New Roman" w:hAnsi="Times New Roman" w:cs="Times New Roman"/>
          <w:sz w:val="24"/>
          <w:szCs w:val="24"/>
          <w:lang w:val="en-US"/>
        </w:rPr>
        <w:t xml:space="preserve">, G., Beach, M. C., &amp; IMPORT Investigators. (2014). Perceived discrimination, patient trust, and adherence to medical recommendations among persons with sickle cell disease. </w:t>
      </w:r>
      <w:r w:rsidRPr="00AA3740">
        <w:rPr>
          <w:rFonts w:ascii="Times New Roman" w:eastAsia="Times New Roman" w:hAnsi="Times New Roman" w:cs="Times New Roman"/>
          <w:i/>
          <w:iCs/>
          <w:sz w:val="24"/>
          <w:szCs w:val="24"/>
          <w:lang w:val="en-US"/>
        </w:rPr>
        <w:t>Journal of General Internal Medicine, 29</w:t>
      </w:r>
      <w:r w:rsidRPr="00AA3740">
        <w:rPr>
          <w:rFonts w:ascii="Times New Roman" w:eastAsia="Times New Roman" w:hAnsi="Times New Roman" w:cs="Times New Roman"/>
          <w:sz w:val="24"/>
          <w:szCs w:val="24"/>
          <w:lang w:val="en-US"/>
        </w:rPr>
        <w:t xml:space="preserve">(12), 1657–1662. </w:t>
      </w:r>
      <w:hyperlink r:id="rId25" w:tgtFrame="_new" w:history="1">
        <w:r w:rsidRPr="00AA3740">
          <w:rPr>
            <w:rFonts w:ascii="Times New Roman" w:eastAsia="Times New Roman" w:hAnsi="Times New Roman" w:cs="Times New Roman"/>
            <w:color w:val="0000FF"/>
            <w:sz w:val="24"/>
            <w:szCs w:val="24"/>
            <w:u w:val="single"/>
            <w:lang w:val="en-US"/>
          </w:rPr>
          <w:t>https://doi.org/10.1007/s11606-014-2986-7</w:t>
        </w:r>
      </w:hyperlink>
    </w:p>
    <w:p w14:paraId="13CACA42"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Howard, J., </w:t>
      </w:r>
      <w:proofErr w:type="spellStart"/>
      <w:r w:rsidRPr="00AA3740">
        <w:rPr>
          <w:rFonts w:ascii="Times New Roman" w:eastAsia="Times New Roman" w:hAnsi="Times New Roman" w:cs="Times New Roman"/>
          <w:sz w:val="24"/>
          <w:szCs w:val="24"/>
          <w:lang w:val="en-US"/>
        </w:rPr>
        <w:t>Hemmaway</w:t>
      </w:r>
      <w:proofErr w:type="spellEnd"/>
      <w:r w:rsidRPr="00AA3740">
        <w:rPr>
          <w:rFonts w:ascii="Times New Roman" w:eastAsia="Times New Roman" w:hAnsi="Times New Roman" w:cs="Times New Roman"/>
          <w:sz w:val="24"/>
          <w:szCs w:val="24"/>
          <w:lang w:val="en-US"/>
        </w:rPr>
        <w:t xml:space="preserve">, C. J., Telfer, P., Layton, D. M., Porter, J., </w:t>
      </w:r>
      <w:proofErr w:type="spellStart"/>
      <w:r w:rsidRPr="00AA3740">
        <w:rPr>
          <w:rFonts w:ascii="Times New Roman" w:eastAsia="Times New Roman" w:hAnsi="Times New Roman" w:cs="Times New Roman"/>
          <w:sz w:val="24"/>
          <w:szCs w:val="24"/>
          <w:lang w:val="en-US"/>
        </w:rPr>
        <w:t>Awogbade</w:t>
      </w:r>
      <w:proofErr w:type="spellEnd"/>
      <w:r w:rsidRPr="00AA3740">
        <w:rPr>
          <w:rFonts w:ascii="Times New Roman" w:eastAsia="Times New Roman" w:hAnsi="Times New Roman" w:cs="Times New Roman"/>
          <w:sz w:val="24"/>
          <w:szCs w:val="24"/>
          <w:lang w:val="en-US"/>
        </w:rPr>
        <w:t xml:space="preserve">, M., Mant, T., </w:t>
      </w:r>
      <w:proofErr w:type="spellStart"/>
      <w:r w:rsidRPr="00AA3740">
        <w:rPr>
          <w:rFonts w:ascii="Times New Roman" w:eastAsia="Times New Roman" w:hAnsi="Times New Roman" w:cs="Times New Roman"/>
          <w:sz w:val="24"/>
          <w:szCs w:val="24"/>
          <w:lang w:val="en-US"/>
        </w:rPr>
        <w:t>Gretler</w:t>
      </w:r>
      <w:proofErr w:type="spellEnd"/>
      <w:r w:rsidRPr="00AA3740">
        <w:rPr>
          <w:rFonts w:ascii="Times New Roman" w:eastAsia="Times New Roman" w:hAnsi="Times New Roman" w:cs="Times New Roman"/>
          <w:sz w:val="24"/>
          <w:szCs w:val="24"/>
          <w:lang w:val="en-US"/>
        </w:rPr>
        <w:t xml:space="preserve">, D. D., </w:t>
      </w:r>
      <w:proofErr w:type="spellStart"/>
      <w:r w:rsidRPr="00AA3740">
        <w:rPr>
          <w:rFonts w:ascii="Times New Roman" w:eastAsia="Times New Roman" w:hAnsi="Times New Roman" w:cs="Times New Roman"/>
          <w:sz w:val="24"/>
          <w:szCs w:val="24"/>
          <w:lang w:val="en-US"/>
        </w:rPr>
        <w:t>Dufu</w:t>
      </w:r>
      <w:proofErr w:type="spellEnd"/>
      <w:r w:rsidRPr="00AA3740">
        <w:rPr>
          <w:rFonts w:ascii="Times New Roman" w:eastAsia="Times New Roman" w:hAnsi="Times New Roman" w:cs="Times New Roman"/>
          <w:sz w:val="24"/>
          <w:szCs w:val="24"/>
          <w:lang w:val="en-US"/>
        </w:rPr>
        <w:t xml:space="preserve">, K., </w:t>
      </w:r>
      <w:proofErr w:type="spellStart"/>
      <w:r w:rsidRPr="00AA3740">
        <w:rPr>
          <w:rFonts w:ascii="Times New Roman" w:eastAsia="Times New Roman" w:hAnsi="Times New Roman" w:cs="Times New Roman"/>
          <w:sz w:val="24"/>
          <w:szCs w:val="24"/>
          <w:lang w:val="en-US"/>
        </w:rPr>
        <w:t>Hutchaleelaha</w:t>
      </w:r>
      <w:proofErr w:type="spellEnd"/>
      <w:r w:rsidRPr="00AA3740">
        <w:rPr>
          <w:rFonts w:ascii="Times New Roman" w:eastAsia="Times New Roman" w:hAnsi="Times New Roman" w:cs="Times New Roman"/>
          <w:sz w:val="24"/>
          <w:szCs w:val="24"/>
          <w:lang w:val="en-US"/>
        </w:rPr>
        <w:t>, A., Patel, M., Siu, V., Dixon, S., Landsman, N., Tonda, M., &amp; Lehrer-</w:t>
      </w:r>
      <w:proofErr w:type="spellStart"/>
      <w:r w:rsidRPr="00AA3740">
        <w:rPr>
          <w:rFonts w:ascii="Times New Roman" w:eastAsia="Times New Roman" w:hAnsi="Times New Roman" w:cs="Times New Roman"/>
          <w:sz w:val="24"/>
          <w:szCs w:val="24"/>
          <w:lang w:val="en-US"/>
        </w:rPr>
        <w:t>Graiwer</w:t>
      </w:r>
      <w:proofErr w:type="spellEnd"/>
      <w:r w:rsidRPr="00AA3740">
        <w:rPr>
          <w:rFonts w:ascii="Times New Roman" w:eastAsia="Times New Roman" w:hAnsi="Times New Roman" w:cs="Times New Roman"/>
          <w:sz w:val="24"/>
          <w:szCs w:val="24"/>
          <w:lang w:val="en-US"/>
        </w:rPr>
        <w:t xml:space="preserve">, J. (2019). A phase 1/2 ascending dose study and open-label extension study of </w:t>
      </w:r>
      <w:proofErr w:type="spellStart"/>
      <w:r w:rsidRPr="00AA3740">
        <w:rPr>
          <w:rFonts w:ascii="Times New Roman" w:eastAsia="Times New Roman" w:hAnsi="Times New Roman" w:cs="Times New Roman"/>
          <w:sz w:val="24"/>
          <w:szCs w:val="24"/>
          <w:lang w:val="en-US"/>
        </w:rPr>
        <w:t>voxelotor</w:t>
      </w:r>
      <w:proofErr w:type="spellEnd"/>
      <w:r w:rsidRPr="00AA3740">
        <w:rPr>
          <w:rFonts w:ascii="Times New Roman" w:eastAsia="Times New Roman" w:hAnsi="Times New Roman" w:cs="Times New Roman"/>
          <w:sz w:val="24"/>
          <w:szCs w:val="24"/>
          <w:lang w:val="en-US"/>
        </w:rPr>
        <w:t xml:space="preserve"> in patients with sickle cell disease. </w:t>
      </w:r>
      <w:r w:rsidRPr="00AA3740">
        <w:rPr>
          <w:rFonts w:ascii="Times New Roman" w:eastAsia="Times New Roman" w:hAnsi="Times New Roman" w:cs="Times New Roman"/>
          <w:i/>
          <w:iCs/>
          <w:sz w:val="24"/>
          <w:szCs w:val="24"/>
          <w:lang w:val="en-US"/>
        </w:rPr>
        <w:t>Blood, 133</w:t>
      </w:r>
      <w:r w:rsidRPr="00AA3740">
        <w:rPr>
          <w:rFonts w:ascii="Times New Roman" w:eastAsia="Times New Roman" w:hAnsi="Times New Roman" w:cs="Times New Roman"/>
          <w:sz w:val="24"/>
          <w:szCs w:val="24"/>
          <w:lang w:val="en-US"/>
        </w:rPr>
        <w:t xml:space="preserve">(17), 1865–1875. </w:t>
      </w:r>
      <w:hyperlink r:id="rId26" w:tgtFrame="_new" w:history="1">
        <w:r w:rsidRPr="00AA3740">
          <w:rPr>
            <w:rFonts w:ascii="Times New Roman" w:eastAsia="Times New Roman" w:hAnsi="Times New Roman" w:cs="Times New Roman"/>
            <w:color w:val="0000FF"/>
            <w:sz w:val="24"/>
            <w:szCs w:val="24"/>
            <w:u w:val="single"/>
            <w:lang w:val="en-US"/>
          </w:rPr>
          <w:t>https://doi.org/10.1182/blood-2018-08-868893</w:t>
        </w:r>
      </w:hyperlink>
    </w:p>
    <w:p w14:paraId="65BDFCAC"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lastRenderedPageBreak/>
        <w:t xml:space="preserve">Hsieh, M. M., Fitzhugh, C. D., Weitzel, R. P., Link, M. E., Coles, W. A., Zhao, X., Rodgers, G. P., Powell, J. D., &amp; Tisdale, J. F. (2014). Nonmyeloablative HLA-matched sibling allogeneic hematopoietic stem cell transplantation for severe sickle cell phenotype. </w:t>
      </w:r>
      <w:r w:rsidRPr="00AA3740">
        <w:rPr>
          <w:rFonts w:ascii="Times New Roman" w:eastAsia="Times New Roman" w:hAnsi="Times New Roman" w:cs="Times New Roman"/>
          <w:i/>
          <w:iCs/>
          <w:sz w:val="24"/>
          <w:szCs w:val="24"/>
          <w:lang w:val="en-US"/>
        </w:rPr>
        <w:t>JAMA, 312</w:t>
      </w:r>
      <w:r w:rsidRPr="00AA3740">
        <w:rPr>
          <w:rFonts w:ascii="Times New Roman" w:eastAsia="Times New Roman" w:hAnsi="Times New Roman" w:cs="Times New Roman"/>
          <w:sz w:val="24"/>
          <w:szCs w:val="24"/>
          <w:lang w:val="en-US"/>
        </w:rPr>
        <w:t xml:space="preserve">(1), 48–56. </w:t>
      </w:r>
      <w:hyperlink r:id="rId27" w:tgtFrame="_new" w:history="1">
        <w:r w:rsidRPr="00AA3740">
          <w:rPr>
            <w:rFonts w:ascii="Times New Roman" w:eastAsia="Times New Roman" w:hAnsi="Times New Roman" w:cs="Times New Roman"/>
            <w:color w:val="0000FF"/>
            <w:sz w:val="24"/>
            <w:szCs w:val="24"/>
            <w:u w:val="single"/>
            <w:lang w:val="en-US"/>
          </w:rPr>
          <w:t>https://doi.org/10.1001/jama.2014.7192</w:t>
        </w:r>
      </w:hyperlink>
    </w:p>
    <w:p w14:paraId="44934340"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Kanter, J., Walters, M. C., Krishnamurti, L., Mapara, M. Y., Kwiatkowski, J. L., Rifkin-</w:t>
      </w:r>
      <w:proofErr w:type="spellStart"/>
      <w:r w:rsidRPr="00AA3740">
        <w:rPr>
          <w:rFonts w:ascii="Times New Roman" w:eastAsia="Times New Roman" w:hAnsi="Times New Roman" w:cs="Times New Roman"/>
          <w:sz w:val="24"/>
          <w:szCs w:val="24"/>
          <w:lang w:val="en-US"/>
        </w:rPr>
        <w:t>Zenenberg</w:t>
      </w:r>
      <w:proofErr w:type="spellEnd"/>
      <w:r w:rsidRPr="00AA3740">
        <w:rPr>
          <w:rFonts w:ascii="Times New Roman" w:eastAsia="Times New Roman" w:hAnsi="Times New Roman" w:cs="Times New Roman"/>
          <w:sz w:val="24"/>
          <w:szCs w:val="24"/>
          <w:lang w:val="en-US"/>
        </w:rPr>
        <w:t xml:space="preserve">, S., Aygun, B., </w:t>
      </w:r>
      <w:proofErr w:type="spellStart"/>
      <w:r w:rsidRPr="00AA3740">
        <w:rPr>
          <w:rFonts w:ascii="Times New Roman" w:eastAsia="Times New Roman" w:hAnsi="Times New Roman" w:cs="Times New Roman"/>
          <w:sz w:val="24"/>
          <w:szCs w:val="24"/>
          <w:lang w:val="en-US"/>
        </w:rPr>
        <w:t>Kasow</w:t>
      </w:r>
      <w:proofErr w:type="spellEnd"/>
      <w:r w:rsidRPr="00AA3740">
        <w:rPr>
          <w:rFonts w:ascii="Times New Roman" w:eastAsia="Times New Roman" w:hAnsi="Times New Roman" w:cs="Times New Roman"/>
          <w:sz w:val="24"/>
          <w:szCs w:val="24"/>
          <w:lang w:val="en-US"/>
        </w:rPr>
        <w:t xml:space="preserve">, K. A., </w:t>
      </w:r>
      <w:proofErr w:type="spellStart"/>
      <w:r w:rsidRPr="00AA3740">
        <w:rPr>
          <w:rFonts w:ascii="Times New Roman" w:eastAsia="Times New Roman" w:hAnsi="Times New Roman" w:cs="Times New Roman"/>
          <w:sz w:val="24"/>
          <w:szCs w:val="24"/>
          <w:lang w:val="en-US"/>
        </w:rPr>
        <w:t>Pierciey</w:t>
      </w:r>
      <w:proofErr w:type="spellEnd"/>
      <w:r w:rsidRPr="00AA3740">
        <w:rPr>
          <w:rFonts w:ascii="Times New Roman" w:eastAsia="Times New Roman" w:hAnsi="Times New Roman" w:cs="Times New Roman"/>
          <w:sz w:val="24"/>
          <w:szCs w:val="24"/>
          <w:lang w:val="en-US"/>
        </w:rPr>
        <w:t xml:space="preserve">, F. J., Jr., Bonner, M., Miller, A., Zhang, X., Lynch, J., Kim, D., </w:t>
      </w:r>
      <w:proofErr w:type="spellStart"/>
      <w:r w:rsidRPr="00AA3740">
        <w:rPr>
          <w:rFonts w:ascii="Times New Roman" w:eastAsia="Times New Roman" w:hAnsi="Times New Roman" w:cs="Times New Roman"/>
          <w:sz w:val="24"/>
          <w:szCs w:val="24"/>
          <w:lang w:val="en-US"/>
        </w:rPr>
        <w:t>Ribeil</w:t>
      </w:r>
      <w:proofErr w:type="spellEnd"/>
      <w:r w:rsidRPr="00AA3740">
        <w:rPr>
          <w:rFonts w:ascii="Times New Roman" w:eastAsia="Times New Roman" w:hAnsi="Times New Roman" w:cs="Times New Roman"/>
          <w:sz w:val="24"/>
          <w:szCs w:val="24"/>
          <w:lang w:val="en-US"/>
        </w:rPr>
        <w:t xml:space="preserve">, J.-A., Asmal, M., Goyal, S., Thompson, A. A., &amp; Tisdale, J. F. (2022). Biologic and clinical efficacy of </w:t>
      </w:r>
      <w:proofErr w:type="spellStart"/>
      <w:r w:rsidRPr="00AA3740">
        <w:rPr>
          <w:rFonts w:ascii="Times New Roman" w:eastAsia="Times New Roman" w:hAnsi="Times New Roman" w:cs="Times New Roman"/>
          <w:sz w:val="24"/>
          <w:szCs w:val="24"/>
          <w:lang w:val="en-US"/>
        </w:rPr>
        <w:t>LentiGlobin</w:t>
      </w:r>
      <w:proofErr w:type="spellEnd"/>
      <w:r w:rsidRPr="00AA3740">
        <w:rPr>
          <w:rFonts w:ascii="Times New Roman" w:eastAsia="Times New Roman" w:hAnsi="Times New Roman" w:cs="Times New Roman"/>
          <w:sz w:val="24"/>
          <w:szCs w:val="24"/>
          <w:lang w:val="en-US"/>
        </w:rPr>
        <w:t xml:space="preserve"> for sickle cell disease. </w:t>
      </w:r>
      <w:r w:rsidRPr="00AA3740">
        <w:rPr>
          <w:rFonts w:ascii="Times New Roman" w:eastAsia="Times New Roman" w:hAnsi="Times New Roman" w:cs="Times New Roman"/>
          <w:i/>
          <w:iCs/>
          <w:sz w:val="24"/>
          <w:szCs w:val="24"/>
          <w:lang w:val="en-US"/>
        </w:rPr>
        <w:t>New England Journal of Medicine, 386</w:t>
      </w:r>
      <w:r w:rsidRPr="00AA3740">
        <w:rPr>
          <w:rFonts w:ascii="Times New Roman" w:eastAsia="Times New Roman" w:hAnsi="Times New Roman" w:cs="Times New Roman"/>
          <w:sz w:val="24"/>
          <w:szCs w:val="24"/>
          <w:lang w:val="en-US"/>
        </w:rPr>
        <w:t xml:space="preserve">(7), 617–628. </w:t>
      </w:r>
      <w:hyperlink r:id="rId28" w:tgtFrame="_new" w:history="1">
        <w:r w:rsidRPr="00AA3740">
          <w:rPr>
            <w:rFonts w:ascii="Times New Roman" w:eastAsia="Times New Roman" w:hAnsi="Times New Roman" w:cs="Times New Roman"/>
            <w:color w:val="0000FF"/>
            <w:sz w:val="24"/>
            <w:szCs w:val="24"/>
            <w:u w:val="single"/>
            <w:lang w:val="en-US"/>
          </w:rPr>
          <w:t>https://doi.org/10.1056/NEJMoa2117175</w:t>
        </w:r>
      </w:hyperlink>
    </w:p>
    <w:p w14:paraId="6087D640"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Kato, G. J., Piel, F. B., Reid, C. D., Gaston, M. H., Ohene-Frempong, K., Krishnamurti, L., Smith, W. R., Panepinto, J. A., Weatherall, D. J., Costa, F. F., &amp; </w:t>
      </w:r>
      <w:proofErr w:type="spellStart"/>
      <w:r w:rsidRPr="00AA3740">
        <w:rPr>
          <w:rFonts w:ascii="Times New Roman" w:eastAsia="Times New Roman" w:hAnsi="Times New Roman" w:cs="Times New Roman"/>
          <w:sz w:val="24"/>
          <w:szCs w:val="24"/>
          <w:lang w:val="en-US"/>
        </w:rPr>
        <w:t>Vichinsky</w:t>
      </w:r>
      <w:proofErr w:type="spellEnd"/>
      <w:r w:rsidRPr="00AA3740">
        <w:rPr>
          <w:rFonts w:ascii="Times New Roman" w:eastAsia="Times New Roman" w:hAnsi="Times New Roman" w:cs="Times New Roman"/>
          <w:sz w:val="24"/>
          <w:szCs w:val="24"/>
          <w:lang w:val="en-US"/>
        </w:rPr>
        <w:t xml:space="preserve">, E. P. (2018). Sickle cell disease. </w:t>
      </w:r>
      <w:r w:rsidRPr="00AA3740">
        <w:rPr>
          <w:rFonts w:ascii="Times New Roman" w:eastAsia="Times New Roman" w:hAnsi="Times New Roman" w:cs="Times New Roman"/>
          <w:i/>
          <w:iCs/>
          <w:sz w:val="24"/>
          <w:szCs w:val="24"/>
          <w:lang w:val="en-US"/>
        </w:rPr>
        <w:t>Nature Reviews Disease Primers, 4</w:t>
      </w:r>
      <w:r w:rsidRPr="00AA3740">
        <w:rPr>
          <w:rFonts w:ascii="Times New Roman" w:eastAsia="Times New Roman" w:hAnsi="Times New Roman" w:cs="Times New Roman"/>
          <w:sz w:val="24"/>
          <w:szCs w:val="24"/>
          <w:lang w:val="en-US"/>
        </w:rPr>
        <w:t xml:space="preserve">, Article 18010. </w:t>
      </w:r>
      <w:hyperlink r:id="rId29" w:tgtFrame="_new" w:history="1">
        <w:r w:rsidRPr="00AA3740">
          <w:rPr>
            <w:rFonts w:ascii="Times New Roman" w:eastAsia="Times New Roman" w:hAnsi="Times New Roman" w:cs="Times New Roman"/>
            <w:color w:val="0000FF"/>
            <w:sz w:val="24"/>
            <w:szCs w:val="24"/>
            <w:u w:val="single"/>
            <w:lang w:val="en-US"/>
          </w:rPr>
          <w:t>https://doi.org/10.1038/nrdp.2018.10</w:t>
        </w:r>
      </w:hyperlink>
    </w:p>
    <w:p w14:paraId="56333395"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AA3740">
        <w:rPr>
          <w:rFonts w:ascii="Times New Roman" w:eastAsia="Times New Roman" w:hAnsi="Times New Roman" w:cs="Times New Roman"/>
          <w:sz w:val="24"/>
          <w:szCs w:val="24"/>
          <w:lang w:val="en-US"/>
        </w:rPr>
        <w:t>Lettre</w:t>
      </w:r>
      <w:proofErr w:type="spellEnd"/>
      <w:r w:rsidRPr="00AA3740">
        <w:rPr>
          <w:rFonts w:ascii="Times New Roman" w:eastAsia="Times New Roman" w:hAnsi="Times New Roman" w:cs="Times New Roman"/>
          <w:sz w:val="24"/>
          <w:szCs w:val="24"/>
          <w:lang w:val="en-US"/>
        </w:rPr>
        <w:t xml:space="preserve">, G., &amp; Bauer, D. E. (2016). Fetal </w:t>
      </w:r>
      <w:proofErr w:type="spellStart"/>
      <w:r w:rsidRPr="00AA3740">
        <w:rPr>
          <w:rFonts w:ascii="Times New Roman" w:eastAsia="Times New Roman" w:hAnsi="Times New Roman" w:cs="Times New Roman"/>
          <w:sz w:val="24"/>
          <w:szCs w:val="24"/>
          <w:lang w:val="en-US"/>
        </w:rPr>
        <w:t>haemoglobin</w:t>
      </w:r>
      <w:proofErr w:type="spellEnd"/>
      <w:r w:rsidRPr="00AA3740">
        <w:rPr>
          <w:rFonts w:ascii="Times New Roman" w:eastAsia="Times New Roman" w:hAnsi="Times New Roman" w:cs="Times New Roman"/>
          <w:sz w:val="24"/>
          <w:szCs w:val="24"/>
          <w:lang w:val="en-US"/>
        </w:rPr>
        <w:t xml:space="preserve"> in sickle-cell disease: From genetic epidemiology to new therapeutic strategies. </w:t>
      </w:r>
      <w:r w:rsidRPr="00AA3740">
        <w:rPr>
          <w:rFonts w:ascii="Times New Roman" w:eastAsia="Times New Roman" w:hAnsi="Times New Roman" w:cs="Times New Roman"/>
          <w:i/>
          <w:iCs/>
          <w:sz w:val="24"/>
          <w:szCs w:val="24"/>
          <w:lang w:val="en-US"/>
        </w:rPr>
        <w:t>The Lancet, 387</w:t>
      </w:r>
      <w:r w:rsidRPr="00AA3740">
        <w:rPr>
          <w:rFonts w:ascii="Times New Roman" w:eastAsia="Times New Roman" w:hAnsi="Times New Roman" w:cs="Times New Roman"/>
          <w:sz w:val="24"/>
          <w:szCs w:val="24"/>
          <w:lang w:val="en-US"/>
        </w:rPr>
        <w:t xml:space="preserve">(10037), 2554–2564. </w:t>
      </w:r>
      <w:hyperlink r:id="rId30" w:tgtFrame="_new" w:history="1">
        <w:r w:rsidRPr="00AA3740">
          <w:rPr>
            <w:rFonts w:ascii="Times New Roman" w:eastAsia="Times New Roman" w:hAnsi="Times New Roman" w:cs="Times New Roman"/>
            <w:color w:val="0000FF"/>
            <w:sz w:val="24"/>
            <w:szCs w:val="24"/>
            <w:u w:val="single"/>
            <w:lang w:val="en-US"/>
          </w:rPr>
          <w:t>https://doi.org/10.1016/S0140-6736(15)01341-0</w:t>
        </w:r>
      </w:hyperlink>
    </w:p>
    <w:p w14:paraId="054ECF46"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Liem, R. I., </w:t>
      </w:r>
      <w:proofErr w:type="spellStart"/>
      <w:r w:rsidRPr="00AA3740">
        <w:rPr>
          <w:rFonts w:ascii="Times New Roman" w:eastAsia="Times New Roman" w:hAnsi="Times New Roman" w:cs="Times New Roman"/>
          <w:sz w:val="24"/>
          <w:szCs w:val="24"/>
          <w:lang w:val="en-US"/>
        </w:rPr>
        <w:t>Lanzkron</w:t>
      </w:r>
      <w:proofErr w:type="spellEnd"/>
      <w:r w:rsidRPr="00AA3740">
        <w:rPr>
          <w:rFonts w:ascii="Times New Roman" w:eastAsia="Times New Roman" w:hAnsi="Times New Roman" w:cs="Times New Roman"/>
          <w:sz w:val="24"/>
          <w:szCs w:val="24"/>
          <w:lang w:val="en-US"/>
        </w:rPr>
        <w:t xml:space="preserve">, S., Coates, T. D., DeCastro, L., Desai, A. A., </w:t>
      </w:r>
      <w:proofErr w:type="spellStart"/>
      <w:r w:rsidRPr="00AA3740">
        <w:rPr>
          <w:rFonts w:ascii="Times New Roman" w:eastAsia="Times New Roman" w:hAnsi="Times New Roman" w:cs="Times New Roman"/>
          <w:sz w:val="24"/>
          <w:szCs w:val="24"/>
          <w:lang w:val="en-US"/>
        </w:rPr>
        <w:t>Ataga</w:t>
      </w:r>
      <w:proofErr w:type="spellEnd"/>
      <w:r w:rsidRPr="00AA3740">
        <w:rPr>
          <w:rFonts w:ascii="Times New Roman" w:eastAsia="Times New Roman" w:hAnsi="Times New Roman" w:cs="Times New Roman"/>
          <w:sz w:val="24"/>
          <w:szCs w:val="24"/>
          <w:lang w:val="en-US"/>
        </w:rPr>
        <w:t xml:space="preserve">, K. I., Cohen, R. T., Haynes, J., Jr., </w:t>
      </w:r>
      <w:proofErr w:type="spellStart"/>
      <w:r w:rsidRPr="00AA3740">
        <w:rPr>
          <w:rFonts w:ascii="Times New Roman" w:eastAsia="Times New Roman" w:hAnsi="Times New Roman" w:cs="Times New Roman"/>
          <w:sz w:val="24"/>
          <w:szCs w:val="24"/>
          <w:lang w:val="en-US"/>
        </w:rPr>
        <w:t>Osunkwo</w:t>
      </w:r>
      <w:proofErr w:type="spellEnd"/>
      <w:r w:rsidRPr="00AA3740">
        <w:rPr>
          <w:rFonts w:ascii="Times New Roman" w:eastAsia="Times New Roman" w:hAnsi="Times New Roman" w:cs="Times New Roman"/>
          <w:sz w:val="24"/>
          <w:szCs w:val="24"/>
          <w:lang w:val="en-US"/>
        </w:rPr>
        <w:t xml:space="preserve">, I., </w:t>
      </w:r>
      <w:proofErr w:type="spellStart"/>
      <w:r w:rsidRPr="00AA3740">
        <w:rPr>
          <w:rFonts w:ascii="Times New Roman" w:eastAsia="Times New Roman" w:hAnsi="Times New Roman" w:cs="Times New Roman"/>
          <w:sz w:val="24"/>
          <w:szCs w:val="24"/>
          <w:lang w:val="en-US"/>
        </w:rPr>
        <w:t>Lebensburger</w:t>
      </w:r>
      <w:proofErr w:type="spellEnd"/>
      <w:r w:rsidRPr="00AA3740">
        <w:rPr>
          <w:rFonts w:ascii="Times New Roman" w:eastAsia="Times New Roman" w:hAnsi="Times New Roman" w:cs="Times New Roman"/>
          <w:sz w:val="24"/>
          <w:szCs w:val="24"/>
          <w:lang w:val="en-US"/>
        </w:rPr>
        <w:t xml:space="preserve">, J. D., Lash, J. P., Wun, T., </w:t>
      </w:r>
      <w:proofErr w:type="spellStart"/>
      <w:r w:rsidRPr="00AA3740">
        <w:rPr>
          <w:rFonts w:ascii="Times New Roman" w:eastAsia="Times New Roman" w:hAnsi="Times New Roman" w:cs="Times New Roman"/>
          <w:sz w:val="24"/>
          <w:szCs w:val="24"/>
          <w:lang w:val="en-US"/>
        </w:rPr>
        <w:t>Verhovsek</w:t>
      </w:r>
      <w:proofErr w:type="spellEnd"/>
      <w:r w:rsidRPr="00AA3740">
        <w:rPr>
          <w:rFonts w:ascii="Times New Roman" w:eastAsia="Times New Roman" w:hAnsi="Times New Roman" w:cs="Times New Roman"/>
          <w:sz w:val="24"/>
          <w:szCs w:val="24"/>
          <w:lang w:val="en-US"/>
        </w:rPr>
        <w:t xml:space="preserve">, M., </w:t>
      </w:r>
      <w:proofErr w:type="spellStart"/>
      <w:r w:rsidRPr="00AA3740">
        <w:rPr>
          <w:rFonts w:ascii="Times New Roman" w:eastAsia="Times New Roman" w:hAnsi="Times New Roman" w:cs="Times New Roman"/>
          <w:sz w:val="24"/>
          <w:szCs w:val="24"/>
          <w:lang w:val="en-US"/>
        </w:rPr>
        <w:t>Ontala</w:t>
      </w:r>
      <w:proofErr w:type="spellEnd"/>
      <w:r w:rsidRPr="00AA3740">
        <w:rPr>
          <w:rFonts w:ascii="Times New Roman" w:eastAsia="Times New Roman" w:hAnsi="Times New Roman" w:cs="Times New Roman"/>
          <w:sz w:val="24"/>
          <w:szCs w:val="24"/>
          <w:lang w:val="en-US"/>
        </w:rPr>
        <w:t xml:space="preserve">, E., </w:t>
      </w:r>
      <w:proofErr w:type="spellStart"/>
      <w:r w:rsidRPr="00AA3740">
        <w:rPr>
          <w:rFonts w:ascii="Times New Roman" w:eastAsia="Times New Roman" w:hAnsi="Times New Roman" w:cs="Times New Roman"/>
          <w:sz w:val="24"/>
          <w:szCs w:val="24"/>
          <w:lang w:val="en-US"/>
        </w:rPr>
        <w:t>Blaylark</w:t>
      </w:r>
      <w:proofErr w:type="spellEnd"/>
      <w:r w:rsidRPr="00AA3740">
        <w:rPr>
          <w:rFonts w:ascii="Times New Roman" w:eastAsia="Times New Roman" w:hAnsi="Times New Roman" w:cs="Times New Roman"/>
          <w:sz w:val="24"/>
          <w:szCs w:val="24"/>
          <w:lang w:val="en-US"/>
        </w:rPr>
        <w:t xml:space="preserve">, R., </w:t>
      </w:r>
      <w:proofErr w:type="spellStart"/>
      <w:r w:rsidRPr="00AA3740">
        <w:rPr>
          <w:rFonts w:ascii="Times New Roman" w:eastAsia="Times New Roman" w:hAnsi="Times New Roman" w:cs="Times New Roman"/>
          <w:sz w:val="24"/>
          <w:szCs w:val="24"/>
          <w:lang w:val="en-US"/>
        </w:rPr>
        <w:t>Alahdab</w:t>
      </w:r>
      <w:proofErr w:type="spellEnd"/>
      <w:r w:rsidRPr="00AA3740">
        <w:rPr>
          <w:rFonts w:ascii="Times New Roman" w:eastAsia="Times New Roman" w:hAnsi="Times New Roman" w:cs="Times New Roman"/>
          <w:sz w:val="24"/>
          <w:szCs w:val="24"/>
          <w:lang w:val="en-US"/>
        </w:rPr>
        <w:t xml:space="preserve">, F., Katabi, A., &amp; Mustafa, R. A. (2019). American Society of Hematology 2019 guidelines for sickle cell disease: Cardiopulmonary and kidney disease. </w:t>
      </w:r>
      <w:r w:rsidRPr="00AA3740">
        <w:rPr>
          <w:rFonts w:ascii="Times New Roman" w:eastAsia="Times New Roman" w:hAnsi="Times New Roman" w:cs="Times New Roman"/>
          <w:i/>
          <w:iCs/>
          <w:sz w:val="24"/>
          <w:szCs w:val="24"/>
          <w:lang w:val="en-US"/>
        </w:rPr>
        <w:t>Blood Advances, 3</w:t>
      </w:r>
      <w:r w:rsidRPr="00AA3740">
        <w:rPr>
          <w:rFonts w:ascii="Times New Roman" w:eastAsia="Times New Roman" w:hAnsi="Times New Roman" w:cs="Times New Roman"/>
          <w:sz w:val="24"/>
          <w:szCs w:val="24"/>
          <w:lang w:val="en-US"/>
        </w:rPr>
        <w:t xml:space="preserve">(23), 3867–3897. </w:t>
      </w:r>
      <w:hyperlink r:id="rId31" w:tgtFrame="_new" w:history="1">
        <w:r w:rsidRPr="00AA3740">
          <w:rPr>
            <w:rFonts w:ascii="Times New Roman" w:eastAsia="Times New Roman" w:hAnsi="Times New Roman" w:cs="Times New Roman"/>
            <w:color w:val="0000FF"/>
            <w:sz w:val="24"/>
            <w:szCs w:val="24"/>
            <w:u w:val="single"/>
            <w:lang w:val="en-US"/>
          </w:rPr>
          <w:t>https://doi.org/10.1182/bloodadvances.2019000916</w:t>
        </w:r>
      </w:hyperlink>
    </w:p>
    <w:p w14:paraId="3B72525F"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Nath, K. A., &amp; Hebbel, R. P. (2015). Sickle cell disease: Renal manifestations and mechanisms. </w:t>
      </w:r>
      <w:r w:rsidRPr="00AA3740">
        <w:rPr>
          <w:rFonts w:ascii="Times New Roman" w:eastAsia="Times New Roman" w:hAnsi="Times New Roman" w:cs="Times New Roman"/>
          <w:i/>
          <w:iCs/>
          <w:sz w:val="24"/>
          <w:szCs w:val="24"/>
          <w:lang w:val="en-US"/>
        </w:rPr>
        <w:t>Nature Reviews Nephrology, 11</w:t>
      </w:r>
      <w:r w:rsidRPr="00AA3740">
        <w:rPr>
          <w:rFonts w:ascii="Times New Roman" w:eastAsia="Times New Roman" w:hAnsi="Times New Roman" w:cs="Times New Roman"/>
          <w:sz w:val="24"/>
          <w:szCs w:val="24"/>
          <w:lang w:val="en-US"/>
        </w:rPr>
        <w:t xml:space="preserve">(3), 161–171. </w:t>
      </w:r>
      <w:hyperlink r:id="rId32" w:tgtFrame="_new" w:history="1">
        <w:r w:rsidRPr="00AA3740">
          <w:rPr>
            <w:rFonts w:ascii="Times New Roman" w:eastAsia="Times New Roman" w:hAnsi="Times New Roman" w:cs="Times New Roman"/>
            <w:color w:val="0000FF"/>
            <w:sz w:val="24"/>
            <w:szCs w:val="24"/>
            <w:u w:val="single"/>
            <w:lang w:val="en-US"/>
          </w:rPr>
          <w:t>https://doi.org/10.1038/nrneph.2015.8</w:t>
        </w:r>
      </w:hyperlink>
    </w:p>
    <w:p w14:paraId="2BCEEB38"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AA3740">
        <w:rPr>
          <w:rFonts w:ascii="Times New Roman" w:eastAsia="Times New Roman" w:hAnsi="Times New Roman" w:cs="Times New Roman"/>
          <w:sz w:val="24"/>
          <w:szCs w:val="24"/>
          <w:lang w:val="en-US"/>
        </w:rPr>
        <w:t>Niihara</w:t>
      </w:r>
      <w:proofErr w:type="spellEnd"/>
      <w:r w:rsidRPr="00AA3740">
        <w:rPr>
          <w:rFonts w:ascii="Times New Roman" w:eastAsia="Times New Roman" w:hAnsi="Times New Roman" w:cs="Times New Roman"/>
          <w:sz w:val="24"/>
          <w:szCs w:val="24"/>
          <w:lang w:val="en-US"/>
        </w:rPr>
        <w:t xml:space="preserve">, Y., Miller, S. T., Kanter, J., </w:t>
      </w:r>
      <w:proofErr w:type="spellStart"/>
      <w:r w:rsidRPr="00AA3740">
        <w:rPr>
          <w:rFonts w:ascii="Times New Roman" w:eastAsia="Times New Roman" w:hAnsi="Times New Roman" w:cs="Times New Roman"/>
          <w:sz w:val="24"/>
          <w:szCs w:val="24"/>
          <w:lang w:val="en-US"/>
        </w:rPr>
        <w:t>Lanzkron</w:t>
      </w:r>
      <w:proofErr w:type="spellEnd"/>
      <w:r w:rsidRPr="00AA3740">
        <w:rPr>
          <w:rFonts w:ascii="Times New Roman" w:eastAsia="Times New Roman" w:hAnsi="Times New Roman" w:cs="Times New Roman"/>
          <w:sz w:val="24"/>
          <w:szCs w:val="24"/>
          <w:lang w:val="en-US"/>
        </w:rPr>
        <w:t xml:space="preserve">, S., Smith, W. R., Hsu, L. L., </w:t>
      </w:r>
      <w:proofErr w:type="spellStart"/>
      <w:r w:rsidRPr="00AA3740">
        <w:rPr>
          <w:rFonts w:ascii="Times New Roman" w:eastAsia="Times New Roman" w:hAnsi="Times New Roman" w:cs="Times New Roman"/>
          <w:sz w:val="24"/>
          <w:szCs w:val="24"/>
          <w:lang w:val="en-US"/>
        </w:rPr>
        <w:t>Gordeuk</w:t>
      </w:r>
      <w:proofErr w:type="spellEnd"/>
      <w:r w:rsidRPr="00AA3740">
        <w:rPr>
          <w:rFonts w:ascii="Times New Roman" w:eastAsia="Times New Roman" w:hAnsi="Times New Roman" w:cs="Times New Roman"/>
          <w:sz w:val="24"/>
          <w:szCs w:val="24"/>
          <w:lang w:val="en-US"/>
        </w:rPr>
        <w:t xml:space="preserve">, V. R., Viswanathan, K., Sarnaik, S., </w:t>
      </w:r>
      <w:proofErr w:type="spellStart"/>
      <w:r w:rsidRPr="00AA3740">
        <w:rPr>
          <w:rFonts w:ascii="Times New Roman" w:eastAsia="Times New Roman" w:hAnsi="Times New Roman" w:cs="Times New Roman"/>
          <w:sz w:val="24"/>
          <w:szCs w:val="24"/>
          <w:lang w:val="en-US"/>
        </w:rPr>
        <w:t>Osunkwo</w:t>
      </w:r>
      <w:proofErr w:type="spellEnd"/>
      <w:r w:rsidRPr="00AA3740">
        <w:rPr>
          <w:rFonts w:ascii="Times New Roman" w:eastAsia="Times New Roman" w:hAnsi="Times New Roman" w:cs="Times New Roman"/>
          <w:sz w:val="24"/>
          <w:szCs w:val="24"/>
          <w:lang w:val="en-US"/>
        </w:rPr>
        <w:t xml:space="preserve">, I., Guillaume, E., </w:t>
      </w:r>
      <w:proofErr w:type="spellStart"/>
      <w:r w:rsidRPr="00AA3740">
        <w:rPr>
          <w:rFonts w:ascii="Times New Roman" w:eastAsia="Times New Roman" w:hAnsi="Times New Roman" w:cs="Times New Roman"/>
          <w:sz w:val="24"/>
          <w:szCs w:val="24"/>
          <w:lang w:val="en-US"/>
        </w:rPr>
        <w:t>Sadanandan</w:t>
      </w:r>
      <w:proofErr w:type="spellEnd"/>
      <w:r w:rsidRPr="00AA3740">
        <w:rPr>
          <w:rFonts w:ascii="Times New Roman" w:eastAsia="Times New Roman" w:hAnsi="Times New Roman" w:cs="Times New Roman"/>
          <w:sz w:val="24"/>
          <w:szCs w:val="24"/>
          <w:lang w:val="en-US"/>
        </w:rPr>
        <w:t xml:space="preserve">, S., Sieger, L., Lasky, J. L., Panosyan, E. H., Blake, O. A., New, T. N., Bellevue, R., Tran, L. T., … Vichinsky, E. P. (2018). A phase 3 trial of l-glutamine in sickle cell disease. </w:t>
      </w:r>
      <w:r w:rsidRPr="00AA3740">
        <w:rPr>
          <w:rFonts w:ascii="Times New Roman" w:eastAsia="Times New Roman" w:hAnsi="Times New Roman" w:cs="Times New Roman"/>
          <w:i/>
          <w:iCs/>
          <w:sz w:val="24"/>
          <w:szCs w:val="24"/>
          <w:lang w:val="en-US"/>
        </w:rPr>
        <w:t>New England Journal of Medicine, 379</w:t>
      </w:r>
      <w:r w:rsidRPr="00AA3740">
        <w:rPr>
          <w:rFonts w:ascii="Times New Roman" w:eastAsia="Times New Roman" w:hAnsi="Times New Roman" w:cs="Times New Roman"/>
          <w:sz w:val="24"/>
          <w:szCs w:val="24"/>
          <w:lang w:val="en-US"/>
        </w:rPr>
        <w:t xml:space="preserve">(3), 226–235. </w:t>
      </w:r>
      <w:hyperlink r:id="rId33" w:tgtFrame="_new" w:history="1">
        <w:r w:rsidRPr="00AA3740">
          <w:rPr>
            <w:rFonts w:ascii="Times New Roman" w:eastAsia="Times New Roman" w:hAnsi="Times New Roman" w:cs="Times New Roman"/>
            <w:color w:val="0000FF"/>
            <w:sz w:val="24"/>
            <w:szCs w:val="24"/>
            <w:u w:val="single"/>
            <w:lang w:val="en-US"/>
          </w:rPr>
          <w:t>https://doi.org/10.1056/NEJMoa1715971</w:t>
        </w:r>
      </w:hyperlink>
    </w:p>
    <w:p w14:paraId="3C227B9E"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AA3740">
        <w:rPr>
          <w:rFonts w:ascii="Times New Roman" w:eastAsia="Times New Roman" w:hAnsi="Times New Roman" w:cs="Times New Roman"/>
          <w:sz w:val="24"/>
          <w:szCs w:val="24"/>
          <w:lang w:val="en-US"/>
        </w:rPr>
        <w:t>Nnodu</w:t>
      </w:r>
      <w:proofErr w:type="spellEnd"/>
      <w:r w:rsidRPr="00AA3740">
        <w:rPr>
          <w:rFonts w:ascii="Times New Roman" w:eastAsia="Times New Roman" w:hAnsi="Times New Roman" w:cs="Times New Roman"/>
          <w:sz w:val="24"/>
          <w:szCs w:val="24"/>
          <w:lang w:val="en-US"/>
        </w:rPr>
        <w:t xml:space="preserve">, O., Isa, H., </w:t>
      </w:r>
      <w:proofErr w:type="spellStart"/>
      <w:r w:rsidRPr="00AA3740">
        <w:rPr>
          <w:rFonts w:ascii="Times New Roman" w:eastAsia="Times New Roman" w:hAnsi="Times New Roman" w:cs="Times New Roman"/>
          <w:sz w:val="24"/>
          <w:szCs w:val="24"/>
          <w:lang w:val="en-US"/>
        </w:rPr>
        <w:t>Nwegbu</w:t>
      </w:r>
      <w:proofErr w:type="spellEnd"/>
      <w:r w:rsidRPr="00AA3740">
        <w:rPr>
          <w:rFonts w:ascii="Times New Roman" w:eastAsia="Times New Roman" w:hAnsi="Times New Roman" w:cs="Times New Roman"/>
          <w:sz w:val="24"/>
          <w:szCs w:val="24"/>
          <w:lang w:val="en-US"/>
        </w:rPr>
        <w:t xml:space="preserve">, M., </w:t>
      </w:r>
      <w:proofErr w:type="spellStart"/>
      <w:r w:rsidRPr="00AA3740">
        <w:rPr>
          <w:rFonts w:ascii="Times New Roman" w:eastAsia="Times New Roman" w:hAnsi="Times New Roman" w:cs="Times New Roman"/>
          <w:sz w:val="24"/>
          <w:szCs w:val="24"/>
          <w:lang w:val="en-US"/>
        </w:rPr>
        <w:t>Ohiaeri</w:t>
      </w:r>
      <w:proofErr w:type="spellEnd"/>
      <w:r w:rsidRPr="00AA3740">
        <w:rPr>
          <w:rFonts w:ascii="Times New Roman" w:eastAsia="Times New Roman" w:hAnsi="Times New Roman" w:cs="Times New Roman"/>
          <w:sz w:val="24"/>
          <w:szCs w:val="24"/>
          <w:lang w:val="en-US"/>
        </w:rPr>
        <w:t xml:space="preserve">, C., Adegoke, S., </w:t>
      </w:r>
      <w:proofErr w:type="spellStart"/>
      <w:r w:rsidRPr="00AA3740">
        <w:rPr>
          <w:rFonts w:ascii="Times New Roman" w:eastAsia="Times New Roman" w:hAnsi="Times New Roman" w:cs="Times New Roman"/>
          <w:sz w:val="24"/>
          <w:szCs w:val="24"/>
          <w:lang w:val="en-US"/>
        </w:rPr>
        <w:t>Chianumba</w:t>
      </w:r>
      <w:proofErr w:type="spellEnd"/>
      <w:r w:rsidRPr="00AA3740">
        <w:rPr>
          <w:rFonts w:ascii="Times New Roman" w:eastAsia="Times New Roman" w:hAnsi="Times New Roman" w:cs="Times New Roman"/>
          <w:sz w:val="24"/>
          <w:szCs w:val="24"/>
          <w:lang w:val="en-US"/>
        </w:rPr>
        <w:t xml:space="preserve">, R., Brown, B., Bello-Manga, H., </w:t>
      </w:r>
      <w:proofErr w:type="spellStart"/>
      <w:r w:rsidRPr="00AA3740">
        <w:rPr>
          <w:rFonts w:ascii="Times New Roman" w:eastAsia="Times New Roman" w:hAnsi="Times New Roman" w:cs="Times New Roman"/>
          <w:sz w:val="24"/>
          <w:szCs w:val="24"/>
          <w:lang w:val="en-US"/>
        </w:rPr>
        <w:t>Galadanci</w:t>
      </w:r>
      <w:proofErr w:type="spellEnd"/>
      <w:r w:rsidRPr="00AA3740">
        <w:rPr>
          <w:rFonts w:ascii="Times New Roman" w:eastAsia="Times New Roman" w:hAnsi="Times New Roman" w:cs="Times New Roman"/>
          <w:sz w:val="24"/>
          <w:szCs w:val="24"/>
          <w:lang w:val="en-US"/>
        </w:rPr>
        <w:t xml:space="preserve">, N., Piel, F. B., &amp; Odame, I. (2019). </w:t>
      </w:r>
      <w:proofErr w:type="spellStart"/>
      <w:r w:rsidRPr="00AA3740">
        <w:rPr>
          <w:rFonts w:ascii="Times New Roman" w:eastAsia="Times New Roman" w:hAnsi="Times New Roman" w:cs="Times New Roman"/>
          <w:sz w:val="24"/>
          <w:szCs w:val="24"/>
          <w:lang w:val="en-US"/>
        </w:rPr>
        <w:t>HemoTypeSC</w:t>
      </w:r>
      <w:proofErr w:type="spellEnd"/>
      <w:r w:rsidRPr="00AA3740">
        <w:rPr>
          <w:rFonts w:ascii="Times New Roman" w:eastAsia="Times New Roman" w:hAnsi="Times New Roman" w:cs="Times New Roman"/>
          <w:sz w:val="24"/>
          <w:szCs w:val="24"/>
          <w:lang w:val="en-US"/>
        </w:rPr>
        <w:t xml:space="preserve">, a low-cost point-of-care testing device for sickle cell disease: Promises and challenges. </w:t>
      </w:r>
      <w:r w:rsidRPr="00AA3740">
        <w:rPr>
          <w:rFonts w:ascii="Times New Roman" w:eastAsia="Times New Roman" w:hAnsi="Times New Roman" w:cs="Times New Roman"/>
          <w:i/>
          <w:iCs/>
          <w:sz w:val="24"/>
          <w:szCs w:val="24"/>
          <w:lang w:val="en-US"/>
        </w:rPr>
        <w:t>Blood Cells, Molecules, and Diseases, 78</w:t>
      </w:r>
      <w:r w:rsidRPr="00AA3740">
        <w:rPr>
          <w:rFonts w:ascii="Times New Roman" w:eastAsia="Times New Roman" w:hAnsi="Times New Roman" w:cs="Times New Roman"/>
          <w:sz w:val="24"/>
          <w:szCs w:val="24"/>
          <w:lang w:val="en-US"/>
        </w:rPr>
        <w:t xml:space="preserve">, 22–28. </w:t>
      </w:r>
      <w:hyperlink r:id="rId34" w:tgtFrame="_new" w:history="1">
        <w:r w:rsidRPr="00AA3740">
          <w:rPr>
            <w:rFonts w:ascii="Times New Roman" w:eastAsia="Times New Roman" w:hAnsi="Times New Roman" w:cs="Times New Roman"/>
            <w:color w:val="0000FF"/>
            <w:sz w:val="24"/>
            <w:szCs w:val="24"/>
            <w:u w:val="single"/>
            <w:lang w:val="en-US"/>
          </w:rPr>
          <w:t>https://doi.org/10.1016/j.bcmd.2019.01.007</w:t>
        </w:r>
      </w:hyperlink>
    </w:p>
    <w:p w14:paraId="11ED1FB0"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Pecker, L. H., &amp; </w:t>
      </w:r>
      <w:proofErr w:type="spellStart"/>
      <w:r w:rsidRPr="00AA3740">
        <w:rPr>
          <w:rFonts w:ascii="Times New Roman" w:eastAsia="Times New Roman" w:hAnsi="Times New Roman" w:cs="Times New Roman"/>
          <w:sz w:val="24"/>
          <w:szCs w:val="24"/>
          <w:lang w:val="en-US"/>
        </w:rPr>
        <w:t>Lanzkron</w:t>
      </w:r>
      <w:proofErr w:type="spellEnd"/>
      <w:r w:rsidRPr="00AA3740">
        <w:rPr>
          <w:rFonts w:ascii="Times New Roman" w:eastAsia="Times New Roman" w:hAnsi="Times New Roman" w:cs="Times New Roman"/>
          <w:sz w:val="24"/>
          <w:szCs w:val="24"/>
          <w:lang w:val="en-US"/>
        </w:rPr>
        <w:t xml:space="preserve">, S. (2021). Sickle cell disease. </w:t>
      </w:r>
      <w:r w:rsidRPr="00AA3740">
        <w:rPr>
          <w:rFonts w:ascii="Times New Roman" w:eastAsia="Times New Roman" w:hAnsi="Times New Roman" w:cs="Times New Roman"/>
          <w:i/>
          <w:iCs/>
          <w:sz w:val="24"/>
          <w:szCs w:val="24"/>
          <w:lang w:val="en-US"/>
        </w:rPr>
        <w:t>Annals of Internal Medicine, 174</w:t>
      </w:r>
      <w:r w:rsidRPr="00AA3740">
        <w:rPr>
          <w:rFonts w:ascii="Times New Roman" w:eastAsia="Times New Roman" w:hAnsi="Times New Roman" w:cs="Times New Roman"/>
          <w:sz w:val="24"/>
          <w:szCs w:val="24"/>
          <w:lang w:val="en-US"/>
        </w:rPr>
        <w:t xml:space="preserve">(1), ITC1–ITC16. </w:t>
      </w:r>
      <w:hyperlink r:id="rId35" w:tgtFrame="_new" w:history="1">
        <w:r w:rsidRPr="00AA3740">
          <w:rPr>
            <w:rFonts w:ascii="Times New Roman" w:eastAsia="Times New Roman" w:hAnsi="Times New Roman" w:cs="Times New Roman"/>
            <w:color w:val="0000FF"/>
            <w:sz w:val="24"/>
            <w:szCs w:val="24"/>
            <w:u w:val="single"/>
            <w:lang w:val="en-US"/>
          </w:rPr>
          <w:t>https://doi.org/10.7326/AITC202101190</w:t>
        </w:r>
      </w:hyperlink>
    </w:p>
    <w:p w14:paraId="50E55AC2"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Piel, F. B., Hay, S. I., Gupta, S., Weatherall, D. J., &amp; Williams, T. N. (2013a). Global burden of sickle cell </w:t>
      </w:r>
      <w:proofErr w:type="spellStart"/>
      <w:r w:rsidRPr="00AA3740">
        <w:rPr>
          <w:rFonts w:ascii="Times New Roman" w:eastAsia="Times New Roman" w:hAnsi="Times New Roman" w:cs="Times New Roman"/>
          <w:sz w:val="24"/>
          <w:szCs w:val="24"/>
          <w:lang w:val="en-US"/>
        </w:rPr>
        <w:t>anaemia</w:t>
      </w:r>
      <w:proofErr w:type="spellEnd"/>
      <w:r w:rsidRPr="00AA3740">
        <w:rPr>
          <w:rFonts w:ascii="Times New Roman" w:eastAsia="Times New Roman" w:hAnsi="Times New Roman" w:cs="Times New Roman"/>
          <w:sz w:val="24"/>
          <w:szCs w:val="24"/>
          <w:lang w:val="en-US"/>
        </w:rPr>
        <w:t xml:space="preserve"> in children under five, 2010–2050: Modelling based on </w:t>
      </w:r>
      <w:r w:rsidRPr="00AA3740">
        <w:rPr>
          <w:rFonts w:ascii="Times New Roman" w:eastAsia="Times New Roman" w:hAnsi="Times New Roman" w:cs="Times New Roman"/>
          <w:sz w:val="24"/>
          <w:szCs w:val="24"/>
          <w:lang w:val="en-US"/>
        </w:rPr>
        <w:lastRenderedPageBreak/>
        <w:t xml:space="preserve">demographics, excess mortality, and interventions. </w:t>
      </w:r>
      <w:r w:rsidRPr="00AA3740">
        <w:rPr>
          <w:rFonts w:ascii="Times New Roman" w:eastAsia="Times New Roman" w:hAnsi="Times New Roman" w:cs="Times New Roman"/>
          <w:i/>
          <w:iCs/>
          <w:sz w:val="24"/>
          <w:szCs w:val="24"/>
          <w:lang w:val="en-US"/>
        </w:rPr>
        <w:t>PLOS Medicine, 10</w:t>
      </w:r>
      <w:r w:rsidRPr="00AA3740">
        <w:rPr>
          <w:rFonts w:ascii="Times New Roman" w:eastAsia="Times New Roman" w:hAnsi="Times New Roman" w:cs="Times New Roman"/>
          <w:sz w:val="24"/>
          <w:szCs w:val="24"/>
          <w:lang w:val="en-US"/>
        </w:rPr>
        <w:t xml:space="preserve">(7), Article e1001484. </w:t>
      </w:r>
      <w:hyperlink r:id="rId36" w:tgtFrame="_new" w:history="1">
        <w:r w:rsidRPr="00AA3740">
          <w:rPr>
            <w:rFonts w:ascii="Times New Roman" w:eastAsia="Times New Roman" w:hAnsi="Times New Roman" w:cs="Times New Roman"/>
            <w:color w:val="0000FF"/>
            <w:sz w:val="24"/>
            <w:szCs w:val="24"/>
            <w:u w:val="single"/>
            <w:lang w:val="en-US"/>
          </w:rPr>
          <w:t>https://doi.org/10.1371/journal.pmed.1001484</w:t>
        </w:r>
      </w:hyperlink>
    </w:p>
    <w:p w14:paraId="09D7AAAF"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Piel, F. B., Patil, A. P., Howes, R. E., </w:t>
      </w:r>
      <w:proofErr w:type="spellStart"/>
      <w:r w:rsidRPr="00AA3740">
        <w:rPr>
          <w:rFonts w:ascii="Times New Roman" w:eastAsia="Times New Roman" w:hAnsi="Times New Roman" w:cs="Times New Roman"/>
          <w:sz w:val="24"/>
          <w:szCs w:val="24"/>
          <w:lang w:val="en-US"/>
        </w:rPr>
        <w:t>Nyangiri</w:t>
      </w:r>
      <w:proofErr w:type="spellEnd"/>
      <w:r w:rsidRPr="00AA3740">
        <w:rPr>
          <w:rFonts w:ascii="Times New Roman" w:eastAsia="Times New Roman" w:hAnsi="Times New Roman" w:cs="Times New Roman"/>
          <w:sz w:val="24"/>
          <w:szCs w:val="24"/>
          <w:lang w:val="en-US"/>
        </w:rPr>
        <w:t xml:space="preserve">, O. A., Gething, P. W., Dewi, M., Temperley, W. H., Williams, T. N., Weatherall, D. J., &amp; Hay, S. I. (2013b). Global epidemiology of sickle </w:t>
      </w:r>
      <w:proofErr w:type="spellStart"/>
      <w:r w:rsidRPr="00AA3740">
        <w:rPr>
          <w:rFonts w:ascii="Times New Roman" w:eastAsia="Times New Roman" w:hAnsi="Times New Roman" w:cs="Times New Roman"/>
          <w:sz w:val="24"/>
          <w:szCs w:val="24"/>
          <w:lang w:val="en-US"/>
        </w:rPr>
        <w:t>haemoglobin</w:t>
      </w:r>
      <w:proofErr w:type="spellEnd"/>
      <w:r w:rsidRPr="00AA3740">
        <w:rPr>
          <w:rFonts w:ascii="Times New Roman" w:eastAsia="Times New Roman" w:hAnsi="Times New Roman" w:cs="Times New Roman"/>
          <w:sz w:val="24"/>
          <w:szCs w:val="24"/>
          <w:lang w:val="en-US"/>
        </w:rPr>
        <w:t xml:space="preserve"> in neonates: A contemporary geostatistical model-based map and population estimates. </w:t>
      </w:r>
      <w:r w:rsidRPr="00AA3740">
        <w:rPr>
          <w:rFonts w:ascii="Times New Roman" w:eastAsia="Times New Roman" w:hAnsi="Times New Roman" w:cs="Times New Roman"/>
          <w:i/>
          <w:iCs/>
          <w:sz w:val="24"/>
          <w:szCs w:val="24"/>
          <w:lang w:val="en-US"/>
        </w:rPr>
        <w:t>The Lancet, 381</w:t>
      </w:r>
      <w:r w:rsidRPr="00AA3740">
        <w:rPr>
          <w:rFonts w:ascii="Times New Roman" w:eastAsia="Times New Roman" w:hAnsi="Times New Roman" w:cs="Times New Roman"/>
          <w:sz w:val="24"/>
          <w:szCs w:val="24"/>
          <w:lang w:val="en-US"/>
        </w:rPr>
        <w:t xml:space="preserve">(9861), 142–151. </w:t>
      </w:r>
      <w:hyperlink r:id="rId37" w:tgtFrame="_new" w:history="1">
        <w:r w:rsidRPr="00AA3740">
          <w:rPr>
            <w:rFonts w:ascii="Times New Roman" w:eastAsia="Times New Roman" w:hAnsi="Times New Roman" w:cs="Times New Roman"/>
            <w:color w:val="0000FF"/>
            <w:sz w:val="24"/>
            <w:szCs w:val="24"/>
            <w:u w:val="single"/>
            <w:lang w:val="en-US"/>
          </w:rPr>
          <w:t>https://doi.org/10.1016/S0140-6736(12)61229-X</w:t>
        </w:r>
      </w:hyperlink>
    </w:p>
    <w:p w14:paraId="31BBA5C3"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Piel, F. B., Steinberg, M. H., &amp; Rees, D. C. (2017). Sickle cell disease. </w:t>
      </w:r>
      <w:r w:rsidRPr="00AA3740">
        <w:rPr>
          <w:rFonts w:ascii="Times New Roman" w:eastAsia="Times New Roman" w:hAnsi="Times New Roman" w:cs="Times New Roman"/>
          <w:i/>
          <w:iCs/>
          <w:sz w:val="24"/>
          <w:szCs w:val="24"/>
          <w:lang w:val="en-US"/>
        </w:rPr>
        <w:t>New England Journal of Medicine, 376</w:t>
      </w:r>
      <w:r w:rsidRPr="00AA3740">
        <w:rPr>
          <w:rFonts w:ascii="Times New Roman" w:eastAsia="Times New Roman" w:hAnsi="Times New Roman" w:cs="Times New Roman"/>
          <w:sz w:val="24"/>
          <w:szCs w:val="24"/>
          <w:lang w:val="en-US"/>
        </w:rPr>
        <w:t xml:space="preserve">(16), 1561–1573. </w:t>
      </w:r>
      <w:hyperlink r:id="rId38" w:tgtFrame="_new" w:history="1">
        <w:r w:rsidRPr="00AA3740">
          <w:rPr>
            <w:rFonts w:ascii="Times New Roman" w:eastAsia="Times New Roman" w:hAnsi="Times New Roman" w:cs="Times New Roman"/>
            <w:color w:val="0000FF"/>
            <w:sz w:val="24"/>
            <w:szCs w:val="24"/>
            <w:u w:val="single"/>
            <w:lang w:val="en-US"/>
          </w:rPr>
          <w:t>https://doi.org/10.1056/NEJMra1510865</w:t>
        </w:r>
      </w:hyperlink>
    </w:p>
    <w:p w14:paraId="06D2E76F"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AA3740">
        <w:rPr>
          <w:rFonts w:ascii="Times New Roman" w:eastAsia="Times New Roman" w:hAnsi="Times New Roman" w:cs="Times New Roman"/>
          <w:sz w:val="24"/>
          <w:szCs w:val="24"/>
          <w:lang w:val="en-US"/>
        </w:rPr>
        <w:t>Ribeil</w:t>
      </w:r>
      <w:proofErr w:type="spellEnd"/>
      <w:r w:rsidRPr="00AA3740">
        <w:rPr>
          <w:rFonts w:ascii="Times New Roman" w:eastAsia="Times New Roman" w:hAnsi="Times New Roman" w:cs="Times New Roman"/>
          <w:sz w:val="24"/>
          <w:szCs w:val="24"/>
          <w:lang w:val="en-US"/>
        </w:rPr>
        <w:t xml:space="preserve">, J. A., </w:t>
      </w:r>
      <w:proofErr w:type="spellStart"/>
      <w:r w:rsidRPr="00AA3740">
        <w:rPr>
          <w:rFonts w:ascii="Times New Roman" w:eastAsia="Times New Roman" w:hAnsi="Times New Roman" w:cs="Times New Roman"/>
          <w:sz w:val="24"/>
          <w:szCs w:val="24"/>
          <w:lang w:val="en-US"/>
        </w:rPr>
        <w:t>Hacein</w:t>
      </w:r>
      <w:proofErr w:type="spellEnd"/>
      <w:r w:rsidRPr="00AA3740">
        <w:rPr>
          <w:rFonts w:ascii="Times New Roman" w:eastAsia="Times New Roman" w:hAnsi="Times New Roman" w:cs="Times New Roman"/>
          <w:sz w:val="24"/>
          <w:szCs w:val="24"/>
          <w:lang w:val="en-US"/>
        </w:rPr>
        <w:t xml:space="preserve">-Bey-Abina, S., Payen, E., Magnani, A., Semeraro, M., Magrin, E., </w:t>
      </w:r>
      <w:proofErr w:type="spellStart"/>
      <w:r w:rsidRPr="00AA3740">
        <w:rPr>
          <w:rFonts w:ascii="Times New Roman" w:eastAsia="Times New Roman" w:hAnsi="Times New Roman" w:cs="Times New Roman"/>
          <w:sz w:val="24"/>
          <w:szCs w:val="24"/>
          <w:lang w:val="en-US"/>
        </w:rPr>
        <w:t>Caccavelli</w:t>
      </w:r>
      <w:proofErr w:type="spellEnd"/>
      <w:r w:rsidRPr="00AA3740">
        <w:rPr>
          <w:rFonts w:ascii="Times New Roman" w:eastAsia="Times New Roman" w:hAnsi="Times New Roman" w:cs="Times New Roman"/>
          <w:sz w:val="24"/>
          <w:szCs w:val="24"/>
          <w:lang w:val="en-US"/>
        </w:rPr>
        <w:t xml:space="preserve">, L., Neven, B., Bourget, P., El Nemer, W., Bartolucci, P., Weber, L., Puy, H., </w:t>
      </w:r>
      <w:proofErr w:type="spellStart"/>
      <w:r w:rsidRPr="00AA3740">
        <w:rPr>
          <w:rFonts w:ascii="Times New Roman" w:eastAsia="Times New Roman" w:hAnsi="Times New Roman" w:cs="Times New Roman"/>
          <w:sz w:val="24"/>
          <w:szCs w:val="24"/>
          <w:lang w:val="en-US"/>
        </w:rPr>
        <w:t>Méritet</w:t>
      </w:r>
      <w:proofErr w:type="spellEnd"/>
      <w:r w:rsidRPr="00AA3740">
        <w:rPr>
          <w:rFonts w:ascii="Times New Roman" w:eastAsia="Times New Roman" w:hAnsi="Times New Roman" w:cs="Times New Roman"/>
          <w:sz w:val="24"/>
          <w:szCs w:val="24"/>
          <w:lang w:val="en-US"/>
        </w:rPr>
        <w:t xml:space="preserve">, J.-F., </w:t>
      </w:r>
      <w:proofErr w:type="spellStart"/>
      <w:r w:rsidRPr="00AA3740">
        <w:rPr>
          <w:rFonts w:ascii="Times New Roman" w:eastAsia="Times New Roman" w:hAnsi="Times New Roman" w:cs="Times New Roman"/>
          <w:sz w:val="24"/>
          <w:szCs w:val="24"/>
          <w:lang w:val="en-US"/>
        </w:rPr>
        <w:t>Grevent</w:t>
      </w:r>
      <w:proofErr w:type="spellEnd"/>
      <w:r w:rsidRPr="00AA3740">
        <w:rPr>
          <w:rFonts w:ascii="Times New Roman" w:eastAsia="Times New Roman" w:hAnsi="Times New Roman" w:cs="Times New Roman"/>
          <w:sz w:val="24"/>
          <w:szCs w:val="24"/>
          <w:lang w:val="en-US"/>
        </w:rPr>
        <w:t xml:space="preserve">, D., </w:t>
      </w:r>
      <w:proofErr w:type="spellStart"/>
      <w:r w:rsidRPr="00AA3740">
        <w:rPr>
          <w:rFonts w:ascii="Times New Roman" w:eastAsia="Times New Roman" w:hAnsi="Times New Roman" w:cs="Times New Roman"/>
          <w:sz w:val="24"/>
          <w:szCs w:val="24"/>
          <w:lang w:val="en-US"/>
        </w:rPr>
        <w:t>Beuzard</w:t>
      </w:r>
      <w:proofErr w:type="spellEnd"/>
      <w:r w:rsidRPr="00AA3740">
        <w:rPr>
          <w:rFonts w:ascii="Times New Roman" w:eastAsia="Times New Roman" w:hAnsi="Times New Roman" w:cs="Times New Roman"/>
          <w:sz w:val="24"/>
          <w:szCs w:val="24"/>
          <w:lang w:val="en-US"/>
        </w:rPr>
        <w:t xml:space="preserve">, Y., Chrétien, S., Lefebvre, T., Ross, R. W., … </w:t>
      </w:r>
      <w:proofErr w:type="spellStart"/>
      <w:r w:rsidRPr="00AA3740">
        <w:rPr>
          <w:rFonts w:ascii="Times New Roman" w:eastAsia="Times New Roman" w:hAnsi="Times New Roman" w:cs="Times New Roman"/>
          <w:sz w:val="24"/>
          <w:szCs w:val="24"/>
          <w:lang w:val="en-US"/>
        </w:rPr>
        <w:t>Cavazzana</w:t>
      </w:r>
      <w:proofErr w:type="spellEnd"/>
      <w:r w:rsidRPr="00AA3740">
        <w:rPr>
          <w:rFonts w:ascii="Times New Roman" w:eastAsia="Times New Roman" w:hAnsi="Times New Roman" w:cs="Times New Roman"/>
          <w:sz w:val="24"/>
          <w:szCs w:val="24"/>
          <w:lang w:val="en-US"/>
        </w:rPr>
        <w:t xml:space="preserve">, M. (2017). Gene therapy in a patient with sickle cell disease. </w:t>
      </w:r>
      <w:r w:rsidRPr="00AA3740">
        <w:rPr>
          <w:rFonts w:ascii="Times New Roman" w:eastAsia="Times New Roman" w:hAnsi="Times New Roman" w:cs="Times New Roman"/>
          <w:i/>
          <w:iCs/>
          <w:sz w:val="24"/>
          <w:szCs w:val="24"/>
          <w:lang w:val="en-US"/>
        </w:rPr>
        <w:t>New England Journal of Medicine, 376</w:t>
      </w:r>
      <w:r w:rsidRPr="00AA3740">
        <w:rPr>
          <w:rFonts w:ascii="Times New Roman" w:eastAsia="Times New Roman" w:hAnsi="Times New Roman" w:cs="Times New Roman"/>
          <w:sz w:val="24"/>
          <w:szCs w:val="24"/>
          <w:lang w:val="en-US"/>
        </w:rPr>
        <w:t xml:space="preserve">(9), 848–855. </w:t>
      </w:r>
      <w:hyperlink r:id="rId39" w:tgtFrame="_new" w:history="1">
        <w:r w:rsidRPr="00AA3740">
          <w:rPr>
            <w:rFonts w:ascii="Times New Roman" w:eastAsia="Times New Roman" w:hAnsi="Times New Roman" w:cs="Times New Roman"/>
            <w:color w:val="0000FF"/>
            <w:sz w:val="24"/>
            <w:szCs w:val="24"/>
            <w:u w:val="single"/>
            <w:lang w:val="en-US"/>
          </w:rPr>
          <w:t>https://doi.org/10.1056/NEJMoa1609677</w:t>
        </w:r>
      </w:hyperlink>
    </w:p>
    <w:p w14:paraId="64054CA3"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Saraf, S. L., </w:t>
      </w:r>
      <w:proofErr w:type="spellStart"/>
      <w:r w:rsidRPr="00AA3740">
        <w:rPr>
          <w:rFonts w:ascii="Times New Roman" w:eastAsia="Times New Roman" w:hAnsi="Times New Roman" w:cs="Times New Roman"/>
          <w:sz w:val="24"/>
          <w:szCs w:val="24"/>
          <w:lang w:val="en-US"/>
        </w:rPr>
        <w:t>Molokie</w:t>
      </w:r>
      <w:proofErr w:type="spellEnd"/>
      <w:r w:rsidRPr="00AA3740">
        <w:rPr>
          <w:rFonts w:ascii="Times New Roman" w:eastAsia="Times New Roman" w:hAnsi="Times New Roman" w:cs="Times New Roman"/>
          <w:sz w:val="24"/>
          <w:szCs w:val="24"/>
          <w:lang w:val="en-US"/>
        </w:rPr>
        <w:t xml:space="preserve">, R. E., </w:t>
      </w:r>
      <w:proofErr w:type="spellStart"/>
      <w:r w:rsidRPr="00AA3740">
        <w:rPr>
          <w:rFonts w:ascii="Times New Roman" w:eastAsia="Times New Roman" w:hAnsi="Times New Roman" w:cs="Times New Roman"/>
          <w:sz w:val="24"/>
          <w:szCs w:val="24"/>
          <w:lang w:val="en-US"/>
        </w:rPr>
        <w:t>Nouraie</w:t>
      </w:r>
      <w:proofErr w:type="spellEnd"/>
      <w:r w:rsidRPr="00AA3740">
        <w:rPr>
          <w:rFonts w:ascii="Times New Roman" w:eastAsia="Times New Roman" w:hAnsi="Times New Roman" w:cs="Times New Roman"/>
          <w:sz w:val="24"/>
          <w:szCs w:val="24"/>
          <w:lang w:val="en-US"/>
        </w:rPr>
        <w:t xml:space="preserve">, M., Sable, C. A., Luchtman-Jones, L., Ensing, G. J., Campbell, A. D., Rana, S. R., Niu, X. M., Machado, R. F., Gladwin, M. T., &amp; </w:t>
      </w:r>
      <w:proofErr w:type="spellStart"/>
      <w:r w:rsidRPr="00AA3740">
        <w:rPr>
          <w:rFonts w:ascii="Times New Roman" w:eastAsia="Times New Roman" w:hAnsi="Times New Roman" w:cs="Times New Roman"/>
          <w:sz w:val="24"/>
          <w:szCs w:val="24"/>
          <w:lang w:val="en-US"/>
        </w:rPr>
        <w:t>Gordeuk</w:t>
      </w:r>
      <w:proofErr w:type="spellEnd"/>
      <w:r w:rsidRPr="00AA3740">
        <w:rPr>
          <w:rFonts w:ascii="Times New Roman" w:eastAsia="Times New Roman" w:hAnsi="Times New Roman" w:cs="Times New Roman"/>
          <w:sz w:val="24"/>
          <w:szCs w:val="24"/>
          <w:lang w:val="en-US"/>
        </w:rPr>
        <w:t xml:space="preserve">, V. R. (2014). Differences in the clinical and genotypic presentation of sickle cell disease around the world. </w:t>
      </w:r>
      <w:proofErr w:type="spellStart"/>
      <w:r w:rsidRPr="00AA3740">
        <w:rPr>
          <w:rFonts w:ascii="Times New Roman" w:eastAsia="Times New Roman" w:hAnsi="Times New Roman" w:cs="Times New Roman"/>
          <w:i/>
          <w:iCs/>
          <w:sz w:val="24"/>
          <w:szCs w:val="24"/>
          <w:lang w:val="en-US"/>
        </w:rPr>
        <w:t>Paediatric</w:t>
      </w:r>
      <w:proofErr w:type="spellEnd"/>
      <w:r w:rsidRPr="00AA3740">
        <w:rPr>
          <w:rFonts w:ascii="Times New Roman" w:eastAsia="Times New Roman" w:hAnsi="Times New Roman" w:cs="Times New Roman"/>
          <w:i/>
          <w:iCs/>
          <w:sz w:val="24"/>
          <w:szCs w:val="24"/>
          <w:lang w:val="en-US"/>
        </w:rPr>
        <w:t xml:space="preserve"> Respiratory Reviews, 15</w:t>
      </w:r>
      <w:r w:rsidRPr="00AA3740">
        <w:rPr>
          <w:rFonts w:ascii="Times New Roman" w:eastAsia="Times New Roman" w:hAnsi="Times New Roman" w:cs="Times New Roman"/>
          <w:sz w:val="24"/>
          <w:szCs w:val="24"/>
          <w:lang w:val="en-US"/>
        </w:rPr>
        <w:t xml:space="preserve">(1), 4–12. </w:t>
      </w:r>
      <w:hyperlink r:id="rId40" w:tgtFrame="_new" w:history="1">
        <w:r w:rsidRPr="00AA3740">
          <w:rPr>
            <w:rFonts w:ascii="Times New Roman" w:eastAsia="Times New Roman" w:hAnsi="Times New Roman" w:cs="Times New Roman"/>
            <w:color w:val="0000FF"/>
            <w:sz w:val="24"/>
            <w:szCs w:val="24"/>
            <w:u w:val="single"/>
            <w:lang w:val="en-US"/>
          </w:rPr>
          <w:t>https://doi.org/10.1016/j.prrv.2013.11.003</w:t>
        </w:r>
      </w:hyperlink>
    </w:p>
    <w:p w14:paraId="3A59F5B6"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Streetly, A., Sisodia, R., Dick, M., </w:t>
      </w:r>
      <w:proofErr w:type="spellStart"/>
      <w:r w:rsidRPr="00AA3740">
        <w:rPr>
          <w:rFonts w:ascii="Times New Roman" w:eastAsia="Times New Roman" w:hAnsi="Times New Roman" w:cs="Times New Roman"/>
          <w:sz w:val="24"/>
          <w:szCs w:val="24"/>
          <w:lang w:val="en-US"/>
        </w:rPr>
        <w:t>Latinovic</w:t>
      </w:r>
      <w:proofErr w:type="spellEnd"/>
      <w:r w:rsidRPr="00AA3740">
        <w:rPr>
          <w:rFonts w:ascii="Times New Roman" w:eastAsia="Times New Roman" w:hAnsi="Times New Roman" w:cs="Times New Roman"/>
          <w:sz w:val="24"/>
          <w:szCs w:val="24"/>
          <w:lang w:val="en-US"/>
        </w:rPr>
        <w:t xml:space="preserve">, R., Hounsell, K., &amp; </w:t>
      </w:r>
      <w:proofErr w:type="spellStart"/>
      <w:r w:rsidRPr="00AA3740">
        <w:rPr>
          <w:rFonts w:ascii="Times New Roman" w:eastAsia="Times New Roman" w:hAnsi="Times New Roman" w:cs="Times New Roman"/>
          <w:sz w:val="24"/>
          <w:szCs w:val="24"/>
          <w:lang w:val="en-US"/>
        </w:rPr>
        <w:t>Dormandy</w:t>
      </w:r>
      <w:proofErr w:type="spellEnd"/>
      <w:r w:rsidRPr="00AA3740">
        <w:rPr>
          <w:rFonts w:ascii="Times New Roman" w:eastAsia="Times New Roman" w:hAnsi="Times New Roman" w:cs="Times New Roman"/>
          <w:sz w:val="24"/>
          <w:szCs w:val="24"/>
          <w:lang w:val="en-US"/>
        </w:rPr>
        <w:t xml:space="preserve">, E. (2018). Evaluation of newborn sickle cell screening </w:t>
      </w:r>
      <w:proofErr w:type="spellStart"/>
      <w:r w:rsidRPr="00AA3740">
        <w:rPr>
          <w:rFonts w:ascii="Times New Roman" w:eastAsia="Times New Roman" w:hAnsi="Times New Roman" w:cs="Times New Roman"/>
          <w:sz w:val="24"/>
          <w:szCs w:val="24"/>
          <w:lang w:val="en-US"/>
        </w:rPr>
        <w:t>programme</w:t>
      </w:r>
      <w:proofErr w:type="spellEnd"/>
      <w:r w:rsidRPr="00AA3740">
        <w:rPr>
          <w:rFonts w:ascii="Times New Roman" w:eastAsia="Times New Roman" w:hAnsi="Times New Roman" w:cs="Times New Roman"/>
          <w:sz w:val="24"/>
          <w:szCs w:val="24"/>
          <w:lang w:val="en-US"/>
        </w:rPr>
        <w:t xml:space="preserve"> in England: 2010–2016. </w:t>
      </w:r>
      <w:r w:rsidRPr="00AA3740">
        <w:rPr>
          <w:rFonts w:ascii="Times New Roman" w:eastAsia="Times New Roman" w:hAnsi="Times New Roman" w:cs="Times New Roman"/>
          <w:i/>
          <w:iCs/>
          <w:sz w:val="24"/>
          <w:szCs w:val="24"/>
          <w:lang w:val="en-US"/>
        </w:rPr>
        <w:t>Archives of Disease in Childhood, 103</w:t>
      </w:r>
      <w:r w:rsidRPr="00AA3740">
        <w:rPr>
          <w:rFonts w:ascii="Times New Roman" w:eastAsia="Times New Roman" w:hAnsi="Times New Roman" w:cs="Times New Roman"/>
          <w:sz w:val="24"/>
          <w:szCs w:val="24"/>
          <w:lang w:val="en-US"/>
        </w:rPr>
        <w:t xml:space="preserve">(7), 648–653. </w:t>
      </w:r>
      <w:hyperlink r:id="rId41" w:tgtFrame="_new" w:history="1">
        <w:r w:rsidRPr="00AA3740">
          <w:rPr>
            <w:rFonts w:ascii="Times New Roman" w:eastAsia="Times New Roman" w:hAnsi="Times New Roman" w:cs="Times New Roman"/>
            <w:color w:val="0000FF"/>
            <w:sz w:val="24"/>
            <w:szCs w:val="24"/>
            <w:u w:val="single"/>
            <w:lang w:val="en-US"/>
          </w:rPr>
          <w:t>https://doi.org/10.1136/archdischild-2017-313213</w:t>
        </w:r>
      </w:hyperlink>
    </w:p>
    <w:p w14:paraId="2834218F"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AA3740">
        <w:rPr>
          <w:rFonts w:ascii="Times New Roman" w:eastAsia="Times New Roman" w:hAnsi="Times New Roman" w:cs="Times New Roman"/>
          <w:sz w:val="24"/>
          <w:szCs w:val="24"/>
          <w:lang w:val="en-US"/>
        </w:rPr>
        <w:t>Sundd</w:t>
      </w:r>
      <w:proofErr w:type="spellEnd"/>
      <w:r w:rsidRPr="00AA3740">
        <w:rPr>
          <w:rFonts w:ascii="Times New Roman" w:eastAsia="Times New Roman" w:hAnsi="Times New Roman" w:cs="Times New Roman"/>
          <w:sz w:val="24"/>
          <w:szCs w:val="24"/>
          <w:lang w:val="en-US"/>
        </w:rPr>
        <w:t xml:space="preserve">, P., Gladwin, M. T., &amp; Novelli, E. M. (2019). Pathophysiology of sickle cell disease. </w:t>
      </w:r>
      <w:r w:rsidRPr="00AA3740">
        <w:rPr>
          <w:rFonts w:ascii="Times New Roman" w:eastAsia="Times New Roman" w:hAnsi="Times New Roman" w:cs="Times New Roman"/>
          <w:i/>
          <w:iCs/>
          <w:sz w:val="24"/>
          <w:szCs w:val="24"/>
          <w:lang w:val="en-US"/>
        </w:rPr>
        <w:t>Annual Review of Pathology: Mechanisms of Disease, 14</w:t>
      </w:r>
      <w:r w:rsidRPr="00AA3740">
        <w:rPr>
          <w:rFonts w:ascii="Times New Roman" w:eastAsia="Times New Roman" w:hAnsi="Times New Roman" w:cs="Times New Roman"/>
          <w:sz w:val="24"/>
          <w:szCs w:val="24"/>
          <w:lang w:val="en-US"/>
        </w:rPr>
        <w:t xml:space="preserve">, 263–292. </w:t>
      </w:r>
      <w:hyperlink r:id="rId42" w:tgtFrame="_new" w:history="1">
        <w:r w:rsidRPr="00AA3740">
          <w:rPr>
            <w:rFonts w:ascii="Times New Roman" w:eastAsia="Times New Roman" w:hAnsi="Times New Roman" w:cs="Times New Roman"/>
            <w:color w:val="0000FF"/>
            <w:sz w:val="24"/>
            <w:szCs w:val="24"/>
            <w:u w:val="single"/>
            <w:lang w:val="en-US"/>
          </w:rPr>
          <w:t>https://doi.org/10.1146/annurev-pathmechdis-012418-012838</w:t>
        </w:r>
      </w:hyperlink>
    </w:p>
    <w:p w14:paraId="72F827A3"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Therrell, B. L., Padilla, C. D., Loeber, J. G., Kneisser, I., Saadallah, A., </w:t>
      </w:r>
      <w:proofErr w:type="spellStart"/>
      <w:r w:rsidRPr="00AA3740">
        <w:rPr>
          <w:rFonts w:ascii="Times New Roman" w:eastAsia="Times New Roman" w:hAnsi="Times New Roman" w:cs="Times New Roman"/>
          <w:sz w:val="24"/>
          <w:szCs w:val="24"/>
          <w:lang w:val="en-US"/>
        </w:rPr>
        <w:t>Borrajo</w:t>
      </w:r>
      <w:proofErr w:type="spellEnd"/>
      <w:r w:rsidRPr="00AA3740">
        <w:rPr>
          <w:rFonts w:ascii="Times New Roman" w:eastAsia="Times New Roman" w:hAnsi="Times New Roman" w:cs="Times New Roman"/>
          <w:sz w:val="24"/>
          <w:szCs w:val="24"/>
          <w:lang w:val="en-US"/>
        </w:rPr>
        <w:t xml:space="preserve">, G. J. C., &amp; Adams, J. (2015). Current status of newborn screening worldwide: 2015. </w:t>
      </w:r>
      <w:r w:rsidRPr="00AA3740">
        <w:rPr>
          <w:rFonts w:ascii="Times New Roman" w:eastAsia="Times New Roman" w:hAnsi="Times New Roman" w:cs="Times New Roman"/>
          <w:i/>
          <w:iCs/>
          <w:sz w:val="24"/>
          <w:szCs w:val="24"/>
          <w:lang w:val="en-US"/>
        </w:rPr>
        <w:t>Seminars in Perinatology, 39</w:t>
      </w:r>
      <w:r w:rsidRPr="00AA3740">
        <w:rPr>
          <w:rFonts w:ascii="Times New Roman" w:eastAsia="Times New Roman" w:hAnsi="Times New Roman" w:cs="Times New Roman"/>
          <w:sz w:val="24"/>
          <w:szCs w:val="24"/>
          <w:lang w:val="en-US"/>
        </w:rPr>
        <w:t xml:space="preserve">(3), 171–187. </w:t>
      </w:r>
      <w:hyperlink r:id="rId43" w:tgtFrame="_new" w:history="1">
        <w:r w:rsidRPr="00AA3740">
          <w:rPr>
            <w:rFonts w:ascii="Times New Roman" w:eastAsia="Times New Roman" w:hAnsi="Times New Roman" w:cs="Times New Roman"/>
            <w:color w:val="0000FF"/>
            <w:sz w:val="24"/>
            <w:szCs w:val="24"/>
            <w:u w:val="single"/>
            <w:lang w:val="en-US"/>
          </w:rPr>
          <w:t>https://doi.org/10.1053/j.semperi.2015.03.002</w:t>
        </w:r>
      </w:hyperlink>
    </w:p>
    <w:p w14:paraId="35159D5D"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Tisdale, J. F., Thein, S. L., &amp; Eaton, W. A. (2020). Treating sickle cell anemia. </w:t>
      </w:r>
      <w:r w:rsidRPr="00AA3740">
        <w:rPr>
          <w:rFonts w:ascii="Times New Roman" w:eastAsia="Times New Roman" w:hAnsi="Times New Roman" w:cs="Times New Roman"/>
          <w:i/>
          <w:iCs/>
          <w:sz w:val="24"/>
          <w:szCs w:val="24"/>
          <w:lang w:val="en-US"/>
        </w:rPr>
        <w:t>Science, 367</w:t>
      </w:r>
      <w:r w:rsidRPr="00AA3740">
        <w:rPr>
          <w:rFonts w:ascii="Times New Roman" w:eastAsia="Times New Roman" w:hAnsi="Times New Roman" w:cs="Times New Roman"/>
          <w:sz w:val="24"/>
          <w:szCs w:val="24"/>
          <w:lang w:val="en-US"/>
        </w:rPr>
        <w:t xml:space="preserve">(6483), 1198–1199. </w:t>
      </w:r>
      <w:hyperlink r:id="rId44" w:tgtFrame="_new" w:history="1">
        <w:r w:rsidRPr="00AA3740">
          <w:rPr>
            <w:rFonts w:ascii="Times New Roman" w:eastAsia="Times New Roman" w:hAnsi="Times New Roman" w:cs="Times New Roman"/>
            <w:color w:val="0000FF"/>
            <w:sz w:val="24"/>
            <w:szCs w:val="24"/>
            <w:u w:val="single"/>
            <w:lang w:val="en-US"/>
          </w:rPr>
          <w:t>https://doi.org/10.1126/science.aba3827</w:t>
        </w:r>
      </w:hyperlink>
    </w:p>
    <w:p w14:paraId="1942CA16"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proofErr w:type="spellStart"/>
      <w:r w:rsidRPr="00AA3740">
        <w:rPr>
          <w:rFonts w:ascii="Times New Roman" w:eastAsia="Times New Roman" w:hAnsi="Times New Roman" w:cs="Times New Roman"/>
          <w:sz w:val="24"/>
          <w:szCs w:val="24"/>
          <w:lang w:val="en-US"/>
        </w:rPr>
        <w:t>Tluway</w:t>
      </w:r>
      <w:proofErr w:type="spellEnd"/>
      <w:r w:rsidRPr="00AA3740">
        <w:rPr>
          <w:rFonts w:ascii="Times New Roman" w:eastAsia="Times New Roman" w:hAnsi="Times New Roman" w:cs="Times New Roman"/>
          <w:sz w:val="24"/>
          <w:szCs w:val="24"/>
          <w:lang w:val="en-US"/>
        </w:rPr>
        <w:t xml:space="preserve">, F., &amp; Makani, J. (2017). Sickle cell disease in Africa: An overview of the integrated approach to health, research, education and advocacy in Tanzania, 2004–2016. </w:t>
      </w:r>
      <w:r w:rsidRPr="00AA3740">
        <w:rPr>
          <w:rFonts w:ascii="Times New Roman" w:eastAsia="Times New Roman" w:hAnsi="Times New Roman" w:cs="Times New Roman"/>
          <w:i/>
          <w:iCs/>
          <w:sz w:val="24"/>
          <w:szCs w:val="24"/>
          <w:lang w:val="en-US"/>
        </w:rPr>
        <w:t xml:space="preserve">British Journal of </w:t>
      </w:r>
      <w:proofErr w:type="spellStart"/>
      <w:r w:rsidRPr="00AA3740">
        <w:rPr>
          <w:rFonts w:ascii="Times New Roman" w:eastAsia="Times New Roman" w:hAnsi="Times New Roman" w:cs="Times New Roman"/>
          <w:i/>
          <w:iCs/>
          <w:sz w:val="24"/>
          <w:szCs w:val="24"/>
          <w:lang w:val="en-US"/>
        </w:rPr>
        <w:t>Haematology</w:t>
      </w:r>
      <w:proofErr w:type="spellEnd"/>
      <w:r w:rsidRPr="00AA3740">
        <w:rPr>
          <w:rFonts w:ascii="Times New Roman" w:eastAsia="Times New Roman" w:hAnsi="Times New Roman" w:cs="Times New Roman"/>
          <w:i/>
          <w:iCs/>
          <w:sz w:val="24"/>
          <w:szCs w:val="24"/>
          <w:lang w:val="en-US"/>
        </w:rPr>
        <w:t>, 177</w:t>
      </w:r>
      <w:r w:rsidRPr="00AA3740">
        <w:rPr>
          <w:rFonts w:ascii="Times New Roman" w:eastAsia="Times New Roman" w:hAnsi="Times New Roman" w:cs="Times New Roman"/>
          <w:sz w:val="24"/>
          <w:szCs w:val="24"/>
          <w:lang w:val="en-US"/>
        </w:rPr>
        <w:t xml:space="preserve">(6), 919–929. </w:t>
      </w:r>
      <w:hyperlink r:id="rId45" w:tgtFrame="_new" w:history="1">
        <w:r w:rsidRPr="00AA3740">
          <w:rPr>
            <w:rFonts w:ascii="Times New Roman" w:eastAsia="Times New Roman" w:hAnsi="Times New Roman" w:cs="Times New Roman"/>
            <w:color w:val="0000FF"/>
            <w:sz w:val="24"/>
            <w:szCs w:val="24"/>
            <w:u w:val="single"/>
            <w:lang w:val="en-US"/>
          </w:rPr>
          <w:t>https://doi.org/10.1111/bjh.14594</w:t>
        </w:r>
      </w:hyperlink>
    </w:p>
    <w:p w14:paraId="324F648B"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Vichinsky, E. P., Neumayr, L. D., Earles, A. N., Williams, R., Lennette, E. T., Dean, D., Nickerson, B., </w:t>
      </w:r>
      <w:proofErr w:type="spellStart"/>
      <w:r w:rsidRPr="00AA3740">
        <w:rPr>
          <w:rFonts w:ascii="Times New Roman" w:eastAsia="Times New Roman" w:hAnsi="Times New Roman" w:cs="Times New Roman"/>
          <w:sz w:val="24"/>
          <w:szCs w:val="24"/>
          <w:lang w:val="en-US"/>
        </w:rPr>
        <w:t>Orringer</w:t>
      </w:r>
      <w:proofErr w:type="spellEnd"/>
      <w:r w:rsidRPr="00AA3740">
        <w:rPr>
          <w:rFonts w:ascii="Times New Roman" w:eastAsia="Times New Roman" w:hAnsi="Times New Roman" w:cs="Times New Roman"/>
          <w:sz w:val="24"/>
          <w:szCs w:val="24"/>
          <w:lang w:val="en-US"/>
        </w:rPr>
        <w:t xml:space="preserve">, E., McKie, V., Bellevue, R., Daeschner, C., Manci, E. A., &amp; National Acute Chest Syndrome Study Group. (2000). Causes and outcomes of the acute chest syndrome in sickle cell disease. </w:t>
      </w:r>
      <w:r w:rsidRPr="00AA3740">
        <w:rPr>
          <w:rFonts w:ascii="Times New Roman" w:eastAsia="Times New Roman" w:hAnsi="Times New Roman" w:cs="Times New Roman"/>
          <w:i/>
          <w:iCs/>
          <w:sz w:val="24"/>
          <w:szCs w:val="24"/>
          <w:lang w:val="en-US"/>
        </w:rPr>
        <w:t>New England Journal of Medicine, 342</w:t>
      </w:r>
      <w:r w:rsidRPr="00AA3740">
        <w:rPr>
          <w:rFonts w:ascii="Times New Roman" w:eastAsia="Times New Roman" w:hAnsi="Times New Roman" w:cs="Times New Roman"/>
          <w:sz w:val="24"/>
          <w:szCs w:val="24"/>
          <w:lang w:val="en-US"/>
        </w:rPr>
        <w:t xml:space="preserve">(25), 1855–1865. </w:t>
      </w:r>
      <w:hyperlink r:id="rId46" w:tgtFrame="_new" w:history="1">
        <w:r w:rsidRPr="00AA3740">
          <w:rPr>
            <w:rFonts w:ascii="Times New Roman" w:eastAsia="Times New Roman" w:hAnsi="Times New Roman" w:cs="Times New Roman"/>
            <w:color w:val="0000FF"/>
            <w:sz w:val="24"/>
            <w:szCs w:val="24"/>
            <w:u w:val="single"/>
            <w:lang w:val="en-US"/>
          </w:rPr>
          <w:t>https://doi.org/10.1056/NEJM200006223422502</w:t>
        </w:r>
      </w:hyperlink>
    </w:p>
    <w:p w14:paraId="2AD0E4F7"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lastRenderedPageBreak/>
        <w:t xml:space="preserve">Vichinsky, E., Hoppe, C. C., </w:t>
      </w:r>
      <w:proofErr w:type="spellStart"/>
      <w:r w:rsidRPr="00AA3740">
        <w:rPr>
          <w:rFonts w:ascii="Times New Roman" w:eastAsia="Times New Roman" w:hAnsi="Times New Roman" w:cs="Times New Roman"/>
          <w:sz w:val="24"/>
          <w:szCs w:val="24"/>
          <w:lang w:val="en-US"/>
        </w:rPr>
        <w:t>Ataga</w:t>
      </w:r>
      <w:proofErr w:type="spellEnd"/>
      <w:r w:rsidRPr="00AA3740">
        <w:rPr>
          <w:rFonts w:ascii="Times New Roman" w:eastAsia="Times New Roman" w:hAnsi="Times New Roman" w:cs="Times New Roman"/>
          <w:sz w:val="24"/>
          <w:szCs w:val="24"/>
          <w:lang w:val="en-US"/>
        </w:rPr>
        <w:t xml:space="preserve">, K. I., Ware, R. E., </w:t>
      </w:r>
      <w:proofErr w:type="spellStart"/>
      <w:r w:rsidRPr="00AA3740">
        <w:rPr>
          <w:rFonts w:ascii="Times New Roman" w:eastAsia="Times New Roman" w:hAnsi="Times New Roman" w:cs="Times New Roman"/>
          <w:sz w:val="24"/>
          <w:szCs w:val="24"/>
          <w:lang w:val="en-US"/>
        </w:rPr>
        <w:t>Nduba</w:t>
      </w:r>
      <w:proofErr w:type="spellEnd"/>
      <w:r w:rsidRPr="00AA3740">
        <w:rPr>
          <w:rFonts w:ascii="Times New Roman" w:eastAsia="Times New Roman" w:hAnsi="Times New Roman" w:cs="Times New Roman"/>
          <w:sz w:val="24"/>
          <w:szCs w:val="24"/>
          <w:lang w:val="en-US"/>
        </w:rPr>
        <w:t>, V., El-</w:t>
      </w:r>
      <w:proofErr w:type="spellStart"/>
      <w:r w:rsidRPr="00AA3740">
        <w:rPr>
          <w:rFonts w:ascii="Times New Roman" w:eastAsia="Times New Roman" w:hAnsi="Times New Roman" w:cs="Times New Roman"/>
          <w:sz w:val="24"/>
          <w:szCs w:val="24"/>
          <w:lang w:val="en-US"/>
        </w:rPr>
        <w:t>Beshlawy</w:t>
      </w:r>
      <w:proofErr w:type="spellEnd"/>
      <w:r w:rsidRPr="00AA3740">
        <w:rPr>
          <w:rFonts w:ascii="Times New Roman" w:eastAsia="Times New Roman" w:hAnsi="Times New Roman" w:cs="Times New Roman"/>
          <w:sz w:val="24"/>
          <w:szCs w:val="24"/>
          <w:lang w:val="en-US"/>
        </w:rPr>
        <w:t xml:space="preserve">, A., </w:t>
      </w:r>
      <w:proofErr w:type="spellStart"/>
      <w:r w:rsidRPr="00AA3740">
        <w:rPr>
          <w:rFonts w:ascii="Times New Roman" w:eastAsia="Times New Roman" w:hAnsi="Times New Roman" w:cs="Times New Roman"/>
          <w:sz w:val="24"/>
          <w:szCs w:val="24"/>
          <w:lang w:val="en-US"/>
        </w:rPr>
        <w:t>Hassab</w:t>
      </w:r>
      <w:proofErr w:type="spellEnd"/>
      <w:r w:rsidRPr="00AA3740">
        <w:rPr>
          <w:rFonts w:ascii="Times New Roman" w:eastAsia="Times New Roman" w:hAnsi="Times New Roman" w:cs="Times New Roman"/>
          <w:sz w:val="24"/>
          <w:szCs w:val="24"/>
          <w:lang w:val="en-US"/>
        </w:rPr>
        <w:t xml:space="preserve">, H., Achebe, M. M., Alkindi, S., Brown, R. C., Diuguid, D. L., Telfer, P., </w:t>
      </w:r>
      <w:proofErr w:type="spellStart"/>
      <w:r w:rsidRPr="00AA3740">
        <w:rPr>
          <w:rFonts w:ascii="Times New Roman" w:eastAsia="Times New Roman" w:hAnsi="Times New Roman" w:cs="Times New Roman"/>
          <w:sz w:val="24"/>
          <w:szCs w:val="24"/>
          <w:lang w:val="en-US"/>
        </w:rPr>
        <w:t>Tsitsikas</w:t>
      </w:r>
      <w:proofErr w:type="spellEnd"/>
      <w:r w:rsidRPr="00AA3740">
        <w:rPr>
          <w:rFonts w:ascii="Times New Roman" w:eastAsia="Times New Roman" w:hAnsi="Times New Roman" w:cs="Times New Roman"/>
          <w:sz w:val="24"/>
          <w:szCs w:val="24"/>
          <w:lang w:val="en-US"/>
        </w:rPr>
        <w:t xml:space="preserve">, D. A., </w:t>
      </w:r>
      <w:proofErr w:type="spellStart"/>
      <w:r w:rsidRPr="00AA3740">
        <w:rPr>
          <w:rFonts w:ascii="Times New Roman" w:eastAsia="Times New Roman" w:hAnsi="Times New Roman" w:cs="Times New Roman"/>
          <w:sz w:val="24"/>
          <w:szCs w:val="24"/>
          <w:lang w:val="en-US"/>
        </w:rPr>
        <w:t>Elghandour</w:t>
      </w:r>
      <w:proofErr w:type="spellEnd"/>
      <w:r w:rsidRPr="00AA3740">
        <w:rPr>
          <w:rFonts w:ascii="Times New Roman" w:eastAsia="Times New Roman" w:hAnsi="Times New Roman" w:cs="Times New Roman"/>
          <w:sz w:val="24"/>
          <w:szCs w:val="24"/>
          <w:lang w:val="en-US"/>
        </w:rPr>
        <w:t xml:space="preserve">, A., </w:t>
      </w:r>
      <w:proofErr w:type="spellStart"/>
      <w:r w:rsidRPr="00AA3740">
        <w:rPr>
          <w:rFonts w:ascii="Times New Roman" w:eastAsia="Times New Roman" w:hAnsi="Times New Roman" w:cs="Times New Roman"/>
          <w:sz w:val="24"/>
          <w:szCs w:val="24"/>
          <w:lang w:val="en-US"/>
        </w:rPr>
        <w:t>Gordeuk</w:t>
      </w:r>
      <w:proofErr w:type="spellEnd"/>
      <w:r w:rsidRPr="00AA3740">
        <w:rPr>
          <w:rFonts w:ascii="Times New Roman" w:eastAsia="Times New Roman" w:hAnsi="Times New Roman" w:cs="Times New Roman"/>
          <w:sz w:val="24"/>
          <w:szCs w:val="24"/>
          <w:lang w:val="en-US"/>
        </w:rPr>
        <w:t>, V. R., Kanter, J., Abboud, M. R., Lehrer-</w:t>
      </w:r>
      <w:proofErr w:type="spellStart"/>
      <w:r w:rsidRPr="00AA3740">
        <w:rPr>
          <w:rFonts w:ascii="Times New Roman" w:eastAsia="Times New Roman" w:hAnsi="Times New Roman" w:cs="Times New Roman"/>
          <w:sz w:val="24"/>
          <w:szCs w:val="24"/>
          <w:lang w:val="en-US"/>
        </w:rPr>
        <w:t>Graiwer</w:t>
      </w:r>
      <w:proofErr w:type="spellEnd"/>
      <w:r w:rsidRPr="00AA3740">
        <w:rPr>
          <w:rFonts w:ascii="Times New Roman" w:eastAsia="Times New Roman" w:hAnsi="Times New Roman" w:cs="Times New Roman"/>
          <w:sz w:val="24"/>
          <w:szCs w:val="24"/>
          <w:lang w:val="en-US"/>
        </w:rPr>
        <w:t xml:space="preserve">, J., Tonda, M., … Howard, J. (2019). A phase 3 randomized trial of </w:t>
      </w:r>
      <w:proofErr w:type="spellStart"/>
      <w:r w:rsidRPr="00AA3740">
        <w:rPr>
          <w:rFonts w:ascii="Times New Roman" w:eastAsia="Times New Roman" w:hAnsi="Times New Roman" w:cs="Times New Roman"/>
          <w:sz w:val="24"/>
          <w:szCs w:val="24"/>
          <w:lang w:val="en-US"/>
        </w:rPr>
        <w:t>voxelotor</w:t>
      </w:r>
      <w:proofErr w:type="spellEnd"/>
      <w:r w:rsidRPr="00AA3740">
        <w:rPr>
          <w:rFonts w:ascii="Times New Roman" w:eastAsia="Times New Roman" w:hAnsi="Times New Roman" w:cs="Times New Roman"/>
          <w:sz w:val="24"/>
          <w:szCs w:val="24"/>
          <w:lang w:val="en-US"/>
        </w:rPr>
        <w:t xml:space="preserve"> in sickle cell disease. </w:t>
      </w:r>
      <w:r w:rsidRPr="00AA3740">
        <w:rPr>
          <w:rFonts w:ascii="Times New Roman" w:eastAsia="Times New Roman" w:hAnsi="Times New Roman" w:cs="Times New Roman"/>
          <w:i/>
          <w:iCs/>
          <w:sz w:val="24"/>
          <w:szCs w:val="24"/>
          <w:lang w:val="en-US"/>
        </w:rPr>
        <w:t>New England Journal of Medicine, 381</w:t>
      </w:r>
      <w:r w:rsidRPr="00AA3740">
        <w:rPr>
          <w:rFonts w:ascii="Times New Roman" w:eastAsia="Times New Roman" w:hAnsi="Times New Roman" w:cs="Times New Roman"/>
          <w:sz w:val="24"/>
          <w:szCs w:val="24"/>
          <w:lang w:val="en-US"/>
        </w:rPr>
        <w:t xml:space="preserve">(6), 509–519. </w:t>
      </w:r>
      <w:hyperlink r:id="rId47" w:tgtFrame="_new" w:history="1">
        <w:r w:rsidRPr="00AA3740">
          <w:rPr>
            <w:rFonts w:ascii="Times New Roman" w:eastAsia="Times New Roman" w:hAnsi="Times New Roman" w:cs="Times New Roman"/>
            <w:color w:val="0000FF"/>
            <w:sz w:val="24"/>
            <w:szCs w:val="24"/>
            <w:u w:val="single"/>
            <w:lang w:val="en-US"/>
          </w:rPr>
          <w:t>https://doi.org/10.1056/NEJMoa1903212</w:t>
        </w:r>
      </w:hyperlink>
    </w:p>
    <w:p w14:paraId="2AECA19D"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Ware, R. E. (2015). Optimizing hydroxyurea therapy for sickle cell anemia. </w:t>
      </w:r>
      <w:r w:rsidRPr="00AA3740">
        <w:rPr>
          <w:rFonts w:ascii="Times New Roman" w:eastAsia="Times New Roman" w:hAnsi="Times New Roman" w:cs="Times New Roman"/>
          <w:i/>
          <w:iCs/>
          <w:sz w:val="24"/>
          <w:szCs w:val="24"/>
          <w:lang w:val="en-US"/>
        </w:rPr>
        <w:t>Hematology. American Society of Hematology Education Program, 2015</w:t>
      </w:r>
      <w:r w:rsidRPr="00AA3740">
        <w:rPr>
          <w:rFonts w:ascii="Times New Roman" w:eastAsia="Times New Roman" w:hAnsi="Times New Roman" w:cs="Times New Roman"/>
          <w:sz w:val="24"/>
          <w:szCs w:val="24"/>
          <w:lang w:val="en-US"/>
        </w:rPr>
        <w:t xml:space="preserve">(1), 436–443. </w:t>
      </w:r>
      <w:hyperlink r:id="rId48" w:tgtFrame="_new" w:history="1">
        <w:r w:rsidRPr="00AA3740">
          <w:rPr>
            <w:rFonts w:ascii="Times New Roman" w:eastAsia="Times New Roman" w:hAnsi="Times New Roman" w:cs="Times New Roman"/>
            <w:color w:val="0000FF"/>
            <w:sz w:val="24"/>
            <w:szCs w:val="24"/>
            <w:u w:val="single"/>
            <w:lang w:val="en-US"/>
          </w:rPr>
          <w:t>https://doi.org/10.1182/asheducation-2015.1.436</w:t>
        </w:r>
      </w:hyperlink>
    </w:p>
    <w:p w14:paraId="5300BB42"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Ware, R. E., Davis, B. R., Schultz, W. H., Brown, R. C., Aygun, B., Sarnaik, S., Odame, I., Fuh, B., George, A., Owen, W., Luchtman-Jones, L., Rogers, Z. R., Hilliard, L., Gauger, C., Piccone, C., Lee, M. T., Kwiatkowski, J. L., Jackson, S., Miller, S. T., … Adams, R. J. (2016). Hydroxycarbamide versus chronic transfusion for maintenance of transcranial Doppler flow velocities in children with sickle cell </w:t>
      </w:r>
      <w:proofErr w:type="spellStart"/>
      <w:r w:rsidRPr="00AA3740">
        <w:rPr>
          <w:rFonts w:ascii="Times New Roman" w:eastAsia="Times New Roman" w:hAnsi="Times New Roman" w:cs="Times New Roman"/>
          <w:sz w:val="24"/>
          <w:szCs w:val="24"/>
          <w:lang w:val="en-US"/>
        </w:rPr>
        <w:t>anaemia</w:t>
      </w:r>
      <w:proofErr w:type="spellEnd"/>
      <w:r w:rsidRPr="00AA3740">
        <w:rPr>
          <w:rFonts w:ascii="Times New Roman" w:eastAsia="Times New Roman" w:hAnsi="Times New Roman" w:cs="Times New Roman"/>
          <w:sz w:val="24"/>
          <w:szCs w:val="24"/>
          <w:lang w:val="en-US"/>
        </w:rPr>
        <w:t>—TCD with transfusions changing to hydroxyurea (</w:t>
      </w:r>
      <w:proofErr w:type="spellStart"/>
      <w:r w:rsidRPr="00AA3740">
        <w:rPr>
          <w:rFonts w:ascii="Times New Roman" w:eastAsia="Times New Roman" w:hAnsi="Times New Roman" w:cs="Times New Roman"/>
          <w:sz w:val="24"/>
          <w:szCs w:val="24"/>
          <w:lang w:val="en-US"/>
        </w:rPr>
        <w:t>TWiTCH</w:t>
      </w:r>
      <w:proofErr w:type="spellEnd"/>
      <w:r w:rsidRPr="00AA3740">
        <w:rPr>
          <w:rFonts w:ascii="Times New Roman" w:eastAsia="Times New Roman" w:hAnsi="Times New Roman" w:cs="Times New Roman"/>
          <w:sz w:val="24"/>
          <w:szCs w:val="24"/>
          <w:lang w:val="en-US"/>
        </w:rPr>
        <w:t xml:space="preserve">): A </w:t>
      </w:r>
      <w:proofErr w:type="spellStart"/>
      <w:r w:rsidRPr="00AA3740">
        <w:rPr>
          <w:rFonts w:ascii="Times New Roman" w:eastAsia="Times New Roman" w:hAnsi="Times New Roman" w:cs="Times New Roman"/>
          <w:sz w:val="24"/>
          <w:szCs w:val="24"/>
          <w:lang w:val="en-US"/>
        </w:rPr>
        <w:t>multicentre</w:t>
      </w:r>
      <w:proofErr w:type="spellEnd"/>
      <w:r w:rsidRPr="00AA3740">
        <w:rPr>
          <w:rFonts w:ascii="Times New Roman" w:eastAsia="Times New Roman" w:hAnsi="Times New Roman" w:cs="Times New Roman"/>
          <w:sz w:val="24"/>
          <w:szCs w:val="24"/>
          <w:lang w:val="en-US"/>
        </w:rPr>
        <w:t xml:space="preserve">, open-label, phase 3, non-inferiority trial. </w:t>
      </w:r>
      <w:r w:rsidRPr="00AA3740">
        <w:rPr>
          <w:rFonts w:ascii="Times New Roman" w:eastAsia="Times New Roman" w:hAnsi="Times New Roman" w:cs="Times New Roman"/>
          <w:i/>
          <w:iCs/>
          <w:sz w:val="24"/>
          <w:szCs w:val="24"/>
          <w:lang w:val="en-US"/>
        </w:rPr>
        <w:t>The Lancet, 387</w:t>
      </w:r>
      <w:r w:rsidRPr="00AA3740">
        <w:rPr>
          <w:rFonts w:ascii="Times New Roman" w:eastAsia="Times New Roman" w:hAnsi="Times New Roman" w:cs="Times New Roman"/>
          <w:sz w:val="24"/>
          <w:szCs w:val="24"/>
          <w:lang w:val="en-US"/>
        </w:rPr>
        <w:t xml:space="preserve">(10019), 661–670. </w:t>
      </w:r>
      <w:hyperlink r:id="rId49" w:tgtFrame="_new" w:history="1">
        <w:r w:rsidRPr="00AA3740">
          <w:rPr>
            <w:rFonts w:ascii="Times New Roman" w:eastAsia="Times New Roman" w:hAnsi="Times New Roman" w:cs="Times New Roman"/>
            <w:color w:val="0000FF"/>
            <w:sz w:val="24"/>
            <w:szCs w:val="24"/>
            <w:u w:val="single"/>
            <w:lang w:val="en-US"/>
          </w:rPr>
          <w:t>https://doi.org/10.1016/S0140-6736(15)01041-7</w:t>
        </w:r>
      </w:hyperlink>
    </w:p>
    <w:p w14:paraId="5E1CA7CB"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Ware, R. E., de Montalembert, M., Tshilolo, L., &amp; Abboud, M. R. (2017). Sickle cell disease. </w:t>
      </w:r>
      <w:r w:rsidRPr="00AA3740">
        <w:rPr>
          <w:rFonts w:ascii="Times New Roman" w:eastAsia="Times New Roman" w:hAnsi="Times New Roman" w:cs="Times New Roman"/>
          <w:i/>
          <w:iCs/>
          <w:sz w:val="24"/>
          <w:szCs w:val="24"/>
          <w:lang w:val="en-US"/>
        </w:rPr>
        <w:t>The Lancet, 390</w:t>
      </w:r>
      <w:r w:rsidRPr="00AA3740">
        <w:rPr>
          <w:rFonts w:ascii="Times New Roman" w:eastAsia="Times New Roman" w:hAnsi="Times New Roman" w:cs="Times New Roman"/>
          <w:sz w:val="24"/>
          <w:szCs w:val="24"/>
          <w:lang w:val="en-US"/>
        </w:rPr>
        <w:t xml:space="preserve">(10091), 311–323. </w:t>
      </w:r>
      <w:hyperlink r:id="rId50" w:tgtFrame="_new" w:history="1">
        <w:r w:rsidRPr="00AA3740">
          <w:rPr>
            <w:rFonts w:ascii="Times New Roman" w:eastAsia="Times New Roman" w:hAnsi="Times New Roman" w:cs="Times New Roman"/>
            <w:color w:val="0000FF"/>
            <w:sz w:val="24"/>
            <w:szCs w:val="24"/>
            <w:u w:val="single"/>
            <w:lang w:val="en-US"/>
          </w:rPr>
          <w:t>https://doi.org/10.1016/S0140-6736(17)30193-9</w:t>
        </w:r>
      </w:hyperlink>
    </w:p>
    <w:p w14:paraId="0C5E0844"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Weatherall, D. J. (2010). The inherited diseases of hemoglobin are an emerging global health burden. </w:t>
      </w:r>
      <w:r w:rsidRPr="00AA3740">
        <w:rPr>
          <w:rFonts w:ascii="Times New Roman" w:eastAsia="Times New Roman" w:hAnsi="Times New Roman" w:cs="Times New Roman"/>
          <w:i/>
          <w:iCs/>
          <w:sz w:val="24"/>
          <w:szCs w:val="24"/>
          <w:lang w:val="en-US"/>
        </w:rPr>
        <w:t>Blood, 115</w:t>
      </w:r>
      <w:r w:rsidRPr="00AA3740">
        <w:rPr>
          <w:rFonts w:ascii="Times New Roman" w:eastAsia="Times New Roman" w:hAnsi="Times New Roman" w:cs="Times New Roman"/>
          <w:sz w:val="24"/>
          <w:szCs w:val="24"/>
          <w:lang w:val="en-US"/>
        </w:rPr>
        <w:t xml:space="preserve">(22), 4331–4336. </w:t>
      </w:r>
      <w:hyperlink r:id="rId51" w:tgtFrame="_new" w:history="1">
        <w:r w:rsidRPr="00AA3740">
          <w:rPr>
            <w:rFonts w:ascii="Times New Roman" w:eastAsia="Times New Roman" w:hAnsi="Times New Roman" w:cs="Times New Roman"/>
            <w:color w:val="0000FF"/>
            <w:sz w:val="24"/>
            <w:szCs w:val="24"/>
            <w:u w:val="single"/>
            <w:lang w:val="en-US"/>
          </w:rPr>
          <w:t>https://doi.org/10.1182/blood-2010-01-251348</w:t>
        </w:r>
      </w:hyperlink>
    </w:p>
    <w:p w14:paraId="0E6FD34D"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World Health Organization. (2025, August 6). </w:t>
      </w:r>
      <w:r w:rsidRPr="00AA3740">
        <w:rPr>
          <w:rFonts w:ascii="Times New Roman" w:eastAsia="Times New Roman" w:hAnsi="Times New Roman" w:cs="Times New Roman"/>
          <w:i/>
          <w:iCs/>
          <w:sz w:val="24"/>
          <w:szCs w:val="24"/>
          <w:lang w:val="en-US"/>
        </w:rPr>
        <w:t>Sickle-cell disease</w:t>
      </w:r>
      <w:r w:rsidRPr="00AA3740">
        <w:rPr>
          <w:rFonts w:ascii="Times New Roman" w:eastAsia="Times New Roman" w:hAnsi="Times New Roman" w:cs="Times New Roman"/>
          <w:sz w:val="24"/>
          <w:szCs w:val="24"/>
          <w:lang w:val="en-US"/>
        </w:rPr>
        <w:t xml:space="preserve">. </w:t>
      </w:r>
      <w:hyperlink r:id="rId52" w:tgtFrame="_new" w:history="1">
        <w:r w:rsidRPr="00AA3740">
          <w:rPr>
            <w:rFonts w:ascii="Times New Roman" w:eastAsia="Times New Roman" w:hAnsi="Times New Roman" w:cs="Times New Roman"/>
            <w:color w:val="0000FF"/>
            <w:sz w:val="24"/>
            <w:szCs w:val="24"/>
            <w:u w:val="single"/>
            <w:lang w:val="en-US"/>
          </w:rPr>
          <w:t>https://www.who.int/news-room/fact-sheets/detail/sickle-cell-disease</w:t>
        </w:r>
      </w:hyperlink>
    </w:p>
    <w:p w14:paraId="7309E618"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Yawn, B. P., Buchanan, G. R., </w:t>
      </w:r>
      <w:proofErr w:type="spellStart"/>
      <w:r w:rsidRPr="00AA3740">
        <w:rPr>
          <w:rFonts w:ascii="Times New Roman" w:eastAsia="Times New Roman" w:hAnsi="Times New Roman" w:cs="Times New Roman"/>
          <w:sz w:val="24"/>
          <w:szCs w:val="24"/>
          <w:lang w:val="en-US"/>
        </w:rPr>
        <w:t>Afenyi</w:t>
      </w:r>
      <w:proofErr w:type="spellEnd"/>
      <w:r w:rsidRPr="00AA3740">
        <w:rPr>
          <w:rFonts w:ascii="Times New Roman" w:eastAsia="Times New Roman" w:hAnsi="Times New Roman" w:cs="Times New Roman"/>
          <w:sz w:val="24"/>
          <w:szCs w:val="24"/>
          <w:lang w:val="en-US"/>
        </w:rPr>
        <w:t xml:space="preserve">-Annan, A. N., Ballas, S. K., Hassell, K. L., James, A. H., Jordan, L., </w:t>
      </w:r>
      <w:proofErr w:type="spellStart"/>
      <w:r w:rsidRPr="00AA3740">
        <w:rPr>
          <w:rFonts w:ascii="Times New Roman" w:eastAsia="Times New Roman" w:hAnsi="Times New Roman" w:cs="Times New Roman"/>
          <w:sz w:val="24"/>
          <w:szCs w:val="24"/>
          <w:lang w:val="en-US"/>
        </w:rPr>
        <w:t>Lanzkron</w:t>
      </w:r>
      <w:proofErr w:type="spellEnd"/>
      <w:r w:rsidRPr="00AA3740">
        <w:rPr>
          <w:rFonts w:ascii="Times New Roman" w:eastAsia="Times New Roman" w:hAnsi="Times New Roman" w:cs="Times New Roman"/>
          <w:sz w:val="24"/>
          <w:szCs w:val="24"/>
          <w:lang w:val="en-US"/>
        </w:rPr>
        <w:t xml:space="preserve">, S. M., </w:t>
      </w:r>
      <w:proofErr w:type="spellStart"/>
      <w:r w:rsidRPr="00AA3740">
        <w:rPr>
          <w:rFonts w:ascii="Times New Roman" w:eastAsia="Times New Roman" w:hAnsi="Times New Roman" w:cs="Times New Roman"/>
          <w:sz w:val="24"/>
          <w:szCs w:val="24"/>
          <w:lang w:val="en-US"/>
        </w:rPr>
        <w:t>Lottenberg</w:t>
      </w:r>
      <w:proofErr w:type="spellEnd"/>
      <w:r w:rsidRPr="00AA3740">
        <w:rPr>
          <w:rFonts w:ascii="Times New Roman" w:eastAsia="Times New Roman" w:hAnsi="Times New Roman" w:cs="Times New Roman"/>
          <w:sz w:val="24"/>
          <w:szCs w:val="24"/>
          <w:lang w:val="en-US"/>
        </w:rPr>
        <w:t xml:space="preserve">, R., Savage, W. J., Tanabe, P. J., Ware, R. E., Murad, M. H., Goldsmith, J. C., Ortiz, E., Fulwood, R., Horton, A., &amp; John-Sowah, J. (2014). Management of sickle cell disease: Summary of the 2014 evidence-based report by expert panel members. </w:t>
      </w:r>
      <w:r w:rsidRPr="00AA3740">
        <w:rPr>
          <w:rFonts w:ascii="Times New Roman" w:eastAsia="Times New Roman" w:hAnsi="Times New Roman" w:cs="Times New Roman"/>
          <w:i/>
          <w:iCs/>
          <w:sz w:val="24"/>
          <w:szCs w:val="24"/>
          <w:lang w:val="en-US"/>
        </w:rPr>
        <w:t>JAMA, 312</w:t>
      </w:r>
      <w:r w:rsidRPr="00AA3740">
        <w:rPr>
          <w:rFonts w:ascii="Times New Roman" w:eastAsia="Times New Roman" w:hAnsi="Times New Roman" w:cs="Times New Roman"/>
          <w:sz w:val="24"/>
          <w:szCs w:val="24"/>
          <w:lang w:val="en-US"/>
        </w:rPr>
        <w:t xml:space="preserve">(10), 1033–1048. </w:t>
      </w:r>
      <w:hyperlink r:id="rId53" w:tgtFrame="_new" w:history="1">
        <w:r w:rsidRPr="00AA3740">
          <w:rPr>
            <w:rFonts w:ascii="Times New Roman" w:eastAsia="Times New Roman" w:hAnsi="Times New Roman" w:cs="Times New Roman"/>
            <w:color w:val="0000FF"/>
            <w:sz w:val="24"/>
            <w:szCs w:val="24"/>
            <w:u w:val="single"/>
            <w:lang w:val="en-US"/>
          </w:rPr>
          <w:t>https://doi.org/10.1001/jama.2014.10517</w:t>
        </w:r>
      </w:hyperlink>
    </w:p>
    <w:p w14:paraId="5DCD1E9A"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Ballantine, J., &amp; Tisdale, J. F. (2025). Gene therapy for sickle cell disease: Recent advances, clinical trials, and future directions. </w:t>
      </w:r>
      <w:proofErr w:type="spellStart"/>
      <w:r w:rsidRPr="00AA3740">
        <w:rPr>
          <w:rFonts w:ascii="Times New Roman" w:eastAsia="Times New Roman" w:hAnsi="Times New Roman" w:cs="Times New Roman"/>
          <w:i/>
          <w:iCs/>
          <w:sz w:val="24"/>
          <w:szCs w:val="24"/>
          <w:lang w:val="en-US"/>
        </w:rPr>
        <w:t>Cytotherapy</w:t>
      </w:r>
      <w:proofErr w:type="spellEnd"/>
      <w:r w:rsidRPr="00AA3740">
        <w:rPr>
          <w:rFonts w:ascii="Times New Roman" w:eastAsia="Times New Roman" w:hAnsi="Times New Roman" w:cs="Times New Roman"/>
          <w:i/>
          <w:iCs/>
          <w:sz w:val="24"/>
          <w:szCs w:val="24"/>
          <w:lang w:val="en-US"/>
        </w:rPr>
        <w:t>, 27</w:t>
      </w:r>
      <w:r w:rsidRPr="00AA3740">
        <w:rPr>
          <w:rFonts w:ascii="Times New Roman" w:eastAsia="Times New Roman" w:hAnsi="Times New Roman" w:cs="Times New Roman"/>
          <w:sz w:val="24"/>
          <w:szCs w:val="24"/>
          <w:lang w:val="en-US"/>
        </w:rPr>
        <w:t xml:space="preserve">(7), 826–834. </w:t>
      </w:r>
      <w:hyperlink r:id="rId54" w:tgtFrame="_new" w:history="1">
        <w:r w:rsidRPr="00AA3740">
          <w:rPr>
            <w:rFonts w:ascii="Times New Roman" w:eastAsia="Times New Roman" w:hAnsi="Times New Roman" w:cs="Times New Roman"/>
            <w:color w:val="0000FF"/>
            <w:sz w:val="24"/>
            <w:szCs w:val="24"/>
            <w:u w:val="single"/>
            <w:lang w:val="en-US"/>
          </w:rPr>
          <w:t>https://doi.org/10.1016/j.jcyt.2024.11.006</w:t>
        </w:r>
      </w:hyperlink>
    </w:p>
    <w:p w14:paraId="211BEBC3" w14:textId="77777777" w:rsidR="00AA3740" w:rsidRPr="00AA3740" w:rsidRDefault="00AA3740" w:rsidP="00AA3740">
      <w:pPr>
        <w:spacing w:before="100" w:beforeAutospacing="1" w:after="100" w:afterAutospacing="1" w:line="240" w:lineRule="auto"/>
        <w:ind w:left="540" w:hanging="540"/>
        <w:jc w:val="both"/>
        <w:rPr>
          <w:rFonts w:ascii="Times New Roman" w:eastAsia="Times New Roman" w:hAnsi="Times New Roman" w:cs="Times New Roman"/>
          <w:sz w:val="24"/>
          <w:szCs w:val="24"/>
          <w:lang w:val="en-US"/>
        </w:rPr>
      </w:pPr>
      <w:r w:rsidRPr="00AA3740">
        <w:rPr>
          <w:rFonts w:ascii="Times New Roman" w:eastAsia="Times New Roman" w:hAnsi="Times New Roman" w:cs="Times New Roman"/>
          <w:sz w:val="24"/>
          <w:szCs w:val="24"/>
          <w:lang w:val="en-US"/>
        </w:rPr>
        <w:t xml:space="preserve">Sharma, A., Bidgoli, A., &amp; John, T. (2024). Dismantling cost and infrastructure barriers to equitable access to gene therapies for sickle cell disease. </w:t>
      </w:r>
      <w:r w:rsidRPr="00AA3740">
        <w:rPr>
          <w:rFonts w:ascii="Times New Roman" w:eastAsia="Times New Roman" w:hAnsi="Times New Roman" w:cs="Times New Roman"/>
          <w:i/>
          <w:iCs/>
          <w:sz w:val="24"/>
          <w:szCs w:val="24"/>
          <w:lang w:val="en-US"/>
        </w:rPr>
        <w:t xml:space="preserve">The Lancet </w:t>
      </w:r>
      <w:proofErr w:type="spellStart"/>
      <w:r w:rsidRPr="00AA3740">
        <w:rPr>
          <w:rFonts w:ascii="Times New Roman" w:eastAsia="Times New Roman" w:hAnsi="Times New Roman" w:cs="Times New Roman"/>
          <w:i/>
          <w:iCs/>
          <w:sz w:val="24"/>
          <w:szCs w:val="24"/>
          <w:lang w:val="en-US"/>
        </w:rPr>
        <w:t>Haematology</w:t>
      </w:r>
      <w:proofErr w:type="spellEnd"/>
      <w:r w:rsidRPr="00AA3740">
        <w:rPr>
          <w:rFonts w:ascii="Times New Roman" w:eastAsia="Times New Roman" w:hAnsi="Times New Roman" w:cs="Times New Roman"/>
          <w:i/>
          <w:iCs/>
          <w:sz w:val="24"/>
          <w:szCs w:val="24"/>
          <w:lang w:val="en-US"/>
        </w:rPr>
        <w:t>, 11</w:t>
      </w:r>
      <w:r w:rsidRPr="00AA3740">
        <w:rPr>
          <w:rFonts w:ascii="Times New Roman" w:eastAsia="Times New Roman" w:hAnsi="Times New Roman" w:cs="Times New Roman"/>
          <w:sz w:val="24"/>
          <w:szCs w:val="24"/>
          <w:lang w:val="en-US"/>
        </w:rPr>
        <w:t xml:space="preserve">(8), e556–e559. </w:t>
      </w:r>
      <w:hyperlink r:id="rId55" w:tgtFrame="_new" w:history="1">
        <w:r w:rsidRPr="00AA3740">
          <w:rPr>
            <w:rFonts w:ascii="Times New Roman" w:eastAsia="Times New Roman" w:hAnsi="Times New Roman" w:cs="Times New Roman"/>
            <w:color w:val="0000FF"/>
            <w:sz w:val="24"/>
            <w:szCs w:val="24"/>
            <w:u w:val="single"/>
            <w:lang w:val="en-US"/>
          </w:rPr>
          <w:t>https://doi.org/10.1016/S2352-3026(24)00175-3</w:t>
        </w:r>
      </w:hyperlink>
    </w:p>
    <w:p w14:paraId="6EC12CA5" w14:textId="77777777" w:rsidR="005C1B2A" w:rsidRPr="002C7E26" w:rsidRDefault="005C1B2A" w:rsidP="00145958">
      <w:pPr>
        <w:spacing w:before="100" w:beforeAutospacing="1" w:after="100" w:afterAutospacing="1" w:line="240" w:lineRule="auto"/>
        <w:jc w:val="both"/>
        <w:rPr>
          <w:rFonts w:ascii="Times New Roman" w:hAnsi="Times New Roman" w:cs="Times New Roman"/>
          <w:sz w:val="24"/>
          <w:szCs w:val="24"/>
        </w:rPr>
      </w:pPr>
    </w:p>
    <w:sectPr w:rsidR="005C1B2A" w:rsidRPr="002C7E26" w:rsidSect="004841B3">
      <w:headerReference w:type="even" r:id="rId56"/>
      <w:headerReference w:type="default" r:id="rId57"/>
      <w:footerReference w:type="even" r:id="rId58"/>
      <w:footerReference w:type="default" r:id="rId59"/>
      <w:headerReference w:type="first" r:id="rId60"/>
      <w:footerReference w:type="first" r:id="rId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21626" w14:textId="77777777" w:rsidR="00467280" w:rsidRDefault="00467280" w:rsidP="00AF30C9">
      <w:pPr>
        <w:spacing w:after="0" w:line="240" w:lineRule="auto"/>
      </w:pPr>
      <w:r>
        <w:separator/>
      </w:r>
    </w:p>
  </w:endnote>
  <w:endnote w:type="continuationSeparator" w:id="0">
    <w:p w14:paraId="7DADD544" w14:textId="77777777" w:rsidR="00467280" w:rsidRDefault="00467280" w:rsidP="00AF3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E4203" w14:textId="77777777" w:rsidR="00AF30C9" w:rsidRDefault="00AF30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3A09F" w14:textId="77777777" w:rsidR="00AF30C9" w:rsidRDefault="00AF30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D4C4F" w14:textId="77777777" w:rsidR="00AF30C9" w:rsidRDefault="00AF3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30723" w14:textId="77777777" w:rsidR="00467280" w:rsidRDefault="00467280" w:rsidP="00AF30C9">
      <w:pPr>
        <w:spacing w:after="0" w:line="240" w:lineRule="auto"/>
      </w:pPr>
      <w:r>
        <w:separator/>
      </w:r>
    </w:p>
  </w:footnote>
  <w:footnote w:type="continuationSeparator" w:id="0">
    <w:p w14:paraId="63252C0B" w14:textId="77777777" w:rsidR="00467280" w:rsidRDefault="00467280" w:rsidP="00AF3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A389E" w14:textId="6796AD77" w:rsidR="00AF30C9" w:rsidRDefault="00000000">
    <w:pPr>
      <w:pStyle w:val="Header"/>
    </w:pPr>
    <w:r>
      <w:rPr>
        <w:noProof/>
      </w:rPr>
      <w:pict w14:anchorId="015CFE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44329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BE964" w14:textId="39862101" w:rsidR="00AF30C9" w:rsidRDefault="00000000">
    <w:pPr>
      <w:pStyle w:val="Header"/>
    </w:pPr>
    <w:r>
      <w:rPr>
        <w:noProof/>
      </w:rPr>
      <w:pict w14:anchorId="5839B9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44329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1F57" w14:textId="65BA1CE8" w:rsidR="00AF30C9" w:rsidRDefault="00000000">
    <w:pPr>
      <w:pStyle w:val="Header"/>
    </w:pPr>
    <w:r>
      <w:rPr>
        <w:noProof/>
      </w:rPr>
      <w:pict w14:anchorId="07B27E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44329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E4DB3"/>
    <w:multiLevelType w:val="hybridMultilevel"/>
    <w:tmpl w:val="46602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CC1DF9"/>
    <w:multiLevelType w:val="hybridMultilevel"/>
    <w:tmpl w:val="18F23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40022A"/>
    <w:multiLevelType w:val="multilevel"/>
    <w:tmpl w:val="46F22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813C35"/>
    <w:multiLevelType w:val="multilevel"/>
    <w:tmpl w:val="8D580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2683E9B"/>
    <w:multiLevelType w:val="hybridMultilevel"/>
    <w:tmpl w:val="EB8ACA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2918804">
    <w:abstractNumId w:val="3"/>
  </w:num>
  <w:num w:numId="2" w16cid:durableId="1391616303">
    <w:abstractNumId w:val="4"/>
  </w:num>
  <w:num w:numId="3" w16cid:durableId="1672489366">
    <w:abstractNumId w:val="2"/>
  </w:num>
  <w:num w:numId="4" w16cid:durableId="265119150">
    <w:abstractNumId w:val="0"/>
  </w:num>
  <w:num w:numId="5" w16cid:durableId="1398088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M0sTAwN7cwMDSxtDRT0lEKTi0uzszPAykwrAUAD5xhHiwAAAA="/>
  </w:docVars>
  <w:rsids>
    <w:rsidRoot w:val="00265023"/>
    <w:rsid w:val="0004529C"/>
    <w:rsid w:val="000E211F"/>
    <w:rsid w:val="00145958"/>
    <w:rsid w:val="00265023"/>
    <w:rsid w:val="002C7E26"/>
    <w:rsid w:val="003819FD"/>
    <w:rsid w:val="00463E83"/>
    <w:rsid w:val="00467280"/>
    <w:rsid w:val="004841B3"/>
    <w:rsid w:val="005B3ABF"/>
    <w:rsid w:val="005C07B5"/>
    <w:rsid w:val="005C1B2A"/>
    <w:rsid w:val="006A642F"/>
    <w:rsid w:val="00754A95"/>
    <w:rsid w:val="009B5533"/>
    <w:rsid w:val="009F4850"/>
    <w:rsid w:val="00A36957"/>
    <w:rsid w:val="00AA3740"/>
    <w:rsid w:val="00AF30C9"/>
    <w:rsid w:val="00B529FF"/>
    <w:rsid w:val="00C45DF4"/>
    <w:rsid w:val="00CB30CD"/>
    <w:rsid w:val="00CF0147"/>
    <w:rsid w:val="00D25C36"/>
    <w:rsid w:val="00F465E0"/>
    <w:rsid w:val="00F60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EEDAF"/>
  <w15:docId w15:val="{56AFEFED-225F-4B55-B54D-D9AD75582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26502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6502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26502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502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65023"/>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265023"/>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2650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65023"/>
    <w:rPr>
      <w:b/>
      <w:bCs/>
    </w:rPr>
  </w:style>
  <w:style w:type="character" w:styleId="Emphasis">
    <w:name w:val="Emphasis"/>
    <w:basedOn w:val="DefaultParagraphFont"/>
    <w:uiPriority w:val="20"/>
    <w:qFormat/>
    <w:rsid w:val="00265023"/>
    <w:rPr>
      <w:i/>
      <w:iCs/>
    </w:rPr>
  </w:style>
  <w:style w:type="character" w:styleId="Hyperlink">
    <w:name w:val="Hyperlink"/>
    <w:basedOn w:val="DefaultParagraphFont"/>
    <w:uiPriority w:val="99"/>
    <w:unhideWhenUsed/>
    <w:rsid w:val="00265023"/>
    <w:rPr>
      <w:color w:val="0000FF"/>
      <w:u w:val="single"/>
    </w:rPr>
  </w:style>
  <w:style w:type="character" w:styleId="FollowedHyperlink">
    <w:name w:val="FollowedHyperlink"/>
    <w:basedOn w:val="DefaultParagraphFont"/>
    <w:uiPriority w:val="99"/>
    <w:semiHidden/>
    <w:unhideWhenUsed/>
    <w:rsid w:val="00265023"/>
    <w:rPr>
      <w:color w:val="800080"/>
      <w:u w:val="single"/>
    </w:rPr>
  </w:style>
  <w:style w:type="character" w:customStyle="1" w:styleId="absolute">
    <w:name w:val="absolute"/>
    <w:basedOn w:val="DefaultParagraphFont"/>
    <w:rsid w:val="00265023"/>
  </w:style>
  <w:style w:type="character" w:customStyle="1" w:styleId="inline-flex">
    <w:name w:val="inline-flex"/>
    <w:basedOn w:val="DefaultParagraphFont"/>
    <w:rsid w:val="00265023"/>
  </w:style>
  <w:style w:type="character" w:customStyle="1" w:styleId="relative">
    <w:name w:val="relative"/>
    <w:basedOn w:val="DefaultParagraphFont"/>
    <w:rsid w:val="00265023"/>
  </w:style>
  <w:style w:type="character" w:customStyle="1" w:styleId="transition-all">
    <w:name w:val="transition-all"/>
    <w:basedOn w:val="DefaultParagraphFont"/>
    <w:rsid w:val="00265023"/>
  </w:style>
  <w:style w:type="paragraph" w:customStyle="1" w:styleId="whitespace-pre-wrap">
    <w:name w:val="whitespace-pre-wrap"/>
    <w:basedOn w:val="Normal"/>
    <w:rsid w:val="002650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text-500">
    <w:name w:val="text-text-500"/>
    <w:basedOn w:val="DefaultParagraphFont"/>
    <w:rsid w:val="00265023"/>
  </w:style>
  <w:style w:type="character" w:customStyle="1" w:styleId="truncate">
    <w:name w:val="truncate"/>
    <w:basedOn w:val="DefaultParagraphFont"/>
    <w:rsid w:val="00265023"/>
  </w:style>
  <w:style w:type="character" w:customStyle="1" w:styleId="sr-only">
    <w:name w:val="sr-only"/>
    <w:basedOn w:val="DefaultParagraphFont"/>
    <w:rsid w:val="00265023"/>
  </w:style>
  <w:style w:type="paragraph" w:styleId="ListParagraph">
    <w:name w:val="List Paragraph"/>
    <w:basedOn w:val="Normal"/>
    <w:uiPriority w:val="34"/>
    <w:qFormat/>
    <w:rsid w:val="009F4850"/>
    <w:pPr>
      <w:ind w:left="720"/>
      <w:contextualSpacing/>
    </w:pPr>
  </w:style>
  <w:style w:type="paragraph" w:styleId="NormalWeb">
    <w:name w:val="Normal (Web)"/>
    <w:basedOn w:val="Normal"/>
    <w:uiPriority w:val="99"/>
    <w:semiHidden/>
    <w:unhideWhenUsed/>
    <w:rsid w:val="00F465E0"/>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2C7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30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30C9"/>
  </w:style>
  <w:style w:type="paragraph" w:styleId="Footer">
    <w:name w:val="footer"/>
    <w:basedOn w:val="Normal"/>
    <w:link w:val="FooterChar"/>
    <w:uiPriority w:val="99"/>
    <w:unhideWhenUsed/>
    <w:rsid w:val="00AF30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0C9"/>
  </w:style>
  <w:style w:type="paragraph" w:styleId="NoSpacing">
    <w:name w:val="No Spacing"/>
    <w:uiPriority w:val="1"/>
    <w:qFormat/>
    <w:rsid w:val="005B3ABF"/>
    <w:pPr>
      <w:spacing w:after="0" w:line="240" w:lineRule="auto"/>
    </w:pPr>
  </w:style>
  <w:style w:type="paragraph" w:customStyle="1" w:styleId="isselectedend">
    <w:name w:val="isselectedend"/>
    <w:basedOn w:val="Normal"/>
    <w:rsid w:val="00463E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5C1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726412">
      <w:bodyDiv w:val="1"/>
      <w:marLeft w:val="0"/>
      <w:marRight w:val="0"/>
      <w:marTop w:val="0"/>
      <w:marBottom w:val="0"/>
      <w:divBdr>
        <w:top w:val="none" w:sz="0" w:space="0" w:color="auto"/>
        <w:left w:val="none" w:sz="0" w:space="0" w:color="auto"/>
        <w:bottom w:val="none" w:sz="0" w:space="0" w:color="auto"/>
        <w:right w:val="none" w:sz="0" w:space="0" w:color="auto"/>
      </w:divBdr>
      <w:divsChild>
        <w:div w:id="2147044431">
          <w:marLeft w:val="0"/>
          <w:marRight w:val="0"/>
          <w:marTop w:val="0"/>
          <w:marBottom w:val="0"/>
          <w:divBdr>
            <w:top w:val="none" w:sz="0" w:space="0" w:color="auto"/>
            <w:left w:val="none" w:sz="0" w:space="0" w:color="auto"/>
            <w:bottom w:val="none" w:sz="0" w:space="0" w:color="auto"/>
            <w:right w:val="none" w:sz="0" w:space="0" w:color="auto"/>
          </w:divBdr>
          <w:divsChild>
            <w:div w:id="1952661879">
              <w:marLeft w:val="0"/>
              <w:marRight w:val="0"/>
              <w:marTop w:val="0"/>
              <w:marBottom w:val="0"/>
              <w:divBdr>
                <w:top w:val="none" w:sz="0" w:space="0" w:color="auto"/>
                <w:left w:val="none" w:sz="0" w:space="0" w:color="auto"/>
                <w:bottom w:val="none" w:sz="0" w:space="0" w:color="auto"/>
                <w:right w:val="none" w:sz="0" w:space="0" w:color="auto"/>
              </w:divBdr>
              <w:divsChild>
                <w:div w:id="1631744748">
                  <w:marLeft w:val="0"/>
                  <w:marRight w:val="0"/>
                  <w:marTop w:val="0"/>
                  <w:marBottom w:val="0"/>
                  <w:divBdr>
                    <w:top w:val="none" w:sz="0" w:space="0" w:color="auto"/>
                    <w:left w:val="none" w:sz="0" w:space="0" w:color="auto"/>
                    <w:bottom w:val="none" w:sz="0" w:space="0" w:color="auto"/>
                    <w:right w:val="none" w:sz="0" w:space="0" w:color="auto"/>
                  </w:divBdr>
                  <w:divsChild>
                    <w:div w:id="2018340370">
                      <w:marLeft w:val="0"/>
                      <w:marRight w:val="0"/>
                      <w:marTop w:val="0"/>
                      <w:marBottom w:val="0"/>
                      <w:divBdr>
                        <w:top w:val="none" w:sz="0" w:space="0" w:color="auto"/>
                        <w:left w:val="none" w:sz="0" w:space="0" w:color="auto"/>
                        <w:bottom w:val="none" w:sz="0" w:space="0" w:color="auto"/>
                        <w:right w:val="none" w:sz="0" w:space="0" w:color="auto"/>
                      </w:divBdr>
                      <w:divsChild>
                        <w:div w:id="847141707">
                          <w:marLeft w:val="0"/>
                          <w:marRight w:val="0"/>
                          <w:marTop w:val="0"/>
                          <w:marBottom w:val="0"/>
                          <w:divBdr>
                            <w:top w:val="none" w:sz="0" w:space="0" w:color="auto"/>
                            <w:left w:val="none" w:sz="0" w:space="0" w:color="auto"/>
                            <w:bottom w:val="none" w:sz="0" w:space="0" w:color="auto"/>
                            <w:right w:val="none" w:sz="0" w:space="0" w:color="auto"/>
                          </w:divBdr>
                          <w:divsChild>
                            <w:div w:id="1822192819">
                              <w:marLeft w:val="0"/>
                              <w:marRight w:val="0"/>
                              <w:marTop w:val="0"/>
                              <w:marBottom w:val="0"/>
                              <w:divBdr>
                                <w:top w:val="none" w:sz="0" w:space="0" w:color="auto"/>
                                <w:left w:val="none" w:sz="0" w:space="0" w:color="auto"/>
                                <w:bottom w:val="none" w:sz="0" w:space="0" w:color="auto"/>
                                <w:right w:val="none" w:sz="0" w:space="0" w:color="auto"/>
                              </w:divBdr>
                              <w:divsChild>
                                <w:div w:id="997224385">
                                  <w:marLeft w:val="0"/>
                                  <w:marRight w:val="0"/>
                                  <w:marTop w:val="0"/>
                                  <w:marBottom w:val="0"/>
                                  <w:divBdr>
                                    <w:top w:val="none" w:sz="0" w:space="0" w:color="auto"/>
                                    <w:left w:val="none" w:sz="0" w:space="0" w:color="auto"/>
                                    <w:bottom w:val="none" w:sz="0" w:space="0" w:color="auto"/>
                                    <w:right w:val="none" w:sz="0" w:space="0" w:color="auto"/>
                                  </w:divBdr>
                                  <w:divsChild>
                                    <w:div w:id="34100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9503214">
      <w:bodyDiv w:val="1"/>
      <w:marLeft w:val="0"/>
      <w:marRight w:val="0"/>
      <w:marTop w:val="0"/>
      <w:marBottom w:val="0"/>
      <w:divBdr>
        <w:top w:val="none" w:sz="0" w:space="0" w:color="auto"/>
        <w:left w:val="none" w:sz="0" w:space="0" w:color="auto"/>
        <w:bottom w:val="none" w:sz="0" w:space="0" w:color="auto"/>
        <w:right w:val="none" w:sz="0" w:space="0" w:color="auto"/>
      </w:divBdr>
    </w:div>
    <w:div w:id="741609224">
      <w:bodyDiv w:val="1"/>
      <w:marLeft w:val="0"/>
      <w:marRight w:val="0"/>
      <w:marTop w:val="0"/>
      <w:marBottom w:val="0"/>
      <w:divBdr>
        <w:top w:val="none" w:sz="0" w:space="0" w:color="auto"/>
        <w:left w:val="none" w:sz="0" w:space="0" w:color="auto"/>
        <w:bottom w:val="none" w:sz="0" w:space="0" w:color="auto"/>
        <w:right w:val="none" w:sz="0" w:space="0" w:color="auto"/>
      </w:divBdr>
      <w:divsChild>
        <w:div w:id="107239454">
          <w:marLeft w:val="0"/>
          <w:marRight w:val="0"/>
          <w:marTop w:val="0"/>
          <w:marBottom w:val="0"/>
          <w:divBdr>
            <w:top w:val="none" w:sz="0" w:space="0" w:color="auto"/>
            <w:left w:val="none" w:sz="0" w:space="0" w:color="auto"/>
            <w:bottom w:val="none" w:sz="0" w:space="0" w:color="auto"/>
            <w:right w:val="none" w:sz="0" w:space="0" w:color="auto"/>
          </w:divBdr>
          <w:divsChild>
            <w:div w:id="1609117883">
              <w:marLeft w:val="0"/>
              <w:marRight w:val="0"/>
              <w:marTop w:val="0"/>
              <w:marBottom w:val="0"/>
              <w:divBdr>
                <w:top w:val="none" w:sz="0" w:space="0" w:color="auto"/>
                <w:left w:val="none" w:sz="0" w:space="0" w:color="auto"/>
                <w:bottom w:val="none" w:sz="0" w:space="0" w:color="auto"/>
                <w:right w:val="none" w:sz="0" w:space="0" w:color="auto"/>
              </w:divBdr>
              <w:divsChild>
                <w:div w:id="1882741405">
                  <w:marLeft w:val="0"/>
                  <w:marRight w:val="0"/>
                  <w:marTop w:val="0"/>
                  <w:marBottom w:val="0"/>
                  <w:divBdr>
                    <w:top w:val="none" w:sz="0" w:space="0" w:color="auto"/>
                    <w:left w:val="none" w:sz="0" w:space="0" w:color="auto"/>
                    <w:bottom w:val="none" w:sz="0" w:space="0" w:color="auto"/>
                    <w:right w:val="none" w:sz="0" w:space="0" w:color="auto"/>
                  </w:divBdr>
                  <w:divsChild>
                    <w:div w:id="1418794566">
                      <w:marLeft w:val="0"/>
                      <w:marRight w:val="0"/>
                      <w:marTop w:val="0"/>
                      <w:marBottom w:val="0"/>
                      <w:divBdr>
                        <w:top w:val="none" w:sz="0" w:space="0" w:color="auto"/>
                        <w:left w:val="none" w:sz="0" w:space="0" w:color="auto"/>
                        <w:bottom w:val="none" w:sz="0" w:space="0" w:color="auto"/>
                        <w:right w:val="none" w:sz="0" w:space="0" w:color="auto"/>
                      </w:divBdr>
                      <w:divsChild>
                        <w:div w:id="1724865751">
                          <w:marLeft w:val="0"/>
                          <w:marRight w:val="0"/>
                          <w:marTop w:val="0"/>
                          <w:marBottom w:val="0"/>
                          <w:divBdr>
                            <w:top w:val="none" w:sz="0" w:space="0" w:color="auto"/>
                            <w:left w:val="none" w:sz="0" w:space="0" w:color="auto"/>
                            <w:bottom w:val="none" w:sz="0" w:space="0" w:color="auto"/>
                            <w:right w:val="none" w:sz="0" w:space="0" w:color="auto"/>
                          </w:divBdr>
                          <w:divsChild>
                            <w:div w:id="2095659301">
                              <w:marLeft w:val="0"/>
                              <w:marRight w:val="0"/>
                              <w:marTop w:val="0"/>
                              <w:marBottom w:val="0"/>
                              <w:divBdr>
                                <w:top w:val="none" w:sz="0" w:space="0" w:color="auto"/>
                                <w:left w:val="none" w:sz="0" w:space="0" w:color="auto"/>
                                <w:bottom w:val="none" w:sz="0" w:space="0" w:color="auto"/>
                                <w:right w:val="none" w:sz="0" w:space="0" w:color="auto"/>
                              </w:divBdr>
                              <w:divsChild>
                                <w:div w:id="11803550">
                                  <w:marLeft w:val="0"/>
                                  <w:marRight w:val="0"/>
                                  <w:marTop w:val="0"/>
                                  <w:marBottom w:val="0"/>
                                  <w:divBdr>
                                    <w:top w:val="none" w:sz="0" w:space="0" w:color="auto"/>
                                    <w:left w:val="none" w:sz="0" w:space="0" w:color="auto"/>
                                    <w:bottom w:val="none" w:sz="0" w:space="0" w:color="auto"/>
                                    <w:right w:val="none" w:sz="0" w:space="0" w:color="auto"/>
                                  </w:divBdr>
                                  <w:divsChild>
                                    <w:div w:id="2142376911">
                                      <w:marLeft w:val="0"/>
                                      <w:marRight w:val="0"/>
                                      <w:marTop w:val="0"/>
                                      <w:marBottom w:val="0"/>
                                      <w:divBdr>
                                        <w:top w:val="none" w:sz="0" w:space="0" w:color="auto"/>
                                        <w:left w:val="none" w:sz="0" w:space="0" w:color="auto"/>
                                        <w:bottom w:val="none" w:sz="0" w:space="0" w:color="auto"/>
                                        <w:right w:val="none" w:sz="0" w:space="0" w:color="auto"/>
                                      </w:divBdr>
                                      <w:divsChild>
                                        <w:div w:id="324012903">
                                          <w:marLeft w:val="0"/>
                                          <w:marRight w:val="0"/>
                                          <w:marTop w:val="0"/>
                                          <w:marBottom w:val="0"/>
                                          <w:divBdr>
                                            <w:top w:val="none" w:sz="0" w:space="0" w:color="auto"/>
                                            <w:left w:val="none" w:sz="0" w:space="0" w:color="auto"/>
                                            <w:bottom w:val="none" w:sz="0" w:space="0" w:color="auto"/>
                                            <w:right w:val="none" w:sz="0" w:space="0" w:color="auto"/>
                                          </w:divBdr>
                                          <w:divsChild>
                                            <w:div w:id="515844653">
                                              <w:marLeft w:val="0"/>
                                              <w:marRight w:val="0"/>
                                              <w:marTop w:val="0"/>
                                              <w:marBottom w:val="0"/>
                                              <w:divBdr>
                                                <w:top w:val="none" w:sz="0" w:space="0" w:color="auto"/>
                                                <w:left w:val="none" w:sz="0" w:space="0" w:color="auto"/>
                                                <w:bottom w:val="none" w:sz="0" w:space="0" w:color="auto"/>
                                                <w:right w:val="none" w:sz="0" w:space="0" w:color="auto"/>
                                              </w:divBdr>
                                              <w:divsChild>
                                                <w:div w:id="331496419">
                                                  <w:marLeft w:val="0"/>
                                                  <w:marRight w:val="0"/>
                                                  <w:marTop w:val="0"/>
                                                  <w:marBottom w:val="0"/>
                                                  <w:divBdr>
                                                    <w:top w:val="none" w:sz="0" w:space="0" w:color="auto"/>
                                                    <w:left w:val="none" w:sz="0" w:space="0" w:color="auto"/>
                                                    <w:bottom w:val="none" w:sz="0" w:space="0" w:color="auto"/>
                                                    <w:right w:val="none" w:sz="0" w:space="0" w:color="auto"/>
                                                  </w:divBdr>
                                                  <w:divsChild>
                                                    <w:div w:id="945229779">
                                                      <w:marLeft w:val="0"/>
                                                      <w:marRight w:val="0"/>
                                                      <w:marTop w:val="0"/>
                                                      <w:marBottom w:val="0"/>
                                                      <w:divBdr>
                                                        <w:top w:val="none" w:sz="0" w:space="0" w:color="auto"/>
                                                        <w:left w:val="none" w:sz="0" w:space="0" w:color="auto"/>
                                                        <w:bottom w:val="none" w:sz="0" w:space="0" w:color="auto"/>
                                                        <w:right w:val="none" w:sz="0" w:space="0" w:color="auto"/>
                                                      </w:divBdr>
                                                      <w:divsChild>
                                                        <w:div w:id="1292438098">
                                                          <w:marLeft w:val="0"/>
                                                          <w:marRight w:val="0"/>
                                                          <w:marTop w:val="0"/>
                                                          <w:marBottom w:val="0"/>
                                                          <w:divBdr>
                                                            <w:top w:val="none" w:sz="0" w:space="0" w:color="auto"/>
                                                            <w:left w:val="none" w:sz="0" w:space="0" w:color="auto"/>
                                                            <w:bottom w:val="none" w:sz="0" w:space="0" w:color="auto"/>
                                                            <w:right w:val="none" w:sz="0" w:space="0" w:color="auto"/>
                                                          </w:divBdr>
                                                        </w:div>
                                                        <w:div w:id="87896721">
                                                          <w:marLeft w:val="0"/>
                                                          <w:marRight w:val="0"/>
                                                          <w:marTop w:val="0"/>
                                                          <w:marBottom w:val="0"/>
                                                          <w:divBdr>
                                                            <w:top w:val="none" w:sz="0" w:space="0" w:color="auto"/>
                                                            <w:left w:val="none" w:sz="0" w:space="0" w:color="auto"/>
                                                            <w:bottom w:val="none" w:sz="0" w:space="0" w:color="auto"/>
                                                            <w:right w:val="none" w:sz="0" w:space="0" w:color="auto"/>
                                                          </w:divBdr>
                                                        </w:div>
                                                        <w:div w:id="220795162">
                                                          <w:marLeft w:val="0"/>
                                                          <w:marRight w:val="0"/>
                                                          <w:marTop w:val="0"/>
                                                          <w:marBottom w:val="0"/>
                                                          <w:divBdr>
                                                            <w:top w:val="none" w:sz="0" w:space="0" w:color="auto"/>
                                                            <w:left w:val="none" w:sz="0" w:space="0" w:color="auto"/>
                                                            <w:bottom w:val="none" w:sz="0" w:space="0" w:color="auto"/>
                                                            <w:right w:val="none" w:sz="0" w:space="0" w:color="auto"/>
                                                          </w:divBdr>
                                                        </w:div>
                                                        <w:div w:id="250511181">
                                                          <w:marLeft w:val="0"/>
                                                          <w:marRight w:val="0"/>
                                                          <w:marTop w:val="0"/>
                                                          <w:marBottom w:val="0"/>
                                                          <w:divBdr>
                                                            <w:top w:val="none" w:sz="0" w:space="0" w:color="auto"/>
                                                            <w:left w:val="none" w:sz="0" w:space="0" w:color="auto"/>
                                                            <w:bottom w:val="none" w:sz="0" w:space="0" w:color="auto"/>
                                                            <w:right w:val="none" w:sz="0" w:space="0" w:color="auto"/>
                                                          </w:divBdr>
                                                        </w:div>
                                                        <w:div w:id="123470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8529927">
                      <w:marLeft w:val="0"/>
                      <w:marRight w:val="0"/>
                      <w:marTop w:val="0"/>
                      <w:marBottom w:val="0"/>
                      <w:divBdr>
                        <w:top w:val="none" w:sz="0" w:space="0" w:color="auto"/>
                        <w:left w:val="none" w:sz="0" w:space="0" w:color="auto"/>
                        <w:bottom w:val="none" w:sz="0" w:space="0" w:color="auto"/>
                        <w:right w:val="none" w:sz="0" w:space="0" w:color="auto"/>
                      </w:divBdr>
                      <w:divsChild>
                        <w:div w:id="1749957861">
                          <w:marLeft w:val="0"/>
                          <w:marRight w:val="0"/>
                          <w:marTop w:val="0"/>
                          <w:marBottom w:val="0"/>
                          <w:divBdr>
                            <w:top w:val="none" w:sz="0" w:space="0" w:color="auto"/>
                            <w:left w:val="none" w:sz="0" w:space="0" w:color="auto"/>
                            <w:bottom w:val="none" w:sz="0" w:space="0" w:color="auto"/>
                            <w:right w:val="none" w:sz="0" w:space="0" w:color="auto"/>
                          </w:divBdr>
                          <w:divsChild>
                            <w:div w:id="507335261">
                              <w:marLeft w:val="0"/>
                              <w:marRight w:val="0"/>
                              <w:marTop w:val="0"/>
                              <w:marBottom w:val="0"/>
                              <w:divBdr>
                                <w:top w:val="none" w:sz="0" w:space="0" w:color="auto"/>
                                <w:left w:val="none" w:sz="0" w:space="0" w:color="auto"/>
                                <w:bottom w:val="none" w:sz="0" w:space="0" w:color="auto"/>
                                <w:right w:val="none" w:sz="0" w:space="0" w:color="auto"/>
                              </w:divBdr>
                              <w:divsChild>
                                <w:div w:id="1895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513316">
          <w:marLeft w:val="0"/>
          <w:marRight w:val="0"/>
          <w:marTop w:val="0"/>
          <w:marBottom w:val="0"/>
          <w:divBdr>
            <w:top w:val="none" w:sz="0" w:space="0" w:color="auto"/>
            <w:left w:val="none" w:sz="0" w:space="0" w:color="auto"/>
            <w:bottom w:val="none" w:sz="0" w:space="0" w:color="auto"/>
            <w:right w:val="none" w:sz="0" w:space="0" w:color="auto"/>
          </w:divBdr>
          <w:divsChild>
            <w:div w:id="1595238739">
              <w:marLeft w:val="0"/>
              <w:marRight w:val="0"/>
              <w:marTop w:val="0"/>
              <w:marBottom w:val="0"/>
              <w:divBdr>
                <w:top w:val="none" w:sz="0" w:space="0" w:color="auto"/>
                <w:left w:val="none" w:sz="0" w:space="0" w:color="auto"/>
                <w:bottom w:val="none" w:sz="0" w:space="0" w:color="auto"/>
                <w:right w:val="none" w:sz="0" w:space="0" w:color="auto"/>
              </w:divBdr>
              <w:divsChild>
                <w:div w:id="1015377880">
                  <w:marLeft w:val="0"/>
                  <w:marRight w:val="0"/>
                  <w:marTop w:val="0"/>
                  <w:marBottom w:val="0"/>
                  <w:divBdr>
                    <w:top w:val="none" w:sz="0" w:space="0" w:color="auto"/>
                    <w:left w:val="none" w:sz="0" w:space="0" w:color="auto"/>
                    <w:bottom w:val="none" w:sz="0" w:space="0" w:color="auto"/>
                    <w:right w:val="none" w:sz="0" w:space="0" w:color="auto"/>
                  </w:divBdr>
                  <w:divsChild>
                    <w:div w:id="2040621849">
                      <w:marLeft w:val="0"/>
                      <w:marRight w:val="0"/>
                      <w:marTop w:val="0"/>
                      <w:marBottom w:val="0"/>
                      <w:divBdr>
                        <w:top w:val="none" w:sz="0" w:space="0" w:color="auto"/>
                        <w:left w:val="none" w:sz="0" w:space="0" w:color="auto"/>
                        <w:bottom w:val="none" w:sz="0" w:space="0" w:color="auto"/>
                        <w:right w:val="none" w:sz="0" w:space="0" w:color="auto"/>
                      </w:divBdr>
                      <w:divsChild>
                        <w:div w:id="790053048">
                          <w:marLeft w:val="0"/>
                          <w:marRight w:val="0"/>
                          <w:marTop w:val="0"/>
                          <w:marBottom w:val="0"/>
                          <w:divBdr>
                            <w:top w:val="none" w:sz="0" w:space="0" w:color="auto"/>
                            <w:left w:val="none" w:sz="0" w:space="0" w:color="auto"/>
                            <w:bottom w:val="none" w:sz="0" w:space="0" w:color="auto"/>
                            <w:right w:val="none" w:sz="0" w:space="0" w:color="auto"/>
                          </w:divBdr>
                          <w:divsChild>
                            <w:div w:id="759371183">
                              <w:marLeft w:val="0"/>
                              <w:marRight w:val="0"/>
                              <w:marTop w:val="0"/>
                              <w:marBottom w:val="0"/>
                              <w:divBdr>
                                <w:top w:val="none" w:sz="0" w:space="0" w:color="auto"/>
                                <w:left w:val="none" w:sz="0" w:space="0" w:color="auto"/>
                                <w:bottom w:val="none" w:sz="0" w:space="0" w:color="auto"/>
                                <w:right w:val="none" w:sz="0" w:space="0" w:color="auto"/>
                              </w:divBdr>
                              <w:divsChild>
                                <w:div w:id="1420521671">
                                  <w:marLeft w:val="0"/>
                                  <w:marRight w:val="0"/>
                                  <w:marTop w:val="0"/>
                                  <w:marBottom w:val="0"/>
                                  <w:divBdr>
                                    <w:top w:val="none" w:sz="0" w:space="0" w:color="auto"/>
                                    <w:left w:val="none" w:sz="0" w:space="0" w:color="auto"/>
                                    <w:bottom w:val="none" w:sz="0" w:space="0" w:color="auto"/>
                                    <w:right w:val="none" w:sz="0" w:space="0" w:color="auto"/>
                                  </w:divBdr>
                                  <w:divsChild>
                                    <w:div w:id="1239484906">
                                      <w:marLeft w:val="0"/>
                                      <w:marRight w:val="0"/>
                                      <w:marTop w:val="0"/>
                                      <w:marBottom w:val="0"/>
                                      <w:divBdr>
                                        <w:top w:val="none" w:sz="0" w:space="0" w:color="auto"/>
                                        <w:left w:val="none" w:sz="0" w:space="0" w:color="auto"/>
                                        <w:bottom w:val="none" w:sz="0" w:space="0" w:color="auto"/>
                                        <w:right w:val="none" w:sz="0" w:space="0" w:color="auto"/>
                                      </w:divBdr>
                                      <w:divsChild>
                                        <w:div w:id="24905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152495">
                              <w:marLeft w:val="0"/>
                              <w:marRight w:val="0"/>
                              <w:marTop w:val="0"/>
                              <w:marBottom w:val="0"/>
                              <w:divBdr>
                                <w:top w:val="none" w:sz="0" w:space="0" w:color="auto"/>
                                <w:left w:val="none" w:sz="0" w:space="0" w:color="auto"/>
                                <w:bottom w:val="none" w:sz="0" w:space="0" w:color="auto"/>
                                <w:right w:val="none" w:sz="0" w:space="0" w:color="auto"/>
                              </w:divBdr>
                              <w:divsChild>
                                <w:div w:id="796602488">
                                  <w:marLeft w:val="0"/>
                                  <w:marRight w:val="0"/>
                                  <w:marTop w:val="0"/>
                                  <w:marBottom w:val="0"/>
                                  <w:divBdr>
                                    <w:top w:val="none" w:sz="0" w:space="0" w:color="auto"/>
                                    <w:left w:val="none" w:sz="0" w:space="0" w:color="auto"/>
                                    <w:bottom w:val="none" w:sz="0" w:space="0" w:color="auto"/>
                                    <w:right w:val="none" w:sz="0" w:space="0" w:color="auto"/>
                                  </w:divBdr>
                                  <w:divsChild>
                                    <w:div w:id="976183214">
                                      <w:marLeft w:val="0"/>
                                      <w:marRight w:val="0"/>
                                      <w:marTop w:val="0"/>
                                      <w:marBottom w:val="0"/>
                                      <w:divBdr>
                                        <w:top w:val="none" w:sz="0" w:space="0" w:color="auto"/>
                                        <w:left w:val="none" w:sz="0" w:space="0" w:color="auto"/>
                                        <w:bottom w:val="none" w:sz="0" w:space="0" w:color="auto"/>
                                        <w:right w:val="none" w:sz="0" w:space="0" w:color="auto"/>
                                      </w:divBdr>
                                      <w:divsChild>
                                        <w:div w:id="157713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1855666">
          <w:marLeft w:val="0"/>
          <w:marRight w:val="0"/>
          <w:marTop w:val="0"/>
          <w:marBottom w:val="0"/>
          <w:divBdr>
            <w:top w:val="none" w:sz="0" w:space="0" w:color="auto"/>
            <w:left w:val="none" w:sz="0" w:space="0" w:color="auto"/>
            <w:bottom w:val="none" w:sz="0" w:space="0" w:color="auto"/>
            <w:right w:val="none" w:sz="0" w:space="0" w:color="auto"/>
          </w:divBdr>
          <w:divsChild>
            <w:div w:id="1852914908">
              <w:marLeft w:val="0"/>
              <w:marRight w:val="0"/>
              <w:marTop w:val="0"/>
              <w:marBottom w:val="0"/>
              <w:divBdr>
                <w:top w:val="none" w:sz="0" w:space="0" w:color="auto"/>
                <w:left w:val="none" w:sz="0" w:space="0" w:color="auto"/>
                <w:bottom w:val="none" w:sz="0" w:space="0" w:color="auto"/>
                <w:right w:val="none" w:sz="0" w:space="0" w:color="auto"/>
              </w:divBdr>
              <w:divsChild>
                <w:div w:id="1959602475">
                  <w:marLeft w:val="0"/>
                  <w:marRight w:val="0"/>
                  <w:marTop w:val="0"/>
                  <w:marBottom w:val="0"/>
                  <w:divBdr>
                    <w:top w:val="none" w:sz="0" w:space="0" w:color="auto"/>
                    <w:left w:val="none" w:sz="0" w:space="0" w:color="auto"/>
                    <w:bottom w:val="none" w:sz="0" w:space="0" w:color="auto"/>
                    <w:right w:val="none" w:sz="0" w:space="0" w:color="auto"/>
                  </w:divBdr>
                  <w:divsChild>
                    <w:div w:id="1498182046">
                      <w:marLeft w:val="0"/>
                      <w:marRight w:val="0"/>
                      <w:marTop w:val="0"/>
                      <w:marBottom w:val="0"/>
                      <w:divBdr>
                        <w:top w:val="none" w:sz="0" w:space="0" w:color="auto"/>
                        <w:left w:val="none" w:sz="0" w:space="0" w:color="auto"/>
                        <w:bottom w:val="none" w:sz="0" w:space="0" w:color="auto"/>
                        <w:right w:val="none" w:sz="0" w:space="0" w:color="auto"/>
                      </w:divBdr>
                      <w:divsChild>
                        <w:div w:id="437454350">
                          <w:marLeft w:val="0"/>
                          <w:marRight w:val="0"/>
                          <w:marTop w:val="0"/>
                          <w:marBottom w:val="0"/>
                          <w:divBdr>
                            <w:top w:val="none" w:sz="0" w:space="0" w:color="auto"/>
                            <w:left w:val="none" w:sz="0" w:space="0" w:color="auto"/>
                            <w:bottom w:val="none" w:sz="0" w:space="0" w:color="auto"/>
                            <w:right w:val="none" w:sz="0" w:space="0" w:color="auto"/>
                          </w:divBdr>
                          <w:divsChild>
                            <w:div w:id="1774090179">
                              <w:marLeft w:val="0"/>
                              <w:marRight w:val="0"/>
                              <w:marTop w:val="0"/>
                              <w:marBottom w:val="0"/>
                              <w:divBdr>
                                <w:top w:val="none" w:sz="0" w:space="0" w:color="auto"/>
                                <w:left w:val="none" w:sz="0" w:space="0" w:color="auto"/>
                                <w:bottom w:val="none" w:sz="0" w:space="0" w:color="auto"/>
                                <w:right w:val="none" w:sz="0" w:space="0" w:color="auto"/>
                              </w:divBdr>
                              <w:divsChild>
                                <w:div w:id="562064014">
                                  <w:marLeft w:val="0"/>
                                  <w:marRight w:val="0"/>
                                  <w:marTop w:val="0"/>
                                  <w:marBottom w:val="0"/>
                                  <w:divBdr>
                                    <w:top w:val="none" w:sz="0" w:space="0" w:color="auto"/>
                                    <w:left w:val="none" w:sz="0" w:space="0" w:color="auto"/>
                                    <w:bottom w:val="none" w:sz="0" w:space="0" w:color="auto"/>
                                    <w:right w:val="none" w:sz="0" w:space="0" w:color="auto"/>
                                  </w:divBdr>
                                  <w:divsChild>
                                    <w:div w:id="2117435275">
                                      <w:marLeft w:val="0"/>
                                      <w:marRight w:val="0"/>
                                      <w:marTop w:val="0"/>
                                      <w:marBottom w:val="0"/>
                                      <w:divBdr>
                                        <w:top w:val="none" w:sz="0" w:space="0" w:color="auto"/>
                                        <w:left w:val="none" w:sz="0" w:space="0" w:color="auto"/>
                                        <w:bottom w:val="none" w:sz="0" w:space="0" w:color="auto"/>
                                        <w:right w:val="none" w:sz="0" w:space="0" w:color="auto"/>
                                      </w:divBdr>
                                      <w:divsChild>
                                        <w:div w:id="431047631">
                                          <w:marLeft w:val="0"/>
                                          <w:marRight w:val="0"/>
                                          <w:marTop w:val="0"/>
                                          <w:marBottom w:val="0"/>
                                          <w:divBdr>
                                            <w:top w:val="none" w:sz="0" w:space="0" w:color="auto"/>
                                            <w:left w:val="none" w:sz="0" w:space="0" w:color="auto"/>
                                            <w:bottom w:val="none" w:sz="0" w:space="0" w:color="auto"/>
                                            <w:right w:val="none" w:sz="0" w:space="0" w:color="auto"/>
                                          </w:divBdr>
                                          <w:divsChild>
                                            <w:div w:id="778568148">
                                              <w:marLeft w:val="0"/>
                                              <w:marRight w:val="0"/>
                                              <w:marTop w:val="0"/>
                                              <w:marBottom w:val="0"/>
                                              <w:divBdr>
                                                <w:top w:val="none" w:sz="0" w:space="0" w:color="auto"/>
                                                <w:left w:val="none" w:sz="0" w:space="0" w:color="auto"/>
                                                <w:bottom w:val="none" w:sz="0" w:space="0" w:color="auto"/>
                                                <w:right w:val="none" w:sz="0" w:space="0" w:color="auto"/>
                                              </w:divBdr>
                                              <w:divsChild>
                                                <w:div w:id="1777863502">
                                                  <w:marLeft w:val="0"/>
                                                  <w:marRight w:val="0"/>
                                                  <w:marTop w:val="0"/>
                                                  <w:marBottom w:val="0"/>
                                                  <w:divBdr>
                                                    <w:top w:val="none" w:sz="0" w:space="0" w:color="auto"/>
                                                    <w:left w:val="none" w:sz="0" w:space="0" w:color="auto"/>
                                                    <w:bottom w:val="none" w:sz="0" w:space="0" w:color="auto"/>
                                                    <w:right w:val="none" w:sz="0" w:space="0" w:color="auto"/>
                                                  </w:divBdr>
                                                  <w:divsChild>
                                                    <w:div w:id="2653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164820">
                                          <w:marLeft w:val="0"/>
                                          <w:marRight w:val="0"/>
                                          <w:marTop w:val="0"/>
                                          <w:marBottom w:val="0"/>
                                          <w:divBdr>
                                            <w:top w:val="none" w:sz="0" w:space="0" w:color="auto"/>
                                            <w:left w:val="none" w:sz="0" w:space="0" w:color="auto"/>
                                            <w:bottom w:val="none" w:sz="0" w:space="0" w:color="auto"/>
                                            <w:right w:val="none" w:sz="0" w:space="0" w:color="auto"/>
                                          </w:divBdr>
                                          <w:divsChild>
                                            <w:div w:id="1752389275">
                                              <w:marLeft w:val="0"/>
                                              <w:marRight w:val="0"/>
                                              <w:marTop w:val="0"/>
                                              <w:marBottom w:val="0"/>
                                              <w:divBdr>
                                                <w:top w:val="none" w:sz="0" w:space="0" w:color="auto"/>
                                                <w:left w:val="none" w:sz="0" w:space="0" w:color="auto"/>
                                                <w:bottom w:val="none" w:sz="0" w:space="0" w:color="auto"/>
                                                <w:right w:val="none" w:sz="0" w:space="0" w:color="auto"/>
                                              </w:divBdr>
                                              <w:divsChild>
                                                <w:div w:id="304897050">
                                                  <w:marLeft w:val="0"/>
                                                  <w:marRight w:val="0"/>
                                                  <w:marTop w:val="0"/>
                                                  <w:marBottom w:val="0"/>
                                                  <w:divBdr>
                                                    <w:top w:val="none" w:sz="0" w:space="0" w:color="auto"/>
                                                    <w:left w:val="none" w:sz="0" w:space="0" w:color="auto"/>
                                                    <w:bottom w:val="none" w:sz="0" w:space="0" w:color="auto"/>
                                                    <w:right w:val="none" w:sz="0" w:space="0" w:color="auto"/>
                                                  </w:divBdr>
                                                  <w:divsChild>
                                                    <w:div w:id="390690584">
                                                      <w:marLeft w:val="0"/>
                                                      <w:marRight w:val="0"/>
                                                      <w:marTop w:val="0"/>
                                                      <w:marBottom w:val="0"/>
                                                      <w:divBdr>
                                                        <w:top w:val="none" w:sz="0" w:space="0" w:color="auto"/>
                                                        <w:left w:val="none" w:sz="0" w:space="0" w:color="auto"/>
                                                        <w:bottom w:val="none" w:sz="0" w:space="0" w:color="auto"/>
                                                        <w:right w:val="none" w:sz="0" w:space="0" w:color="auto"/>
                                                      </w:divBdr>
                                                      <w:divsChild>
                                                        <w:div w:id="595403396">
                                                          <w:marLeft w:val="0"/>
                                                          <w:marRight w:val="0"/>
                                                          <w:marTop w:val="0"/>
                                                          <w:marBottom w:val="0"/>
                                                          <w:divBdr>
                                                            <w:top w:val="none" w:sz="0" w:space="0" w:color="auto"/>
                                                            <w:left w:val="none" w:sz="0" w:space="0" w:color="auto"/>
                                                            <w:bottom w:val="none" w:sz="0" w:space="0" w:color="auto"/>
                                                            <w:right w:val="none" w:sz="0" w:space="0" w:color="auto"/>
                                                          </w:divBdr>
                                                        </w:div>
                                                        <w:div w:id="831607248">
                                                          <w:marLeft w:val="0"/>
                                                          <w:marRight w:val="0"/>
                                                          <w:marTop w:val="0"/>
                                                          <w:marBottom w:val="0"/>
                                                          <w:divBdr>
                                                            <w:top w:val="none" w:sz="0" w:space="0" w:color="auto"/>
                                                            <w:left w:val="none" w:sz="0" w:space="0" w:color="auto"/>
                                                            <w:bottom w:val="none" w:sz="0" w:space="0" w:color="auto"/>
                                                            <w:right w:val="none" w:sz="0" w:space="0" w:color="auto"/>
                                                          </w:divBdr>
                                                        </w:div>
                                                        <w:div w:id="919757827">
                                                          <w:marLeft w:val="0"/>
                                                          <w:marRight w:val="0"/>
                                                          <w:marTop w:val="0"/>
                                                          <w:marBottom w:val="0"/>
                                                          <w:divBdr>
                                                            <w:top w:val="none" w:sz="0" w:space="0" w:color="auto"/>
                                                            <w:left w:val="none" w:sz="0" w:space="0" w:color="auto"/>
                                                            <w:bottom w:val="none" w:sz="0" w:space="0" w:color="auto"/>
                                                            <w:right w:val="none" w:sz="0" w:space="0" w:color="auto"/>
                                                          </w:divBdr>
                                                        </w:div>
                                                        <w:div w:id="1592423541">
                                                          <w:marLeft w:val="0"/>
                                                          <w:marRight w:val="0"/>
                                                          <w:marTop w:val="0"/>
                                                          <w:marBottom w:val="0"/>
                                                          <w:divBdr>
                                                            <w:top w:val="none" w:sz="0" w:space="0" w:color="auto"/>
                                                            <w:left w:val="none" w:sz="0" w:space="0" w:color="auto"/>
                                                            <w:bottom w:val="none" w:sz="0" w:space="0" w:color="auto"/>
                                                            <w:right w:val="none" w:sz="0" w:space="0" w:color="auto"/>
                                                          </w:divBdr>
                                                        </w:div>
                                                        <w:div w:id="127278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6821360">
      <w:bodyDiv w:val="1"/>
      <w:marLeft w:val="0"/>
      <w:marRight w:val="0"/>
      <w:marTop w:val="0"/>
      <w:marBottom w:val="0"/>
      <w:divBdr>
        <w:top w:val="none" w:sz="0" w:space="0" w:color="auto"/>
        <w:left w:val="none" w:sz="0" w:space="0" w:color="auto"/>
        <w:bottom w:val="none" w:sz="0" w:space="0" w:color="auto"/>
        <w:right w:val="none" w:sz="0" w:space="0" w:color="auto"/>
      </w:divBdr>
      <w:divsChild>
        <w:div w:id="1639412498">
          <w:marLeft w:val="0"/>
          <w:marRight w:val="0"/>
          <w:marTop w:val="0"/>
          <w:marBottom w:val="0"/>
          <w:divBdr>
            <w:top w:val="none" w:sz="0" w:space="0" w:color="auto"/>
            <w:left w:val="none" w:sz="0" w:space="0" w:color="auto"/>
            <w:bottom w:val="none" w:sz="0" w:space="0" w:color="auto"/>
            <w:right w:val="none" w:sz="0" w:space="0" w:color="auto"/>
          </w:divBdr>
          <w:divsChild>
            <w:div w:id="1978220578">
              <w:marLeft w:val="0"/>
              <w:marRight w:val="0"/>
              <w:marTop w:val="0"/>
              <w:marBottom w:val="0"/>
              <w:divBdr>
                <w:top w:val="none" w:sz="0" w:space="0" w:color="auto"/>
                <w:left w:val="none" w:sz="0" w:space="0" w:color="auto"/>
                <w:bottom w:val="none" w:sz="0" w:space="0" w:color="auto"/>
                <w:right w:val="none" w:sz="0" w:space="0" w:color="auto"/>
              </w:divBdr>
              <w:divsChild>
                <w:div w:id="337773251">
                  <w:marLeft w:val="0"/>
                  <w:marRight w:val="0"/>
                  <w:marTop w:val="0"/>
                  <w:marBottom w:val="0"/>
                  <w:divBdr>
                    <w:top w:val="none" w:sz="0" w:space="0" w:color="auto"/>
                    <w:left w:val="none" w:sz="0" w:space="0" w:color="auto"/>
                    <w:bottom w:val="none" w:sz="0" w:space="0" w:color="auto"/>
                    <w:right w:val="none" w:sz="0" w:space="0" w:color="auto"/>
                  </w:divBdr>
                  <w:divsChild>
                    <w:div w:id="1572501016">
                      <w:marLeft w:val="0"/>
                      <w:marRight w:val="0"/>
                      <w:marTop w:val="0"/>
                      <w:marBottom w:val="0"/>
                      <w:divBdr>
                        <w:top w:val="none" w:sz="0" w:space="0" w:color="auto"/>
                        <w:left w:val="none" w:sz="0" w:space="0" w:color="auto"/>
                        <w:bottom w:val="none" w:sz="0" w:space="0" w:color="auto"/>
                        <w:right w:val="none" w:sz="0" w:space="0" w:color="auto"/>
                      </w:divBdr>
                      <w:divsChild>
                        <w:div w:id="237987096">
                          <w:marLeft w:val="0"/>
                          <w:marRight w:val="0"/>
                          <w:marTop w:val="0"/>
                          <w:marBottom w:val="0"/>
                          <w:divBdr>
                            <w:top w:val="none" w:sz="0" w:space="0" w:color="auto"/>
                            <w:left w:val="none" w:sz="0" w:space="0" w:color="auto"/>
                            <w:bottom w:val="none" w:sz="0" w:space="0" w:color="auto"/>
                            <w:right w:val="none" w:sz="0" w:space="0" w:color="auto"/>
                          </w:divBdr>
                          <w:divsChild>
                            <w:div w:id="2009478615">
                              <w:marLeft w:val="0"/>
                              <w:marRight w:val="0"/>
                              <w:marTop w:val="0"/>
                              <w:marBottom w:val="0"/>
                              <w:divBdr>
                                <w:top w:val="none" w:sz="0" w:space="0" w:color="auto"/>
                                <w:left w:val="none" w:sz="0" w:space="0" w:color="auto"/>
                                <w:bottom w:val="none" w:sz="0" w:space="0" w:color="auto"/>
                                <w:right w:val="none" w:sz="0" w:space="0" w:color="auto"/>
                              </w:divBdr>
                              <w:divsChild>
                                <w:div w:id="923953946">
                                  <w:marLeft w:val="0"/>
                                  <w:marRight w:val="0"/>
                                  <w:marTop w:val="0"/>
                                  <w:marBottom w:val="0"/>
                                  <w:divBdr>
                                    <w:top w:val="none" w:sz="0" w:space="0" w:color="auto"/>
                                    <w:left w:val="none" w:sz="0" w:space="0" w:color="auto"/>
                                    <w:bottom w:val="none" w:sz="0" w:space="0" w:color="auto"/>
                                    <w:right w:val="none" w:sz="0" w:space="0" w:color="auto"/>
                                  </w:divBdr>
                                  <w:divsChild>
                                    <w:div w:id="40083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82/bloodadvances.2020001851" TargetMode="External"/><Relationship Id="rId18" Type="http://schemas.openxmlformats.org/officeDocument/2006/relationships/hyperlink" Target="https://doi.org/10.1016/S2352-3026(19)30154-1" TargetMode="External"/><Relationship Id="rId26" Type="http://schemas.openxmlformats.org/officeDocument/2006/relationships/hyperlink" Target="https://doi.org/10.1182/blood-2018-08-868893" TargetMode="External"/><Relationship Id="rId39" Type="http://schemas.openxmlformats.org/officeDocument/2006/relationships/hyperlink" Target="https://doi.org/10.1056/NEJMoa1609677" TargetMode="External"/><Relationship Id="rId21" Type="http://schemas.openxmlformats.org/officeDocument/2006/relationships/hyperlink" Target="https://doi.org/10.1056/NEJMoa2309676" TargetMode="External"/><Relationship Id="rId34" Type="http://schemas.openxmlformats.org/officeDocument/2006/relationships/hyperlink" Target="https://doi.org/10.1016/j.bcmd.2019.01.007" TargetMode="External"/><Relationship Id="rId42" Type="http://schemas.openxmlformats.org/officeDocument/2006/relationships/hyperlink" Target="https://doi.org/10.1146/annurev-pathmechdis-012418-012838" TargetMode="External"/><Relationship Id="rId47" Type="http://schemas.openxmlformats.org/officeDocument/2006/relationships/hyperlink" Target="https://doi.org/10.1056/NEJMoa1903212" TargetMode="External"/><Relationship Id="rId50" Type="http://schemas.openxmlformats.org/officeDocument/2006/relationships/hyperlink" Target="https://doi.org/10.1016/S0140-6736(17)30193-9" TargetMode="External"/><Relationship Id="rId55" Type="http://schemas.openxmlformats.org/officeDocument/2006/relationships/hyperlink" Target="https://doi.org/10.1016/S2352-3026(24)00175-3" TargetMode="External"/><Relationship Id="rId63" Type="http://schemas.openxmlformats.org/officeDocument/2006/relationships/theme" Target="theme/theme1.xml"/><Relationship Id="rId7" Type="http://schemas.openxmlformats.org/officeDocument/2006/relationships/hyperlink" Target="https://doi.org/10.1056/NEJM199807023390102" TargetMode="External"/><Relationship Id="rId2" Type="http://schemas.openxmlformats.org/officeDocument/2006/relationships/styles" Target="styles.xml"/><Relationship Id="rId16" Type="http://schemas.openxmlformats.org/officeDocument/2006/relationships/hyperlink" Target="https://doi.org/10.1182/blood-2011-02-272682" TargetMode="External"/><Relationship Id="rId29" Type="http://schemas.openxmlformats.org/officeDocument/2006/relationships/hyperlink" Target="https://doi.org/10.1038/nrdp.2018.10" TargetMode="External"/><Relationship Id="rId11" Type="http://schemas.openxmlformats.org/officeDocument/2006/relationships/hyperlink" Target="https://doi.org/10.1016/j.hoc.2018.01.014" TargetMode="External"/><Relationship Id="rId24" Type="http://schemas.openxmlformats.org/officeDocument/2006/relationships/hyperlink" Target="https://doi.org/10.1016/j.amepre.2011.09.013" TargetMode="External"/><Relationship Id="rId32" Type="http://schemas.openxmlformats.org/officeDocument/2006/relationships/hyperlink" Target="https://doi.org/10.1038/nrneph.2015.8" TargetMode="External"/><Relationship Id="rId37" Type="http://schemas.openxmlformats.org/officeDocument/2006/relationships/hyperlink" Target="https://doi.org/10.1016/S0140-6736(12)61229-X" TargetMode="External"/><Relationship Id="rId40" Type="http://schemas.openxmlformats.org/officeDocument/2006/relationships/hyperlink" Target="https://doi.org/10.1016/j.prrv.2013.11.003" TargetMode="External"/><Relationship Id="rId45" Type="http://schemas.openxmlformats.org/officeDocument/2006/relationships/hyperlink" Target="https://doi.org/10.1111/bjh.14594" TargetMode="External"/><Relationship Id="rId53" Type="http://schemas.openxmlformats.org/officeDocument/2006/relationships/hyperlink" Target="https://doi.org/10.1001/jama.2014.10517" TargetMode="External"/><Relationship Id="rId58"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footer" Target="footer3.xml"/><Relationship Id="rId19" Type="http://schemas.openxmlformats.org/officeDocument/2006/relationships/hyperlink" Target="https://doi.org/10.1056/NEJMoa2029392" TargetMode="External"/><Relationship Id="rId14" Type="http://schemas.openxmlformats.org/officeDocument/2006/relationships/hyperlink" Target="https://doi.org/10.1136/archdischild-2013-303773" TargetMode="External"/><Relationship Id="rId22" Type="http://schemas.openxmlformats.org/officeDocument/2006/relationships/hyperlink" Target="https://doi.org/10.1016/j.jacc.2011.10.900" TargetMode="External"/><Relationship Id="rId27" Type="http://schemas.openxmlformats.org/officeDocument/2006/relationships/hyperlink" Target="https://doi.org/10.1001/jama.2014.7192" TargetMode="External"/><Relationship Id="rId30" Type="http://schemas.openxmlformats.org/officeDocument/2006/relationships/hyperlink" Target="https://doi.org/10.1016/S0140-6736(15)01341-0" TargetMode="External"/><Relationship Id="rId35" Type="http://schemas.openxmlformats.org/officeDocument/2006/relationships/hyperlink" Target="https://doi.org/10.7326/AITC202101190" TargetMode="External"/><Relationship Id="rId43" Type="http://schemas.openxmlformats.org/officeDocument/2006/relationships/hyperlink" Target="https://doi.org/10.1053/j.semperi.2015.03.002" TargetMode="External"/><Relationship Id="rId48" Type="http://schemas.openxmlformats.org/officeDocument/2006/relationships/hyperlink" Target="https://doi.org/10.1182/asheducation-2015.1.436" TargetMode="External"/><Relationship Id="rId56" Type="http://schemas.openxmlformats.org/officeDocument/2006/relationships/header" Target="header1.xml"/><Relationship Id="rId8" Type="http://schemas.openxmlformats.org/officeDocument/2006/relationships/hyperlink" Target="https://doi.org/10.1056/NEJMoa1611770" TargetMode="External"/><Relationship Id="rId51" Type="http://schemas.openxmlformats.org/officeDocument/2006/relationships/hyperlink" Target="https://doi.org/10.1182/blood-2010-01-251348" TargetMode="External"/><Relationship Id="rId3" Type="http://schemas.openxmlformats.org/officeDocument/2006/relationships/settings" Target="settings.xml"/><Relationship Id="rId12" Type="http://schemas.openxmlformats.org/officeDocument/2006/relationships/hyperlink" Target="https://doi.org/10.1186/s13045-022-01237-z" TargetMode="External"/><Relationship Id="rId17" Type="http://schemas.openxmlformats.org/officeDocument/2006/relationships/hyperlink" Target="https://doi.org/10.1182/bloodadvances.2019001142" TargetMode="External"/><Relationship Id="rId25" Type="http://schemas.openxmlformats.org/officeDocument/2006/relationships/hyperlink" Target="https://doi.org/10.1007/s11606-014-2986-7" TargetMode="External"/><Relationship Id="rId33" Type="http://schemas.openxmlformats.org/officeDocument/2006/relationships/hyperlink" Target="https://doi.org/10.1056/NEJMoa1715971" TargetMode="External"/><Relationship Id="rId38" Type="http://schemas.openxmlformats.org/officeDocument/2006/relationships/hyperlink" Target="https://doi.org/10.1056/NEJMra1510865" TargetMode="External"/><Relationship Id="rId46" Type="http://schemas.openxmlformats.org/officeDocument/2006/relationships/hyperlink" Target="https://doi.org/10.1056/NEJM200006223422502" TargetMode="External"/><Relationship Id="rId59" Type="http://schemas.openxmlformats.org/officeDocument/2006/relationships/footer" Target="footer2.xml"/><Relationship Id="rId20" Type="http://schemas.openxmlformats.org/officeDocument/2006/relationships/hyperlink" Target="https://doi.org/10.1056/NEJMoa2031054" TargetMode="External"/><Relationship Id="rId41" Type="http://schemas.openxmlformats.org/officeDocument/2006/relationships/hyperlink" Target="https://doi.org/10.1136/archdischild-2017-313213" TargetMode="External"/><Relationship Id="rId54" Type="http://schemas.openxmlformats.org/officeDocument/2006/relationships/hyperlink" Target="https://doi.org/10.1016/j.jcyt.2024.11.006"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56/NEJM199505183322001" TargetMode="External"/><Relationship Id="rId23" Type="http://schemas.openxmlformats.org/officeDocument/2006/relationships/hyperlink" Target="https://doi.org/10.1111/eci.12931" TargetMode="External"/><Relationship Id="rId28" Type="http://schemas.openxmlformats.org/officeDocument/2006/relationships/hyperlink" Target="https://doi.org/10.1056/NEJMoa2117175" TargetMode="External"/><Relationship Id="rId36" Type="http://schemas.openxmlformats.org/officeDocument/2006/relationships/hyperlink" Target="https://doi.org/10.1371/journal.pmed.1001484" TargetMode="External"/><Relationship Id="rId49" Type="http://schemas.openxmlformats.org/officeDocument/2006/relationships/hyperlink" Target="https://doi.org/10.1016/S0140-6736(15)01041-7" TargetMode="External"/><Relationship Id="rId57" Type="http://schemas.openxmlformats.org/officeDocument/2006/relationships/header" Target="header2.xml"/><Relationship Id="rId10" Type="http://schemas.openxmlformats.org/officeDocument/2006/relationships/hyperlink" Target="https://doi.org/10.1016/j.gde.2015.08.001" TargetMode="External"/><Relationship Id="rId31" Type="http://schemas.openxmlformats.org/officeDocument/2006/relationships/hyperlink" Target="https://doi.org/10.1182/bloodadvances.2019000916" TargetMode="External"/><Relationship Id="rId44" Type="http://schemas.openxmlformats.org/officeDocument/2006/relationships/hyperlink" Target="https://doi.org/10.1126/science.aba3827" TargetMode="External"/><Relationship Id="rId52" Type="http://schemas.openxmlformats.org/officeDocument/2006/relationships/hyperlink" Target="https://www.who.int/news-room/fact-sheets/detail/sickle-cell-disease?utm_source=chatgpt.com" TargetMode="External"/><Relationship Id="rId6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doi.org/10.1182/blood-2012-04-3834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24</Pages>
  <Words>11916</Words>
  <Characters>67922</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CPU 1117</cp:lastModifiedBy>
  <cp:revision>13</cp:revision>
  <dcterms:created xsi:type="dcterms:W3CDTF">2026-06-10T17:17:00Z</dcterms:created>
  <dcterms:modified xsi:type="dcterms:W3CDTF">2026-06-19T05:32:00Z</dcterms:modified>
</cp:coreProperties>
</file>