
<file path=[Content_Types].xml><?xml version="1.0" encoding="utf-8"?>
<Types xmlns="http://schemas.openxmlformats.org/package/2006/content-types">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2210F" w14:textId="77777777" w:rsidR="0037392F" w:rsidRPr="009B0008" w:rsidRDefault="0037392F" w:rsidP="008E430E">
      <w:pPr>
        <w:jc w:val="right"/>
        <w:rPr>
          <w:rFonts w:ascii="Arial" w:hAnsi="Arial" w:cs="Arial"/>
          <w:b/>
          <w:bCs/>
          <w:sz w:val="36"/>
          <w:szCs w:val="36"/>
          <w:lang w:val="en-GB"/>
        </w:rPr>
      </w:pPr>
      <w:r w:rsidRPr="009B0008">
        <w:rPr>
          <w:rFonts w:ascii="Arial" w:hAnsi="Arial" w:cs="Arial"/>
          <w:b/>
          <w:bCs/>
          <w:sz w:val="36"/>
          <w:szCs w:val="36"/>
          <w:lang w:val="en-GB"/>
        </w:rPr>
        <w:t xml:space="preserve">Exploration of the anti-inflammatory and antifungal potential of bark extracts from </w:t>
      </w:r>
      <w:r w:rsidRPr="009B0008">
        <w:rPr>
          <w:rFonts w:ascii="Arial" w:hAnsi="Arial" w:cs="Arial"/>
          <w:b/>
          <w:bCs/>
          <w:i/>
          <w:iCs/>
          <w:sz w:val="36"/>
          <w:szCs w:val="36"/>
          <w:lang w:val="en-GB"/>
        </w:rPr>
        <w:t>Annona senegalensis</w:t>
      </w:r>
      <w:r w:rsidRPr="009B0008">
        <w:rPr>
          <w:rFonts w:ascii="Arial" w:hAnsi="Arial" w:cs="Arial"/>
          <w:b/>
          <w:bCs/>
          <w:sz w:val="36"/>
          <w:szCs w:val="36"/>
          <w:lang w:val="en-GB"/>
        </w:rPr>
        <w:t xml:space="preserve"> and </w:t>
      </w:r>
      <w:r w:rsidRPr="009B0008">
        <w:rPr>
          <w:rFonts w:ascii="Arial" w:hAnsi="Arial" w:cs="Arial"/>
          <w:b/>
          <w:bCs/>
          <w:i/>
          <w:iCs/>
          <w:sz w:val="36"/>
          <w:szCs w:val="36"/>
          <w:lang w:val="en-GB"/>
        </w:rPr>
        <w:t>Pseudocedrela kotschyi</w:t>
      </w:r>
      <w:r w:rsidRPr="009B0008">
        <w:rPr>
          <w:rFonts w:ascii="Arial" w:hAnsi="Arial" w:cs="Arial"/>
          <w:b/>
          <w:bCs/>
          <w:sz w:val="36"/>
          <w:szCs w:val="36"/>
          <w:lang w:val="en-GB"/>
        </w:rPr>
        <w:t>, two plant species traditionally used in Burkina Faso to treat skin infections</w:t>
      </w:r>
    </w:p>
    <w:p w14:paraId="5F2B1D38" w14:textId="77777777" w:rsidR="00FC3141" w:rsidRPr="009B0008" w:rsidRDefault="00C3441C" w:rsidP="004814A4">
      <w:pPr>
        <w:rPr>
          <w:b/>
          <w:bCs/>
          <w:sz w:val="28"/>
          <w:szCs w:val="24"/>
          <w:lang w:val="en-GB"/>
        </w:rPr>
      </w:pPr>
      <w:r w:rsidRPr="009B0008">
        <w:rPr>
          <w:rFonts w:ascii="Arial" w:hAnsi="Arial" w:cs="Arial"/>
          <w:noProof/>
        </w:rPr>
        <mc:AlternateContent>
          <mc:Choice Requires="wps">
            <w:drawing>
              <wp:inline distT="0" distB="0" distL="0" distR="0" wp14:anchorId="5EBEF4C3" wp14:editId="5C17E740">
                <wp:extent cx="5303520" cy="635"/>
                <wp:effectExtent l="9525" t="9525" r="11430" b="9525"/>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A25EB6" id="_x0000_t32" coordsize="21600,21600" o:spt="32" o:oned="t" path="m,l21600,21600e" filled="f">
                <v:path arrowok="t" fillok="f" o:connecttype="none"/>
                <o:lock v:ext="edit" shapetype="t"/>
              </v:shapetype>
              <v:shape id="Connecteur droit avec flèche 3"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140CCA98" w14:textId="77777777" w:rsidR="0074457B" w:rsidRPr="009B0008" w:rsidRDefault="0074457B" w:rsidP="00256888">
      <w:pPr>
        <w:rPr>
          <w:rFonts w:ascii="Arial" w:hAnsi="Arial" w:cs="Arial"/>
          <w:b/>
          <w:bCs/>
          <w:sz w:val="22"/>
          <w:szCs w:val="20"/>
          <w:lang w:val="en-GB"/>
        </w:rPr>
      </w:pPr>
      <w:r w:rsidRPr="009B0008">
        <w:rPr>
          <w:rFonts w:ascii="Arial" w:hAnsi="Arial" w:cs="Arial"/>
          <w:b/>
          <w:bCs/>
          <w:sz w:val="22"/>
          <w:szCs w:val="20"/>
          <w:lang w:val="en-GB"/>
        </w:rPr>
        <w:t>ABSTRACT</w:t>
      </w:r>
    </w:p>
    <w:tbl>
      <w:tblPr>
        <w:tblStyle w:val="TableGrid"/>
        <w:tblW w:w="0" w:type="auto"/>
        <w:tblLook w:val="04A0" w:firstRow="1" w:lastRow="0" w:firstColumn="1" w:lastColumn="0" w:noHBand="0" w:noVBand="1"/>
      </w:tblPr>
      <w:tblGrid>
        <w:gridCol w:w="9062"/>
      </w:tblGrid>
      <w:tr w:rsidR="00C46418" w:rsidRPr="00A43901" w14:paraId="22FA4DB1" w14:textId="77777777" w:rsidTr="003E63DA">
        <w:tc>
          <w:tcPr>
            <w:tcW w:w="9062" w:type="dxa"/>
            <w:shd w:val="clear" w:color="auto" w:fill="F2F2F2" w:themeFill="background1" w:themeFillShade="F2"/>
          </w:tcPr>
          <w:p w14:paraId="49C4F1E6" w14:textId="77777777" w:rsidR="00C91439" w:rsidRPr="009B0008" w:rsidRDefault="00C91439" w:rsidP="00C91439">
            <w:pPr>
              <w:rPr>
                <w:rFonts w:ascii="Arial" w:hAnsi="Arial" w:cs="Arial"/>
                <w:sz w:val="22"/>
                <w:szCs w:val="20"/>
                <w:lang w:val="en-GB"/>
              </w:rPr>
            </w:pPr>
            <w:r>
              <w:rPr>
                <w:highlight w:val="yellow"/>
              </w:rPr>
              <w:t xml:space="preserve">Skin disorders are a public health concern and are often associated with inflammation, oxidative stress, and microbial infection. In Burkina Faso, </w:t>
            </w:r>
            <w:r>
              <w:rPr>
                <w:i/>
                <w:highlight w:val="yellow"/>
              </w:rPr>
              <w:t>Annona senegalensis</w:t>
            </w:r>
            <w:r>
              <w:rPr>
                <w:highlight w:val="yellow"/>
              </w:rPr>
              <w:t xml:space="preserve"> and </w:t>
            </w:r>
            <w:r>
              <w:rPr>
                <w:i/>
                <w:highlight w:val="yellow"/>
              </w:rPr>
              <w:t>Pseudocedrela kotschyi</w:t>
            </w:r>
            <w:r>
              <w:rPr>
                <w:highlight w:val="yellow"/>
              </w:rPr>
              <w:t xml:space="preserve"> are used traditionally for skin-related conditions. This study evaluated the phytochemical content, antioxidant, anti-inflammatory, antifungal, and acute toxicity profiles of bark extracts from these two species. Trunk bark powders were extracted by methanolic maceration, hydromethanolic maceration, and aqueous decoction. Total phenolics and flavonoids were quantified using the Folin-Ciocalteu and aluminium trichloride methods, respectively. Antioxidant activity was assessed by DPPH radical scavenging and ferric reducing antioxidant power (FRAP) assays. Anti-inflammatory activity was evaluated by inhibition of bovine serum albumin denaturation, and antifungal activity was tested against </w:t>
            </w:r>
            <w:r>
              <w:rPr>
                <w:i/>
                <w:highlight w:val="yellow"/>
              </w:rPr>
              <w:t>Candida albicans</w:t>
            </w:r>
            <w:r>
              <w:rPr>
                <w:highlight w:val="yellow"/>
              </w:rPr>
              <w:t xml:space="preserve">. Acute oral toxicity was assessed in NMRI mice at 2000 mg/kg body weight. Methanolic extracts yielded the highest total phenolic contents, with 528.56 ± 4.95 mg GAE/100 g for </w:t>
            </w:r>
            <w:r>
              <w:rPr>
                <w:i/>
                <w:highlight w:val="yellow"/>
              </w:rPr>
              <w:t>P. kotschyi</w:t>
            </w:r>
            <w:r>
              <w:rPr>
                <w:highlight w:val="yellow"/>
              </w:rPr>
              <w:t xml:space="preserve"> and 384.57 ± 4.04 mg GAE/100 g for </w:t>
            </w:r>
            <w:r>
              <w:rPr>
                <w:i/>
                <w:highlight w:val="yellow"/>
              </w:rPr>
              <w:t>A. senegalensis</w:t>
            </w:r>
            <w:r>
              <w:rPr>
                <w:highlight w:val="yellow"/>
              </w:rPr>
              <w:t xml:space="preserve">. The strongest DPPH activity was obtained with methanolic </w:t>
            </w:r>
            <w:r>
              <w:rPr>
                <w:i/>
                <w:highlight w:val="yellow"/>
              </w:rPr>
              <w:t>A. senegalensis</w:t>
            </w:r>
            <w:r>
              <w:rPr>
                <w:highlight w:val="yellow"/>
              </w:rPr>
              <w:t xml:space="preserve"> (IC50 = 0.15 ± 0.02 µg/mL) and methanolic </w:t>
            </w:r>
            <w:r>
              <w:rPr>
                <w:i/>
                <w:highlight w:val="yellow"/>
              </w:rPr>
              <w:t>P. kotschyi</w:t>
            </w:r>
            <w:r>
              <w:rPr>
                <w:highlight w:val="yellow"/>
              </w:rPr>
              <w:t xml:space="preserve"> (IC50 = 0.41 ± 0.06 µg/mL). The best anti-inflammatory responses were recorded for aqueous </w:t>
            </w:r>
            <w:r>
              <w:rPr>
                <w:i/>
                <w:highlight w:val="yellow"/>
              </w:rPr>
              <w:t>P. kotschyi</w:t>
            </w:r>
            <w:r>
              <w:rPr>
                <w:highlight w:val="yellow"/>
              </w:rPr>
              <w:t xml:space="preserve"> and hydromethanolic </w:t>
            </w:r>
            <w:r>
              <w:rPr>
                <w:i/>
                <w:highlight w:val="yellow"/>
              </w:rPr>
              <w:t>A. senegalensis</w:t>
            </w:r>
            <w:r>
              <w:rPr>
                <w:highlight w:val="yellow"/>
              </w:rPr>
              <w:t xml:space="preserve">, with BSA denaturation inhibition of 77 ± 0.63% and 71 ± 0.12%, respectively. Methanolic extracts of </w:t>
            </w:r>
            <w:r>
              <w:rPr>
                <w:i/>
                <w:highlight w:val="yellow"/>
              </w:rPr>
              <w:t>P. kotschyi</w:t>
            </w:r>
            <w:r>
              <w:rPr>
                <w:highlight w:val="yellow"/>
              </w:rPr>
              <w:t xml:space="preserve"> and </w:t>
            </w:r>
            <w:r>
              <w:rPr>
                <w:i/>
                <w:highlight w:val="yellow"/>
              </w:rPr>
              <w:t>A. senegalensis</w:t>
            </w:r>
            <w:r>
              <w:rPr>
                <w:highlight w:val="yellow"/>
              </w:rPr>
              <w:t xml:space="preserve"> inhibited </w:t>
            </w:r>
            <w:r>
              <w:rPr>
                <w:i/>
                <w:highlight w:val="yellow"/>
              </w:rPr>
              <w:t>C. albicans</w:t>
            </w:r>
            <w:r>
              <w:rPr>
                <w:highlight w:val="yellow"/>
              </w:rPr>
              <w:t>, with MICs of 100 and 250 µg/mL, respectively. No mortality or apparent toxicity was observed at 2000 mg/kg. These findings support the traditional use of these species and indicate that their bark extracts contain bioactive constituents that warrant further investigation.</w:t>
            </w:r>
          </w:p>
          <w:p w14:paraId="2380E5BD" w14:textId="77777777" w:rsidR="00C46418" w:rsidRPr="009B0008" w:rsidRDefault="00C46418" w:rsidP="00256888">
            <w:pPr>
              <w:rPr>
                <w:rFonts w:ascii="Arial" w:hAnsi="Arial" w:cs="Arial"/>
                <w:sz w:val="22"/>
                <w:szCs w:val="20"/>
                <w:lang w:val="en-GB"/>
              </w:rPr>
            </w:pPr>
          </w:p>
        </w:tc>
      </w:tr>
    </w:tbl>
    <w:p w14:paraId="77834475" w14:textId="77777777" w:rsidR="00096657" w:rsidRPr="009B0008" w:rsidRDefault="003E63DA" w:rsidP="00256888">
      <w:pPr>
        <w:rPr>
          <w:rFonts w:ascii="Arial" w:hAnsi="Arial" w:cs="Arial"/>
          <w:i/>
          <w:iCs/>
          <w:sz w:val="20"/>
          <w:szCs w:val="18"/>
          <w:lang w:val="en-GB"/>
        </w:rPr>
      </w:pPr>
      <w:r>
        <w:rPr>
          <w:highlight w:val="yellow"/>
        </w:rPr>
        <w:t xml:space="preserve">Keywords: </w:t>
      </w:r>
      <w:r>
        <w:rPr>
          <w:i/>
          <w:highlight w:val="yellow"/>
        </w:rPr>
        <w:t>Annona senegalensis</w:t>
      </w:r>
      <w:r>
        <w:rPr>
          <w:highlight w:val="yellow"/>
        </w:rPr>
        <w:t xml:space="preserve">; </w:t>
      </w:r>
      <w:r>
        <w:rPr>
          <w:i/>
          <w:highlight w:val="yellow"/>
        </w:rPr>
        <w:t>Pseudocedrela kotschyi</w:t>
      </w:r>
      <w:r>
        <w:rPr>
          <w:highlight w:val="yellow"/>
        </w:rPr>
        <w:t xml:space="preserve">; bark extracts; phenolic compounds; flavonoids; antioxidant activity; anti-inflammatory activity; antifungal activity; </w:t>
      </w:r>
      <w:r>
        <w:rPr>
          <w:i/>
          <w:highlight w:val="yellow"/>
        </w:rPr>
        <w:t>Candida albicans</w:t>
      </w:r>
      <w:r>
        <w:rPr>
          <w:highlight w:val="yellow"/>
        </w:rPr>
        <w:t>; acute toxicity; traditional medicine; Burkina Faso</w:t>
      </w:r>
    </w:p>
    <w:p w14:paraId="01E62F73" w14:textId="77777777" w:rsidR="0037392F" w:rsidRPr="009B0008" w:rsidRDefault="0037392F" w:rsidP="00256888">
      <w:pPr>
        <w:rPr>
          <w:rFonts w:ascii="Arial" w:hAnsi="Arial" w:cs="Arial"/>
          <w:i/>
          <w:iCs/>
          <w:sz w:val="28"/>
          <w:szCs w:val="24"/>
          <w:lang w:val="en-GB"/>
        </w:rPr>
      </w:pPr>
      <w:r w:rsidRPr="009B0008">
        <w:rPr>
          <w:rFonts w:ascii="Arial" w:hAnsi="Arial" w:cs="Arial"/>
          <w:i/>
          <w:iCs/>
          <w:sz w:val="28"/>
          <w:szCs w:val="24"/>
          <w:lang w:val="en-GB"/>
        </w:rPr>
        <w:br w:type="page"/>
      </w:r>
    </w:p>
    <w:p w14:paraId="76B6F477" w14:textId="77777777" w:rsidR="007D36FC" w:rsidRPr="009B0008" w:rsidRDefault="003F450F" w:rsidP="00194F93">
      <w:pPr>
        <w:rPr>
          <w:rFonts w:ascii="Arial" w:hAnsi="Arial" w:cs="Arial"/>
          <w:b/>
          <w:bCs/>
          <w:caps/>
          <w:sz w:val="22"/>
          <w:szCs w:val="20"/>
          <w:lang w:val="en-GB"/>
        </w:rPr>
      </w:pPr>
      <w:r w:rsidRPr="009B0008">
        <w:rPr>
          <w:rFonts w:ascii="Arial" w:hAnsi="Arial" w:cs="Arial"/>
          <w:b/>
          <w:bCs/>
          <w:caps/>
          <w:sz w:val="22"/>
          <w:szCs w:val="20"/>
          <w:lang w:val="en-GB"/>
        </w:rPr>
        <w:lastRenderedPageBreak/>
        <w:t xml:space="preserve">1. </w:t>
      </w:r>
      <w:r w:rsidR="00EC4D93" w:rsidRPr="009B0008">
        <w:rPr>
          <w:rFonts w:ascii="Arial" w:hAnsi="Arial" w:cs="Arial"/>
          <w:b/>
          <w:bCs/>
          <w:caps/>
          <w:sz w:val="22"/>
          <w:szCs w:val="20"/>
          <w:lang w:val="en-GB"/>
        </w:rPr>
        <w:t>I</w:t>
      </w:r>
      <w:r w:rsidR="00B23F58" w:rsidRPr="009B0008">
        <w:rPr>
          <w:rFonts w:ascii="Arial" w:hAnsi="Arial" w:cs="Arial"/>
          <w:b/>
          <w:bCs/>
          <w:caps/>
          <w:sz w:val="22"/>
          <w:szCs w:val="20"/>
          <w:lang w:val="en-GB"/>
        </w:rPr>
        <w:t>ntroduction</w:t>
      </w:r>
    </w:p>
    <w:p w14:paraId="63CD6115" w14:textId="77777777" w:rsidR="009547BE" w:rsidRPr="009B0008" w:rsidRDefault="009547BE" w:rsidP="009547BE">
      <w:pPr>
        <w:rPr>
          <w:rFonts w:ascii="Arial" w:hAnsi="Arial" w:cs="Arial"/>
          <w:sz w:val="22"/>
          <w:szCs w:val="20"/>
          <w:lang w:val="en-GB"/>
        </w:rPr>
      </w:pPr>
      <w:r>
        <w:rPr>
          <w:highlight w:val="yellow"/>
        </w:rPr>
        <w:t>As a true barrier between the external environment and the body, the skin is the largest organ in the human body. Throughout life, it is subjected to numerous disruptive factors that can affect its homeostasis. Disruption of this balance contributes to the development of many skin diseases (Yakupu et al., 2023; Catherine et al., 2024).</w:t>
      </w:r>
    </w:p>
    <w:p w14:paraId="59124A1B" w14:textId="77777777" w:rsidR="009547BE" w:rsidRPr="009B0008" w:rsidRDefault="009547BE" w:rsidP="009547BE">
      <w:pPr>
        <w:rPr>
          <w:rFonts w:ascii="Arial" w:hAnsi="Arial" w:cs="Arial"/>
          <w:sz w:val="22"/>
          <w:szCs w:val="20"/>
          <w:lang w:val="en-GB"/>
        </w:rPr>
      </w:pPr>
      <w:r>
        <w:rPr>
          <w:highlight w:val="yellow"/>
        </w:rPr>
        <w:t>These skin conditions constitute major health problems worldwide and affect patients' quality of life. They represent one of the leading contributors to the global burden of disease (Yakupu et al., 2023; Bolatkyzy et al., 2025). In 2019, skin diseases were the fifteenth leading cause of morbidity among healthy individuals because of the disabilities they cause (WHO, 2023). According to the World Health Organization, more than 900 million people are affected by these conditions each year (WHO, 2023). These conditions include eczema, acne, psoriasis, dermatitis, fungal skin infections, and pruritus, among others (Sharma et al., 2023). They are generally accompanied by inflammation, itching, and impaired skin barrier function (Bolatkyzy et al., 2025).</w:t>
      </w:r>
    </w:p>
    <w:p w14:paraId="2DB1C1BB" w14:textId="77777777" w:rsidR="009547BE" w:rsidRPr="009B0008" w:rsidRDefault="009547BE" w:rsidP="009547BE">
      <w:pPr>
        <w:rPr>
          <w:rFonts w:ascii="Arial" w:hAnsi="Arial" w:cs="Arial"/>
          <w:sz w:val="22"/>
          <w:szCs w:val="20"/>
          <w:lang w:val="en-GB"/>
        </w:rPr>
      </w:pPr>
      <w:r>
        <w:rPr>
          <w:highlight w:val="yellow"/>
        </w:rPr>
        <w:t>Oxidative stress is one of the factors widely associated with skin diseases. Reactive oxygen species and free radicals induce a chain reaction of lipid peroxidation, which activates various processes leading to cell death (Liu et al., 2023; Li Pomi et al., 2025). Furthermore, environmental exposures, including pollutants (fine particulate matter, ozone, nitrogen dioxide, etc.), diet, and lifestyle, contribute to oxidative stress by increasing reactive oxygen species production and impairing antioxidant defences (Danieli et al., 2024). In addition, cutaneous UV exposure activates the NF-κB signalling pathway, leading to increased secretion of inflammatory mediators that are harmful to cells (Li Pomi et al., 2025).</w:t>
      </w:r>
    </w:p>
    <w:p w14:paraId="1761E732" w14:textId="77777777" w:rsidR="009547BE" w:rsidRPr="009B0008" w:rsidRDefault="009547BE" w:rsidP="009547BE">
      <w:pPr>
        <w:rPr>
          <w:rFonts w:ascii="Arial" w:hAnsi="Arial" w:cs="Arial"/>
          <w:sz w:val="22"/>
          <w:szCs w:val="20"/>
          <w:lang w:val="en-GB"/>
        </w:rPr>
      </w:pPr>
      <w:r>
        <w:rPr>
          <w:highlight w:val="yellow"/>
        </w:rPr>
        <w:t>Treatments offered by modern medicine range from topical corticosteroids to systemic immunomodulators (Song et al., 2022). Despite their benefits, these treatments may have adverse effects, including skin atrophy, conjunctivitis, intestinal perforation, resistance development, and microbiome disruption (Ayen-Rodríguez et al., 2022; Klein et al., 2022). Therefore, it is worthwhile to explore new alternatives, such as phytotherapy.</w:t>
      </w:r>
    </w:p>
    <w:p w14:paraId="21EF2ED9" w14:textId="77777777" w:rsidR="009547BE" w:rsidRPr="009B0008" w:rsidRDefault="009547BE" w:rsidP="009547BE">
      <w:pPr>
        <w:rPr>
          <w:rFonts w:ascii="Arial" w:hAnsi="Arial" w:cs="Arial"/>
          <w:sz w:val="22"/>
          <w:szCs w:val="20"/>
          <w:lang w:val="en-GB"/>
        </w:rPr>
      </w:pPr>
      <w:r>
        <w:rPr>
          <w:highlight w:val="yellow"/>
        </w:rPr>
        <w:t xml:space="preserve">Medicinal plants are rich in bioactive metabolites, such as phenolic compounds, with antioxidant and anti-inflammatory properties capable of limiting cell damage (Bangou, 2012; N’do et al., 2024). Furthermore, studies have reported the antibacterial, antifungal, antiproliferative, and chemoprotective properties of plant secondary metabolites in the treatment of skin conditions (Prieto &amp; Schinella, 2022; Leanpolchareanchai &amp; Teeranachaideekul, 2023; Israyilova et al., 2025). Another major advantage is that medicinal </w:t>
      </w:r>
      <w:r>
        <w:rPr>
          <w:highlight w:val="yellow"/>
        </w:rPr>
        <w:lastRenderedPageBreak/>
        <w:t>plants often present a low risk of adverse effects in terms of safety and efficacy (Israyilova et al., 2025).</w:t>
      </w:r>
    </w:p>
    <w:p w14:paraId="6FE511D2" w14:textId="77777777" w:rsidR="009547BE" w:rsidRPr="009B0008" w:rsidRDefault="009547BE" w:rsidP="009547BE">
      <w:pPr>
        <w:rPr>
          <w:rFonts w:ascii="Arial" w:hAnsi="Arial" w:cs="Arial"/>
          <w:sz w:val="22"/>
          <w:szCs w:val="20"/>
          <w:lang w:val="en-GB"/>
        </w:rPr>
      </w:pPr>
      <w:r>
        <w:rPr>
          <w:highlight w:val="yellow"/>
        </w:rPr>
        <w:t xml:space="preserve">In Burkina Faso, plants such as </w:t>
      </w:r>
      <w:r>
        <w:rPr>
          <w:i/>
          <w:highlight w:val="yellow"/>
        </w:rPr>
        <w:t>Annona senegalensis</w:t>
      </w:r>
      <w:r>
        <w:rPr>
          <w:highlight w:val="yellow"/>
        </w:rPr>
        <w:t xml:space="preserve"> Pers. (Annonaceae) and </w:t>
      </w:r>
      <w:r>
        <w:rPr>
          <w:i/>
          <w:highlight w:val="yellow"/>
        </w:rPr>
        <w:t>Pseudocedrela kotschyi</w:t>
      </w:r>
      <w:r>
        <w:rPr>
          <w:highlight w:val="yellow"/>
        </w:rPr>
        <w:t xml:space="preserve"> (Schweinf.) Harms (Meliaceae) are among the species most commonly used in traditional medicine for treating skin and inflammatory diseases (Nacoulma, 1996; Zerbo et al., 2011; N’Do et al., 2024).</w:t>
      </w:r>
    </w:p>
    <w:p w14:paraId="41E9A112" w14:textId="77777777" w:rsidR="009547BE" w:rsidRPr="009B0008" w:rsidRDefault="009547BE" w:rsidP="009547BE">
      <w:pPr>
        <w:rPr>
          <w:rFonts w:ascii="Arial" w:hAnsi="Arial" w:cs="Arial"/>
          <w:sz w:val="22"/>
          <w:szCs w:val="20"/>
          <w:lang w:val="en-GB"/>
        </w:rPr>
      </w:pPr>
      <w:r>
        <w:rPr>
          <w:highlight w:val="yellow"/>
        </w:rPr>
        <w:t>Although these plants are widely used in traditional medicine, experimental evidence validating their biological activities remains limited. This gap justifies further studies to better characterise their mechanisms of action and assess their therapeutic potential, particularly in relation to antifungal resistance and inflammatory skin conditions.</w:t>
      </w:r>
    </w:p>
    <w:p w14:paraId="3AD50C13" w14:textId="77777777" w:rsidR="005A2648" w:rsidRPr="009B0008" w:rsidRDefault="009547BE" w:rsidP="009547BE">
      <w:pPr>
        <w:rPr>
          <w:rFonts w:ascii="Arial" w:hAnsi="Arial" w:cs="Arial"/>
          <w:sz w:val="22"/>
          <w:szCs w:val="20"/>
          <w:lang w:val="en-GB"/>
        </w:rPr>
      </w:pPr>
      <w:r>
        <w:rPr>
          <w:highlight w:val="yellow"/>
        </w:rPr>
        <w:t xml:space="preserve">This study explored the antioxidant, anti-inflammatory, and antifungal potential of bark extracts from </w:t>
      </w:r>
      <w:r>
        <w:rPr>
          <w:i/>
          <w:highlight w:val="yellow"/>
        </w:rPr>
        <w:t>Annona senegalensis</w:t>
      </w:r>
      <w:r>
        <w:rPr>
          <w:highlight w:val="yellow"/>
        </w:rPr>
        <w:t xml:space="preserve"> and </w:t>
      </w:r>
      <w:r>
        <w:rPr>
          <w:i/>
          <w:highlight w:val="yellow"/>
        </w:rPr>
        <w:t>Pseudocedrela kotschyi</w:t>
      </w:r>
      <w:r>
        <w:rPr>
          <w:highlight w:val="yellow"/>
        </w:rPr>
        <w:t>.</w:t>
      </w:r>
    </w:p>
    <w:p w14:paraId="1A3D1B42" w14:textId="77777777" w:rsidR="00A04965" w:rsidRPr="009B0008" w:rsidRDefault="008C698B" w:rsidP="00A04965">
      <w:pPr>
        <w:rPr>
          <w:rFonts w:ascii="Arial" w:hAnsi="Arial" w:cs="Arial"/>
          <w:caps/>
          <w:sz w:val="22"/>
          <w:szCs w:val="20"/>
          <w:lang w:val="en-GB"/>
        </w:rPr>
      </w:pPr>
      <w:r w:rsidRPr="009B0008">
        <w:rPr>
          <w:rFonts w:ascii="Arial" w:hAnsi="Arial" w:cs="Arial"/>
          <w:b/>
          <w:bCs/>
          <w:caps/>
          <w:sz w:val="22"/>
          <w:szCs w:val="20"/>
          <w:lang w:val="en-GB"/>
        </w:rPr>
        <w:t xml:space="preserve">2. </w:t>
      </w:r>
      <w:r w:rsidR="00A04965" w:rsidRPr="009B0008">
        <w:rPr>
          <w:rFonts w:ascii="Arial" w:hAnsi="Arial" w:cs="Arial"/>
          <w:b/>
          <w:bCs/>
          <w:caps/>
          <w:sz w:val="22"/>
          <w:szCs w:val="20"/>
          <w:lang w:val="en-GB"/>
        </w:rPr>
        <w:t>Materials and Methods</w:t>
      </w:r>
    </w:p>
    <w:p w14:paraId="354B6B19" w14:textId="77777777" w:rsidR="00B23F58" w:rsidRPr="009B0008" w:rsidRDefault="00181AD8" w:rsidP="00A04965">
      <w:pPr>
        <w:rPr>
          <w:rFonts w:ascii="Arial" w:hAnsi="Arial" w:cs="Arial"/>
          <w:b/>
          <w:bCs/>
          <w:sz w:val="22"/>
          <w:szCs w:val="20"/>
          <w:lang w:val="en-GB"/>
        </w:rPr>
      </w:pPr>
      <w:r w:rsidRPr="009B0008">
        <w:rPr>
          <w:rFonts w:ascii="Arial" w:hAnsi="Arial" w:cs="Arial"/>
          <w:b/>
          <w:bCs/>
          <w:sz w:val="22"/>
          <w:szCs w:val="20"/>
          <w:lang w:val="en-GB"/>
        </w:rPr>
        <w:t>2</w:t>
      </w:r>
      <w:r w:rsidR="00A04965" w:rsidRPr="009B0008">
        <w:rPr>
          <w:rFonts w:ascii="Arial" w:hAnsi="Arial" w:cs="Arial"/>
          <w:b/>
          <w:bCs/>
          <w:sz w:val="22"/>
          <w:szCs w:val="20"/>
          <w:lang w:val="en-GB"/>
        </w:rPr>
        <w:t xml:space="preserve">.1. Plant </w:t>
      </w:r>
      <w:r w:rsidR="003C7FA9" w:rsidRPr="009B0008">
        <w:rPr>
          <w:rFonts w:ascii="Arial" w:hAnsi="Arial" w:cs="Arial"/>
          <w:b/>
          <w:bCs/>
          <w:sz w:val="22"/>
          <w:szCs w:val="20"/>
          <w:lang w:val="en-GB"/>
        </w:rPr>
        <w:t>m</w:t>
      </w:r>
      <w:r w:rsidR="00A04965" w:rsidRPr="009B0008">
        <w:rPr>
          <w:rFonts w:ascii="Arial" w:hAnsi="Arial" w:cs="Arial"/>
          <w:b/>
          <w:bCs/>
          <w:sz w:val="22"/>
          <w:szCs w:val="20"/>
          <w:lang w:val="en-GB"/>
        </w:rPr>
        <w:t>aterial</w:t>
      </w:r>
    </w:p>
    <w:p w14:paraId="295879CC" w14:textId="77777777" w:rsidR="00A04965" w:rsidRPr="009B0008" w:rsidRDefault="004909B2" w:rsidP="00A04965">
      <w:pPr>
        <w:rPr>
          <w:rFonts w:ascii="Arial" w:hAnsi="Arial" w:cs="Arial"/>
          <w:sz w:val="22"/>
          <w:szCs w:val="20"/>
          <w:lang w:val="en-GB"/>
        </w:rPr>
      </w:pPr>
      <w:r>
        <w:rPr>
          <w:highlight w:val="yellow"/>
        </w:rPr>
        <w:t xml:space="preserve">The plant material consisted of trunk bark from </w:t>
      </w:r>
      <w:r>
        <w:rPr>
          <w:i/>
          <w:highlight w:val="yellow"/>
        </w:rPr>
        <w:t>Annona senegalensis</w:t>
      </w:r>
      <w:r>
        <w:rPr>
          <w:highlight w:val="yellow"/>
        </w:rPr>
        <w:t xml:space="preserve"> Pers. (Photo 1) and </w:t>
      </w:r>
      <w:r>
        <w:rPr>
          <w:i/>
          <w:highlight w:val="yellow"/>
        </w:rPr>
        <w:t>Pseudocedrela kotschyi</w:t>
      </w:r>
      <w:r>
        <w:rPr>
          <w:highlight w:val="yellow"/>
        </w:rPr>
        <w:t xml:space="preserve"> (Schweinf.) Harms (Photo 2), sourced respectively from the markets of Sanyiri (12° 20′ 58.3″ N, 1° 28′ 54.6″ W) and Nabi Yaar (12° 21′ 58.2″ N, 1° 29′ 36.8″ W, Dagnoen). These market-purchased species were collected in the Kadiogo region (Burkina Faso) (12° 21′ 58″ N, 1° 31′ 05″ W), which has a tropical climate.</w:t>
      </w:r>
    </w:p>
    <w:p w14:paraId="4245472C" w14:textId="77777777" w:rsidR="000F5CEB" w:rsidRPr="009B0008" w:rsidRDefault="004B0386" w:rsidP="000F5CEB">
      <w:pPr>
        <w:jc w:val="center"/>
      </w:pPr>
      <w:r w:rsidRPr="009B0008">
        <w:rPr>
          <w:noProof/>
        </w:rPr>
        <mc:AlternateContent>
          <mc:Choice Requires="wps">
            <w:drawing>
              <wp:anchor distT="0" distB="0" distL="114300" distR="114300" simplePos="0" relativeHeight="251659264" behindDoc="0" locked="0" layoutInCell="1" allowOverlap="1" wp14:anchorId="044563DF" wp14:editId="1073CD6A">
                <wp:simplePos x="0" y="0"/>
                <wp:positionH relativeFrom="column">
                  <wp:posOffset>770255</wp:posOffset>
                </wp:positionH>
                <wp:positionV relativeFrom="paragraph">
                  <wp:posOffset>1551305</wp:posOffset>
                </wp:positionV>
                <wp:extent cx="400050" cy="429895"/>
                <wp:effectExtent l="0" t="0" r="19050" b="27305"/>
                <wp:wrapNone/>
                <wp:docPr id="6" name="Zone de texte 6"/>
                <wp:cNvGraphicFramePr/>
                <a:graphic xmlns:a="http://schemas.openxmlformats.org/drawingml/2006/main">
                  <a:graphicData uri="http://schemas.microsoft.com/office/word/2010/wordprocessingShape">
                    <wps:wsp>
                      <wps:cNvSpPr txBox="1"/>
                      <wps:spPr>
                        <a:xfrm>
                          <a:off x="0" y="0"/>
                          <a:ext cx="400050" cy="429895"/>
                        </a:xfrm>
                        <a:prstGeom prst="rect">
                          <a:avLst/>
                        </a:prstGeom>
                        <a:solidFill>
                          <a:schemeClr val="lt1"/>
                        </a:solidFill>
                        <a:ln w="6350">
                          <a:solidFill>
                            <a:prstClr val="black"/>
                          </a:solidFill>
                        </a:ln>
                      </wps:spPr>
                      <wps:txbx>
                        <w:txbxContent>
                          <w:p w14:paraId="6A2861B2" w14:textId="77777777" w:rsidR="000F5CEB" w:rsidRDefault="000F5CEB" w:rsidP="000F5CEB">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4563DF" id="_x0000_t202" coordsize="21600,21600" o:spt="202" path="m,l,21600r21600,l21600,xe">
                <v:stroke joinstyle="miter"/>
                <v:path gradientshapeok="t" o:connecttype="rect"/>
              </v:shapetype>
              <v:shape id="Zone de texte 6" o:spid="_x0000_s1026" type="#_x0000_t202" style="position:absolute;left:0;text-align:left;margin-left:60.65pt;margin-top:122.15pt;width:31.5pt;height:33.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" fillcolor="white [3201]" strokeweight=".5pt">
                <v:textbox>
                  <w:txbxContent>
                    <w:p w14:paraId="18169A3B" w14:textId="77777777" w:rsidR="000F5CEB" w:rsidRDefault="000F5CEB" w:rsidP="000F5CEB">
                      <w:pPr>
                        <w:jc w:val="center"/>
                      </w:pPr>
                      <w:r>
                        <w:t>A</w:t>
                      </w:r>
                    </w:p>
                  </w:txbxContent>
                </v:textbox>
              </v:shape>
            </w:pict>
          </mc:Fallback>
        </mc:AlternateContent>
      </w:r>
      <w:r w:rsidR="00630594" w:rsidRPr="009B0008">
        <w:rPr>
          <w:noProof/>
        </w:rPr>
        <mc:AlternateContent>
          <mc:Choice Requires="wps">
            <w:drawing>
              <wp:anchor distT="0" distB="0" distL="114300" distR="114300" simplePos="0" relativeHeight="251660288" behindDoc="0" locked="0" layoutInCell="1" allowOverlap="1" wp14:anchorId="44B27069" wp14:editId="6B490EB9">
                <wp:simplePos x="0" y="0"/>
                <wp:positionH relativeFrom="column">
                  <wp:posOffset>3049905</wp:posOffset>
                </wp:positionH>
                <wp:positionV relativeFrom="paragraph">
                  <wp:posOffset>1548765</wp:posOffset>
                </wp:positionV>
                <wp:extent cx="412750" cy="429895"/>
                <wp:effectExtent l="0" t="0" r="25400" b="27305"/>
                <wp:wrapNone/>
                <wp:docPr id="7" name="Zone de texte 7"/>
                <wp:cNvGraphicFramePr/>
                <a:graphic xmlns:a="http://schemas.openxmlformats.org/drawingml/2006/main">
                  <a:graphicData uri="http://schemas.microsoft.com/office/word/2010/wordprocessingShape">
                    <wps:wsp>
                      <wps:cNvSpPr txBox="1"/>
                      <wps:spPr>
                        <a:xfrm>
                          <a:off x="0" y="0"/>
                          <a:ext cx="412750" cy="429895"/>
                        </a:xfrm>
                        <a:prstGeom prst="rect">
                          <a:avLst/>
                        </a:prstGeom>
                        <a:solidFill>
                          <a:schemeClr val="lt1"/>
                        </a:solidFill>
                        <a:ln w="6350">
                          <a:solidFill>
                            <a:prstClr val="black"/>
                          </a:solidFill>
                        </a:ln>
                      </wps:spPr>
                      <wps:txbx>
                        <w:txbxContent>
                          <w:p w14:paraId="622095F6" w14:textId="77777777" w:rsidR="000F5CEB" w:rsidRDefault="000F5CEB" w:rsidP="000F5CEB">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B27069" id="Zone de texte 7" o:spid="_x0000_s1027" type="#_x0000_t202" style="position:absolute;left:0;text-align:left;margin-left:240.15pt;margin-top:121.95pt;width:32.5pt;height:33.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" fillcolor="white [3201]" strokeweight=".5pt">
                <v:textbox>
                  <w:txbxContent>
                    <w:p w14:paraId="362788F9" w14:textId="77777777" w:rsidR="000F5CEB" w:rsidRDefault="000F5CEB" w:rsidP="000F5CEB">
                      <w:pPr>
                        <w:jc w:val="center"/>
                      </w:pPr>
                      <w:r>
                        <w:t>B</w:t>
                      </w:r>
                    </w:p>
                  </w:txbxContent>
                </v:textbox>
              </v:shape>
            </w:pict>
          </mc:Fallback>
        </mc:AlternateContent>
      </w:r>
      <w:r w:rsidR="000F5CEB" w:rsidRPr="009B0008">
        <w:rPr>
          <w:noProof/>
        </w:rPr>
        <w:drawing>
          <wp:inline distT="0" distB="0" distL="0" distR="0" wp14:anchorId="6F09AB64" wp14:editId="3315134A">
            <wp:extent cx="4292600" cy="1981802"/>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4307921" cy="1988875"/>
                    </a:xfrm>
                    <a:prstGeom prst="rect">
                      <a:avLst/>
                    </a:prstGeom>
                  </pic:spPr>
                </pic:pic>
              </a:graphicData>
            </a:graphic>
          </wp:inline>
        </w:drawing>
      </w:r>
    </w:p>
    <w:p w14:paraId="76C8486F" w14:textId="77777777" w:rsidR="000F5CEB" w:rsidRPr="009B0008" w:rsidRDefault="000F5CEB" w:rsidP="000F5CEB">
      <w:pPr>
        <w:jc w:val="center"/>
        <w:rPr>
          <w:rFonts w:ascii="Arial" w:hAnsi="Arial" w:cs="Arial"/>
          <w:i/>
          <w:iCs/>
          <w:sz w:val="22"/>
          <w:szCs w:val="20"/>
          <w:lang w:val="en-GB"/>
        </w:rPr>
      </w:pPr>
      <w:r w:rsidRPr="009B0008">
        <w:rPr>
          <w:rFonts w:ascii="Arial" w:hAnsi="Arial" w:cs="Arial"/>
          <w:b/>
          <w:bCs/>
          <w:sz w:val="22"/>
          <w:szCs w:val="20"/>
          <w:lang w:val="en-US"/>
        </w:rPr>
        <w:t>Photo 1</w:t>
      </w:r>
      <w:r w:rsidRPr="009B0008">
        <w:rPr>
          <w:rFonts w:ascii="Arial" w:hAnsi="Arial" w:cs="Arial"/>
          <w:sz w:val="22"/>
          <w:szCs w:val="20"/>
          <w:lang w:val="en-US"/>
        </w:rPr>
        <w:t xml:space="preserve">. </w:t>
      </w:r>
      <w:r w:rsidRPr="009B0008">
        <w:rPr>
          <w:rFonts w:ascii="Arial" w:hAnsi="Arial" w:cs="Arial"/>
          <w:i/>
          <w:iCs/>
          <w:sz w:val="22"/>
          <w:szCs w:val="20"/>
          <w:lang w:val="en-GB"/>
        </w:rPr>
        <w:t>Annona senegalensis (A: tr</w:t>
      </w:r>
      <w:r w:rsidR="001F56D8" w:rsidRPr="009B0008">
        <w:rPr>
          <w:rFonts w:ascii="Arial" w:hAnsi="Arial" w:cs="Arial"/>
          <w:i/>
          <w:iCs/>
          <w:sz w:val="22"/>
          <w:szCs w:val="20"/>
          <w:lang w:val="en-GB"/>
        </w:rPr>
        <w:t>unk</w:t>
      </w:r>
      <w:r w:rsidRPr="009B0008">
        <w:rPr>
          <w:rFonts w:ascii="Arial" w:hAnsi="Arial" w:cs="Arial"/>
          <w:i/>
          <w:iCs/>
          <w:sz w:val="22"/>
          <w:szCs w:val="20"/>
          <w:lang w:val="en-GB"/>
        </w:rPr>
        <w:t xml:space="preserve">; B: </w:t>
      </w:r>
      <w:r w:rsidR="001F56D8" w:rsidRPr="009B0008">
        <w:rPr>
          <w:rFonts w:ascii="Arial" w:hAnsi="Arial" w:cs="Arial"/>
          <w:i/>
          <w:iCs/>
          <w:sz w:val="22"/>
          <w:szCs w:val="20"/>
          <w:lang w:val="en-GB"/>
        </w:rPr>
        <w:t>leave</w:t>
      </w:r>
      <w:r w:rsidRPr="009B0008">
        <w:rPr>
          <w:rFonts w:ascii="Arial" w:hAnsi="Arial" w:cs="Arial"/>
          <w:i/>
          <w:iCs/>
          <w:sz w:val="22"/>
          <w:szCs w:val="20"/>
          <w:lang w:val="en-GB"/>
        </w:rPr>
        <w:t>s)</w:t>
      </w:r>
    </w:p>
    <w:p w14:paraId="7C8FC846" w14:textId="77777777" w:rsidR="000F5CEB" w:rsidRPr="009B0008" w:rsidRDefault="000F5CEB" w:rsidP="000F5CEB">
      <w:pPr>
        <w:jc w:val="center"/>
      </w:pPr>
      <w:r w:rsidRPr="009B0008">
        <w:rPr>
          <w:noProof/>
        </w:rPr>
        <w:lastRenderedPageBreak/>
        <mc:AlternateContent>
          <mc:Choice Requires="wps">
            <w:drawing>
              <wp:anchor distT="0" distB="0" distL="114300" distR="114300" simplePos="0" relativeHeight="251662336" behindDoc="0" locked="0" layoutInCell="1" allowOverlap="1" wp14:anchorId="7E6DF17C" wp14:editId="5AD60E8B">
                <wp:simplePos x="0" y="0"/>
                <wp:positionH relativeFrom="column">
                  <wp:posOffset>3310255</wp:posOffset>
                </wp:positionH>
                <wp:positionV relativeFrom="paragraph">
                  <wp:posOffset>1473200</wp:posOffset>
                </wp:positionV>
                <wp:extent cx="412750" cy="429895"/>
                <wp:effectExtent l="0" t="0" r="25400" b="27305"/>
                <wp:wrapNone/>
                <wp:docPr id="9" name="Zone de texte 9"/>
                <wp:cNvGraphicFramePr/>
                <a:graphic xmlns:a="http://schemas.openxmlformats.org/drawingml/2006/main">
                  <a:graphicData uri="http://schemas.microsoft.com/office/word/2010/wordprocessingShape">
                    <wps:wsp>
                      <wps:cNvSpPr txBox="1"/>
                      <wps:spPr>
                        <a:xfrm>
                          <a:off x="0" y="0"/>
                          <a:ext cx="412750" cy="429895"/>
                        </a:xfrm>
                        <a:prstGeom prst="rect">
                          <a:avLst/>
                        </a:prstGeom>
                        <a:solidFill>
                          <a:schemeClr val="lt1"/>
                        </a:solidFill>
                        <a:ln w="6350">
                          <a:solidFill>
                            <a:prstClr val="black"/>
                          </a:solidFill>
                        </a:ln>
                      </wps:spPr>
                      <wps:txbx>
                        <w:txbxContent>
                          <w:p w14:paraId="2290B32B" w14:textId="77777777" w:rsidR="000F5CEB" w:rsidRDefault="000F5CEB" w:rsidP="000F5CEB">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6DF17C" id="Zone de texte 9" o:spid="_x0000_s1028" type="#_x0000_t202" style="position:absolute;left:0;text-align:left;margin-left:260.65pt;margin-top:116pt;width:32.5pt;height:33.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" fillcolor="white [3201]" strokeweight=".5pt">
                <v:textbox>
                  <w:txbxContent>
                    <w:p w14:paraId="25BE937F" w14:textId="77777777" w:rsidR="000F5CEB" w:rsidRDefault="000F5CEB" w:rsidP="000F5CEB">
                      <w:pPr>
                        <w:jc w:val="center"/>
                      </w:pPr>
                      <w:r>
                        <w:t>B</w:t>
                      </w:r>
                    </w:p>
                  </w:txbxContent>
                </v:textbox>
              </v:shape>
            </w:pict>
          </mc:Fallback>
        </mc:AlternateContent>
      </w:r>
      <w:r w:rsidRPr="009B0008">
        <w:rPr>
          <w:noProof/>
        </w:rPr>
        <mc:AlternateContent>
          <mc:Choice Requires="wps">
            <w:drawing>
              <wp:anchor distT="0" distB="0" distL="114300" distR="114300" simplePos="0" relativeHeight="251661312" behindDoc="0" locked="0" layoutInCell="1" allowOverlap="1" wp14:anchorId="60F8C4EF" wp14:editId="42A7E7E1">
                <wp:simplePos x="0" y="0"/>
                <wp:positionH relativeFrom="column">
                  <wp:posOffset>509905</wp:posOffset>
                </wp:positionH>
                <wp:positionV relativeFrom="paragraph">
                  <wp:posOffset>1470025</wp:posOffset>
                </wp:positionV>
                <wp:extent cx="412750" cy="429895"/>
                <wp:effectExtent l="0" t="0" r="25400" b="27305"/>
                <wp:wrapNone/>
                <wp:docPr id="8" name="Zone de texte 8"/>
                <wp:cNvGraphicFramePr/>
                <a:graphic xmlns:a="http://schemas.openxmlformats.org/drawingml/2006/main">
                  <a:graphicData uri="http://schemas.microsoft.com/office/word/2010/wordprocessingShape">
                    <wps:wsp>
                      <wps:cNvSpPr txBox="1"/>
                      <wps:spPr>
                        <a:xfrm>
                          <a:off x="0" y="0"/>
                          <a:ext cx="412750" cy="429895"/>
                        </a:xfrm>
                        <a:prstGeom prst="rect">
                          <a:avLst/>
                        </a:prstGeom>
                        <a:solidFill>
                          <a:schemeClr val="lt1"/>
                        </a:solidFill>
                        <a:ln w="6350">
                          <a:solidFill>
                            <a:prstClr val="black"/>
                          </a:solidFill>
                        </a:ln>
                      </wps:spPr>
                      <wps:txbx>
                        <w:txbxContent>
                          <w:p w14:paraId="5065A8CD" w14:textId="77777777" w:rsidR="000F5CEB" w:rsidRDefault="000F5CEB" w:rsidP="000F5CEB">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F8C4EF" id="Zone de texte 8" o:spid="_x0000_s1029" type="#_x0000_t202" style="position:absolute;left:0;text-align:left;margin-left:40.15pt;margin-top:115.75pt;width:32.5pt;height:33.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" fillcolor="white [3201]" strokeweight=".5pt">
                <v:textbox>
                  <w:txbxContent>
                    <w:p w14:paraId="1B2D3D37" w14:textId="77777777" w:rsidR="000F5CEB" w:rsidRDefault="000F5CEB" w:rsidP="000F5CEB">
                      <w:pPr>
                        <w:jc w:val="center"/>
                      </w:pPr>
                      <w:r>
                        <w:t>A</w:t>
                      </w:r>
                    </w:p>
                  </w:txbxContent>
                </v:textbox>
              </v:shape>
            </w:pict>
          </mc:Fallback>
        </mc:AlternateContent>
      </w:r>
      <w:r w:rsidRPr="009B0008">
        <w:rPr>
          <w:i/>
          <w:iCs/>
          <w:noProof/>
        </w:rPr>
        <w:drawing>
          <wp:inline distT="0" distB="0" distL="0" distR="0" wp14:anchorId="3E778186" wp14:editId="5843D67E">
            <wp:extent cx="4771204" cy="190680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a:extLst>
                        <a:ext uri="{28A0092B-C50C-407E-A947-70E740481C1C}">
                          <a14:useLocalDpi xmlns:a14="http://schemas.microsoft.com/office/drawing/2010/main" val="0"/>
                        </a:ext>
                      </a:extLst>
                    </a:blip>
                    <a:stretch>
                      <a:fillRect/>
                    </a:stretch>
                  </pic:blipFill>
                  <pic:spPr>
                    <a:xfrm>
                      <a:off x="0" y="0"/>
                      <a:ext cx="4771204" cy="1906802"/>
                    </a:xfrm>
                    <a:prstGeom prst="rect">
                      <a:avLst/>
                    </a:prstGeom>
                  </pic:spPr>
                </pic:pic>
              </a:graphicData>
            </a:graphic>
          </wp:inline>
        </w:drawing>
      </w:r>
    </w:p>
    <w:p w14:paraId="330332AC" w14:textId="77777777" w:rsidR="00CD185A" w:rsidRPr="009B0008" w:rsidRDefault="0055025E" w:rsidP="000F5CEB">
      <w:pPr>
        <w:jc w:val="center"/>
        <w:rPr>
          <w:rFonts w:ascii="Arial" w:hAnsi="Arial" w:cs="Arial"/>
          <w:i/>
          <w:iCs/>
          <w:sz w:val="22"/>
          <w:szCs w:val="20"/>
          <w:lang w:val="en-GB"/>
        </w:rPr>
      </w:pPr>
      <w:r w:rsidRPr="009B0008">
        <w:rPr>
          <w:rFonts w:ascii="Arial" w:hAnsi="Arial" w:cs="Arial"/>
          <w:b/>
          <w:bCs/>
          <w:sz w:val="22"/>
          <w:szCs w:val="20"/>
          <w:lang w:val="en-US"/>
        </w:rPr>
        <w:t>Photo 2</w:t>
      </w:r>
      <w:r w:rsidRPr="009B0008">
        <w:rPr>
          <w:rFonts w:ascii="Arial" w:hAnsi="Arial" w:cs="Arial"/>
          <w:i/>
          <w:iCs/>
          <w:sz w:val="22"/>
          <w:szCs w:val="20"/>
          <w:lang w:val="en-US"/>
        </w:rPr>
        <w:t xml:space="preserve">. </w:t>
      </w:r>
      <w:r w:rsidRPr="009B0008">
        <w:rPr>
          <w:rFonts w:ascii="Arial" w:hAnsi="Arial" w:cs="Arial"/>
          <w:i/>
          <w:iCs/>
          <w:sz w:val="22"/>
          <w:szCs w:val="20"/>
          <w:lang w:val="en-GB"/>
        </w:rPr>
        <w:t xml:space="preserve">Pseudocedrela kotschyi (A: trunk; B: </w:t>
      </w:r>
      <w:r w:rsidR="005859EF" w:rsidRPr="009B0008">
        <w:rPr>
          <w:rFonts w:ascii="Arial" w:hAnsi="Arial" w:cs="Arial"/>
          <w:i/>
          <w:iCs/>
          <w:sz w:val="22"/>
          <w:szCs w:val="20"/>
          <w:lang w:val="en-GB"/>
        </w:rPr>
        <w:t>leaves</w:t>
      </w:r>
      <w:r w:rsidRPr="009B0008">
        <w:rPr>
          <w:rFonts w:ascii="Arial" w:hAnsi="Arial" w:cs="Arial"/>
          <w:i/>
          <w:iCs/>
          <w:sz w:val="22"/>
          <w:szCs w:val="20"/>
          <w:lang w:val="en-GB"/>
        </w:rPr>
        <w:t>)</w:t>
      </w:r>
    </w:p>
    <w:p w14:paraId="1CBBB319" w14:textId="77777777" w:rsidR="00377190" w:rsidRPr="009B0008" w:rsidRDefault="00181AD8" w:rsidP="00377190">
      <w:pPr>
        <w:jc w:val="left"/>
        <w:rPr>
          <w:rFonts w:ascii="Arial" w:hAnsi="Arial" w:cs="Arial"/>
          <w:b/>
          <w:bCs/>
          <w:sz w:val="22"/>
          <w:szCs w:val="20"/>
          <w:lang w:val="en-GB"/>
        </w:rPr>
      </w:pPr>
      <w:r>
        <w:rPr>
          <w:b/>
          <w:highlight w:val="yellow"/>
        </w:rPr>
        <w:t>2.2. Animal material</w:t>
      </w:r>
    </w:p>
    <w:p w14:paraId="67D28BEA" w14:textId="77777777" w:rsidR="00100E35" w:rsidRPr="009B0008" w:rsidRDefault="00377190" w:rsidP="00377190">
      <w:pPr>
        <w:rPr>
          <w:rFonts w:ascii="Arial" w:hAnsi="Arial" w:cs="Arial"/>
          <w:sz w:val="22"/>
          <w:lang w:val="en-GB"/>
        </w:rPr>
      </w:pPr>
      <w:r>
        <w:rPr>
          <w:highlight w:val="yellow"/>
        </w:rPr>
        <w:t>The animal material consisted of male and female NMRI mice weighing between 34 and 37 g from the animal facility of the Life and Earth Sciences Training and Research Unit at Joseph KI-ZERBO University (Burkina Faso). They were acclimatised for one week (25 °C, with a circadian rhythm) before the start of the tests.</w:t>
      </w:r>
    </w:p>
    <w:p w14:paraId="134E74F0" w14:textId="77777777" w:rsidR="00100E35" w:rsidRPr="009B0008" w:rsidRDefault="004B0386" w:rsidP="00754A52">
      <w:pPr>
        <w:spacing w:before="240"/>
        <w:rPr>
          <w:rFonts w:ascii="Arial" w:hAnsi="Arial" w:cs="Arial"/>
          <w:b/>
          <w:bCs/>
          <w:sz w:val="22"/>
          <w:szCs w:val="20"/>
          <w:lang w:val="en-GB"/>
        </w:rPr>
      </w:pPr>
      <w:r>
        <w:rPr>
          <w:b/>
          <w:highlight w:val="yellow"/>
        </w:rPr>
        <w:t>2.3. Extraction method</w:t>
      </w:r>
    </w:p>
    <w:p w14:paraId="43E8E85D" w14:textId="77777777" w:rsidR="00100E35" w:rsidRPr="009B0008" w:rsidRDefault="00E6703A" w:rsidP="00100E35">
      <w:pPr>
        <w:rPr>
          <w:rFonts w:ascii="Arial" w:hAnsi="Arial" w:cs="Arial"/>
          <w:b/>
          <w:bCs/>
          <w:sz w:val="20"/>
          <w:szCs w:val="18"/>
          <w:lang w:val="en-GB"/>
        </w:rPr>
      </w:pPr>
      <w:r>
        <w:rPr>
          <w:b/>
          <w:highlight w:val="yellow"/>
        </w:rPr>
        <w:t>2.3.1. Methanolic and hydromethanolic maceration</w:t>
      </w:r>
    </w:p>
    <w:p w14:paraId="59271512" w14:textId="77777777" w:rsidR="00100E35" w:rsidRPr="009B0008" w:rsidRDefault="00100E35" w:rsidP="00100E35">
      <w:pPr>
        <w:rPr>
          <w:rFonts w:ascii="Arial" w:hAnsi="Arial" w:cs="Arial"/>
          <w:sz w:val="22"/>
          <w:szCs w:val="20"/>
          <w:lang w:val="en-GB"/>
        </w:rPr>
      </w:pPr>
      <w:r>
        <w:rPr>
          <w:highlight w:val="yellow"/>
        </w:rPr>
        <w:t>Fifty grams (50 g) of bark powder from each species were mixed with 500 mL of solvent. The mixture was then stirred for 24 hours at room temperature using a mechanical stirrer. After filtration through Whatman filter paper and concentration using a rotary evaporator, the extracts were placed in Petri dishes and dried in an oven at 40 °C.</w:t>
      </w:r>
    </w:p>
    <w:p w14:paraId="4B6032D9" w14:textId="77777777" w:rsidR="00100E35" w:rsidRPr="009B0008" w:rsidRDefault="00C92E5E" w:rsidP="00A55D33">
      <w:pPr>
        <w:spacing w:before="240"/>
        <w:rPr>
          <w:rFonts w:ascii="Arial" w:hAnsi="Arial" w:cs="Arial"/>
          <w:b/>
          <w:bCs/>
          <w:sz w:val="20"/>
          <w:szCs w:val="18"/>
          <w:lang w:val="en-GB"/>
        </w:rPr>
      </w:pPr>
      <w:r>
        <w:rPr>
          <w:b/>
          <w:highlight w:val="yellow"/>
        </w:rPr>
        <w:t>2.3.2. Aqueous decoction</w:t>
      </w:r>
    </w:p>
    <w:p w14:paraId="448B8A78" w14:textId="77777777" w:rsidR="00D119DF" w:rsidRPr="009B0008" w:rsidRDefault="00100E35" w:rsidP="00100E35">
      <w:pPr>
        <w:rPr>
          <w:rFonts w:ascii="Arial" w:hAnsi="Arial" w:cs="Arial"/>
          <w:sz w:val="22"/>
          <w:szCs w:val="20"/>
          <w:lang w:val="en-GB"/>
        </w:rPr>
      </w:pPr>
      <w:r>
        <w:rPr>
          <w:highlight w:val="yellow"/>
        </w:rPr>
        <w:t>Fifty grams (50 g) of powder from each species were placed in a round-bottom flask containing 500 mL of distilled water. Each mixture was homogenised and then boiled at 100 °C for 30 minutes. After filtration, decantation, and drying, the extracts were concentrated and then lyophilised.</w:t>
      </w:r>
    </w:p>
    <w:p w14:paraId="384BFD0E" w14:textId="77777777" w:rsidR="00F5426B" w:rsidRPr="009B0008" w:rsidRDefault="00754A52" w:rsidP="00A55D33">
      <w:pPr>
        <w:spacing w:before="240"/>
        <w:rPr>
          <w:rFonts w:ascii="Arial" w:hAnsi="Arial" w:cs="Arial"/>
          <w:b/>
          <w:bCs/>
          <w:sz w:val="22"/>
          <w:szCs w:val="20"/>
          <w:lang w:val="en-GB"/>
        </w:rPr>
      </w:pPr>
      <w:r>
        <w:rPr>
          <w:b/>
          <w:highlight w:val="yellow"/>
        </w:rPr>
        <w:t>2.4. Determination of total phenolic and flavonoid compounds</w:t>
      </w:r>
    </w:p>
    <w:p w14:paraId="5637C54C" w14:textId="77777777" w:rsidR="00F5426B" w:rsidRPr="009B0008" w:rsidRDefault="00754A52" w:rsidP="00F5426B">
      <w:pPr>
        <w:rPr>
          <w:rFonts w:ascii="Arial" w:hAnsi="Arial" w:cs="Arial"/>
          <w:b/>
          <w:bCs/>
          <w:sz w:val="20"/>
          <w:szCs w:val="18"/>
          <w:lang w:val="en-GB"/>
        </w:rPr>
      </w:pPr>
      <w:r>
        <w:rPr>
          <w:b/>
          <w:highlight w:val="yellow"/>
        </w:rPr>
        <w:t>2.4.1. Determination of total phenolics</w:t>
      </w:r>
    </w:p>
    <w:p w14:paraId="3498CBD4" w14:textId="77777777" w:rsidR="00F5426B" w:rsidRPr="009B0008" w:rsidRDefault="00F5426B" w:rsidP="00F5426B">
      <w:pPr>
        <w:rPr>
          <w:rFonts w:ascii="Arial" w:hAnsi="Arial" w:cs="Arial"/>
          <w:sz w:val="22"/>
          <w:szCs w:val="20"/>
          <w:lang w:val="en-GB"/>
        </w:rPr>
      </w:pPr>
      <w:r>
        <w:rPr>
          <w:highlight w:val="yellow"/>
        </w:rPr>
        <w:t xml:space="preserve">Total phenolics were quantified according to the procedure described by Singleton et al. (1999). The principle of this method is based on the reaction of polyphenols with Folin-Ciocalteu reagent, which forms a blue complex in an alkaline medium. The intensity of the blue colour is proportional to the amount of polyphenolic compounds present in the extract. Twenty-five microlitres (25 µL) of extract (prepared at 1 mg/mL in methanol) were mixed with 125 µL of </w:t>
      </w:r>
      <w:r>
        <w:rPr>
          <w:highlight w:val="yellow"/>
        </w:rPr>
        <w:lastRenderedPageBreak/>
        <w:t>Folin-Ciocalteu reagent (FCR) at a concentration of 0.2 N and then incubated for 5 minutes. Next, 100 µL of a 7.5% sodium carbonate (NaHCO₃) solution were added, and the mixture was incubated for 2 hours. Optical densities were measured at a wavelength of 760 nm using a spectrophotometer, with a blank as a reference. Gallic acid was used for the calibration curve. The blank was prepared by mixing 25 µL of the solution to be analysed with 100 µL of sodium carbonate solution and 100 µL of methanol. The results are expressed as milligrams of gallic acid equivalent per 100 g of dry extract (mg GAE/100 g).</w:t>
      </w:r>
    </w:p>
    <w:p w14:paraId="64D047F9" w14:textId="77777777" w:rsidR="00F5426B" w:rsidRPr="009B0008" w:rsidRDefault="008F6CF1" w:rsidP="00042DA2">
      <w:pPr>
        <w:spacing w:before="240"/>
        <w:rPr>
          <w:rFonts w:ascii="Arial" w:hAnsi="Arial" w:cs="Arial"/>
          <w:b/>
          <w:bCs/>
          <w:sz w:val="20"/>
          <w:szCs w:val="18"/>
          <w:lang w:val="en-GB"/>
        </w:rPr>
      </w:pPr>
      <w:r>
        <w:rPr>
          <w:b/>
          <w:highlight w:val="yellow"/>
        </w:rPr>
        <w:t>2.4.2. Determination of total flavonoids</w:t>
      </w:r>
    </w:p>
    <w:p w14:paraId="256611FF" w14:textId="77777777" w:rsidR="002D3654" w:rsidRPr="009B0008" w:rsidRDefault="00F5426B" w:rsidP="00F5426B">
      <w:pPr>
        <w:rPr>
          <w:rFonts w:ascii="Arial" w:hAnsi="Arial" w:cs="Arial"/>
          <w:sz w:val="22"/>
          <w:szCs w:val="20"/>
          <w:lang w:val="en-GB"/>
        </w:rPr>
      </w:pPr>
      <w:r>
        <w:rPr>
          <w:highlight w:val="yellow"/>
        </w:rPr>
        <w:t>Total flavonoid content was determined using the colourimetric method described by Arvouet-Grand et al. (1994). Seventy-five microlitres (75 µL) of a 2% aluminium trichloride (AlCl₃) solution were added to 75 µL of extract (1 mg/mL in methanol). The mixture was incubated for 10 minutes in the dark at room temperature, added to the wells of a microplate, and read using a spectrophotometer at 415 nm. Quercetin was used as a standard to establish a calibration curve (y = 0.0309x + 0.0187). The results are expressed as mg of quercetin equivalent (QE) per 100 g (mg QE/100 g).</w:t>
      </w:r>
    </w:p>
    <w:p w14:paraId="57CD24C0" w14:textId="77777777" w:rsidR="002D3654" w:rsidRPr="009B0008" w:rsidRDefault="008F6CF1" w:rsidP="00FA7716">
      <w:pPr>
        <w:spacing w:before="240"/>
        <w:rPr>
          <w:rFonts w:ascii="Arial" w:hAnsi="Arial" w:cs="Arial"/>
          <w:b/>
          <w:bCs/>
          <w:sz w:val="22"/>
          <w:lang w:val="en-GB"/>
        </w:rPr>
      </w:pPr>
      <w:r>
        <w:rPr>
          <w:b/>
          <w:highlight w:val="yellow"/>
        </w:rPr>
        <w:t>2.5. Antioxidant activity</w:t>
      </w:r>
    </w:p>
    <w:p w14:paraId="7407ADAB" w14:textId="77777777" w:rsidR="002D3654" w:rsidRPr="009B0008" w:rsidRDefault="008F6CF1" w:rsidP="00FA7716">
      <w:pPr>
        <w:rPr>
          <w:rFonts w:ascii="Arial" w:hAnsi="Arial" w:cs="Arial"/>
          <w:b/>
          <w:bCs/>
          <w:sz w:val="20"/>
          <w:szCs w:val="20"/>
          <w:lang w:val="en-GB"/>
        </w:rPr>
      </w:pPr>
      <w:r>
        <w:rPr>
          <w:b/>
          <w:highlight w:val="yellow"/>
        </w:rPr>
        <w:t>2.5.1. DPPH• radical inhibition antiradical activity</w:t>
      </w:r>
    </w:p>
    <w:p w14:paraId="659E63BE" w14:textId="77777777" w:rsidR="002D3654" w:rsidRPr="009B0008" w:rsidRDefault="002D3654" w:rsidP="002D3654">
      <w:pPr>
        <w:rPr>
          <w:rFonts w:ascii="Arial" w:hAnsi="Arial" w:cs="Arial"/>
          <w:sz w:val="22"/>
          <w:lang w:val="en-GB"/>
        </w:rPr>
      </w:pPr>
      <w:r>
        <w:rPr>
          <w:highlight w:val="yellow"/>
        </w:rPr>
        <w:t>2,2-Diphenyl-1-picrylhydrazyl (DPPH•) is a stable, dark purple free radical with maximum absorbance around a wavelength of 520 nm. In the presence of a hydrogen-donating substance, it is reduced and turns yellow. The colour change from dark purple to yellow is proportional to the antioxidant activity of the substance. The spectrophotometric method described by Velázquez et al. (2003) was used to evaluate the antiradical activity of the extracts. A series of seven successive dilutions was prepared from the extracts by mixing 100 µL of extract with 200 µL of DPPH. The absorbance was then measured after 15 minutes of incubation. The concentrations (in µg/mL) at which 50% of free radicals were scavenged (IC₅₀) were determined.</w:t>
      </w:r>
    </w:p>
    <w:p w14:paraId="08655C26" w14:textId="77777777" w:rsidR="002D3654" w:rsidRPr="009B0008" w:rsidRDefault="008F6CF1" w:rsidP="00042DA2">
      <w:pPr>
        <w:spacing w:before="240"/>
        <w:rPr>
          <w:rFonts w:ascii="Arial" w:hAnsi="Arial" w:cs="Arial"/>
          <w:b/>
          <w:bCs/>
          <w:sz w:val="20"/>
          <w:szCs w:val="18"/>
          <w:lang w:val="en-GB"/>
        </w:rPr>
      </w:pPr>
      <w:r>
        <w:rPr>
          <w:b/>
          <w:highlight w:val="yellow"/>
        </w:rPr>
        <w:t>2.5.2. Evaluation of iron-reducing power (FRAP)</w:t>
      </w:r>
    </w:p>
    <w:p w14:paraId="338CD567" w14:textId="77777777" w:rsidR="001856F4" w:rsidRPr="009B0008" w:rsidRDefault="002D3654" w:rsidP="002D3654">
      <w:pPr>
        <w:rPr>
          <w:rFonts w:ascii="Arial" w:hAnsi="Arial" w:cs="Arial"/>
          <w:sz w:val="22"/>
          <w:szCs w:val="20"/>
          <w:lang w:val="en-GB"/>
        </w:rPr>
      </w:pPr>
      <w:r>
        <w:rPr>
          <w:highlight w:val="yellow"/>
        </w:rPr>
        <w:t xml:space="preserve">The FRAP (ferric reducing antioxidant power) method evaluates the ability of compounds to reduce ferric ions (Fe³⁺) to ferrous ions (Fe²⁺) (Hinneburg et al., 2006). In a test tube containing 0.5 mL of sample solution (0.1 mg/mL), 1.25 mL of phosphate buffer (0.2 M, pH 6.6) was added, followed by 1.25 mL of 1% potassium hexacyanoferrate [K₃Fe(CN)₆] in water. The mixture was heated at 50 °C in a water bath for 30 minutes. Then, 1.25 mL of trichloroacetic </w:t>
      </w:r>
      <w:r>
        <w:rPr>
          <w:highlight w:val="yellow"/>
        </w:rPr>
        <w:lastRenderedPageBreak/>
        <w:t>acid (10%) was added, and the mixture was centrifuged at 2000 rpm for 10 minutes. The supernatant (1.25 mL) was mixed with 1.25 mL of distilled water and 0.25 mL of freshly prepared FeCl₃ (1%) in water. A blank without a sample was prepared under the same conditions. Absorbance was read at 700 nm against a standard curve of ascorbic acid (0–200 mg/L). Quercetin was used as a positive control. The activity of the extract in reducing iron (III) to iron (II) was expressed as µmol ascorbic acid equivalent per gram of extract (µmol AEA/g). The concentration of reducing compounds in the extracts was expressed as mg of ascorbic acid equivalent per 100 mg of dry extract (mg EAA/100 g).</w:t>
      </w:r>
    </w:p>
    <w:p w14:paraId="3CE3A1B7" w14:textId="77777777" w:rsidR="003E00D8" w:rsidRPr="009B0008" w:rsidRDefault="00D767BE" w:rsidP="00A22FED">
      <w:pPr>
        <w:spacing w:before="240"/>
        <w:rPr>
          <w:rFonts w:ascii="Arial" w:hAnsi="Arial" w:cs="Arial"/>
          <w:b/>
          <w:bCs/>
          <w:sz w:val="22"/>
          <w:lang w:val="en-GB"/>
        </w:rPr>
      </w:pPr>
      <w:r>
        <w:rPr>
          <w:b/>
          <w:highlight w:val="yellow"/>
        </w:rPr>
        <w:t>2.6. Anti-inflammatory properties of the extracts</w:t>
      </w:r>
    </w:p>
    <w:p w14:paraId="03BFC665" w14:textId="77777777" w:rsidR="003E00D8" w:rsidRPr="009B0008" w:rsidRDefault="003E00D8" w:rsidP="003E00D8">
      <w:pPr>
        <w:rPr>
          <w:rFonts w:ascii="Arial" w:hAnsi="Arial" w:cs="Arial"/>
          <w:sz w:val="22"/>
          <w:szCs w:val="20"/>
          <w:lang w:val="en-GB"/>
        </w:rPr>
      </w:pPr>
      <w:r>
        <w:rPr>
          <w:highlight w:val="yellow"/>
        </w:rPr>
        <w:t>Anti-inflammatory efficacy was evaluated in vitro using the BSA denaturation test, according to the method described by Williams et al. (2008).</w:t>
      </w:r>
    </w:p>
    <w:p w14:paraId="6F2ACD28" w14:textId="77777777" w:rsidR="003E00D8" w:rsidRPr="009B0008" w:rsidRDefault="003E00D8" w:rsidP="003E00D8">
      <w:pPr>
        <w:rPr>
          <w:rFonts w:ascii="Arial" w:hAnsi="Arial" w:cs="Arial"/>
          <w:sz w:val="22"/>
          <w:szCs w:val="20"/>
          <w:lang w:val="en-GB"/>
        </w:rPr>
      </w:pPr>
      <w:r>
        <w:rPr>
          <w:highlight w:val="yellow"/>
        </w:rPr>
        <w:t>The test solution (1 mL) comprised 500 µL of 0.2% bovine serum albumin (BSA) and 500 µL of a test solution (in methanol) at a concentration of 1 mg/mL.</w:t>
      </w:r>
    </w:p>
    <w:p w14:paraId="580D67C6" w14:textId="77777777" w:rsidR="003E00D8" w:rsidRPr="009B0008" w:rsidRDefault="003E00D8" w:rsidP="003E00D8">
      <w:pPr>
        <w:rPr>
          <w:rFonts w:ascii="Arial" w:hAnsi="Arial" w:cs="Arial"/>
          <w:sz w:val="22"/>
          <w:szCs w:val="20"/>
          <w:lang w:val="en-GB"/>
        </w:rPr>
      </w:pPr>
      <w:r>
        <w:rPr>
          <w:highlight w:val="yellow"/>
        </w:rPr>
        <w:t>The control solution (1 mL) comprised 500 µL of BSA and 500 µL of methanol.</w:t>
      </w:r>
    </w:p>
    <w:p w14:paraId="1552F4AB" w14:textId="77777777" w:rsidR="003E00D8" w:rsidRPr="009B0008" w:rsidRDefault="003E00D8" w:rsidP="003E00D8">
      <w:pPr>
        <w:rPr>
          <w:rFonts w:ascii="Arial" w:hAnsi="Arial" w:cs="Arial"/>
          <w:sz w:val="22"/>
          <w:szCs w:val="20"/>
          <w:lang w:val="en-GB"/>
        </w:rPr>
      </w:pPr>
      <w:r>
        <w:rPr>
          <w:highlight w:val="yellow"/>
        </w:rPr>
        <w:t>The standard solution (1 mL) comprised 500 µL of 0.2% BSA and 500 µL of diclofenac at a concentration of 0.5 mg/mL.</w:t>
      </w:r>
    </w:p>
    <w:p w14:paraId="2A810084" w14:textId="77777777" w:rsidR="000E283E" w:rsidRPr="009B0008" w:rsidRDefault="003E00D8" w:rsidP="003E00D8">
      <w:pPr>
        <w:rPr>
          <w:rFonts w:ascii="Arial" w:hAnsi="Arial" w:cs="Arial"/>
          <w:sz w:val="22"/>
          <w:szCs w:val="20"/>
          <w:lang w:val="en-GB"/>
        </w:rPr>
      </w:pPr>
      <w:r>
        <w:rPr>
          <w:highlight w:val="yellow"/>
        </w:rPr>
        <w:t>The samples were incubated at 37 °C for 15 minutes and then at 72 °C for 5 minutes in a water bath. Once incubation was complete, the samples were cooled, and absorbance was measured using a spectrophotometer at 660 nm. Diclofenac sodium was used as the reference anti-inflammatory. The percentage inhibition of BSA denaturation was calculated as follows:</w:t>
      </w:r>
    </w:p>
    <w:p w14:paraId="31FD8ADE" w14:textId="77777777" w:rsidR="00F75870" w:rsidRPr="009B0008" w:rsidRDefault="00F75870" w:rsidP="00F75870">
      <w:pPr>
        <w:jc w:val="center"/>
        <w:rPr>
          <w:rFonts w:ascii="Arial" w:hAnsi="Arial" w:cs="Arial"/>
          <w:sz w:val="22"/>
          <w:szCs w:val="20"/>
        </w:rPr>
      </w:pPr>
      <m:oMathPara>
        <m:oMath>
          <m:r>
            <w:rPr>
              <w:rFonts w:ascii="Cambria Math" w:hAnsi="Cambria Math" w:cs="Arial"/>
              <w:sz w:val="22"/>
              <w:szCs w:val="20"/>
            </w:rPr>
            <m:t>% of inhibition=</m:t>
          </m:r>
          <m:f>
            <m:fPr>
              <m:ctrlPr>
                <w:rPr>
                  <w:rFonts w:ascii="Cambria Math" w:hAnsi="Cambria Math" w:cs="Arial"/>
                  <w:i/>
                  <w:sz w:val="22"/>
                  <w:szCs w:val="20"/>
                </w:rPr>
              </m:ctrlPr>
            </m:fPr>
            <m:num>
              <m:r>
                <w:rPr>
                  <w:rFonts w:ascii="Cambria Math" w:hAnsi="Cambria Math" w:cs="Arial"/>
                  <w:sz w:val="22"/>
                  <w:szCs w:val="20"/>
                </w:rPr>
                <m:t>Abs test-Abs control</m:t>
              </m:r>
            </m:num>
            <m:den>
              <m:r>
                <w:rPr>
                  <w:rFonts w:ascii="Cambria Math" w:hAnsi="Cambria Math" w:cs="Arial"/>
                  <w:sz w:val="22"/>
                  <w:szCs w:val="20"/>
                </w:rPr>
                <m:t>Abs test</m:t>
              </m:r>
            </m:den>
          </m:f>
          <m:r>
            <w:rPr>
              <w:rFonts w:ascii="Cambria Math" w:hAnsi="Cambria Math" w:cs="Arial"/>
              <w:sz w:val="22"/>
              <w:szCs w:val="20"/>
            </w:rPr>
            <m:t>*100</m:t>
          </m:r>
        </m:oMath>
      </m:oMathPara>
    </w:p>
    <w:p w14:paraId="66C521FD" w14:textId="77777777" w:rsidR="0073117F" w:rsidRPr="009B0008" w:rsidRDefault="00874EDE" w:rsidP="00A22FED">
      <w:pPr>
        <w:spacing w:before="240"/>
        <w:jc w:val="left"/>
        <w:rPr>
          <w:rFonts w:ascii="Arial" w:hAnsi="Arial" w:cs="Arial"/>
          <w:b/>
          <w:bCs/>
          <w:sz w:val="22"/>
          <w:szCs w:val="20"/>
          <w:lang w:val="en-GB"/>
        </w:rPr>
      </w:pPr>
      <w:r>
        <w:rPr>
          <w:b/>
          <w:highlight w:val="yellow"/>
        </w:rPr>
        <w:t>2.7. Evaluation of the in vitro antifungal activity of the extracts</w:t>
      </w:r>
    </w:p>
    <w:p w14:paraId="33B5E1B8" w14:textId="77777777" w:rsidR="0073117F" w:rsidRPr="009B0008" w:rsidRDefault="0073117F" w:rsidP="0073117F">
      <w:pPr>
        <w:rPr>
          <w:rFonts w:ascii="Arial" w:hAnsi="Arial" w:cs="Arial"/>
          <w:sz w:val="22"/>
          <w:szCs w:val="20"/>
          <w:lang w:val="en-GB"/>
        </w:rPr>
      </w:pPr>
      <w:r>
        <w:rPr>
          <w:highlight w:val="yellow"/>
        </w:rPr>
        <w:t xml:space="preserve">The solid-phase diffusion method described by Bouterfas et al. (2016) was used to determine the diameters of the inhibition zones. The </w:t>
      </w:r>
      <w:r>
        <w:rPr>
          <w:i/>
          <w:highlight w:val="yellow"/>
        </w:rPr>
        <w:t>Candida albicans</w:t>
      </w:r>
      <w:r>
        <w:rPr>
          <w:highlight w:val="yellow"/>
        </w:rPr>
        <w:t xml:space="preserve"> strain ATCC 10231 was used.</w:t>
      </w:r>
    </w:p>
    <w:p w14:paraId="63A11E84" w14:textId="77777777" w:rsidR="0073117F" w:rsidRPr="009B0008" w:rsidRDefault="0073117F" w:rsidP="0073117F">
      <w:pPr>
        <w:rPr>
          <w:rFonts w:ascii="Arial" w:hAnsi="Arial" w:cs="Arial"/>
          <w:sz w:val="22"/>
          <w:szCs w:val="20"/>
          <w:lang w:val="en-GB"/>
        </w:rPr>
      </w:pPr>
      <w:r>
        <w:rPr>
          <w:highlight w:val="yellow"/>
        </w:rPr>
        <w:t>Sterilised 9 mm Whatman paper discs were impregnated with different concentrations of extracts (20 µL per disc) and then carefully placed on the surface of a pre-inoculated medium. The diameters of the inhibition zones were measured around the discs after a 30-minute pre-incubation at room temperature, followed by incubation in an oven at 37 °C for 24 hours.</w:t>
      </w:r>
    </w:p>
    <w:p w14:paraId="371CA384" w14:textId="77777777" w:rsidR="0073117F" w:rsidRPr="009B0008" w:rsidRDefault="0073117F" w:rsidP="0073117F">
      <w:pPr>
        <w:rPr>
          <w:rFonts w:ascii="Arial" w:hAnsi="Arial" w:cs="Arial"/>
          <w:sz w:val="22"/>
          <w:szCs w:val="20"/>
          <w:lang w:val="en-GB"/>
        </w:rPr>
      </w:pPr>
      <w:r>
        <w:rPr>
          <w:highlight w:val="yellow"/>
        </w:rPr>
        <w:t xml:space="preserve">The minimum inhibitory concentrations (MICs) of the extracts were determined using the 96-well microplate method. After preparing extracts at different concentrations (in 1% DMSO), 100 µL of each dilution was added to the corresponding wells. Then, 100 µL of fungal </w:t>
      </w:r>
      <w:r>
        <w:rPr>
          <w:highlight w:val="yellow"/>
        </w:rPr>
        <w:lastRenderedPageBreak/>
        <w:t>suspension was inoculated into each well. The MIC was defined as the lowest concentration of extract that inhibited fungal growth.</w:t>
      </w:r>
    </w:p>
    <w:p w14:paraId="60B9D891" w14:textId="77777777" w:rsidR="0073117F" w:rsidRPr="009B0008" w:rsidRDefault="002A09A3" w:rsidP="00A22FED">
      <w:pPr>
        <w:spacing w:before="240"/>
        <w:jc w:val="left"/>
        <w:rPr>
          <w:rFonts w:ascii="Arial" w:hAnsi="Arial" w:cs="Arial"/>
          <w:b/>
          <w:bCs/>
          <w:sz w:val="22"/>
          <w:szCs w:val="20"/>
          <w:lang w:val="en-GB"/>
        </w:rPr>
      </w:pPr>
      <w:r>
        <w:rPr>
          <w:b/>
          <w:highlight w:val="yellow"/>
        </w:rPr>
        <w:t>2.8. Evaluation of the acute toxicity of extracts in vivo</w:t>
      </w:r>
    </w:p>
    <w:p w14:paraId="54B615CE" w14:textId="77777777" w:rsidR="0073117F" w:rsidRPr="009B0008" w:rsidRDefault="0073117F" w:rsidP="00C969F4">
      <w:pPr>
        <w:rPr>
          <w:rFonts w:ascii="Arial" w:hAnsi="Arial" w:cs="Arial"/>
          <w:sz w:val="22"/>
          <w:szCs w:val="20"/>
          <w:lang w:val="en-GB"/>
        </w:rPr>
      </w:pPr>
      <w:r>
        <w:rPr>
          <w:highlight w:val="yellow"/>
        </w:rPr>
        <w:t>Evaluation of acute toxicity is essential for understanding the potential harmful effects of the extracts on living organisms. This method aims to determine the maximum tolerated dose in animals. In this study, NMRI mice were used as an animal model to evaluate the acute toxicity of the extracts, following the guidelines of the Organisation for Economic Co-operation and Development (OECD, 2002). For this purpose, 2-week-old NMRI mice weighing between 34 and 37 g were divided into three groups and fasted for 6 hours before the experiment. The first group served as the control, whereas the other two groups received an oral dose of 2000 mg/kg body weight of the extracts by gavage. The animals were monitored for 30 minutes and then regularly for the following 14 days to detect clinical signs of toxicity, such as tremors or convulsions, excessive salivation, diarrhoea, lethargy or drowsiness, and coma.</w:t>
      </w:r>
    </w:p>
    <w:p w14:paraId="686F6596" w14:textId="77777777" w:rsidR="00FC1FF7" w:rsidRPr="009B0008" w:rsidRDefault="00FC1FF7" w:rsidP="00FC1FF7">
      <w:pPr>
        <w:rPr>
          <w:rFonts w:ascii="Arial" w:hAnsi="Arial" w:cs="Arial"/>
          <w:sz w:val="22"/>
          <w:szCs w:val="20"/>
          <w:lang w:val="en-GB"/>
        </w:rPr>
      </w:pPr>
    </w:p>
    <w:p w14:paraId="14991EF6" w14:textId="77777777" w:rsidR="0073117F" w:rsidRPr="009B0008" w:rsidRDefault="00FC1FF7" w:rsidP="00A22FED">
      <w:pPr>
        <w:spacing w:before="240"/>
        <w:jc w:val="left"/>
        <w:rPr>
          <w:rFonts w:ascii="Arial" w:hAnsi="Arial" w:cs="Arial"/>
          <w:b/>
          <w:bCs/>
          <w:sz w:val="22"/>
          <w:szCs w:val="20"/>
          <w:lang w:val="en-GB"/>
        </w:rPr>
      </w:pPr>
      <w:r>
        <w:rPr>
          <w:b/>
          <w:highlight w:val="yellow"/>
        </w:rPr>
        <w:t>2.9. Statistical analyses</w:t>
      </w:r>
    </w:p>
    <w:p w14:paraId="51457352" w14:textId="77777777" w:rsidR="00484423" w:rsidRPr="009B0008" w:rsidRDefault="0073117F" w:rsidP="00C969F4">
      <w:pPr>
        <w:rPr>
          <w:rFonts w:ascii="Arial" w:hAnsi="Arial" w:cs="Arial"/>
          <w:sz w:val="22"/>
          <w:szCs w:val="20"/>
          <w:lang w:val="en-GB"/>
        </w:rPr>
      </w:pPr>
      <w:r>
        <w:rPr>
          <w:highlight w:val="yellow"/>
        </w:rPr>
        <w:t>Calibration curves, graphs, inhibition percentages, and means were obtained using Microsoft Excel 2019. XLSTAT 2024 software was used to assess the statistical significance of the results through analysis of variance (ANOVA). A difference was considered significant at P &lt; 0.05.</w:t>
      </w:r>
    </w:p>
    <w:p w14:paraId="7065F437" w14:textId="77777777" w:rsidR="00484423" w:rsidRPr="009B0008" w:rsidRDefault="00484423">
      <w:pPr>
        <w:rPr>
          <w:lang w:val="en-GB"/>
        </w:rPr>
      </w:pPr>
    </w:p>
    <w:p w14:paraId="1256E39C" w14:textId="77777777" w:rsidR="00B94581" w:rsidRPr="009B0008" w:rsidRDefault="00DE0A45" w:rsidP="00B94581">
      <w:pPr>
        <w:rPr>
          <w:b/>
          <w:bCs/>
          <w:lang w:val="en-GB"/>
        </w:rPr>
      </w:pPr>
      <w:r>
        <w:rPr>
          <w:b/>
          <w:highlight w:val="yellow"/>
        </w:rPr>
        <w:t>3. Results</w:t>
      </w:r>
    </w:p>
    <w:p w14:paraId="2A669471" w14:textId="77777777" w:rsidR="00B94581" w:rsidRPr="009B0008" w:rsidRDefault="00A74575" w:rsidP="00B94581">
      <w:pPr>
        <w:rPr>
          <w:rFonts w:ascii="Arial" w:hAnsi="Arial" w:cs="Arial"/>
          <w:b/>
          <w:bCs/>
          <w:sz w:val="22"/>
          <w:szCs w:val="20"/>
          <w:lang w:val="en-GB"/>
        </w:rPr>
      </w:pPr>
      <w:r>
        <w:rPr>
          <w:b/>
          <w:highlight w:val="yellow"/>
        </w:rPr>
        <w:t>3.1. Phenolic compound content</w:t>
      </w:r>
    </w:p>
    <w:p w14:paraId="3C597271" w14:textId="77777777" w:rsidR="00B94581" w:rsidRPr="009B0008" w:rsidRDefault="00B94581" w:rsidP="00B94581">
      <w:pPr>
        <w:rPr>
          <w:rFonts w:ascii="Arial" w:hAnsi="Arial" w:cs="Arial"/>
          <w:sz w:val="22"/>
          <w:szCs w:val="20"/>
          <w:lang w:val="en-GB"/>
        </w:rPr>
      </w:pPr>
      <w:r>
        <w:rPr>
          <w:highlight w:val="yellow"/>
        </w:rPr>
        <w:t xml:space="preserve">The results of the phenolic compound analyses are presented in Table 1. Total phenolic content ranged from 528.56 ± 4.95 to 257.41 ± 8.46 mg GAE/100 g. The highest concentrations were obtained with the methanolic extracts of </w:t>
      </w:r>
      <w:r>
        <w:rPr>
          <w:i/>
          <w:highlight w:val="yellow"/>
        </w:rPr>
        <w:t>P. kotschyi</w:t>
      </w:r>
      <w:r>
        <w:rPr>
          <w:highlight w:val="yellow"/>
        </w:rPr>
        <w:t xml:space="preserve"> (528.56 ± 4.95 mg GAE/100 g) and </w:t>
      </w:r>
      <w:r>
        <w:rPr>
          <w:i/>
          <w:highlight w:val="yellow"/>
        </w:rPr>
        <w:t>A. senegalensis</w:t>
      </w:r>
      <w:r>
        <w:rPr>
          <w:highlight w:val="yellow"/>
        </w:rPr>
        <w:t xml:space="preserve"> (384.57 ± 4.04 mg GAE/100 g).</w:t>
      </w:r>
    </w:p>
    <w:p w14:paraId="4E882627" w14:textId="77777777" w:rsidR="00C969F4" w:rsidRPr="009B0008" w:rsidRDefault="00B94581" w:rsidP="00B94581">
      <w:pPr>
        <w:rPr>
          <w:rFonts w:ascii="Arial" w:hAnsi="Arial" w:cs="Arial"/>
          <w:sz w:val="22"/>
          <w:szCs w:val="20"/>
          <w:lang w:val="en-GB"/>
        </w:rPr>
      </w:pPr>
      <w:r>
        <w:rPr>
          <w:highlight w:val="yellow"/>
        </w:rPr>
        <w:t xml:space="preserve">For total flavonoid content, values ranged from 7.22 ± 0.85 to 1.24 ± 0.35 mg QE/100 g. The highest concentrations were obtained with the hydromethanolic extracts of </w:t>
      </w:r>
      <w:r>
        <w:rPr>
          <w:i/>
          <w:highlight w:val="yellow"/>
        </w:rPr>
        <w:t>P. kotschyi</w:t>
      </w:r>
      <w:r>
        <w:rPr>
          <w:highlight w:val="yellow"/>
        </w:rPr>
        <w:t xml:space="preserve"> (7.22 ± 0.85 mg QE/100 g) and </w:t>
      </w:r>
      <w:r>
        <w:rPr>
          <w:i/>
          <w:highlight w:val="yellow"/>
        </w:rPr>
        <w:t>A. senegalensis</w:t>
      </w:r>
      <w:r>
        <w:rPr>
          <w:highlight w:val="yellow"/>
        </w:rPr>
        <w:t xml:space="preserve"> (3.52 ± 1.07 mg QE/100 g).</w:t>
      </w:r>
    </w:p>
    <w:p w14:paraId="582C7C7C" w14:textId="77777777" w:rsidR="006F02AA" w:rsidRPr="009B0008" w:rsidRDefault="00024DD2" w:rsidP="00EC312F">
      <w:pPr>
        <w:rPr>
          <w:rFonts w:ascii="Arial" w:hAnsi="Arial" w:cs="Arial"/>
          <w:b/>
          <w:bCs/>
          <w:sz w:val="22"/>
          <w:szCs w:val="20"/>
          <w:lang w:val="en-GB"/>
        </w:rPr>
      </w:pPr>
      <w:r>
        <w:rPr>
          <w:highlight w:val="yellow"/>
        </w:rPr>
        <w:t>Table 1: Results of the assays of phenolic compounds and total flavonoids</w:t>
      </w:r>
    </w:p>
    <w:tbl>
      <w:tblPr>
        <w:tblStyle w:val="TableGridLight"/>
        <w:tblW w:w="8080" w:type="dxa"/>
        <w:jc w:val="center"/>
        <w:tblBorders>
          <w:top w:val="single" w:sz="4" w:space="0" w:color="auto"/>
          <w:bottom w:val="single" w:sz="4" w:space="0" w:color="auto"/>
        </w:tblBorders>
        <w:tblLook w:val="04A0" w:firstRow="1" w:lastRow="0" w:firstColumn="1" w:lastColumn="0" w:noHBand="0" w:noVBand="1"/>
      </w:tblPr>
      <w:tblGrid>
        <w:gridCol w:w="1704"/>
        <w:gridCol w:w="2231"/>
        <w:gridCol w:w="2019"/>
        <w:gridCol w:w="2126"/>
      </w:tblGrid>
      <w:tr w:rsidR="000D35DB" w:rsidRPr="00A43901" w14:paraId="6525A640" w14:textId="77777777" w:rsidTr="005F5914">
        <w:trPr>
          <w:trHeight w:val="574"/>
          <w:jc w:val="center"/>
        </w:trPr>
        <w:tc>
          <w:tcPr>
            <w:tcW w:w="1704" w:type="dxa"/>
            <w:vMerge w:val="restart"/>
            <w:tcBorders>
              <w:top w:val="single" w:sz="4" w:space="0" w:color="auto"/>
              <w:bottom w:val="single" w:sz="4" w:space="0" w:color="auto"/>
            </w:tcBorders>
            <w:noWrap/>
            <w:hideMark/>
          </w:tcPr>
          <w:p w14:paraId="3DB0847A" w14:textId="77777777" w:rsidR="000D35DB" w:rsidRPr="009B0008" w:rsidRDefault="000D35DB" w:rsidP="000D35DB">
            <w:pPr>
              <w:spacing w:line="360" w:lineRule="auto"/>
              <w:rPr>
                <w:rFonts w:ascii="Arial" w:hAnsi="Arial" w:cs="Arial"/>
                <w:b/>
                <w:bCs/>
                <w:sz w:val="20"/>
                <w:szCs w:val="18"/>
                <w:lang w:val="en-US"/>
              </w:rPr>
            </w:pPr>
            <w:r w:rsidRPr="009B0008">
              <w:rPr>
                <w:rFonts w:ascii="Arial" w:hAnsi="Arial" w:cs="Arial"/>
                <w:b/>
                <w:bCs/>
                <w:sz w:val="20"/>
                <w:szCs w:val="18"/>
                <w:lang w:val="en-US"/>
              </w:rPr>
              <w:t>Species</w:t>
            </w:r>
          </w:p>
        </w:tc>
        <w:tc>
          <w:tcPr>
            <w:tcW w:w="2231" w:type="dxa"/>
            <w:vMerge w:val="restart"/>
            <w:tcBorders>
              <w:top w:val="single" w:sz="4" w:space="0" w:color="auto"/>
              <w:bottom w:val="single" w:sz="4" w:space="0" w:color="auto"/>
            </w:tcBorders>
            <w:noWrap/>
            <w:hideMark/>
          </w:tcPr>
          <w:p w14:paraId="37D71795" w14:textId="77777777" w:rsidR="000D35DB" w:rsidRPr="009B0008" w:rsidRDefault="000D35DB" w:rsidP="000D35DB">
            <w:pPr>
              <w:spacing w:line="360" w:lineRule="auto"/>
              <w:rPr>
                <w:rFonts w:ascii="Arial" w:hAnsi="Arial" w:cs="Arial"/>
                <w:b/>
                <w:bCs/>
                <w:sz w:val="20"/>
                <w:szCs w:val="18"/>
                <w:lang w:val="en-US"/>
              </w:rPr>
            </w:pPr>
            <w:r w:rsidRPr="009B0008">
              <w:rPr>
                <w:rFonts w:ascii="Arial" w:hAnsi="Arial" w:cs="Arial"/>
                <w:b/>
                <w:bCs/>
                <w:sz w:val="20"/>
                <w:szCs w:val="18"/>
                <w:lang w:val="en-US"/>
              </w:rPr>
              <w:t>Samples</w:t>
            </w:r>
          </w:p>
        </w:tc>
        <w:tc>
          <w:tcPr>
            <w:tcW w:w="2019" w:type="dxa"/>
            <w:vMerge w:val="restart"/>
            <w:tcBorders>
              <w:top w:val="single" w:sz="4" w:space="0" w:color="auto"/>
              <w:bottom w:val="single" w:sz="4" w:space="0" w:color="auto"/>
            </w:tcBorders>
            <w:hideMark/>
          </w:tcPr>
          <w:p w14:paraId="51B0921C" w14:textId="77777777" w:rsidR="000D35DB" w:rsidRPr="009B0008" w:rsidRDefault="000D35DB" w:rsidP="000D35DB">
            <w:pPr>
              <w:spacing w:line="360" w:lineRule="auto"/>
              <w:rPr>
                <w:rFonts w:ascii="Arial" w:hAnsi="Arial" w:cs="Arial"/>
                <w:b/>
                <w:bCs/>
                <w:sz w:val="20"/>
                <w:szCs w:val="18"/>
              </w:rPr>
            </w:pPr>
            <w:bookmarkStart w:id="0" w:name="_Hlk197349594"/>
            <w:r w:rsidRPr="009B0008">
              <w:rPr>
                <w:rFonts w:ascii="Arial" w:hAnsi="Arial" w:cs="Arial"/>
                <w:b/>
                <w:bCs/>
                <w:sz w:val="20"/>
                <w:szCs w:val="18"/>
              </w:rPr>
              <w:t xml:space="preserve">Total phenolics </w:t>
            </w:r>
            <w:bookmarkEnd w:id="0"/>
            <w:r w:rsidRPr="009B0008">
              <w:rPr>
                <w:rFonts w:ascii="Arial" w:hAnsi="Arial" w:cs="Arial"/>
                <w:b/>
                <w:bCs/>
                <w:sz w:val="20"/>
                <w:szCs w:val="18"/>
              </w:rPr>
              <w:t>(mg EAG/100 g)</w:t>
            </w:r>
          </w:p>
        </w:tc>
        <w:tc>
          <w:tcPr>
            <w:tcW w:w="2126" w:type="dxa"/>
            <w:vMerge w:val="restart"/>
            <w:tcBorders>
              <w:top w:val="single" w:sz="4" w:space="0" w:color="auto"/>
              <w:bottom w:val="single" w:sz="4" w:space="0" w:color="auto"/>
            </w:tcBorders>
            <w:hideMark/>
          </w:tcPr>
          <w:p w14:paraId="7DE213FC" w14:textId="77777777" w:rsidR="000D35DB" w:rsidRPr="009B0008" w:rsidRDefault="000D35DB" w:rsidP="000D35DB">
            <w:pPr>
              <w:spacing w:line="360" w:lineRule="auto"/>
              <w:rPr>
                <w:rFonts w:ascii="Arial" w:hAnsi="Arial" w:cs="Arial"/>
                <w:b/>
                <w:bCs/>
                <w:sz w:val="20"/>
                <w:szCs w:val="18"/>
                <w:lang w:val="en-US"/>
              </w:rPr>
            </w:pPr>
            <w:bookmarkStart w:id="1" w:name="_Hlk197349607"/>
            <w:r w:rsidRPr="009B0008">
              <w:rPr>
                <w:rFonts w:ascii="Arial" w:hAnsi="Arial" w:cs="Arial"/>
                <w:b/>
                <w:bCs/>
                <w:sz w:val="20"/>
                <w:szCs w:val="18"/>
                <w:lang w:val="en-US"/>
              </w:rPr>
              <w:t xml:space="preserve">Total flavonoids </w:t>
            </w:r>
            <w:bookmarkEnd w:id="1"/>
            <w:r w:rsidRPr="009B0008">
              <w:rPr>
                <w:rFonts w:ascii="Arial" w:hAnsi="Arial" w:cs="Arial"/>
                <w:b/>
                <w:bCs/>
                <w:sz w:val="20"/>
                <w:szCs w:val="18"/>
                <w:lang w:val="en-US"/>
              </w:rPr>
              <w:t>(mg EQ/100 g)</w:t>
            </w:r>
          </w:p>
        </w:tc>
      </w:tr>
      <w:tr w:rsidR="000D35DB" w:rsidRPr="00A43901" w14:paraId="64560584" w14:textId="77777777" w:rsidTr="005F5914">
        <w:trPr>
          <w:trHeight w:val="414"/>
          <w:jc w:val="center"/>
        </w:trPr>
        <w:tc>
          <w:tcPr>
            <w:tcW w:w="1704" w:type="dxa"/>
            <w:vMerge/>
            <w:tcBorders>
              <w:top w:val="single" w:sz="4" w:space="0" w:color="BFBFBF" w:themeColor="background1" w:themeShade="BF"/>
              <w:bottom w:val="single" w:sz="4" w:space="0" w:color="auto"/>
            </w:tcBorders>
            <w:hideMark/>
          </w:tcPr>
          <w:p w14:paraId="7067E141" w14:textId="77777777" w:rsidR="000D35DB" w:rsidRPr="009B0008" w:rsidRDefault="000D35DB" w:rsidP="000D35DB">
            <w:pPr>
              <w:spacing w:line="360" w:lineRule="auto"/>
              <w:rPr>
                <w:rFonts w:ascii="Arial" w:hAnsi="Arial" w:cs="Arial"/>
                <w:sz w:val="20"/>
                <w:szCs w:val="18"/>
                <w:lang w:val="en-US"/>
              </w:rPr>
            </w:pPr>
          </w:p>
        </w:tc>
        <w:tc>
          <w:tcPr>
            <w:tcW w:w="2231" w:type="dxa"/>
            <w:vMerge/>
            <w:tcBorders>
              <w:top w:val="single" w:sz="4" w:space="0" w:color="BFBFBF" w:themeColor="background1" w:themeShade="BF"/>
              <w:bottom w:val="single" w:sz="4" w:space="0" w:color="auto"/>
            </w:tcBorders>
            <w:hideMark/>
          </w:tcPr>
          <w:p w14:paraId="5C396C0E" w14:textId="77777777" w:rsidR="000D35DB" w:rsidRPr="009B0008" w:rsidRDefault="000D35DB" w:rsidP="000D35DB">
            <w:pPr>
              <w:spacing w:line="360" w:lineRule="auto"/>
              <w:rPr>
                <w:rFonts w:ascii="Arial" w:hAnsi="Arial" w:cs="Arial"/>
                <w:sz w:val="20"/>
                <w:szCs w:val="18"/>
                <w:lang w:val="en-US"/>
              </w:rPr>
            </w:pPr>
          </w:p>
        </w:tc>
        <w:tc>
          <w:tcPr>
            <w:tcW w:w="2019" w:type="dxa"/>
            <w:vMerge/>
            <w:tcBorders>
              <w:top w:val="single" w:sz="4" w:space="0" w:color="BFBFBF" w:themeColor="background1" w:themeShade="BF"/>
              <w:bottom w:val="single" w:sz="4" w:space="0" w:color="auto"/>
            </w:tcBorders>
            <w:hideMark/>
          </w:tcPr>
          <w:p w14:paraId="21F32F3A" w14:textId="77777777" w:rsidR="000D35DB" w:rsidRPr="009B0008" w:rsidRDefault="000D35DB" w:rsidP="000D35DB">
            <w:pPr>
              <w:spacing w:line="360" w:lineRule="auto"/>
              <w:rPr>
                <w:rFonts w:ascii="Arial" w:hAnsi="Arial" w:cs="Arial"/>
                <w:sz w:val="20"/>
                <w:szCs w:val="18"/>
                <w:lang w:val="en-US"/>
              </w:rPr>
            </w:pPr>
          </w:p>
        </w:tc>
        <w:tc>
          <w:tcPr>
            <w:tcW w:w="2126" w:type="dxa"/>
            <w:vMerge/>
            <w:tcBorders>
              <w:top w:val="single" w:sz="4" w:space="0" w:color="BFBFBF" w:themeColor="background1" w:themeShade="BF"/>
              <w:bottom w:val="single" w:sz="4" w:space="0" w:color="auto"/>
            </w:tcBorders>
            <w:hideMark/>
          </w:tcPr>
          <w:p w14:paraId="09678B41" w14:textId="77777777" w:rsidR="000D35DB" w:rsidRPr="009B0008" w:rsidRDefault="000D35DB" w:rsidP="000D35DB">
            <w:pPr>
              <w:spacing w:line="360" w:lineRule="auto"/>
              <w:rPr>
                <w:rFonts w:ascii="Arial" w:hAnsi="Arial" w:cs="Arial"/>
                <w:sz w:val="20"/>
                <w:szCs w:val="18"/>
                <w:lang w:val="en-US"/>
              </w:rPr>
            </w:pPr>
          </w:p>
        </w:tc>
      </w:tr>
      <w:tr w:rsidR="000D35DB" w:rsidRPr="009B0008" w14:paraId="461CDD8A" w14:textId="77777777" w:rsidTr="005F5914">
        <w:trPr>
          <w:trHeight w:val="176"/>
          <w:jc w:val="center"/>
        </w:trPr>
        <w:tc>
          <w:tcPr>
            <w:tcW w:w="1704" w:type="dxa"/>
            <w:vMerge w:val="restart"/>
            <w:tcBorders>
              <w:top w:val="single" w:sz="4" w:space="0" w:color="auto"/>
            </w:tcBorders>
            <w:noWrap/>
            <w:hideMark/>
          </w:tcPr>
          <w:p w14:paraId="531E8F0A" w14:textId="77777777" w:rsidR="000D35DB" w:rsidRPr="009B0008" w:rsidRDefault="000D35DB" w:rsidP="000D35DB">
            <w:pPr>
              <w:spacing w:line="360" w:lineRule="auto"/>
              <w:rPr>
                <w:rFonts w:ascii="Arial" w:hAnsi="Arial" w:cs="Arial"/>
                <w:i/>
                <w:iCs/>
                <w:sz w:val="20"/>
                <w:szCs w:val="18"/>
                <w:lang w:val="en-US"/>
              </w:rPr>
            </w:pPr>
            <w:r w:rsidRPr="009B0008">
              <w:rPr>
                <w:rFonts w:ascii="Arial" w:hAnsi="Arial" w:cs="Arial"/>
                <w:i/>
                <w:iCs/>
                <w:sz w:val="20"/>
                <w:szCs w:val="18"/>
                <w:lang w:val="en-US"/>
              </w:rPr>
              <w:t>P. kotschyi</w:t>
            </w:r>
          </w:p>
        </w:tc>
        <w:tc>
          <w:tcPr>
            <w:tcW w:w="2231" w:type="dxa"/>
            <w:tcBorders>
              <w:top w:val="single" w:sz="4" w:space="0" w:color="auto"/>
            </w:tcBorders>
            <w:noWrap/>
            <w:hideMark/>
          </w:tcPr>
          <w:p w14:paraId="566256A9"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Methanolic</w:t>
            </w:r>
          </w:p>
        </w:tc>
        <w:tc>
          <w:tcPr>
            <w:tcW w:w="2019" w:type="dxa"/>
            <w:tcBorders>
              <w:top w:val="single" w:sz="4" w:space="0" w:color="auto"/>
            </w:tcBorders>
            <w:noWrap/>
            <w:hideMark/>
          </w:tcPr>
          <w:p w14:paraId="15A37E0B"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528</w:t>
            </w:r>
            <w:r w:rsidR="00CF050F" w:rsidRPr="009B0008">
              <w:rPr>
                <w:rFonts w:ascii="Arial" w:hAnsi="Arial" w:cs="Arial"/>
                <w:sz w:val="20"/>
                <w:szCs w:val="18"/>
                <w:lang w:val="en-US"/>
              </w:rPr>
              <w:t>.</w:t>
            </w:r>
            <w:r w:rsidRPr="009B0008">
              <w:rPr>
                <w:rFonts w:ascii="Arial" w:hAnsi="Arial" w:cs="Arial"/>
                <w:sz w:val="20"/>
                <w:szCs w:val="18"/>
                <w:lang w:val="en-US"/>
              </w:rPr>
              <w:t>56±4</w:t>
            </w:r>
            <w:r w:rsidR="00CF050F" w:rsidRPr="009B0008">
              <w:rPr>
                <w:rFonts w:ascii="Arial" w:hAnsi="Arial" w:cs="Arial"/>
                <w:sz w:val="20"/>
                <w:szCs w:val="18"/>
                <w:lang w:val="en-US"/>
              </w:rPr>
              <w:t>.</w:t>
            </w:r>
            <w:r w:rsidRPr="009B0008">
              <w:rPr>
                <w:rFonts w:ascii="Arial" w:hAnsi="Arial" w:cs="Arial"/>
                <w:sz w:val="20"/>
                <w:szCs w:val="18"/>
                <w:lang w:val="en-US"/>
              </w:rPr>
              <w:t>95</w:t>
            </w:r>
            <w:r w:rsidRPr="009B0008">
              <w:rPr>
                <w:rFonts w:ascii="Arial" w:hAnsi="Arial" w:cs="Arial"/>
                <w:sz w:val="20"/>
                <w:szCs w:val="18"/>
                <w:vertAlign w:val="superscript"/>
                <w:lang w:val="en-US"/>
              </w:rPr>
              <w:t>c</w:t>
            </w:r>
          </w:p>
        </w:tc>
        <w:tc>
          <w:tcPr>
            <w:tcW w:w="2126" w:type="dxa"/>
            <w:tcBorders>
              <w:top w:val="single" w:sz="4" w:space="0" w:color="auto"/>
            </w:tcBorders>
            <w:noWrap/>
            <w:hideMark/>
          </w:tcPr>
          <w:p w14:paraId="3C272E02"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4</w:t>
            </w:r>
            <w:r w:rsidR="00CF050F" w:rsidRPr="009B0008">
              <w:rPr>
                <w:rFonts w:ascii="Arial" w:hAnsi="Arial" w:cs="Arial"/>
                <w:sz w:val="20"/>
                <w:szCs w:val="18"/>
                <w:lang w:val="en-US"/>
              </w:rPr>
              <w:t>.</w:t>
            </w:r>
            <w:r w:rsidRPr="009B0008">
              <w:rPr>
                <w:rFonts w:ascii="Arial" w:hAnsi="Arial" w:cs="Arial"/>
                <w:sz w:val="20"/>
                <w:szCs w:val="18"/>
                <w:lang w:val="en-US"/>
              </w:rPr>
              <w:t>15±0</w:t>
            </w:r>
            <w:r w:rsidR="00CF050F" w:rsidRPr="009B0008">
              <w:rPr>
                <w:rFonts w:ascii="Arial" w:hAnsi="Arial" w:cs="Arial"/>
                <w:sz w:val="20"/>
                <w:szCs w:val="18"/>
                <w:lang w:val="en-US"/>
              </w:rPr>
              <w:t>.</w:t>
            </w:r>
            <w:r w:rsidRPr="009B0008">
              <w:rPr>
                <w:rFonts w:ascii="Arial" w:hAnsi="Arial" w:cs="Arial"/>
                <w:sz w:val="20"/>
                <w:szCs w:val="18"/>
                <w:lang w:val="en-US"/>
              </w:rPr>
              <w:t>18</w:t>
            </w:r>
            <w:r w:rsidRPr="009B0008">
              <w:rPr>
                <w:rFonts w:ascii="Arial" w:hAnsi="Arial" w:cs="Arial"/>
                <w:sz w:val="20"/>
                <w:szCs w:val="18"/>
                <w:vertAlign w:val="superscript"/>
                <w:lang w:val="en-US"/>
              </w:rPr>
              <w:t>c</w:t>
            </w:r>
            <w:r w:rsidRPr="009B0008">
              <w:rPr>
                <w:rFonts w:ascii="Arial" w:hAnsi="Arial" w:cs="Arial"/>
                <w:sz w:val="20"/>
                <w:szCs w:val="18"/>
                <w:lang w:val="en-US"/>
              </w:rPr>
              <w:t xml:space="preserve"> </w:t>
            </w:r>
          </w:p>
        </w:tc>
      </w:tr>
      <w:tr w:rsidR="000D35DB" w:rsidRPr="009B0008" w14:paraId="60CE0906" w14:textId="77777777" w:rsidTr="000D35DB">
        <w:trPr>
          <w:trHeight w:val="67"/>
          <w:jc w:val="center"/>
        </w:trPr>
        <w:tc>
          <w:tcPr>
            <w:tcW w:w="1704" w:type="dxa"/>
            <w:vMerge/>
            <w:hideMark/>
          </w:tcPr>
          <w:p w14:paraId="5C6BD6AA"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3017284D"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Hydro methanolic</w:t>
            </w:r>
          </w:p>
        </w:tc>
        <w:tc>
          <w:tcPr>
            <w:tcW w:w="2019" w:type="dxa"/>
            <w:noWrap/>
            <w:hideMark/>
          </w:tcPr>
          <w:p w14:paraId="0371E512"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510</w:t>
            </w:r>
            <w:r w:rsidR="00CF050F" w:rsidRPr="009B0008">
              <w:rPr>
                <w:rFonts w:ascii="Arial" w:hAnsi="Arial" w:cs="Arial"/>
                <w:sz w:val="20"/>
                <w:szCs w:val="18"/>
                <w:lang w:val="en-US"/>
              </w:rPr>
              <w:t>.</w:t>
            </w:r>
            <w:r w:rsidRPr="009B0008">
              <w:rPr>
                <w:rFonts w:ascii="Arial" w:hAnsi="Arial" w:cs="Arial"/>
                <w:sz w:val="20"/>
                <w:szCs w:val="18"/>
                <w:lang w:val="en-US"/>
              </w:rPr>
              <w:t>49±6</w:t>
            </w:r>
            <w:r w:rsidR="00CF050F" w:rsidRPr="009B0008">
              <w:rPr>
                <w:rFonts w:ascii="Arial" w:hAnsi="Arial" w:cs="Arial"/>
                <w:sz w:val="20"/>
                <w:szCs w:val="18"/>
                <w:lang w:val="en-US"/>
              </w:rPr>
              <w:t>.</w:t>
            </w:r>
            <w:r w:rsidRPr="009B0008">
              <w:rPr>
                <w:rFonts w:ascii="Arial" w:hAnsi="Arial" w:cs="Arial"/>
                <w:sz w:val="20"/>
                <w:szCs w:val="18"/>
                <w:lang w:val="en-US"/>
              </w:rPr>
              <w:t>04</w:t>
            </w:r>
            <w:r w:rsidRPr="009B0008">
              <w:rPr>
                <w:rFonts w:ascii="Arial" w:hAnsi="Arial" w:cs="Arial"/>
                <w:sz w:val="20"/>
                <w:szCs w:val="18"/>
                <w:vertAlign w:val="superscript"/>
                <w:lang w:val="en-US"/>
              </w:rPr>
              <w:t>c</w:t>
            </w:r>
            <w:r w:rsidRPr="009B0008">
              <w:rPr>
                <w:rFonts w:ascii="Arial" w:hAnsi="Arial" w:cs="Arial"/>
                <w:sz w:val="20"/>
                <w:szCs w:val="18"/>
                <w:lang w:val="en-US"/>
              </w:rPr>
              <w:t xml:space="preserve"> </w:t>
            </w:r>
          </w:p>
        </w:tc>
        <w:tc>
          <w:tcPr>
            <w:tcW w:w="2126" w:type="dxa"/>
            <w:noWrap/>
            <w:hideMark/>
          </w:tcPr>
          <w:p w14:paraId="436DA7E0"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7</w:t>
            </w:r>
            <w:r w:rsidR="00CF050F" w:rsidRPr="009B0008">
              <w:rPr>
                <w:rFonts w:ascii="Arial" w:hAnsi="Arial" w:cs="Arial"/>
                <w:sz w:val="20"/>
                <w:szCs w:val="18"/>
                <w:lang w:val="en-US"/>
              </w:rPr>
              <w:t>.</w:t>
            </w:r>
            <w:r w:rsidRPr="009B0008">
              <w:rPr>
                <w:rFonts w:ascii="Arial" w:hAnsi="Arial" w:cs="Arial"/>
                <w:sz w:val="20"/>
                <w:szCs w:val="18"/>
                <w:lang w:val="en-US"/>
              </w:rPr>
              <w:t>22±0</w:t>
            </w:r>
            <w:r w:rsidR="00CF050F" w:rsidRPr="009B0008">
              <w:rPr>
                <w:rFonts w:ascii="Arial" w:hAnsi="Arial" w:cs="Arial"/>
                <w:sz w:val="20"/>
                <w:szCs w:val="18"/>
                <w:lang w:val="en-US"/>
              </w:rPr>
              <w:t>.</w:t>
            </w:r>
            <w:r w:rsidRPr="009B0008">
              <w:rPr>
                <w:rFonts w:ascii="Arial" w:hAnsi="Arial" w:cs="Arial"/>
                <w:sz w:val="20"/>
                <w:szCs w:val="18"/>
                <w:lang w:val="en-US"/>
              </w:rPr>
              <w:t>85</w:t>
            </w:r>
            <w:r w:rsidRPr="009B0008">
              <w:rPr>
                <w:rFonts w:ascii="Arial" w:hAnsi="Arial" w:cs="Arial"/>
                <w:sz w:val="20"/>
                <w:szCs w:val="18"/>
                <w:vertAlign w:val="superscript"/>
                <w:lang w:val="en-US"/>
              </w:rPr>
              <w:t>d</w:t>
            </w:r>
          </w:p>
        </w:tc>
      </w:tr>
      <w:tr w:rsidR="000D35DB" w:rsidRPr="009B0008" w14:paraId="1E8AEA64" w14:textId="77777777" w:rsidTr="000D35DB">
        <w:trPr>
          <w:trHeight w:val="67"/>
          <w:jc w:val="center"/>
        </w:trPr>
        <w:tc>
          <w:tcPr>
            <w:tcW w:w="1704" w:type="dxa"/>
            <w:vMerge/>
            <w:hideMark/>
          </w:tcPr>
          <w:p w14:paraId="5B3D246A"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53AACC4D"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Decoction</w:t>
            </w:r>
          </w:p>
        </w:tc>
        <w:tc>
          <w:tcPr>
            <w:tcW w:w="2019" w:type="dxa"/>
            <w:noWrap/>
            <w:hideMark/>
          </w:tcPr>
          <w:p w14:paraId="5A6C7EFC"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353</w:t>
            </w:r>
            <w:r w:rsidR="00CF050F" w:rsidRPr="009B0008">
              <w:rPr>
                <w:rFonts w:ascii="Arial" w:hAnsi="Arial" w:cs="Arial"/>
                <w:sz w:val="20"/>
                <w:szCs w:val="18"/>
                <w:lang w:val="en-US"/>
              </w:rPr>
              <w:t>.</w:t>
            </w:r>
            <w:r w:rsidRPr="009B0008">
              <w:rPr>
                <w:rFonts w:ascii="Arial" w:hAnsi="Arial" w:cs="Arial"/>
                <w:sz w:val="20"/>
                <w:szCs w:val="18"/>
                <w:lang w:val="en-US"/>
              </w:rPr>
              <w:t>18±5</w:t>
            </w:r>
            <w:r w:rsidR="00CF050F" w:rsidRPr="009B0008">
              <w:rPr>
                <w:rFonts w:ascii="Arial" w:hAnsi="Arial" w:cs="Arial"/>
                <w:sz w:val="20"/>
                <w:szCs w:val="18"/>
                <w:lang w:val="en-US"/>
              </w:rPr>
              <w:t>.</w:t>
            </w:r>
            <w:r w:rsidRPr="009B0008">
              <w:rPr>
                <w:rFonts w:ascii="Arial" w:hAnsi="Arial" w:cs="Arial"/>
                <w:sz w:val="20"/>
                <w:szCs w:val="18"/>
                <w:lang w:val="en-US"/>
              </w:rPr>
              <w:t>15</w:t>
            </w:r>
            <w:r w:rsidRPr="009B0008">
              <w:rPr>
                <w:rFonts w:ascii="Arial" w:hAnsi="Arial" w:cs="Arial"/>
                <w:sz w:val="20"/>
                <w:szCs w:val="18"/>
                <w:vertAlign w:val="superscript"/>
                <w:lang w:val="en-US"/>
              </w:rPr>
              <w:t>ab</w:t>
            </w:r>
          </w:p>
        </w:tc>
        <w:tc>
          <w:tcPr>
            <w:tcW w:w="2126" w:type="dxa"/>
            <w:noWrap/>
            <w:hideMark/>
          </w:tcPr>
          <w:p w14:paraId="0F5081A9"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16±0</w:t>
            </w:r>
            <w:r w:rsidR="00CF050F" w:rsidRPr="009B0008">
              <w:rPr>
                <w:rFonts w:ascii="Arial" w:hAnsi="Arial" w:cs="Arial"/>
                <w:sz w:val="20"/>
                <w:szCs w:val="18"/>
                <w:lang w:val="en-US"/>
              </w:rPr>
              <w:t>.</w:t>
            </w:r>
            <w:r w:rsidRPr="009B0008">
              <w:rPr>
                <w:rFonts w:ascii="Arial" w:hAnsi="Arial" w:cs="Arial"/>
                <w:sz w:val="20"/>
                <w:szCs w:val="18"/>
                <w:lang w:val="en-US"/>
              </w:rPr>
              <w:t>56</w:t>
            </w:r>
            <w:r w:rsidRPr="009B0008">
              <w:rPr>
                <w:rFonts w:ascii="Arial" w:hAnsi="Arial" w:cs="Arial"/>
                <w:sz w:val="20"/>
                <w:szCs w:val="18"/>
                <w:vertAlign w:val="superscript"/>
                <w:lang w:val="en-US"/>
              </w:rPr>
              <w:t>bc</w:t>
            </w:r>
          </w:p>
        </w:tc>
      </w:tr>
      <w:tr w:rsidR="000D35DB" w:rsidRPr="009B0008" w14:paraId="3E9B6B51" w14:textId="77777777" w:rsidTr="000D35DB">
        <w:trPr>
          <w:trHeight w:val="168"/>
          <w:jc w:val="center"/>
        </w:trPr>
        <w:tc>
          <w:tcPr>
            <w:tcW w:w="1704" w:type="dxa"/>
            <w:vMerge w:val="restart"/>
            <w:noWrap/>
            <w:hideMark/>
          </w:tcPr>
          <w:p w14:paraId="524EC86E" w14:textId="77777777" w:rsidR="000D35DB" w:rsidRPr="009B0008" w:rsidRDefault="000D35DB" w:rsidP="000D35DB">
            <w:pPr>
              <w:spacing w:line="360" w:lineRule="auto"/>
              <w:rPr>
                <w:rFonts w:ascii="Arial" w:hAnsi="Arial" w:cs="Arial"/>
                <w:i/>
                <w:iCs/>
                <w:sz w:val="20"/>
                <w:szCs w:val="18"/>
                <w:lang w:val="en-US"/>
              </w:rPr>
            </w:pPr>
            <w:r w:rsidRPr="009B0008">
              <w:rPr>
                <w:rFonts w:ascii="Arial" w:hAnsi="Arial" w:cs="Arial"/>
                <w:i/>
                <w:iCs/>
                <w:sz w:val="20"/>
                <w:szCs w:val="18"/>
                <w:lang w:val="en-US"/>
              </w:rPr>
              <w:t>A. senegalensis</w:t>
            </w:r>
          </w:p>
        </w:tc>
        <w:tc>
          <w:tcPr>
            <w:tcW w:w="2231" w:type="dxa"/>
            <w:noWrap/>
            <w:hideMark/>
          </w:tcPr>
          <w:p w14:paraId="336C1674"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Methanolic</w:t>
            </w:r>
          </w:p>
        </w:tc>
        <w:tc>
          <w:tcPr>
            <w:tcW w:w="2019" w:type="dxa"/>
            <w:noWrap/>
            <w:hideMark/>
          </w:tcPr>
          <w:p w14:paraId="54A62898"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384</w:t>
            </w:r>
            <w:r w:rsidR="00CF050F" w:rsidRPr="009B0008">
              <w:rPr>
                <w:rFonts w:ascii="Arial" w:hAnsi="Arial" w:cs="Arial"/>
                <w:sz w:val="20"/>
                <w:szCs w:val="18"/>
                <w:lang w:val="en-US"/>
              </w:rPr>
              <w:t>.</w:t>
            </w:r>
            <w:r w:rsidRPr="009B0008">
              <w:rPr>
                <w:rFonts w:ascii="Arial" w:hAnsi="Arial" w:cs="Arial"/>
                <w:sz w:val="20"/>
                <w:szCs w:val="18"/>
                <w:lang w:val="en-US"/>
              </w:rPr>
              <w:t>57±4</w:t>
            </w:r>
            <w:r w:rsidR="00CF050F" w:rsidRPr="009B0008">
              <w:rPr>
                <w:rFonts w:ascii="Arial" w:hAnsi="Arial" w:cs="Arial"/>
                <w:sz w:val="20"/>
                <w:szCs w:val="18"/>
                <w:lang w:val="en-US"/>
              </w:rPr>
              <w:t>.</w:t>
            </w:r>
            <w:r w:rsidRPr="009B0008">
              <w:rPr>
                <w:rFonts w:ascii="Arial" w:hAnsi="Arial" w:cs="Arial"/>
                <w:sz w:val="20"/>
                <w:szCs w:val="18"/>
                <w:lang w:val="en-US"/>
              </w:rPr>
              <w:t>04</w:t>
            </w:r>
            <w:r w:rsidRPr="009B0008">
              <w:rPr>
                <w:rFonts w:ascii="Arial" w:hAnsi="Arial" w:cs="Arial"/>
                <w:sz w:val="20"/>
                <w:szCs w:val="18"/>
                <w:vertAlign w:val="superscript"/>
                <w:lang w:val="en-US"/>
              </w:rPr>
              <w:t>b</w:t>
            </w:r>
          </w:p>
        </w:tc>
        <w:tc>
          <w:tcPr>
            <w:tcW w:w="2126" w:type="dxa"/>
            <w:noWrap/>
            <w:hideMark/>
          </w:tcPr>
          <w:p w14:paraId="057041DD"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2</w:t>
            </w:r>
            <w:r w:rsidR="00CF050F" w:rsidRPr="009B0008">
              <w:rPr>
                <w:rFonts w:ascii="Arial" w:hAnsi="Arial" w:cs="Arial"/>
                <w:sz w:val="20"/>
                <w:szCs w:val="18"/>
                <w:lang w:val="en-US"/>
              </w:rPr>
              <w:t>.</w:t>
            </w:r>
            <w:r w:rsidRPr="009B0008">
              <w:rPr>
                <w:rFonts w:ascii="Arial" w:hAnsi="Arial" w:cs="Arial"/>
                <w:sz w:val="20"/>
                <w:szCs w:val="18"/>
                <w:lang w:val="en-US"/>
              </w:rPr>
              <w:t>14±0</w:t>
            </w:r>
            <w:r w:rsidR="00CF050F" w:rsidRPr="009B0008">
              <w:rPr>
                <w:rFonts w:ascii="Arial" w:hAnsi="Arial" w:cs="Arial"/>
                <w:sz w:val="20"/>
                <w:szCs w:val="18"/>
                <w:lang w:val="en-US"/>
              </w:rPr>
              <w:t>.</w:t>
            </w:r>
            <w:r w:rsidRPr="009B0008">
              <w:rPr>
                <w:rFonts w:ascii="Arial" w:hAnsi="Arial" w:cs="Arial"/>
                <w:sz w:val="20"/>
                <w:szCs w:val="18"/>
                <w:lang w:val="en-US"/>
              </w:rPr>
              <w:t>53</w:t>
            </w:r>
            <w:r w:rsidRPr="009B0008">
              <w:rPr>
                <w:rFonts w:ascii="Arial" w:hAnsi="Arial" w:cs="Arial"/>
                <w:sz w:val="20"/>
                <w:szCs w:val="18"/>
                <w:vertAlign w:val="superscript"/>
                <w:lang w:val="en-US"/>
              </w:rPr>
              <w:t>ab</w:t>
            </w:r>
          </w:p>
        </w:tc>
      </w:tr>
      <w:tr w:rsidR="000D35DB" w:rsidRPr="009B0008" w14:paraId="300917BA" w14:textId="77777777" w:rsidTr="000D35DB">
        <w:trPr>
          <w:trHeight w:val="67"/>
          <w:jc w:val="center"/>
        </w:trPr>
        <w:tc>
          <w:tcPr>
            <w:tcW w:w="1704" w:type="dxa"/>
            <w:vMerge/>
            <w:hideMark/>
          </w:tcPr>
          <w:p w14:paraId="6B70C675"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607A7402"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Hydro methanolic</w:t>
            </w:r>
          </w:p>
        </w:tc>
        <w:tc>
          <w:tcPr>
            <w:tcW w:w="2019" w:type="dxa"/>
            <w:noWrap/>
            <w:hideMark/>
          </w:tcPr>
          <w:p w14:paraId="54C15428"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362</w:t>
            </w:r>
            <w:r w:rsidR="00CF050F" w:rsidRPr="009B0008">
              <w:rPr>
                <w:rFonts w:ascii="Arial" w:hAnsi="Arial" w:cs="Arial"/>
                <w:sz w:val="20"/>
                <w:szCs w:val="18"/>
                <w:lang w:val="en-US"/>
              </w:rPr>
              <w:t>.</w:t>
            </w:r>
            <w:r w:rsidRPr="009B0008">
              <w:rPr>
                <w:rFonts w:ascii="Arial" w:hAnsi="Arial" w:cs="Arial"/>
                <w:sz w:val="20"/>
                <w:szCs w:val="18"/>
                <w:lang w:val="en-US"/>
              </w:rPr>
              <w:t>05±7</w:t>
            </w:r>
            <w:r w:rsidR="00CF050F" w:rsidRPr="009B0008">
              <w:rPr>
                <w:rFonts w:ascii="Arial" w:hAnsi="Arial" w:cs="Arial"/>
                <w:sz w:val="20"/>
                <w:szCs w:val="18"/>
                <w:lang w:val="en-US"/>
              </w:rPr>
              <w:t>.</w:t>
            </w:r>
            <w:r w:rsidRPr="009B0008">
              <w:rPr>
                <w:rFonts w:ascii="Arial" w:hAnsi="Arial" w:cs="Arial"/>
                <w:sz w:val="20"/>
                <w:szCs w:val="18"/>
                <w:lang w:val="en-US"/>
              </w:rPr>
              <w:t>17</w:t>
            </w:r>
            <w:r w:rsidRPr="009B0008">
              <w:rPr>
                <w:rFonts w:ascii="Arial" w:hAnsi="Arial" w:cs="Arial"/>
                <w:sz w:val="20"/>
                <w:szCs w:val="18"/>
                <w:vertAlign w:val="superscript"/>
                <w:lang w:val="en-US"/>
              </w:rPr>
              <w:t>b</w:t>
            </w:r>
          </w:p>
        </w:tc>
        <w:tc>
          <w:tcPr>
            <w:tcW w:w="2126" w:type="dxa"/>
            <w:noWrap/>
            <w:hideMark/>
          </w:tcPr>
          <w:p w14:paraId="17C65DCC"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52±1</w:t>
            </w:r>
            <w:r w:rsidR="00CF050F" w:rsidRPr="009B0008">
              <w:rPr>
                <w:rFonts w:ascii="Arial" w:hAnsi="Arial" w:cs="Arial"/>
                <w:sz w:val="20"/>
                <w:szCs w:val="18"/>
                <w:lang w:val="en-US"/>
              </w:rPr>
              <w:t>.</w:t>
            </w:r>
            <w:r w:rsidRPr="009B0008">
              <w:rPr>
                <w:rFonts w:ascii="Arial" w:hAnsi="Arial" w:cs="Arial"/>
                <w:sz w:val="20"/>
                <w:szCs w:val="18"/>
                <w:lang w:val="en-US"/>
              </w:rPr>
              <w:t>07</w:t>
            </w:r>
            <w:r w:rsidRPr="009B0008">
              <w:rPr>
                <w:rFonts w:ascii="Arial" w:hAnsi="Arial" w:cs="Arial"/>
                <w:sz w:val="20"/>
                <w:szCs w:val="18"/>
                <w:vertAlign w:val="superscript"/>
                <w:lang w:val="en-US"/>
              </w:rPr>
              <w:t>bc</w:t>
            </w:r>
            <w:r w:rsidRPr="009B0008">
              <w:rPr>
                <w:rFonts w:ascii="Arial" w:hAnsi="Arial" w:cs="Arial"/>
                <w:sz w:val="20"/>
                <w:szCs w:val="18"/>
                <w:lang w:val="en-US"/>
              </w:rPr>
              <w:t xml:space="preserve"> </w:t>
            </w:r>
          </w:p>
        </w:tc>
      </w:tr>
      <w:tr w:rsidR="000D35DB" w:rsidRPr="009B0008" w14:paraId="7D248087" w14:textId="77777777" w:rsidTr="000D35DB">
        <w:trPr>
          <w:trHeight w:val="95"/>
          <w:jc w:val="center"/>
        </w:trPr>
        <w:tc>
          <w:tcPr>
            <w:tcW w:w="1704" w:type="dxa"/>
            <w:vMerge/>
            <w:hideMark/>
          </w:tcPr>
          <w:p w14:paraId="67E01262"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1A2E3550"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Decoction</w:t>
            </w:r>
          </w:p>
        </w:tc>
        <w:tc>
          <w:tcPr>
            <w:tcW w:w="2019" w:type="dxa"/>
            <w:noWrap/>
            <w:hideMark/>
          </w:tcPr>
          <w:p w14:paraId="79BFED44"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257</w:t>
            </w:r>
            <w:r w:rsidR="00CF050F" w:rsidRPr="009B0008">
              <w:rPr>
                <w:rFonts w:ascii="Arial" w:hAnsi="Arial" w:cs="Arial"/>
                <w:sz w:val="20"/>
                <w:szCs w:val="18"/>
                <w:lang w:val="en-US"/>
              </w:rPr>
              <w:t>.</w:t>
            </w:r>
            <w:r w:rsidRPr="009B0008">
              <w:rPr>
                <w:rFonts w:ascii="Arial" w:hAnsi="Arial" w:cs="Arial"/>
                <w:sz w:val="20"/>
                <w:szCs w:val="18"/>
                <w:lang w:val="en-US"/>
              </w:rPr>
              <w:t>41±8</w:t>
            </w:r>
            <w:r w:rsidR="00CF050F" w:rsidRPr="009B0008">
              <w:rPr>
                <w:rFonts w:ascii="Arial" w:hAnsi="Arial" w:cs="Arial"/>
                <w:sz w:val="20"/>
                <w:szCs w:val="18"/>
                <w:lang w:val="en-US"/>
              </w:rPr>
              <w:t>.</w:t>
            </w:r>
            <w:r w:rsidRPr="009B0008">
              <w:rPr>
                <w:rFonts w:ascii="Arial" w:hAnsi="Arial" w:cs="Arial"/>
                <w:sz w:val="20"/>
                <w:szCs w:val="18"/>
                <w:lang w:val="en-US"/>
              </w:rPr>
              <w:t>46</w:t>
            </w:r>
            <w:r w:rsidRPr="009B0008">
              <w:rPr>
                <w:rFonts w:ascii="Arial" w:hAnsi="Arial" w:cs="Arial"/>
                <w:sz w:val="20"/>
                <w:szCs w:val="18"/>
                <w:vertAlign w:val="superscript"/>
                <w:lang w:val="en-US"/>
              </w:rPr>
              <w:t>a</w:t>
            </w:r>
            <w:r w:rsidRPr="009B0008">
              <w:rPr>
                <w:rFonts w:ascii="Arial" w:hAnsi="Arial" w:cs="Arial"/>
                <w:sz w:val="20"/>
                <w:szCs w:val="18"/>
                <w:lang w:val="en-US"/>
              </w:rPr>
              <w:t xml:space="preserve"> </w:t>
            </w:r>
          </w:p>
        </w:tc>
        <w:tc>
          <w:tcPr>
            <w:tcW w:w="2126" w:type="dxa"/>
            <w:noWrap/>
            <w:hideMark/>
          </w:tcPr>
          <w:p w14:paraId="52FE342D"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1</w:t>
            </w:r>
            <w:r w:rsidR="00CF050F" w:rsidRPr="009B0008">
              <w:rPr>
                <w:rFonts w:ascii="Arial" w:hAnsi="Arial" w:cs="Arial"/>
                <w:sz w:val="20"/>
                <w:szCs w:val="18"/>
                <w:lang w:val="en-US"/>
              </w:rPr>
              <w:t>.</w:t>
            </w:r>
            <w:r w:rsidRPr="009B0008">
              <w:rPr>
                <w:rFonts w:ascii="Arial" w:hAnsi="Arial" w:cs="Arial"/>
                <w:sz w:val="20"/>
                <w:szCs w:val="18"/>
                <w:lang w:val="en-US"/>
              </w:rPr>
              <w:t>24±0</w:t>
            </w:r>
            <w:r w:rsidR="00CF050F" w:rsidRPr="009B0008">
              <w:rPr>
                <w:rFonts w:ascii="Arial" w:hAnsi="Arial" w:cs="Arial"/>
                <w:sz w:val="20"/>
                <w:szCs w:val="18"/>
                <w:lang w:val="en-US"/>
              </w:rPr>
              <w:t>.</w:t>
            </w:r>
            <w:r w:rsidRPr="009B0008">
              <w:rPr>
                <w:rFonts w:ascii="Arial" w:hAnsi="Arial" w:cs="Arial"/>
                <w:sz w:val="20"/>
                <w:szCs w:val="18"/>
                <w:lang w:val="en-US"/>
              </w:rPr>
              <w:t>35</w:t>
            </w:r>
            <w:r w:rsidRPr="009B0008">
              <w:rPr>
                <w:rFonts w:ascii="Arial" w:hAnsi="Arial" w:cs="Arial"/>
                <w:sz w:val="20"/>
                <w:szCs w:val="18"/>
                <w:vertAlign w:val="superscript"/>
                <w:lang w:val="en-US"/>
              </w:rPr>
              <w:t>a</w:t>
            </w:r>
          </w:p>
        </w:tc>
      </w:tr>
    </w:tbl>
    <w:p w14:paraId="7C63C79B" w14:textId="77777777" w:rsidR="000D35DB" w:rsidRPr="009B0008" w:rsidRDefault="00B47092" w:rsidP="00B47092">
      <w:pPr>
        <w:jc w:val="left"/>
        <w:rPr>
          <w:rFonts w:ascii="Arial" w:hAnsi="Arial" w:cs="Arial"/>
          <w:i/>
          <w:iCs/>
          <w:sz w:val="18"/>
          <w:szCs w:val="18"/>
          <w:lang w:val="en-GB"/>
        </w:rPr>
      </w:pPr>
      <w:r>
        <w:rPr>
          <w:highlight w:val="yellow"/>
        </w:rPr>
        <w:t>The values correspond to the mean of three tests (n = 3). In each column of the table, values with different superscript letters (a, b, c) indicate statistically significant differences (P = 0.05).</w:t>
      </w:r>
    </w:p>
    <w:p w14:paraId="1AED7C39" w14:textId="77777777" w:rsidR="004476F5" w:rsidRPr="009B0008" w:rsidRDefault="00ED1E6F" w:rsidP="00A22FED">
      <w:pPr>
        <w:spacing w:before="240"/>
        <w:jc w:val="left"/>
        <w:rPr>
          <w:rFonts w:ascii="Arial" w:hAnsi="Arial" w:cs="Arial"/>
          <w:b/>
          <w:bCs/>
          <w:sz w:val="22"/>
          <w:szCs w:val="20"/>
          <w:lang w:val="en-GB"/>
        </w:rPr>
      </w:pPr>
      <w:r>
        <w:rPr>
          <w:b/>
          <w:highlight w:val="yellow"/>
        </w:rPr>
        <w:t>3.2. Antioxidant activity</w:t>
      </w:r>
    </w:p>
    <w:p w14:paraId="23C35460" w14:textId="77777777" w:rsidR="004476F5" w:rsidRPr="009B0008" w:rsidRDefault="004476F5" w:rsidP="004476F5">
      <w:pPr>
        <w:rPr>
          <w:rFonts w:ascii="Arial" w:hAnsi="Arial" w:cs="Arial"/>
          <w:sz w:val="22"/>
          <w:szCs w:val="20"/>
          <w:lang w:val="en-GB"/>
        </w:rPr>
      </w:pPr>
      <w:r>
        <w:rPr>
          <w:highlight w:val="yellow"/>
        </w:rPr>
        <w:t xml:space="preserve">The antioxidant activities of the stem bark extracts of </w:t>
      </w:r>
      <w:r>
        <w:rPr>
          <w:i/>
          <w:highlight w:val="yellow"/>
        </w:rPr>
        <w:t>P. kotschyi</w:t>
      </w:r>
      <w:r>
        <w:rPr>
          <w:highlight w:val="yellow"/>
        </w:rPr>
        <w:t xml:space="preserve"> and </w:t>
      </w:r>
      <w:r>
        <w:rPr>
          <w:i/>
          <w:highlight w:val="yellow"/>
        </w:rPr>
        <w:t>A. senegalensis</w:t>
      </w:r>
      <w:r>
        <w:rPr>
          <w:highlight w:val="yellow"/>
        </w:rPr>
        <w:t xml:space="preserve"> were evaluated using the DPPH and FRAP methods. The results are expressed as IC₅₀ values for DPPH and as ascorbic acid equivalents for FRAP. The results of these evaluations are presented in Table 2.</w:t>
      </w:r>
    </w:p>
    <w:p w14:paraId="1788AD29" w14:textId="77777777" w:rsidR="004476F5" w:rsidRPr="009B0008" w:rsidRDefault="004476F5" w:rsidP="004476F5">
      <w:pPr>
        <w:rPr>
          <w:rFonts w:ascii="Arial" w:hAnsi="Arial" w:cs="Arial"/>
          <w:sz w:val="22"/>
          <w:szCs w:val="20"/>
          <w:lang w:val="en-GB"/>
        </w:rPr>
      </w:pPr>
      <w:r>
        <w:rPr>
          <w:highlight w:val="yellow"/>
        </w:rPr>
        <w:t xml:space="preserve">The IC₅₀ values obtained ranged from 0.15 ± 0.02 to 348.46 ± 3.63 µg/mL. The strongest inhibition was observed with the methanolic extracts of </w:t>
      </w:r>
      <w:r>
        <w:rPr>
          <w:i/>
          <w:highlight w:val="yellow"/>
        </w:rPr>
        <w:t>A. senegalensis</w:t>
      </w:r>
      <w:r>
        <w:rPr>
          <w:highlight w:val="yellow"/>
        </w:rPr>
        <w:t xml:space="preserve"> (0.15 ± 0.02 µg/mL) and </w:t>
      </w:r>
      <w:r>
        <w:rPr>
          <w:i/>
          <w:highlight w:val="yellow"/>
        </w:rPr>
        <w:t>P. kotschyi</w:t>
      </w:r>
      <w:r>
        <w:rPr>
          <w:highlight w:val="yellow"/>
        </w:rPr>
        <w:t xml:space="preserve"> (0.41 ± 0.06 µg/mL). The methanolic extract of </w:t>
      </w:r>
      <w:r>
        <w:rPr>
          <w:i/>
          <w:highlight w:val="yellow"/>
        </w:rPr>
        <w:t>A. senegalensis</w:t>
      </w:r>
      <w:r>
        <w:rPr>
          <w:highlight w:val="yellow"/>
        </w:rPr>
        <w:t xml:space="preserve"> showed greater inhibition than ascorbic acid (0.25 ± 0.01 µg/mL).</w:t>
      </w:r>
    </w:p>
    <w:p w14:paraId="7167BFE7" w14:textId="77777777" w:rsidR="00A50433" w:rsidRPr="009B0008" w:rsidRDefault="004476F5" w:rsidP="00237113">
      <w:pPr>
        <w:rPr>
          <w:rFonts w:ascii="Arial" w:hAnsi="Arial" w:cs="Arial"/>
          <w:sz w:val="22"/>
          <w:szCs w:val="20"/>
          <w:lang w:val="en-GB"/>
        </w:rPr>
      </w:pPr>
      <w:r>
        <w:rPr>
          <w:highlight w:val="yellow"/>
        </w:rPr>
        <w:t xml:space="preserve">For the FRAP method, iron-reducing compound concentrations ranged from 1.08 ± 0.05 to 5.93 ± 0.05 mmol EAA/g. The best activities were obtained with the methanolic extract of </w:t>
      </w:r>
      <w:r>
        <w:rPr>
          <w:i/>
          <w:highlight w:val="yellow"/>
        </w:rPr>
        <w:t>P. kotschyi</w:t>
      </w:r>
      <w:r>
        <w:rPr>
          <w:highlight w:val="yellow"/>
        </w:rPr>
        <w:t xml:space="preserve"> (5.93 ± 0.05 mmol EAA/g) and the hydromethanolic extract of </w:t>
      </w:r>
      <w:r>
        <w:rPr>
          <w:i/>
          <w:highlight w:val="yellow"/>
        </w:rPr>
        <w:t>A. senegalensis</w:t>
      </w:r>
      <w:r>
        <w:rPr>
          <w:highlight w:val="yellow"/>
        </w:rPr>
        <w:t xml:space="preserve"> (3.55 ± 0.14 mmol EAA/g).</w:t>
      </w:r>
    </w:p>
    <w:p w14:paraId="343A0218" w14:textId="77777777" w:rsidR="00673B02" w:rsidRPr="009B0008" w:rsidRDefault="004476F5" w:rsidP="00A50433">
      <w:pPr>
        <w:jc w:val="left"/>
        <w:rPr>
          <w:rFonts w:ascii="Arial" w:hAnsi="Arial" w:cs="Arial"/>
          <w:b/>
          <w:bCs/>
          <w:lang w:val="en-GB"/>
        </w:rPr>
      </w:pPr>
      <w:r>
        <w:rPr>
          <w:highlight w:val="yellow"/>
        </w:rPr>
        <w:t>Table 2: Results of the antioxidant activity of the extracts</w:t>
      </w:r>
    </w:p>
    <w:tbl>
      <w:tblPr>
        <w:tblStyle w:val="TableGrid"/>
        <w:tblW w:w="902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202"/>
        <w:gridCol w:w="2436"/>
        <w:gridCol w:w="2245"/>
      </w:tblGrid>
      <w:tr w:rsidR="00846B87" w:rsidRPr="009B0008" w14:paraId="1F25287D" w14:textId="77777777" w:rsidTr="00300384">
        <w:trPr>
          <w:trHeight w:val="386"/>
          <w:jc w:val="center"/>
        </w:trPr>
        <w:tc>
          <w:tcPr>
            <w:tcW w:w="2139" w:type="dxa"/>
            <w:tcBorders>
              <w:top w:val="single" w:sz="4" w:space="0" w:color="auto"/>
              <w:bottom w:val="single" w:sz="4" w:space="0" w:color="auto"/>
            </w:tcBorders>
            <w:hideMark/>
          </w:tcPr>
          <w:p w14:paraId="306F3241" w14:textId="77777777" w:rsidR="00846B87" w:rsidRPr="009B0008" w:rsidRDefault="00846B87" w:rsidP="00846B87">
            <w:pPr>
              <w:spacing w:line="360" w:lineRule="auto"/>
              <w:jc w:val="left"/>
              <w:rPr>
                <w:rFonts w:ascii="Arial" w:hAnsi="Arial" w:cs="Arial"/>
                <w:b/>
                <w:bCs/>
                <w:sz w:val="20"/>
                <w:szCs w:val="18"/>
                <w:lang w:val="en-US"/>
              </w:rPr>
            </w:pPr>
            <w:r w:rsidRPr="009B0008">
              <w:rPr>
                <w:rFonts w:ascii="Arial" w:hAnsi="Arial" w:cs="Arial"/>
                <w:b/>
                <w:bCs/>
                <w:sz w:val="20"/>
                <w:szCs w:val="18"/>
                <w:lang w:val="en-US"/>
              </w:rPr>
              <w:t>Species</w:t>
            </w:r>
          </w:p>
        </w:tc>
        <w:tc>
          <w:tcPr>
            <w:tcW w:w="2202" w:type="dxa"/>
            <w:tcBorders>
              <w:top w:val="single" w:sz="4" w:space="0" w:color="auto"/>
              <w:bottom w:val="single" w:sz="4" w:space="0" w:color="auto"/>
            </w:tcBorders>
            <w:hideMark/>
          </w:tcPr>
          <w:p w14:paraId="34E7B1CB" w14:textId="77777777" w:rsidR="00846B87" w:rsidRPr="009B0008" w:rsidRDefault="00846B87" w:rsidP="00846B87">
            <w:pPr>
              <w:spacing w:line="360" w:lineRule="auto"/>
              <w:jc w:val="left"/>
              <w:rPr>
                <w:rFonts w:ascii="Arial" w:hAnsi="Arial" w:cs="Arial"/>
                <w:b/>
                <w:bCs/>
                <w:sz w:val="20"/>
                <w:szCs w:val="18"/>
                <w:lang w:val="en-US"/>
              </w:rPr>
            </w:pPr>
            <w:r w:rsidRPr="009B0008">
              <w:rPr>
                <w:rFonts w:ascii="Arial" w:hAnsi="Arial" w:cs="Arial"/>
                <w:b/>
                <w:bCs/>
                <w:sz w:val="20"/>
                <w:szCs w:val="18"/>
                <w:lang w:val="en-US"/>
              </w:rPr>
              <w:t>Samples</w:t>
            </w:r>
          </w:p>
        </w:tc>
        <w:tc>
          <w:tcPr>
            <w:tcW w:w="2436" w:type="dxa"/>
            <w:tcBorders>
              <w:top w:val="single" w:sz="4" w:space="0" w:color="auto"/>
              <w:bottom w:val="single" w:sz="4" w:space="0" w:color="auto"/>
            </w:tcBorders>
            <w:hideMark/>
          </w:tcPr>
          <w:p w14:paraId="379C8BD8" w14:textId="77777777" w:rsidR="00846B87" w:rsidRPr="009B0008" w:rsidRDefault="00846B87" w:rsidP="00846B87">
            <w:pPr>
              <w:spacing w:line="360" w:lineRule="auto"/>
              <w:jc w:val="left"/>
              <w:rPr>
                <w:rFonts w:ascii="Arial" w:hAnsi="Arial" w:cs="Arial"/>
                <w:b/>
                <w:bCs/>
                <w:sz w:val="20"/>
                <w:szCs w:val="18"/>
                <w:lang w:val="en-US"/>
              </w:rPr>
            </w:pPr>
            <w:bookmarkStart w:id="2" w:name="RANGE!H8"/>
            <w:r w:rsidRPr="009B0008">
              <w:rPr>
                <w:rFonts w:ascii="Arial" w:hAnsi="Arial" w:cs="Arial"/>
                <w:b/>
                <w:bCs/>
                <w:sz w:val="20"/>
                <w:szCs w:val="18"/>
                <w:lang w:val="en-US"/>
              </w:rPr>
              <w:t>Concentration inhibiting 50% of DPPH (IC50) (µg/ml)</w:t>
            </w:r>
            <w:bookmarkEnd w:id="2"/>
          </w:p>
        </w:tc>
        <w:tc>
          <w:tcPr>
            <w:tcW w:w="2245" w:type="dxa"/>
            <w:tcBorders>
              <w:top w:val="single" w:sz="4" w:space="0" w:color="auto"/>
              <w:bottom w:val="single" w:sz="4" w:space="0" w:color="auto"/>
            </w:tcBorders>
            <w:hideMark/>
          </w:tcPr>
          <w:p w14:paraId="0BADA1CF" w14:textId="77777777" w:rsidR="00846B87" w:rsidRPr="009B0008" w:rsidRDefault="00846B87" w:rsidP="00846B87">
            <w:pPr>
              <w:spacing w:line="360" w:lineRule="auto"/>
              <w:jc w:val="left"/>
              <w:rPr>
                <w:rFonts w:ascii="Arial" w:hAnsi="Arial" w:cs="Arial"/>
                <w:b/>
                <w:bCs/>
                <w:sz w:val="20"/>
                <w:szCs w:val="18"/>
              </w:rPr>
            </w:pPr>
            <w:r w:rsidRPr="009B0008">
              <w:rPr>
                <w:rFonts w:ascii="Arial" w:hAnsi="Arial" w:cs="Arial"/>
                <w:b/>
                <w:bCs/>
                <w:sz w:val="20"/>
                <w:szCs w:val="18"/>
              </w:rPr>
              <w:t>Concentration FRAP (mmol EAA/g)</w:t>
            </w:r>
          </w:p>
        </w:tc>
      </w:tr>
      <w:tr w:rsidR="00846B87" w:rsidRPr="009B0008" w14:paraId="16C81C86" w14:textId="77777777" w:rsidTr="00300384">
        <w:trPr>
          <w:trHeight w:val="192"/>
          <w:jc w:val="center"/>
        </w:trPr>
        <w:tc>
          <w:tcPr>
            <w:tcW w:w="2139" w:type="dxa"/>
            <w:vMerge w:val="restart"/>
            <w:tcBorders>
              <w:top w:val="single" w:sz="4" w:space="0" w:color="auto"/>
              <w:bottom w:val="nil"/>
            </w:tcBorders>
            <w:hideMark/>
          </w:tcPr>
          <w:p w14:paraId="6F8F1647" w14:textId="77777777" w:rsidR="00846B87" w:rsidRPr="009B0008" w:rsidRDefault="00846B87" w:rsidP="00846B87">
            <w:pPr>
              <w:spacing w:line="360" w:lineRule="auto"/>
              <w:jc w:val="left"/>
              <w:rPr>
                <w:rFonts w:ascii="Arial" w:hAnsi="Arial" w:cs="Arial"/>
                <w:i/>
                <w:iCs/>
                <w:sz w:val="20"/>
                <w:szCs w:val="18"/>
                <w:lang w:val="en-US"/>
              </w:rPr>
            </w:pPr>
            <w:r w:rsidRPr="009B0008">
              <w:rPr>
                <w:rFonts w:ascii="Arial" w:hAnsi="Arial" w:cs="Arial"/>
                <w:i/>
                <w:iCs/>
                <w:sz w:val="20"/>
                <w:szCs w:val="18"/>
                <w:lang w:val="en-US"/>
              </w:rPr>
              <w:t xml:space="preserve">Pseudocedrela kotschyi </w:t>
            </w:r>
          </w:p>
        </w:tc>
        <w:tc>
          <w:tcPr>
            <w:tcW w:w="2202" w:type="dxa"/>
            <w:tcBorders>
              <w:top w:val="single" w:sz="4" w:space="0" w:color="auto"/>
              <w:bottom w:val="nil"/>
            </w:tcBorders>
            <w:noWrap/>
            <w:hideMark/>
          </w:tcPr>
          <w:p w14:paraId="5F569DF3"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Methanolic</w:t>
            </w:r>
          </w:p>
        </w:tc>
        <w:tc>
          <w:tcPr>
            <w:tcW w:w="2436" w:type="dxa"/>
            <w:tcBorders>
              <w:top w:val="single" w:sz="4" w:space="0" w:color="auto"/>
              <w:bottom w:val="nil"/>
            </w:tcBorders>
            <w:noWrap/>
            <w:hideMark/>
          </w:tcPr>
          <w:p w14:paraId="18F64C5F"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0</w:t>
            </w:r>
            <w:r w:rsidR="00CF050F" w:rsidRPr="009B0008">
              <w:rPr>
                <w:rFonts w:ascii="Arial" w:hAnsi="Arial" w:cs="Arial"/>
                <w:sz w:val="20"/>
                <w:szCs w:val="18"/>
                <w:lang w:val="en-US"/>
              </w:rPr>
              <w:t>.</w:t>
            </w:r>
            <w:r w:rsidRPr="009B0008">
              <w:rPr>
                <w:rFonts w:ascii="Arial" w:hAnsi="Arial" w:cs="Arial"/>
                <w:sz w:val="20"/>
                <w:szCs w:val="18"/>
                <w:lang w:val="en-US"/>
              </w:rPr>
              <w:t>41 ± 0</w:t>
            </w:r>
            <w:r w:rsidR="00CF050F" w:rsidRPr="009B0008">
              <w:rPr>
                <w:rFonts w:ascii="Arial" w:hAnsi="Arial" w:cs="Arial"/>
                <w:sz w:val="20"/>
                <w:szCs w:val="18"/>
                <w:lang w:val="en-US"/>
              </w:rPr>
              <w:t>.</w:t>
            </w:r>
            <w:r w:rsidRPr="009B0008">
              <w:rPr>
                <w:rFonts w:ascii="Arial" w:hAnsi="Arial" w:cs="Arial"/>
                <w:sz w:val="20"/>
                <w:szCs w:val="18"/>
                <w:lang w:val="en-US"/>
              </w:rPr>
              <w:t>06</w:t>
            </w:r>
            <w:r w:rsidRPr="009B0008">
              <w:rPr>
                <w:rFonts w:ascii="Arial" w:hAnsi="Arial" w:cs="Arial"/>
                <w:sz w:val="20"/>
                <w:szCs w:val="18"/>
                <w:vertAlign w:val="superscript"/>
                <w:lang w:val="en-US"/>
              </w:rPr>
              <w:t>a</w:t>
            </w:r>
          </w:p>
        </w:tc>
        <w:tc>
          <w:tcPr>
            <w:tcW w:w="2245" w:type="dxa"/>
            <w:tcBorders>
              <w:top w:val="single" w:sz="4" w:space="0" w:color="auto"/>
              <w:bottom w:val="nil"/>
            </w:tcBorders>
            <w:noWrap/>
            <w:hideMark/>
          </w:tcPr>
          <w:p w14:paraId="3BDC8ADD"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5</w:t>
            </w:r>
            <w:r w:rsidR="00CF050F" w:rsidRPr="009B0008">
              <w:rPr>
                <w:rFonts w:ascii="Arial" w:hAnsi="Arial" w:cs="Arial"/>
                <w:sz w:val="20"/>
                <w:szCs w:val="18"/>
                <w:lang w:val="en-US"/>
              </w:rPr>
              <w:t>.</w:t>
            </w:r>
            <w:r w:rsidRPr="009B0008">
              <w:rPr>
                <w:rFonts w:ascii="Arial" w:hAnsi="Arial" w:cs="Arial"/>
                <w:sz w:val="20"/>
                <w:szCs w:val="18"/>
                <w:lang w:val="en-US"/>
              </w:rPr>
              <w:t>93 ± 0</w:t>
            </w:r>
            <w:r w:rsidR="00CF050F" w:rsidRPr="009B0008">
              <w:rPr>
                <w:rFonts w:ascii="Arial" w:hAnsi="Arial" w:cs="Arial"/>
                <w:sz w:val="20"/>
                <w:szCs w:val="18"/>
                <w:lang w:val="en-US"/>
              </w:rPr>
              <w:t>.</w:t>
            </w:r>
            <w:r w:rsidRPr="009B0008">
              <w:rPr>
                <w:rFonts w:ascii="Arial" w:hAnsi="Arial" w:cs="Arial"/>
                <w:sz w:val="20"/>
                <w:szCs w:val="18"/>
                <w:lang w:val="en-US"/>
              </w:rPr>
              <w:t>05</w:t>
            </w:r>
            <w:r w:rsidRPr="009B0008">
              <w:rPr>
                <w:rFonts w:ascii="Arial" w:hAnsi="Arial" w:cs="Arial"/>
                <w:sz w:val="20"/>
                <w:szCs w:val="18"/>
                <w:vertAlign w:val="superscript"/>
                <w:lang w:val="en-US"/>
              </w:rPr>
              <w:t>d</w:t>
            </w:r>
          </w:p>
        </w:tc>
      </w:tr>
      <w:tr w:rsidR="00846B87" w:rsidRPr="009B0008" w14:paraId="565401A2" w14:textId="77777777" w:rsidTr="00300384">
        <w:trPr>
          <w:trHeight w:val="192"/>
          <w:jc w:val="center"/>
        </w:trPr>
        <w:tc>
          <w:tcPr>
            <w:tcW w:w="2139" w:type="dxa"/>
            <w:vMerge/>
            <w:tcBorders>
              <w:top w:val="nil"/>
              <w:bottom w:val="nil"/>
            </w:tcBorders>
            <w:hideMark/>
          </w:tcPr>
          <w:p w14:paraId="15FB0B29"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5AE7EC80"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Hydro methanolic</w:t>
            </w:r>
          </w:p>
        </w:tc>
        <w:tc>
          <w:tcPr>
            <w:tcW w:w="2436" w:type="dxa"/>
            <w:tcBorders>
              <w:top w:val="nil"/>
              <w:bottom w:val="nil"/>
            </w:tcBorders>
            <w:noWrap/>
            <w:hideMark/>
          </w:tcPr>
          <w:p w14:paraId="0E68C4B8"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6</w:t>
            </w:r>
            <w:r w:rsidR="00CF050F" w:rsidRPr="009B0008">
              <w:rPr>
                <w:rFonts w:ascii="Arial" w:hAnsi="Arial" w:cs="Arial"/>
                <w:sz w:val="20"/>
                <w:szCs w:val="18"/>
                <w:lang w:val="en-US"/>
              </w:rPr>
              <w:t>.</w:t>
            </w:r>
            <w:r w:rsidRPr="009B0008">
              <w:rPr>
                <w:rFonts w:ascii="Arial" w:hAnsi="Arial" w:cs="Arial"/>
                <w:sz w:val="20"/>
                <w:szCs w:val="18"/>
                <w:lang w:val="en-US"/>
              </w:rPr>
              <w:t>38 ± 0</w:t>
            </w:r>
            <w:r w:rsidR="00CF050F" w:rsidRPr="009B0008">
              <w:rPr>
                <w:rFonts w:ascii="Arial" w:hAnsi="Arial" w:cs="Arial"/>
                <w:sz w:val="20"/>
                <w:szCs w:val="18"/>
                <w:lang w:val="en-US"/>
              </w:rPr>
              <w:t>.</w:t>
            </w:r>
            <w:r w:rsidRPr="009B0008">
              <w:rPr>
                <w:rFonts w:ascii="Arial" w:hAnsi="Arial" w:cs="Arial"/>
                <w:sz w:val="20"/>
                <w:szCs w:val="18"/>
                <w:lang w:val="en-US"/>
              </w:rPr>
              <w:t>15</w:t>
            </w:r>
            <w:r w:rsidRPr="009B0008">
              <w:rPr>
                <w:rFonts w:ascii="Arial" w:hAnsi="Arial" w:cs="Arial"/>
                <w:sz w:val="20"/>
                <w:szCs w:val="18"/>
                <w:vertAlign w:val="superscript"/>
                <w:lang w:val="en-US"/>
              </w:rPr>
              <w:t>b</w:t>
            </w:r>
          </w:p>
        </w:tc>
        <w:tc>
          <w:tcPr>
            <w:tcW w:w="2245" w:type="dxa"/>
            <w:tcBorders>
              <w:top w:val="nil"/>
              <w:bottom w:val="nil"/>
            </w:tcBorders>
            <w:noWrap/>
            <w:hideMark/>
          </w:tcPr>
          <w:p w14:paraId="644F6EA1"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5</w:t>
            </w:r>
            <w:r w:rsidR="00CF050F" w:rsidRPr="009B0008">
              <w:rPr>
                <w:rFonts w:ascii="Arial" w:hAnsi="Arial" w:cs="Arial"/>
                <w:sz w:val="20"/>
                <w:szCs w:val="18"/>
                <w:lang w:val="en-US"/>
              </w:rPr>
              <w:t>.</w:t>
            </w:r>
            <w:r w:rsidRPr="009B0008">
              <w:rPr>
                <w:rFonts w:ascii="Arial" w:hAnsi="Arial" w:cs="Arial"/>
                <w:sz w:val="20"/>
                <w:szCs w:val="18"/>
                <w:lang w:val="en-US"/>
              </w:rPr>
              <w:t>02 ± 0</w:t>
            </w:r>
            <w:r w:rsidR="00CF050F" w:rsidRPr="009B0008">
              <w:rPr>
                <w:rFonts w:ascii="Arial" w:hAnsi="Arial" w:cs="Arial"/>
                <w:sz w:val="20"/>
                <w:szCs w:val="18"/>
                <w:lang w:val="en-US"/>
              </w:rPr>
              <w:t>.</w:t>
            </w:r>
            <w:r w:rsidRPr="009B0008">
              <w:rPr>
                <w:rFonts w:ascii="Arial" w:hAnsi="Arial" w:cs="Arial"/>
                <w:sz w:val="20"/>
                <w:szCs w:val="18"/>
                <w:lang w:val="en-US"/>
              </w:rPr>
              <w:t>23</w:t>
            </w:r>
            <w:r w:rsidRPr="009B0008">
              <w:rPr>
                <w:rFonts w:ascii="Arial" w:hAnsi="Arial" w:cs="Arial"/>
                <w:sz w:val="20"/>
                <w:szCs w:val="18"/>
                <w:vertAlign w:val="superscript"/>
                <w:lang w:val="en-US"/>
              </w:rPr>
              <w:t>c</w:t>
            </w:r>
          </w:p>
        </w:tc>
      </w:tr>
      <w:tr w:rsidR="00846B87" w:rsidRPr="009B0008" w14:paraId="6EED8228" w14:textId="77777777" w:rsidTr="00300384">
        <w:trPr>
          <w:trHeight w:val="202"/>
          <w:jc w:val="center"/>
        </w:trPr>
        <w:tc>
          <w:tcPr>
            <w:tcW w:w="2139" w:type="dxa"/>
            <w:vMerge/>
            <w:tcBorders>
              <w:top w:val="nil"/>
              <w:bottom w:val="nil"/>
            </w:tcBorders>
            <w:hideMark/>
          </w:tcPr>
          <w:p w14:paraId="6FCF9A50"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0A5FCF93"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Decoction</w:t>
            </w:r>
          </w:p>
        </w:tc>
        <w:tc>
          <w:tcPr>
            <w:tcW w:w="2436" w:type="dxa"/>
            <w:tcBorders>
              <w:top w:val="nil"/>
              <w:bottom w:val="nil"/>
            </w:tcBorders>
            <w:noWrap/>
            <w:hideMark/>
          </w:tcPr>
          <w:p w14:paraId="18AAEC15"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348</w:t>
            </w:r>
            <w:r w:rsidR="00CF050F" w:rsidRPr="009B0008">
              <w:rPr>
                <w:rFonts w:ascii="Arial" w:hAnsi="Arial" w:cs="Arial"/>
                <w:sz w:val="20"/>
                <w:szCs w:val="18"/>
                <w:lang w:val="en-US"/>
              </w:rPr>
              <w:t>.</w:t>
            </w:r>
            <w:r w:rsidRPr="009B0008">
              <w:rPr>
                <w:rFonts w:ascii="Arial" w:hAnsi="Arial" w:cs="Arial"/>
                <w:sz w:val="20"/>
                <w:szCs w:val="18"/>
                <w:lang w:val="en-US"/>
              </w:rPr>
              <w:t>46 ± 3</w:t>
            </w:r>
            <w:r w:rsidR="00CF050F" w:rsidRPr="009B0008">
              <w:rPr>
                <w:rFonts w:ascii="Arial" w:hAnsi="Arial" w:cs="Arial"/>
                <w:sz w:val="20"/>
                <w:szCs w:val="18"/>
                <w:lang w:val="en-US"/>
              </w:rPr>
              <w:t>.</w:t>
            </w:r>
            <w:r w:rsidRPr="009B0008">
              <w:rPr>
                <w:rFonts w:ascii="Arial" w:hAnsi="Arial" w:cs="Arial"/>
                <w:sz w:val="20"/>
                <w:szCs w:val="18"/>
                <w:lang w:val="en-US"/>
              </w:rPr>
              <w:t>63</w:t>
            </w:r>
            <w:r w:rsidRPr="009B0008">
              <w:rPr>
                <w:rFonts w:ascii="Arial" w:hAnsi="Arial" w:cs="Arial"/>
                <w:sz w:val="20"/>
                <w:szCs w:val="18"/>
                <w:vertAlign w:val="superscript"/>
                <w:lang w:val="en-US"/>
              </w:rPr>
              <w:t>d</w:t>
            </w:r>
          </w:p>
        </w:tc>
        <w:tc>
          <w:tcPr>
            <w:tcW w:w="2245" w:type="dxa"/>
            <w:tcBorders>
              <w:top w:val="nil"/>
              <w:bottom w:val="nil"/>
            </w:tcBorders>
            <w:noWrap/>
            <w:hideMark/>
          </w:tcPr>
          <w:p w14:paraId="702FA583"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5</w:t>
            </w:r>
            <w:r w:rsidR="00CF050F" w:rsidRPr="009B0008">
              <w:rPr>
                <w:rFonts w:ascii="Arial" w:hAnsi="Arial" w:cs="Arial"/>
                <w:sz w:val="20"/>
                <w:szCs w:val="18"/>
                <w:lang w:val="en-US"/>
              </w:rPr>
              <w:t>.</w:t>
            </w:r>
            <w:r w:rsidRPr="009B0008">
              <w:rPr>
                <w:rFonts w:ascii="Arial" w:hAnsi="Arial" w:cs="Arial"/>
                <w:sz w:val="20"/>
                <w:szCs w:val="18"/>
                <w:lang w:val="en-US"/>
              </w:rPr>
              <w:t>79 ± 0</w:t>
            </w:r>
            <w:r w:rsidR="00CF050F" w:rsidRPr="009B0008">
              <w:rPr>
                <w:rFonts w:ascii="Arial" w:hAnsi="Arial" w:cs="Arial"/>
                <w:sz w:val="20"/>
                <w:szCs w:val="18"/>
                <w:lang w:val="en-US"/>
              </w:rPr>
              <w:t>.</w:t>
            </w:r>
            <w:r w:rsidRPr="009B0008">
              <w:rPr>
                <w:rFonts w:ascii="Arial" w:hAnsi="Arial" w:cs="Arial"/>
                <w:sz w:val="20"/>
                <w:szCs w:val="18"/>
                <w:lang w:val="en-US"/>
              </w:rPr>
              <w:t>20</w:t>
            </w:r>
            <w:r w:rsidRPr="009B0008">
              <w:rPr>
                <w:rFonts w:ascii="Arial" w:hAnsi="Arial" w:cs="Arial"/>
                <w:sz w:val="20"/>
                <w:szCs w:val="18"/>
                <w:vertAlign w:val="superscript"/>
                <w:lang w:val="en-US"/>
              </w:rPr>
              <w:t>d</w:t>
            </w:r>
          </w:p>
        </w:tc>
      </w:tr>
      <w:tr w:rsidR="00846B87" w:rsidRPr="009B0008" w14:paraId="19531148" w14:textId="77777777" w:rsidTr="00300384">
        <w:trPr>
          <w:trHeight w:val="192"/>
          <w:jc w:val="center"/>
        </w:trPr>
        <w:tc>
          <w:tcPr>
            <w:tcW w:w="2139" w:type="dxa"/>
            <w:vMerge w:val="restart"/>
            <w:tcBorders>
              <w:top w:val="nil"/>
              <w:bottom w:val="nil"/>
            </w:tcBorders>
            <w:hideMark/>
          </w:tcPr>
          <w:p w14:paraId="28A72434" w14:textId="77777777" w:rsidR="00846B87" w:rsidRPr="009B0008" w:rsidRDefault="00846B87" w:rsidP="00300384">
            <w:pPr>
              <w:spacing w:line="360" w:lineRule="auto"/>
              <w:jc w:val="center"/>
              <w:rPr>
                <w:rFonts w:ascii="Arial" w:hAnsi="Arial" w:cs="Arial"/>
                <w:i/>
                <w:iCs/>
                <w:sz w:val="20"/>
                <w:szCs w:val="18"/>
                <w:lang w:val="en-US"/>
              </w:rPr>
            </w:pPr>
            <w:r w:rsidRPr="009B0008">
              <w:rPr>
                <w:rFonts w:ascii="Arial" w:hAnsi="Arial" w:cs="Arial"/>
                <w:i/>
                <w:iCs/>
                <w:sz w:val="20"/>
                <w:szCs w:val="18"/>
                <w:lang w:val="en-US"/>
              </w:rPr>
              <w:t>Annona senegalensis</w:t>
            </w:r>
          </w:p>
        </w:tc>
        <w:tc>
          <w:tcPr>
            <w:tcW w:w="2202" w:type="dxa"/>
            <w:tcBorders>
              <w:top w:val="nil"/>
              <w:bottom w:val="nil"/>
            </w:tcBorders>
            <w:noWrap/>
            <w:hideMark/>
          </w:tcPr>
          <w:p w14:paraId="2F24B97B" w14:textId="77777777" w:rsidR="00846B87" w:rsidRPr="009B0008" w:rsidRDefault="00846B87" w:rsidP="002752A1">
            <w:pPr>
              <w:spacing w:line="360" w:lineRule="auto"/>
              <w:jc w:val="left"/>
              <w:rPr>
                <w:rFonts w:ascii="Arial" w:hAnsi="Arial" w:cs="Arial"/>
                <w:sz w:val="20"/>
                <w:szCs w:val="18"/>
                <w:lang w:val="en-US"/>
              </w:rPr>
            </w:pPr>
            <w:r w:rsidRPr="009B0008">
              <w:rPr>
                <w:rFonts w:ascii="Arial" w:hAnsi="Arial" w:cs="Arial"/>
                <w:sz w:val="20"/>
                <w:szCs w:val="18"/>
                <w:lang w:val="en-US"/>
              </w:rPr>
              <w:t>Methanolic</w:t>
            </w:r>
          </w:p>
        </w:tc>
        <w:tc>
          <w:tcPr>
            <w:tcW w:w="2436" w:type="dxa"/>
            <w:tcBorders>
              <w:top w:val="nil"/>
              <w:bottom w:val="nil"/>
            </w:tcBorders>
            <w:noWrap/>
            <w:hideMark/>
          </w:tcPr>
          <w:p w14:paraId="2EEC6E50" w14:textId="77777777" w:rsidR="00846B87" w:rsidRPr="009B0008" w:rsidRDefault="00846B87" w:rsidP="002752A1">
            <w:pPr>
              <w:spacing w:line="360" w:lineRule="auto"/>
              <w:jc w:val="left"/>
              <w:rPr>
                <w:rFonts w:ascii="Arial" w:hAnsi="Arial" w:cs="Arial"/>
                <w:sz w:val="20"/>
                <w:szCs w:val="18"/>
                <w:lang w:val="en-US"/>
              </w:rPr>
            </w:pPr>
            <w:r w:rsidRPr="009B0008">
              <w:rPr>
                <w:rFonts w:ascii="Arial" w:hAnsi="Arial" w:cs="Arial"/>
                <w:sz w:val="20"/>
                <w:szCs w:val="18"/>
                <w:lang w:val="en-US"/>
              </w:rPr>
              <w:t>0</w:t>
            </w:r>
            <w:r w:rsidR="00CF050F" w:rsidRPr="009B0008">
              <w:rPr>
                <w:rFonts w:ascii="Arial" w:hAnsi="Arial" w:cs="Arial"/>
                <w:sz w:val="20"/>
                <w:szCs w:val="18"/>
                <w:lang w:val="en-US"/>
              </w:rPr>
              <w:t>.</w:t>
            </w:r>
            <w:r w:rsidRPr="009B0008">
              <w:rPr>
                <w:rFonts w:ascii="Arial" w:hAnsi="Arial" w:cs="Arial"/>
                <w:sz w:val="20"/>
                <w:szCs w:val="18"/>
                <w:lang w:val="en-US"/>
              </w:rPr>
              <w:t>15 ± 0</w:t>
            </w:r>
            <w:r w:rsidR="00CF050F" w:rsidRPr="009B0008">
              <w:rPr>
                <w:rFonts w:ascii="Arial" w:hAnsi="Arial" w:cs="Arial"/>
                <w:sz w:val="20"/>
                <w:szCs w:val="18"/>
                <w:lang w:val="en-US"/>
              </w:rPr>
              <w:t>.</w:t>
            </w:r>
            <w:r w:rsidRPr="009B0008">
              <w:rPr>
                <w:rFonts w:ascii="Arial" w:hAnsi="Arial" w:cs="Arial"/>
                <w:sz w:val="20"/>
                <w:szCs w:val="18"/>
                <w:lang w:val="en-US"/>
              </w:rPr>
              <w:t>02</w:t>
            </w:r>
            <w:r w:rsidRPr="009B0008">
              <w:rPr>
                <w:rFonts w:ascii="Arial" w:hAnsi="Arial" w:cs="Arial"/>
                <w:sz w:val="20"/>
                <w:szCs w:val="18"/>
                <w:vertAlign w:val="superscript"/>
                <w:lang w:val="en-US"/>
              </w:rPr>
              <w:t>a</w:t>
            </w:r>
          </w:p>
        </w:tc>
        <w:tc>
          <w:tcPr>
            <w:tcW w:w="2245" w:type="dxa"/>
            <w:tcBorders>
              <w:top w:val="nil"/>
              <w:bottom w:val="nil"/>
            </w:tcBorders>
            <w:noWrap/>
            <w:hideMark/>
          </w:tcPr>
          <w:p w14:paraId="3F50C99B" w14:textId="77777777" w:rsidR="00846B87" w:rsidRPr="009B0008" w:rsidRDefault="00846B87" w:rsidP="002752A1">
            <w:pPr>
              <w:spacing w:line="360" w:lineRule="auto"/>
              <w:jc w:val="left"/>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32 ± 0</w:t>
            </w:r>
            <w:r w:rsidR="00CF050F" w:rsidRPr="009B0008">
              <w:rPr>
                <w:rFonts w:ascii="Arial" w:hAnsi="Arial" w:cs="Arial"/>
                <w:sz w:val="20"/>
                <w:szCs w:val="18"/>
                <w:lang w:val="en-US"/>
              </w:rPr>
              <w:t>.</w:t>
            </w:r>
            <w:r w:rsidRPr="009B0008">
              <w:rPr>
                <w:rFonts w:ascii="Arial" w:hAnsi="Arial" w:cs="Arial"/>
                <w:sz w:val="20"/>
                <w:szCs w:val="18"/>
                <w:lang w:val="en-US"/>
              </w:rPr>
              <w:t>03</w:t>
            </w:r>
            <w:r w:rsidRPr="009B0008">
              <w:rPr>
                <w:rFonts w:ascii="Arial" w:hAnsi="Arial" w:cs="Arial"/>
                <w:sz w:val="20"/>
                <w:szCs w:val="18"/>
                <w:vertAlign w:val="superscript"/>
                <w:lang w:val="en-US"/>
              </w:rPr>
              <w:t>b</w:t>
            </w:r>
          </w:p>
        </w:tc>
      </w:tr>
      <w:tr w:rsidR="00846B87" w:rsidRPr="009B0008" w14:paraId="61A4B402" w14:textId="77777777" w:rsidTr="00B32C6D">
        <w:trPr>
          <w:trHeight w:val="192"/>
          <w:jc w:val="center"/>
        </w:trPr>
        <w:tc>
          <w:tcPr>
            <w:tcW w:w="2139" w:type="dxa"/>
            <w:vMerge/>
            <w:tcBorders>
              <w:top w:val="nil"/>
              <w:bottom w:val="nil"/>
            </w:tcBorders>
            <w:hideMark/>
          </w:tcPr>
          <w:p w14:paraId="22CAC60F"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581CEB30"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Hydro methanolic</w:t>
            </w:r>
          </w:p>
        </w:tc>
        <w:tc>
          <w:tcPr>
            <w:tcW w:w="2436" w:type="dxa"/>
            <w:tcBorders>
              <w:top w:val="nil"/>
              <w:bottom w:val="nil"/>
            </w:tcBorders>
            <w:noWrap/>
            <w:hideMark/>
          </w:tcPr>
          <w:p w14:paraId="6877840D"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1</w:t>
            </w:r>
            <w:r w:rsidR="00CF050F" w:rsidRPr="009B0008">
              <w:rPr>
                <w:rFonts w:ascii="Arial" w:hAnsi="Arial" w:cs="Arial"/>
                <w:sz w:val="20"/>
                <w:szCs w:val="18"/>
                <w:lang w:val="en-US"/>
              </w:rPr>
              <w:t>.</w:t>
            </w:r>
            <w:r w:rsidRPr="009B0008">
              <w:rPr>
                <w:rFonts w:ascii="Arial" w:hAnsi="Arial" w:cs="Arial"/>
                <w:sz w:val="20"/>
                <w:szCs w:val="18"/>
                <w:lang w:val="en-US"/>
              </w:rPr>
              <w:t>21 ± 0</w:t>
            </w:r>
            <w:r w:rsidR="00CF050F" w:rsidRPr="009B0008">
              <w:rPr>
                <w:rFonts w:ascii="Arial" w:hAnsi="Arial" w:cs="Arial"/>
                <w:sz w:val="20"/>
                <w:szCs w:val="18"/>
                <w:lang w:val="en-US"/>
              </w:rPr>
              <w:t>.</w:t>
            </w:r>
            <w:r w:rsidRPr="009B0008">
              <w:rPr>
                <w:rFonts w:ascii="Arial" w:hAnsi="Arial" w:cs="Arial"/>
                <w:sz w:val="20"/>
                <w:szCs w:val="18"/>
                <w:lang w:val="en-US"/>
              </w:rPr>
              <w:t>12</w:t>
            </w:r>
            <w:r w:rsidRPr="009B0008">
              <w:rPr>
                <w:rFonts w:ascii="Arial" w:hAnsi="Arial" w:cs="Arial"/>
                <w:sz w:val="20"/>
                <w:szCs w:val="18"/>
                <w:vertAlign w:val="superscript"/>
                <w:lang w:val="en-US"/>
              </w:rPr>
              <w:t>a</w:t>
            </w:r>
          </w:p>
        </w:tc>
        <w:tc>
          <w:tcPr>
            <w:tcW w:w="2245" w:type="dxa"/>
            <w:tcBorders>
              <w:top w:val="nil"/>
              <w:bottom w:val="nil"/>
            </w:tcBorders>
            <w:noWrap/>
            <w:hideMark/>
          </w:tcPr>
          <w:p w14:paraId="4C11CAFA"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55 ± 0</w:t>
            </w:r>
            <w:r w:rsidR="00CF050F" w:rsidRPr="009B0008">
              <w:rPr>
                <w:rFonts w:ascii="Arial" w:hAnsi="Arial" w:cs="Arial"/>
                <w:sz w:val="20"/>
                <w:szCs w:val="18"/>
                <w:lang w:val="en-US"/>
              </w:rPr>
              <w:t>.</w:t>
            </w:r>
            <w:r w:rsidRPr="009B0008">
              <w:rPr>
                <w:rFonts w:ascii="Arial" w:hAnsi="Arial" w:cs="Arial"/>
                <w:sz w:val="20"/>
                <w:szCs w:val="18"/>
                <w:lang w:val="en-US"/>
              </w:rPr>
              <w:t>14</w:t>
            </w:r>
            <w:r w:rsidRPr="009B0008">
              <w:rPr>
                <w:rFonts w:ascii="Arial" w:hAnsi="Arial" w:cs="Arial"/>
                <w:sz w:val="20"/>
                <w:szCs w:val="18"/>
                <w:vertAlign w:val="superscript"/>
                <w:lang w:val="en-US"/>
              </w:rPr>
              <w:t>b</w:t>
            </w:r>
          </w:p>
        </w:tc>
      </w:tr>
      <w:tr w:rsidR="00846B87" w:rsidRPr="009B0008" w14:paraId="251DEB85" w14:textId="77777777" w:rsidTr="00300384">
        <w:trPr>
          <w:trHeight w:val="202"/>
          <w:jc w:val="center"/>
        </w:trPr>
        <w:tc>
          <w:tcPr>
            <w:tcW w:w="2139" w:type="dxa"/>
            <w:vMerge/>
            <w:tcBorders>
              <w:top w:val="nil"/>
              <w:bottom w:val="nil"/>
            </w:tcBorders>
            <w:hideMark/>
          </w:tcPr>
          <w:p w14:paraId="069A8CBE"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72160A98"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Decoction</w:t>
            </w:r>
          </w:p>
        </w:tc>
        <w:tc>
          <w:tcPr>
            <w:tcW w:w="2436" w:type="dxa"/>
            <w:tcBorders>
              <w:top w:val="nil"/>
              <w:bottom w:val="nil"/>
            </w:tcBorders>
            <w:noWrap/>
            <w:hideMark/>
          </w:tcPr>
          <w:p w14:paraId="52A1648D" w14:textId="77777777" w:rsidR="00846B87" w:rsidRPr="009B0008" w:rsidRDefault="00846B87" w:rsidP="00846B87">
            <w:pPr>
              <w:spacing w:line="360" w:lineRule="auto"/>
              <w:jc w:val="left"/>
              <w:rPr>
                <w:rFonts w:ascii="Arial" w:hAnsi="Arial" w:cs="Arial"/>
                <w:sz w:val="20"/>
                <w:szCs w:val="18"/>
                <w:lang w:val="en-US"/>
              </w:rPr>
            </w:pPr>
            <w:bookmarkStart w:id="3" w:name="RANGE!H14"/>
            <w:r w:rsidRPr="009B0008">
              <w:rPr>
                <w:rFonts w:ascii="Arial" w:hAnsi="Arial" w:cs="Arial"/>
                <w:sz w:val="20"/>
                <w:szCs w:val="18"/>
                <w:lang w:val="en-US"/>
              </w:rPr>
              <w:t>22</w:t>
            </w:r>
            <w:r w:rsidR="00CF050F" w:rsidRPr="009B0008">
              <w:rPr>
                <w:rFonts w:ascii="Arial" w:hAnsi="Arial" w:cs="Arial"/>
                <w:sz w:val="20"/>
                <w:szCs w:val="18"/>
                <w:lang w:val="en-US"/>
              </w:rPr>
              <w:t>.</w:t>
            </w:r>
            <w:r w:rsidRPr="009B0008">
              <w:rPr>
                <w:rFonts w:ascii="Arial" w:hAnsi="Arial" w:cs="Arial"/>
                <w:sz w:val="20"/>
                <w:szCs w:val="18"/>
                <w:lang w:val="en-US"/>
              </w:rPr>
              <w:t>82 ± 1</w:t>
            </w:r>
            <w:r w:rsidR="00CF050F" w:rsidRPr="009B0008">
              <w:rPr>
                <w:rFonts w:ascii="Arial" w:hAnsi="Arial" w:cs="Arial"/>
                <w:sz w:val="20"/>
                <w:szCs w:val="18"/>
                <w:lang w:val="en-US"/>
              </w:rPr>
              <w:t>.</w:t>
            </w:r>
            <w:r w:rsidRPr="009B0008">
              <w:rPr>
                <w:rFonts w:ascii="Arial" w:hAnsi="Arial" w:cs="Arial"/>
                <w:sz w:val="20"/>
                <w:szCs w:val="18"/>
                <w:lang w:val="en-US"/>
              </w:rPr>
              <w:t>13</w:t>
            </w:r>
            <w:r w:rsidRPr="009B0008">
              <w:rPr>
                <w:rFonts w:ascii="Arial" w:hAnsi="Arial" w:cs="Arial"/>
                <w:sz w:val="20"/>
                <w:szCs w:val="18"/>
                <w:vertAlign w:val="superscript"/>
                <w:lang w:val="en-US"/>
              </w:rPr>
              <w:t>c</w:t>
            </w:r>
            <w:bookmarkEnd w:id="3"/>
          </w:p>
        </w:tc>
        <w:tc>
          <w:tcPr>
            <w:tcW w:w="2245" w:type="dxa"/>
            <w:tcBorders>
              <w:top w:val="nil"/>
              <w:bottom w:val="nil"/>
            </w:tcBorders>
            <w:noWrap/>
            <w:hideMark/>
          </w:tcPr>
          <w:p w14:paraId="149B4E77"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1</w:t>
            </w:r>
            <w:r w:rsidR="00CF050F" w:rsidRPr="009B0008">
              <w:rPr>
                <w:rFonts w:ascii="Arial" w:hAnsi="Arial" w:cs="Arial"/>
                <w:sz w:val="20"/>
                <w:szCs w:val="18"/>
                <w:lang w:val="en-US"/>
              </w:rPr>
              <w:t>.</w:t>
            </w:r>
            <w:r w:rsidRPr="009B0008">
              <w:rPr>
                <w:rFonts w:ascii="Arial" w:hAnsi="Arial" w:cs="Arial"/>
                <w:sz w:val="20"/>
                <w:szCs w:val="18"/>
                <w:lang w:val="en-US"/>
              </w:rPr>
              <w:t>08 ± 0</w:t>
            </w:r>
            <w:r w:rsidR="00CF050F" w:rsidRPr="009B0008">
              <w:rPr>
                <w:rFonts w:ascii="Arial" w:hAnsi="Arial" w:cs="Arial"/>
                <w:sz w:val="20"/>
                <w:szCs w:val="18"/>
                <w:lang w:val="en-US"/>
              </w:rPr>
              <w:t>.</w:t>
            </w:r>
            <w:r w:rsidRPr="009B0008">
              <w:rPr>
                <w:rFonts w:ascii="Arial" w:hAnsi="Arial" w:cs="Arial"/>
                <w:sz w:val="20"/>
                <w:szCs w:val="18"/>
                <w:lang w:val="en-US"/>
              </w:rPr>
              <w:t>05</w:t>
            </w:r>
            <w:r w:rsidRPr="009B0008">
              <w:rPr>
                <w:rFonts w:ascii="Arial" w:hAnsi="Arial" w:cs="Arial"/>
                <w:sz w:val="20"/>
                <w:szCs w:val="18"/>
                <w:vertAlign w:val="superscript"/>
                <w:lang w:val="en-US"/>
              </w:rPr>
              <w:t>a</w:t>
            </w:r>
          </w:p>
        </w:tc>
      </w:tr>
      <w:tr w:rsidR="00846B87" w:rsidRPr="009B0008" w14:paraId="59E4BF92" w14:textId="77777777" w:rsidTr="00300384">
        <w:trPr>
          <w:trHeight w:val="396"/>
          <w:jc w:val="center"/>
        </w:trPr>
        <w:tc>
          <w:tcPr>
            <w:tcW w:w="2139" w:type="dxa"/>
            <w:tcBorders>
              <w:top w:val="nil"/>
            </w:tcBorders>
            <w:hideMark/>
          </w:tcPr>
          <w:p w14:paraId="07E12151"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Reference</w:t>
            </w:r>
          </w:p>
        </w:tc>
        <w:tc>
          <w:tcPr>
            <w:tcW w:w="2202" w:type="dxa"/>
            <w:tcBorders>
              <w:top w:val="nil"/>
            </w:tcBorders>
            <w:noWrap/>
            <w:hideMark/>
          </w:tcPr>
          <w:p w14:paraId="62C7C54A"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Ascorbic Acid</w:t>
            </w:r>
          </w:p>
        </w:tc>
        <w:tc>
          <w:tcPr>
            <w:tcW w:w="2436" w:type="dxa"/>
            <w:tcBorders>
              <w:top w:val="nil"/>
            </w:tcBorders>
            <w:noWrap/>
            <w:hideMark/>
          </w:tcPr>
          <w:p w14:paraId="24E88FCF"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0</w:t>
            </w:r>
            <w:r w:rsidR="00CF050F" w:rsidRPr="009B0008">
              <w:rPr>
                <w:rFonts w:ascii="Arial" w:hAnsi="Arial" w:cs="Arial"/>
                <w:sz w:val="20"/>
                <w:szCs w:val="18"/>
                <w:lang w:val="en-US"/>
              </w:rPr>
              <w:t>.</w:t>
            </w:r>
            <w:r w:rsidRPr="009B0008">
              <w:rPr>
                <w:rFonts w:ascii="Arial" w:hAnsi="Arial" w:cs="Arial"/>
                <w:sz w:val="20"/>
                <w:szCs w:val="18"/>
                <w:lang w:val="en-US"/>
              </w:rPr>
              <w:t>25± 0</w:t>
            </w:r>
            <w:r w:rsidR="00CF050F" w:rsidRPr="009B0008">
              <w:rPr>
                <w:rFonts w:ascii="Arial" w:hAnsi="Arial" w:cs="Arial"/>
                <w:sz w:val="20"/>
                <w:szCs w:val="18"/>
                <w:lang w:val="en-US"/>
              </w:rPr>
              <w:t>.</w:t>
            </w:r>
            <w:r w:rsidRPr="009B0008">
              <w:rPr>
                <w:rFonts w:ascii="Arial" w:hAnsi="Arial" w:cs="Arial"/>
                <w:sz w:val="20"/>
                <w:szCs w:val="18"/>
                <w:lang w:val="en-US"/>
              </w:rPr>
              <w:t>01</w:t>
            </w:r>
          </w:p>
        </w:tc>
        <w:tc>
          <w:tcPr>
            <w:tcW w:w="2245" w:type="dxa"/>
            <w:tcBorders>
              <w:top w:val="nil"/>
            </w:tcBorders>
            <w:noWrap/>
            <w:hideMark/>
          </w:tcPr>
          <w:p w14:paraId="08E1CF92"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Not determined</w:t>
            </w:r>
          </w:p>
        </w:tc>
      </w:tr>
    </w:tbl>
    <w:p w14:paraId="37963256" w14:textId="77777777" w:rsidR="00141713" w:rsidRPr="009B0008" w:rsidRDefault="00B32C6D" w:rsidP="00141713">
      <w:pPr>
        <w:jc w:val="left"/>
        <w:rPr>
          <w:rFonts w:ascii="Arial" w:hAnsi="Arial" w:cs="Arial"/>
          <w:i/>
          <w:iCs/>
          <w:sz w:val="18"/>
          <w:szCs w:val="18"/>
          <w:lang w:val="en-GB"/>
        </w:rPr>
      </w:pPr>
      <w:r>
        <w:rPr>
          <w:highlight w:val="yellow"/>
        </w:rPr>
        <w:t>EAA: ascorbic acid equivalent. The values correspond to the mean of three tests (n = 3). In each column of the table, values with different superscript letters (a, b, c, d) indicate statistically significant differences (P = 0.05).</w:t>
      </w:r>
    </w:p>
    <w:p w14:paraId="1815CF1B" w14:textId="77777777" w:rsidR="00796746" w:rsidRPr="009B0008" w:rsidRDefault="00300384" w:rsidP="00141713">
      <w:pPr>
        <w:jc w:val="left"/>
        <w:rPr>
          <w:rFonts w:ascii="Arial" w:hAnsi="Arial" w:cs="Arial"/>
          <w:b/>
          <w:bCs/>
          <w:sz w:val="22"/>
          <w:szCs w:val="20"/>
          <w:lang w:val="en-GB"/>
        </w:rPr>
      </w:pPr>
      <w:r>
        <w:rPr>
          <w:b/>
          <w:highlight w:val="yellow"/>
        </w:rPr>
        <w:lastRenderedPageBreak/>
        <w:t>3.3. Measurement of the anti-inflammatory activity of the extracts</w:t>
      </w:r>
    </w:p>
    <w:p w14:paraId="17B70BB0" w14:textId="77777777" w:rsidR="00B32C6D" w:rsidRPr="009B0008" w:rsidRDefault="00796746" w:rsidP="00796746">
      <w:pPr>
        <w:jc w:val="left"/>
        <w:rPr>
          <w:rFonts w:ascii="Arial" w:hAnsi="Arial" w:cs="Arial"/>
          <w:sz w:val="22"/>
          <w:szCs w:val="20"/>
          <w:lang w:val="en-GB"/>
        </w:rPr>
      </w:pPr>
      <w:r>
        <w:rPr>
          <w:highlight w:val="yellow"/>
        </w:rPr>
        <w:t xml:space="preserve">The results of the anti-inflammatory activity of the different extracts are presented in Figure 1. The aqueous extract of </w:t>
      </w:r>
      <w:r>
        <w:rPr>
          <w:i/>
          <w:highlight w:val="yellow"/>
        </w:rPr>
        <w:t>P. kotschyi</w:t>
      </w:r>
      <w:r>
        <w:rPr>
          <w:highlight w:val="yellow"/>
        </w:rPr>
        <w:t xml:space="preserve"> demonstrated strong anti-inflammatory efficacy, with inhibition of 77 ± 0.63%. In contrast, the hydromethanolic extract of </w:t>
      </w:r>
      <w:r>
        <w:rPr>
          <w:i/>
          <w:highlight w:val="yellow"/>
        </w:rPr>
        <w:t>A. senegalensis</w:t>
      </w:r>
      <w:r>
        <w:rPr>
          <w:highlight w:val="yellow"/>
        </w:rPr>
        <w:t xml:space="preserve"> showed inhibition of 71 ± 0.12%.</w:t>
      </w:r>
    </w:p>
    <w:p w14:paraId="64482059" w14:textId="77777777" w:rsidR="00796746" w:rsidRPr="009B0008" w:rsidRDefault="00F50312" w:rsidP="00F50312">
      <w:pPr>
        <w:jc w:val="center"/>
        <w:rPr>
          <w:lang w:val="en-GB"/>
        </w:rPr>
      </w:pPr>
      <w:r w:rsidRPr="009B0008">
        <w:rPr>
          <w:noProof/>
        </w:rPr>
        <w:drawing>
          <wp:inline distT="0" distB="0" distL="0" distR="0" wp14:anchorId="4CC4E6CD" wp14:editId="4CFE9302">
            <wp:extent cx="4848225" cy="2743200"/>
            <wp:effectExtent l="0" t="0" r="9525" b="0"/>
            <wp:docPr id="10" name="Graphique 10">
              <a:extLst xmlns:a="http://schemas.openxmlformats.org/drawingml/2006/main">
                <a:ext uri="{FF2B5EF4-FFF2-40B4-BE49-F238E27FC236}">
                  <a16:creationId xmlns:a16="http://schemas.microsoft.com/office/drawing/2014/main" id="{741AF80B-AFCC-4CF0-9E1A-351076F425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0DE620" w14:textId="77777777" w:rsidR="00BD0B8F" w:rsidRPr="009B0008" w:rsidRDefault="00DE2332" w:rsidP="00245B8E">
      <w:pPr>
        <w:jc w:val="left"/>
        <w:rPr>
          <w:rFonts w:ascii="Arial" w:hAnsi="Arial" w:cs="Arial"/>
          <w:i/>
          <w:iCs/>
          <w:sz w:val="18"/>
          <w:szCs w:val="16"/>
          <w:lang w:val="en-GB"/>
        </w:rPr>
      </w:pPr>
      <w:r>
        <w:rPr>
          <w:highlight w:val="yellow"/>
        </w:rPr>
        <w:t>Values correspond to the mean of three tests (n = 3). Different superscript letters (a, b, c) in the same column indicate statistically significant differences (P = 0.05).</w:t>
      </w:r>
    </w:p>
    <w:p w14:paraId="364233C4" w14:textId="77777777" w:rsidR="00BD0B8F" w:rsidRPr="009B0008" w:rsidRDefault="00BD0B8F" w:rsidP="00245B8E">
      <w:pPr>
        <w:jc w:val="left"/>
        <w:rPr>
          <w:rFonts w:ascii="Arial" w:hAnsi="Arial" w:cs="Arial"/>
          <w:b/>
          <w:bCs/>
          <w:sz w:val="22"/>
          <w:szCs w:val="20"/>
          <w:lang w:val="en-GB"/>
        </w:rPr>
      </w:pPr>
      <w:r>
        <w:rPr>
          <w:highlight w:val="yellow"/>
        </w:rPr>
        <w:t>Figure 1: Percentage inhibition of BSA denaturation</w:t>
      </w:r>
    </w:p>
    <w:p w14:paraId="24C8AD63" w14:textId="77777777" w:rsidR="00DE2332" w:rsidRPr="009B0008" w:rsidRDefault="00DE2332" w:rsidP="001C5F34">
      <w:pPr>
        <w:jc w:val="left"/>
        <w:rPr>
          <w:rFonts w:ascii="Arial" w:hAnsi="Arial" w:cs="Arial"/>
          <w:b/>
          <w:bCs/>
          <w:sz w:val="20"/>
          <w:szCs w:val="18"/>
          <w:lang w:val="en-GB"/>
        </w:rPr>
      </w:pPr>
    </w:p>
    <w:p w14:paraId="41B077DF" w14:textId="77777777" w:rsidR="00C61309" w:rsidRPr="009B0008" w:rsidRDefault="0047044A" w:rsidP="001C5F34">
      <w:pPr>
        <w:spacing w:before="240"/>
        <w:jc w:val="left"/>
        <w:rPr>
          <w:rFonts w:ascii="Arial" w:hAnsi="Arial" w:cs="Arial"/>
          <w:b/>
          <w:bCs/>
          <w:szCs w:val="24"/>
          <w:lang w:val="en-GB"/>
        </w:rPr>
      </w:pPr>
      <w:r>
        <w:rPr>
          <w:b/>
          <w:highlight w:val="yellow"/>
        </w:rPr>
        <w:t>3.4. Antifungal activity</w:t>
      </w:r>
    </w:p>
    <w:p w14:paraId="29F375BD" w14:textId="77777777" w:rsidR="00C61309" w:rsidRPr="009B0008" w:rsidRDefault="00C61309" w:rsidP="00C61309">
      <w:pPr>
        <w:rPr>
          <w:rFonts w:ascii="Arial" w:hAnsi="Arial" w:cs="Arial"/>
          <w:sz w:val="22"/>
          <w:szCs w:val="20"/>
          <w:lang w:val="en-GB"/>
        </w:rPr>
      </w:pPr>
      <w:r>
        <w:rPr>
          <w:highlight w:val="yellow"/>
        </w:rPr>
        <w:t xml:space="preserve">Antifungal tests evaluated the activity of </w:t>
      </w:r>
      <w:r>
        <w:rPr>
          <w:i/>
          <w:highlight w:val="yellow"/>
        </w:rPr>
        <w:t>P. kotschyi</w:t>
      </w:r>
      <w:r>
        <w:rPr>
          <w:highlight w:val="yellow"/>
        </w:rPr>
        <w:t xml:space="preserve"> and </w:t>
      </w:r>
      <w:r>
        <w:rPr>
          <w:i/>
          <w:highlight w:val="yellow"/>
        </w:rPr>
        <w:t>A. senegalensis</w:t>
      </w:r>
      <w:r>
        <w:rPr>
          <w:highlight w:val="yellow"/>
        </w:rPr>
        <w:t xml:space="preserve"> against </w:t>
      </w:r>
      <w:r>
        <w:rPr>
          <w:i/>
          <w:highlight w:val="yellow"/>
        </w:rPr>
        <w:t>Candida albicans</w:t>
      </w:r>
      <w:r>
        <w:rPr>
          <w:highlight w:val="yellow"/>
        </w:rPr>
        <w:t xml:space="preserve"> by measuring inhibition zone diameters around discs impregnated with the extracts at different concentrations and by determining the minimum inhibitory concentrations (MICs), representing the lowest concentration capable of visibly inhibiting fungal growth.</w:t>
      </w:r>
    </w:p>
    <w:p w14:paraId="7BF89153" w14:textId="77777777" w:rsidR="00C61309" w:rsidRPr="009B0008" w:rsidRDefault="00C61309" w:rsidP="00C61309">
      <w:pPr>
        <w:rPr>
          <w:rFonts w:ascii="Arial" w:hAnsi="Arial" w:cs="Arial"/>
          <w:sz w:val="22"/>
          <w:szCs w:val="20"/>
          <w:lang w:val="en-GB"/>
        </w:rPr>
      </w:pPr>
      <w:r>
        <w:rPr>
          <w:highlight w:val="yellow"/>
        </w:rPr>
        <w:t xml:space="preserve">The antifungal activity of the extracts was evaluated against </w:t>
      </w:r>
      <w:r>
        <w:rPr>
          <w:i/>
          <w:highlight w:val="yellow"/>
        </w:rPr>
        <w:t>Candida albicans</w:t>
      </w:r>
      <w:r>
        <w:rPr>
          <w:highlight w:val="yellow"/>
        </w:rPr>
        <w:t xml:space="preserve">. The results showed that the methanolic extracts of </w:t>
      </w:r>
      <w:r>
        <w:rPr>
          <w:i/>
          <w:highlight w:val="yellow"/>
        </w:rPr>
        <w:t>P. kotschyi</w:t>
      </w:r>
      <w:r>
        <w:rPr>
          <w:highlight w:val="yellow"/>
        </w:rPr>
        <w:t xml:space="preserve"> and </w:t>
      </w:r>
      <w:r>
        <w:rPr>
          <w:i/>
          <w:highlight w:val="yellow"/>
        </w:rPr>
        <w:t>A. senegalensis</w:t>
      </w:r>
      <w:r>
        <w:rPr>
          <w:highlight w:val="yellow"/>
        </w:rPr>
        <w:t xml:space="preserve"> exhibited inhibition zone diameters of 9 mm against </w:t>
      </w:r>
      <w:r>
        <w:rPr>
          <w:i/>
          <w:highlight w:val="yellow"/>
        </w:rPr>
        <w:t>C. albicans</w:t>
      </w:r>
      <w:r>
        <w:rPr>
          <w:highlight w:val="yellow"/>
        </w:rPr>
        <w:t>, with MICs of 100 and 250 µg/mL, respectively.</w:t>
      </w:r>
    </w:p>
    <w:p w14:paraId="09EC09CD" w14:textId="77777777" w:rsidR="00C61309" w:rsidRPr="009B0008" w:rsidRDefault="000255BF" w:rsidP="00B936D6">
      <w:pPr>
        <w:spacing w:before="240"/>
        <w:jc w:val="left"/>
        <w:rPr>
          <w:rFonts w:ascii="Arial" w:hAnsi="Arial" w:cs="Arial"/>
          <w:b/>
          <w:bCs/>
          <w:sz w:val="22"/>
          <w:szCs w:val="20"/>
          <w:lang w:val="en-GB"/>
        </w:rPr>
      </w:pPr>
      <w:r>
        <w:rPr>
          <w:b/>
          <w:highlight w:val="yellow"/>
        </w:rPr>
        <w:t>3.5. Acute toxicity of extracts</w:t>
      </w:r>
    </w:p>
    <w:p w14:paraId="3F40BFA2" w14:textId="77777777" w:rsidR="00C61309" w:rsidRPr="009B0008" w:rsidRDefault="00C61309" w:rsidP="00C61309">
      <w:pPr>
        <w:rPr>
          <w:rFonts w:ascii="Arial" w:hAnsi="Arial" w:cs="Arial"/>
          <w:sz w:val="22"/>
          <w:szCs w:val="20"/>
          <w:lang w:val="en-GB"/>
        </w:rPr>
      </w:pPr>
      <w:r>
        <w:rPr>
          <w:highlight w:val="yellow"/>
        </w:rPr>
        <w:t xml:space="preserve">No mortality or signs of external toxicity were observed after administration of methanolic extracts of </w:t>
      </w:r>
      <w:r>
        <w:rPr>
          <w:i/>
          <w:highlight w:val="yellow"/>
        </w:rPr>
        <w:t>A. senegalensis</w:t>
      </w:r>
      <w:r>
        <w:rPr>
          <w:highlight w:val="yellow"/>
        </w:rPr>
        <w:t xml:space="preserve"> and </w:t>
      </w:r>
      <w:r>
        <w:rPr>
          <w:i/>
          <w:highlight w:val="yellow"/>
        </w:rPr>
        <w:t>P. kotschyi</w:t>
      </w:r>
      <w:r>
        <w:rPr>
          <w:highlight w:val="yellow"/>
        </w:rPr>
        <w:t xml:space="preserve"> at a dose of 2000 mg/kg body weight. Autopsy revealed no significant changes in the general appearance of the organs (liver, kidneys, and pancreas).</w:t>
      </w:r>
    </w:p>
    <w:p w14:paraId="3204929A" w14:textId="77777777" w:rsidR="00C61309" w:rsidRPr="009B0008" w:rsidRDefault="000255BF" w:rsidP="00B936D6">
      <w:pPr>
        <w:spacing w:before="240"/>
        <w:jc w:val="left"/>
        <w:rPr>
          <w:rFonts w:ascii="Arial" w:hAnsi="Arial" w:cs="Arial"/>
          <w:b/>
          <w:bCs/>
          <w:sz w:val="22"/>
          <w:szCs w:val="20"/>
          <w:lang w:val="en-GB"/>
        </w:rPr>
      </w:pPr>
      <w:r>
        <w:rPr>
          <w:b/>
          <w:highlight w:val="yellow"/>
        </w:rPr>
        <w:lastRenderedPageBreak/>
        <w:t>3.6. Principal component analysis (PCA)</w:t>
      </w:r>
    </w:p>
    <w:p w14:paraId="7478F53C" w14:textId="77777777" w:rsidR="00C61309" w:rsidRPr="009B0008" w:rsidRDefault="00C61309" w:rsidP="006A5A69">
      <w:pPr>
        <w:rPr>
          <w:rFonts w:ascii="Arial" w:hAnsi="Arial" w:cs="Arial"/>
          <w:sz w:val="22"/>
          <w:szCs w:val="20"/>
          <w:lang w:val="en-GB"/>
        </w:rPr>
      </w:pPr>
      <w:r>
        <w:rPr>
          <w:highlight w:val="yellow"/>
        </w:rPr>
        <w:t>Principal component analysis (PCA) (Figures 2 and 3) was performed to explore the relationships between the phytochemical composition of the different plant extracts and their biological activities. The first two principal components (F1 and F2) explained 90.26% of the total variance.</w:t>
      </w:r>
    </w:p>
    <w:p w14:paraId="5F64F016" w14:textId="77777777" w:rsidR="00C61309" w:rsidRPr="009B0008" w:rsidRDefault="00C61309" w:rsidP="006A5A69">
      <w:pPr>
        <w:rPr>
          <w:rFonts w:ascii="Arial" w:hAnsi="Arial" w:cs="Arial"/>
          <w:sz w:val="22"/>
          <w:szCs w:val="20"/>
          <w:lang w:val="en-GB"/>
        </w:rPr>
      </w:pPr>
      <w:r>
        <w:rPr>
          <w:highlight w:val="yellow"/>
        </w:rPr>
        <w:t>The correlation circle highlights a positive association between total phenolic compound and total flavonoid contents. Furthermore, FRAP iron-reducing power and BSA inhibition are positively associated. In contrast, DPPH scavenging activity shows a moderate positive correlation with the other variables (Figure 2).</w:t>
      </w:r>
    </w:p>
    <w:p w14:paraId="3E5B6E68" w14:textId="77777777" w:rsidR="00F50312" w:rsidRPr="009B0008" w:rsidRDefault="00C61309" w:rsidP="006A5A69">
      <w:pPr>
        <w:rPr>
          <w:rFonts w:ascii="Arial" w:hAnsi="Arial" w:cs="Arial"/>
          <w:sz w:val="22"/>
          <w:szCs w:val="20"/>
          <w:lang w:val="en-GB"/>
        </w:rPr>
      </w:pPr>
      <w:r>
        <w:rPr>
          <w:highlight w:val="yellow"/>
        </w:rPr>
        <w:t xml:space="preserve">The biplot (Figure 3) indicates that the aqueous extract of </w:t>
      </w:r>
      <w:r>
        <w:rPr>
          <w:i/>
          <w:highlight w:val="yellow"/>
        </w:rPr>
        <w:t>P. kotschyi</w:t>
      </w:r>
      <w:r>
        <w:rPr>
          <w:highlight w:val="yellow"/>
        </w:rPr>
        <w:t xml:space="preserve"> is characterised by more pronounced anti-inflammatory (BSA inhibition) and antioxidant (DPPH and FRAP) activities than the other extracts. Conversely, the methanolic and hydromethanolic extracts of </w:t>
      </w:r>
      <w:r>
        <w:rPr>
          <w:i/>
          <w:highlight w:val="yellow"/>
        </w:rPr>
        <w:t>P. kotschyi</w:t>
      </w:r>
      <w:r>
        <w:rPr>
          <w:highlight w:val="yellow"/>
        </w:rPr>
        <w:t xml:space="preserve"> are associated with the highest phenolic compound content.</w:t>
      </w:r>
    </w:p>
    <w:p w14:paraId="54A773A2" w14:textId="77777777" w:rsidR="006A5A69" w:rsidRPr="009B0008" w:rsidRDefault="007A59D3" w:rsidP="007A59D3">
      <w:pPr>
        <w:jc w:val="center"/>
        <w:rPr>
          <w:lang w:val="en-GB"/>
        </w:rPr>
      </w:pPr>
      <w:r w:rsidRPr="009B0008">
        <w:rPr>
          <w:rFonts w:cs="Times New Roman"/>
          <w:noProof/>
          <w:szCs w:val="24"/>
        </w:rPr>
        <w:drawing>
          <wp:inline distT="0" distB="0" distL="0" distR="0" wp14:anchorId="1CF437EE" wp14:editId="3C170BE6">
            <wp:extent cx="3841750" cy="3067050"/>
            <wp:effectExtent l="0" t="0" r="6350" b="0"/>
            <wp:docPr id="1" name="Graphique 1">
              <a:extLst xmlns:a="http://schemas.openxmlformats.org/drawingml/2006/main">
                <a:ext uri="{FF2B5EF4-FFF2-40B4-BE49-F238E27FC236}">
                  <a16:creationId xmlns:a16="http://schemas.microsoft.com/office/drawing/2014/main" id="{73D31174-2897-4AD4-AEB0-DFC067235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0BDE40" w14:textId="77777777" w:rsidR="000C5F1D" w:rsidRPr="009B0008" w:rsidRDefault="000C5F1D" w:rsidP="007A59D3">
      <w:pPr>
        <w:jc w:val="center"/>
        <w:rPr>
          <w:rFonts w:ascii="Arial" w:hAnsi="Arial" w:cs="Arial"/>
          <w:b/>
          <w:bCs/>
          <w:sz w:val="22"/>
          <w:szCs w:val="20"/>
          <w:lang w:val="en-GB"/>
        </w:rPr>
      </w:pPr>
      <w:r>
        <w:rPr>
          <w:highlight w:val="yellow"/>
        </w:rPr>
        <w:t>Figure 2: Principal component analysis (variables)</w:t>
      </w:r>
    </w:p>
    <w:p w14:paraId="5D5A1344" w14:textId="77777777" w:rsidR="00245B8E" w:rsidRPr="009B0008" w:rsidRDefault="00642CB3" w:rsidP="00642CB3">
      <w:pPr>
        <w:jc w:val="center"/>
        <w:rPr>
          <w:lang w:val="en-GB"/>
        </w:rPr>
      </w:pPr>
      <w:r w:rsidRPr="009B0008">
        <w:rPr>
          <w:rFonts w:cs="Times New Roman"/>
          <w:noProof/>
          <w:szCs w:val="24"/>
        </w:rPr>
        <w:lastRenderedPageBreak/>
        <w:drawing>
          <wp:inline distT="0" distB="0" distL="0" distR="0" wp14:anchorId="2DFA45B3" wp14:editId="0EDE3B78">
            <wp:extent cx="3879850" cy="2946400"/>
            <wp:effectExtent l="0" t="0" r="6350" b="6350"/>
            <wp:docPr id="2" name="Graphique 2">
              <a:extLst xmlns:a="http://schemas.openxmlformats.org/drawingml/2006/main">
                <a:ext uri="{FF2B5EF4-FFF2-40B4-BE49-F238E27FC236}">
                  <a16:creationId xmlns:a16="http://schemas.microsoft.com/office/drawing/2014/main" id="{1CA3AB7B-490E-40A8-87BD-53518FEB4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A2059F" w14:textId="77777777" w:rsidR="006D464A" w:rsidRPr="009B0008" w:rsidRDefault="006D464A" w:rsidP="00FA7070">
      <w:pPr>
        <w:jc w:val="center"/>
        <w:rPr>
          <w:rFonts w:ascii="Arial" w:hAnsi="Arial" w:cs="Arial"/>
          <w:sz w:val="18"/>
          <w:szCs w:val="18"/>
          <w:lang w:val="en-GB"/>
        </w:rPr>
      </w:pPr>
      <w:r w:rsidRPr="009B0008">
        <w:rPr>
          <w:rFonts w:ascii="Arial" w:hAnsi="Arial" w:cs="Arial"/>
          <w:i/>
          <w:iCs/>
          <w:sz w:val="18"/>
          <w:szCs w:val="18"/>
          <w:lang w:val="en-GB"/>
        </w:rPr>
        <w:t>AS</w:t>
      </w:r>
      <w:r w:rsidRPr="009B0008">
        <w:rPr>
          <w:rFonts w:ascii="Arial" w:hAnsi="Arial" w:cs="Arial"/>
          <w:sz w:val="18"/>
          <w:szCs w:val="18"/>
          <w:lang w:val="en-GB"/>
        </w:rPr>
        <w:t xml:space="preserve">: </w:t>
      </w:r>
      <w:r w:rsidRPr="009B0008">
        <w:rPr>
          <w:rFonts w:ascii="Arial" w:hAnsi="Arial" w:cs="Arial"/>
          <w:i/>
          <w:iCs/>
          <w:sz w:val="18"/>
          <w:szCs w:val="18"/>
          <w:lang w:val="en-GB"/>
        </w:rPr>
        <w:t xml:space="preserve">Annona senegalensis; </w:t>
      </w:r>
      <w:r w:rsidR="000522CE" w:rsidRPr="009B0008">
        <w:rPr>
          <w:rFonts w:ascii="Arial" w:hAnsi="Arial" w:cs="Arial"/>
          <w:i/>
          <w:iCs/>
          <w:sz w:val="18"/>
          <w:szCs w:val="18"/>
          <w:lang w:val="en-GB"/>
        </w:rPr>
        <w:t>PK: Pseudocedrela kotschyi</w:t>
      </w:r>
    </w:p>
    <w:p w14:paraId="59BE9082" w14:textId="77777777" w:rsidR="00245B8E" w:rsidRPr="009B0008" w:rsidRDefault="004F0B1C" w:rsidP="000255BF">
      <w:pPr>
        <w:jc w:val="center"/>
        <w:rPr>
          <w:rFonts w:ascii="Arial" w:hAnsi="Arial" w:cs="Arial"/>
          <w:b/>
          <w:bCs/>
          <w:sz w:val="22"/>
          <w:lang w:val="en-GB"/>
        </w:rPr>
      </w:pPr>
      <w:r>
        <w:rPr>
          <w:highlight w:val="yellow"/>
        </w:rPr>
        <w:t>Figure 3: Principal component analysis (biplot)</w:t>
      </w:r>
    </w:p>
    <w:p w14:paraId="7EBAACB4" w14:textId="77777777" w:rsidR="00512CD7" w:rsidRPr="009B0008" w:rsidRDefault="003C1B10" w:rsidP="00512CD7">
      <w:pPr>
        <w:jc w:val="left"/>
        <w:rPr>
          <w:rFonts w:ascii="Arial" w:hAnsi="Arial" w:cs="Arial"/>
          <w:b/>
          <w:bCs/>
          <w:caps/>
          <w:sz w:val="22"/>
          <w:szCs w:val="20"/>
          <w:lang w:val="en-GB"/>
        </w:rPr>
      </w:pPr>
      <w:r>
        <w:rPr>
          <w:b/>
          <w:highlight w:val="yellow"/>
        </w:rPr>
        <w:t>4. Discussion</w:t>
      </w:r>
    </w:p>
    <w:p w14:paraId="5A8081A8" w14:textId="77777777" w:rsidR="00B13F2C" w:rsidRPr="009B0008" w:rsidRDefault="00171147" w:rsidP="00EA2C0A">
      <w:pPr>
        <w:rPr>
          <w:rFonts w:ascii="Arial" w:hAnsi="Arial" w:cs="Arial"/>
          <w:sz w:val="22"/>
          <w:lang w:val="en-GB"/>
        </w:rPr>
      </w:pPr>
      <w:r>
        <w:rPr>
          <w:highlight w:val="yellow"/>
        </w:rPr>
        <w:t xml:space="preserve">Quantification results showed the presence of total phenolics and flavonoids in the extracts of </w:t>
      </w:r>
      <w:r>
        <w:rPr>
          <w:i/>
          <w:highlight w:val="yellow"/>
        </w:rPr>
        <w:t>P. kotschyi</w:t>
      </w:r>
      <w:r>
        <w:rPr>
          <w:highlight w:val="yellow"/>
        </w:rPr>
        <w:t xml:space="preserve"> and </w:t>
      </w:r>
      <w:r>
        <w:rPr>
          <w:i/>
          <w:highlight w:val="yellow"/>
        </w:rPr>
        <w:t>A. senegalensis</w:t>
      </w:r>
      <w:r>
        <w:rPr>
          <w:highlight w:val="yellow"/>
        </w:rPr>
        <w:t xml:space="preserve"> at concentrations that varied depending on the solvent. Methanolic and hydromethanolic extracts had higher concentrations than aqueous extracts. N’do et al. (2024) reported a high quantity of phenolic compounds in polar solvents. Indeed, phenolic compounds have increased solubility in polar solvents (Ghedadba et al., 2014). Aqueous extracts showed lower concentrations than methanolic and hydromethanolic extracts, despite the greater polarity of water than other solvents. The aqueous extracts were obtained by decoction; therefore, the low concentrations could be explained by thermal degradation of some phenolic compounds (Soto-Hernández et al., 2017).</w:t>
      </w:r>
    </w:p>
    <w:p w14:paraId="0EFAE513" w14:textId="77777777" w:rsidR="00171147" w:rsidRPr="009B0008" w:rsidRDefault="00171147" w:rsidP="00EA2C0A">
      <w:pPr>
        <w:rPr>
          <w:rFonts w:ascii="Arial" w:hAnsi="Arial" w:cs="Arial"/>
          <w:sz w:val="22"/>
          <w:lang w:val="en-GB"/>
        </w:rPr>
      </w:pPr>
      <w:r>
        <w:rPr>
          <w:highlight w:val="yellow"/>
        </w:rPr>
        <w:t xml:space="preserve">Methanolic and hydromethanolic extracts exhibited the highest antioxidant activities compared with aqueous extracts. Among them, the methanolic extract of </w:t>
      </w:r>
      <w:r>
        <w:rPr>
          <w:i/>
          <w:highlight w:val="yellow"/>
        </w:rPr>
        <w:t>P. kotschyi</w:t>
      </w:r>
      <w:r>
        <w:rPr>
          <w:highlight w:val="yellow"/>
        </w:rPr>
        <w:t xml:space="preserve"> showed the strongest DPPH radical scavenging capacity. Conversely, the best anti-inflammatory activity was observed with the aqueous extract of </w:t>
      </w:r>
      <w:r>
        <w:rPr>
          <w:i/>
          <w:highlight w:val="yellow"/>
        </w:rPr>
        <w:t>P. kotschyi</w:t>
      </w:r>
      <w:r>
        <w:rPr>
          <w:highlight w:val="yellow"/>
        </w:rPr>
        <w:t xml:space="preserve">, which inhibited BSA denaturation by 77 ± 0.63%, followed by the hydromethanolic extract of </w:t>
      </w:r>
      <w:r>
        <w:rPr>
          <w:i/>
          <w:highlight w:val="yellow"/>
        </w:rPr>
        <w:t>A. senegalensis</w:t>
      </w:r>
      <w:r>
        <w:rPr>
          <w:highlight w:val="yellow"/>
        </w:rPr>
        <w:t xml:space="preserve"> (71 ± 0.12%). Antioxidant and anti-inflammatory activities in </w:t>
      </w:r>
      <w:r>
        <w:rPr>
          <w:i/>
          <w:highlight w:val="yellow"/>
        </w:rPr>
        <w:t>P. kotschyi</w:t>
      </w:r>
      <w:r>
        <w:rPr>
          <w:highlight w:val="yellow"/>
        </w:rPr>
        <w:t xml:space="preserve"> (N’do et al., 2018; Anoumou et al., 2024; Sirabana et al., 2025) and </w:t>
      </w:r>
      <w:r>
        <w:rPr>
          <w:i/>
          <w:highlight w:val="yellow"/>
        </w:rPr>
        <w:t>A. senegalensis</w:t>
      </w:r>
      <w:r>
        <w:rPr>
          <w:highlight w:val="yellow"/>
        </w:rPr>
        <w:t xml:space="preserve"> (Diallo et al., 2024; Tijani et al., 2025) have also been reported in the literature. Furthermore, PCA analysis (Figure 2) revealed a relationship between phenolic compounds and biological activities. Indeed, phenolic compounds are known for their antioxidant and anti-inflammatory activities due to their chemical structure, ability to chelate </w:t>
      </w:r>
      <w:r>
        <w:rPr>
          <w:highlight w:val="yellow"/>
        </w:rPr>
        <w:lastRenderedPageBreak/>
        <w:t>and reduce metal ions, capacity to activate antioxidant and anti-inflammatory enzymes, and reduction potential (Olszowy, 2019).</w:t>
      </w:r>
    </w:p>
    <w:p w14:paraId="4A32B19D" w14:textId="77777777" w:rsidR="00171147" w:rsidRPr="009B0008" w:rsidRDefault="00171147" w:rsidP="001A5939">
      <w:pPr>
        <w:rPr>
          <w:rFonts w:ascii="Arial" w:hAnsi="Arial" w:cs="Arial"/>
          <w:sz w:val="22"/>
          <w:lang w:val="en-GB"/>
        </w:rPr>
      </w:pPr>
      <w:r>
        <w:rPr>
          <w:highlight w:val="yellow"/>
        </w:rPr>
        <w:t xml:space="preserve">The strong antioxidant and anti-inflammatory capacity of </w:t>
      </w:r>
      <w:r>
        <w:rPr>
          <w:i/>
          <w:highlight w:val="yellow"/>
        </w:rPr>
        <w:t>P. kotschyi</w:t>
      </w:r>
      <w:r>
        <w:rPr>
          <w:highlight w:val="yellow"/>
        </w:rPr>
        <w:t xml:space="preserve"> and </w:t>
      </w:r>
      <w:r>
        <w:rPr>
          <w:i/>
          <w:highlight w:val="yellow"/>
        </w:rPr>
        <w:t>A. senegalensis</w:t>
      </w:r>
      <w:r>
        <w:rPr>
          <w:highlight w:val="yellow"/>
        </w:rPr>
        <w:t xml:space="preserve"> extracts could justify their traditional use in the treatment of skin conditions. In fact, oxidative stress induced by free radicals promotes a pro-inflammatory state in dermal and epidermal cells, thereby contributing to the development of various skin pathologies (Liu et al., 2023). Phenolic compounds, by inhibiting enzymes involved in ROS production, such as xanthine oxidase and NADPH oxidase, and by stimulating other endogenous antioxidant enzymes, such as superoxide dismutase, catalase, and glutathione peroxidase, prevent the onset of these pathologies (Yahfoufi et al., 2018). Furthermore, polyphenols regulate immunity by interfering with immune-cell regulation, pro-inflammatory cytokine synthesis, and gene expression. They inactivate NF-κB (nuclear factor kappa B) and modulate the signalling pathways of MAP kinases and arachidonic acid (Rudrapal et al., 2025). They also inhibit certain pro-inflammatory enzymes, such as phospholipase A2, cyclooxygenase, and lipoxygenase, leading to reduced prostaglandin and leukotriene production and antagonism of inflammation (Yahfoufi et al., 2018; Liu et al., 2023; Li Pomi et al., 2025).</w:t>
      </w:r>
    </w:p>
    <w:p w14:paraId="15D4B838" w14:textId="77777777" w:rsidR="003C1B10" w:rsidRDefault="00171147" w:rsidP="00B43535">
      <w:pPr>
        <w:rPr>
          <w:rFonts w:ascii="Arial" w:hAnsi="Arial" w:cs="Arial"/>
          <w:sz w:val="22"/>
          <w:lang w:val="en-GB"/>
        </w:rPr>
      </w:pPr>
      <w:r>
        <w:rPr>
          <w:highlight w:val="yellow"/>
        </w:rPr>
        <w:t xml:space="preserve">The methanolic extract of </w:t>
      </w:r>
      <w:r>
        <w:rPr>
          <w:i/>
          <w:highlight w:val="yellow"/>
        </w:rPr>
        <w:t>P. kotschyi</w:t>
      </w:r>
      <w:r>
        <w:rPr>
          <w:highlight w:val="yellow"/>
        </w:rPr>
        <w:t xml:space="preserve"> exhibited an inhibition zone diameter of 9 mm at a concentration of 5 mg/mL, with a minimum inhibitory concentration of 100 µg/mL; Alhassan et al. (2014) reported activity at 7.5 mg/mL. This suggests moderate antifungal activity at this concentration. The antifungal activity of </w:t>
      </w:r>
      <w:r>
        <w:rPr>
          <w:i/>
          <w:highlight w:val="yellow"/>
        </w:rPr>
        <w:t>P. kotschyi</w:t>
      </w:r>
      <w:r>
        <w:rPr>
          <w:highlight w:val="yellow"/>
        </w:rPr>
        <w:t xml:space="preserve"> suggests that this plant may contribute to skin protection by reducing inflammation and combating fungal infections. </w:t>
      </w:r>
      <w:r>
        <w:rPr>
          <w:i/>
          <w:highlight w:val="yellow"/>
        </w:rPr>
        <w:t>Candida albicans</w:t>
      </w:r>
      <w:r>
        <w:rPr>
          <w:highlight w:val="yellow"/>
        </w:rPr>
        <w:t xml:space="preserve"> is among the pathogenic fungi responsible for several types of skin infection (Zhang et al., 2024). Regarding </w:t>
      </w:r>
      <w:r>
        <w:rPr>
          <w:i/>
          <w:highlight w:val="yellow"/>
        </w:rPr>
        <w:t>A. senegalensis</w:t>
      </w:r>
      <w:r>
        <w:rPr>
          <w:highlight w:val="yellow"/>
        </w:rPr>
        <w:t xml:space="preserve">, methanolic extracts also showed inhibition of 9 mm at a concentration of 5 mg/mL with an MIC of 250 µg/mL. Other authors have also reported the inhibitory potential of the methanolic extract of </w:t>
      </w:r>
      <w:r>
        <w:rPr>
          <w:i/>
          <w:highlight w:val="yellow"/>
        </w:rPr>
        <w:t>A. senegalensis</w:t>
      </w:r>
      <w:r>
        <w:rPr>
          <w:highlight w:val="yellow"/>
        </w:rPr>
        <w:t xml:space="preserve"> root bark. Baba et al. (2025) reported an inhibition zone diameter of 21.0 mm at a concentration of 100 mg/mL. The excessive and inappropriate use of conventional antibiotics has led to antimicrobial resistance, which could cause up to 10 million deaths by 2050 (Ashraf et al., 2023). The antimicrobial activity of </w:t>
      </w:r>
      <w:r>
        <w:rPr>
          <w:i/>
          <w:highlight w:val="yellow"/>
        </w:rPr>
        <w:t>A. senegalensis</w:t>
      </w:r>
      <w:r>
        <w:rPr>
          <w:highlight w:val="yellow"/>
        </w:rPr>
        <w:t xml:space="preserve"> and </w:t>
      </w:r>
      <w:r>
        <w:rPr>
          <w:i/>
          <w:highlight w:val="yellow"/>
        </w:rPr>
        <w:t>P. kotschyi</w:t>
      </w:r>
      <w:r>
        <w:rPr>
          <w:highlight w:val="yellow"/>
        </w:rPr>
        <w:t xml:space="preserve"> could represent a promising source of antimicrobial agents. Screening these extracts using high-performance methods could identify new molecules as therapeutic alternatives. In toxicity tests on NMRI mice, no mortality or signs of external toxicity were observed following administration of methanolic extracts of </w:t>
      </w:r>
      <w:r>
        <w:rPr>
          <w:i/>
          <w:highlight w:val="yellow"/>
        </w:rPr>
        <w:t>A. senegalensis</w:t>
      </w:r>
      <w:r>
        <w:rPr>
          <w:highlight w:val="yellow"/>
        </w:rPr>
        <w:t xml:space="preserve"> and </w:t>
      </w:r>
      <w:r>
        <w:rPr>
          <w:i/>
          <w:highlight w:val="yellow"/>
        </w:rPr>
        <w:t>P. kotschyi</w:t>
      </w:r>
      <w:r>
        <w:rPr>
          <w:highlight w:val="yellow"/>
        </w:rPr>
        <w:t xml:space="preserve"> at a dose of 2000 mg/kg body weight. Post-mortem examination revealed no notable changes in the general appearance of the organs (liver, kidneys, and pancreas). In accordance </w:t>
      </w:r>
      <w:r>
        <w:rPr>
          <w:highlight w:val="yellow"/>
        </w:rPr>
        <w:lastRenderedPageBreak/>
        <w:t>with the guidelines of the Organisation for Economic Co-operation and Development (OECD, 2002), the LD50 of the extracts is estimated at 5000 mg/kg body weight. These results suggest no acute toxicity under the conditions tested, supporting the quality assessment of these herbal products (N’do et al., 2025).</w:t>
      </w:r>
    </w:p>
    <w:p w14:paraId="1CABEA34" w14:textId="77777777" w:rsidR="00A512F9" w:rsidRDefault="00000000">
      <w:r>
        <w:rPr>
          <w:b/>
          <w:highlight w:val="yellow"/>
        </w:rPr>
        <w:t>5. Limitations</w:t>
      </w:r>
    </w:p>
    <w:p w14:paraId="0A4486AA" w14:textId="77777777" w:rsidR="00A43901" w:rsidRPr="00D643C2" w:rsidRDefault="00D643C2" w:rsidP="00D643C2">
      <w:pPr>
        <w:rPr>
          <w:rFonts w:ascii="Arial" w:hAnsi="Arial" w:cs="Arial"/>
          <w:sz w:val="22"/>
          <w:lang w:val="en-GB"/>
        </w:rPr>
      </w:pPr>
      <w:r>
        <w:rPr>
          <w:highlight w:val="yellow"/>
        </w:rPr>
        <w:t xml:space="preserve">This study has several limitations that should be considered when interpreting the findings. The biological activities were assessed mainly through in vitro assays, and the results may not fully reflect the complexity of physiological conditions. The extracts were evaluated as crude preparations; therefore, the specific compounds responsible for the antioxidant, anti-inflammatory, and antifungal effects were not isolated or identified. The mechanisms underlying the observed inhibition of BSA denaturation, radical scavenging, ferric reducing capacity, and antifungal activity were not investigated. Antifungal testing was limited to </w:t>
      </w:r>
      <w:r>
        <w:rPr>
          <w:i/>
          <w:highlight w:val="yellow"/>
        </w:rPr>
        <w:t>Candida albicans</w:t>
      </w:r>
      <w:r>
        <w:rPr>
          <w:highlight w:val="yellow"/>
        </w:rPr>
        <w:t>, which restricts conclusions regarding broader antifungal potential. Acute toxicity was examined only after a single oral dose of 2000 mg/kg body weight, without subacute or chronic toxicity assessment. In addition, the study did not include formulation studies or in vivo models of skin inflammation or infection. Further investigations are therefore needed to confirm efficacy, safety, active constituents, and mechanisms of action in relevant models.</w:t>
      </w:r>
    </w:p>
    <w:p w14:paraId="01EEDCF6" w14:textId="77777777" w:rsidR="005B4297" w:rsidRPr="009B0008" w:rsidRDefault="003C1B10" w:rsidP="00A0573E">
      <w:pPr>
        <w:spacing w:before="240"/>
        <w:rPr>
          <w:rFonts w:ascii="Arial" w:hAnsi="Arial" w:cs="Arial"/>
          <w:b/>
          <w:bCs/>
          <w:caps/>
          <w:sz w:val="22"/>
          <w:szCs w:val="20"/>
          <w:lang w:val="en-GB"/>
        </w:rPr>
      </w:pPr>
      <w:r>
        <w:rPr>
          <w:b/>
          <w:highlight w:val="yellow"/>
        </w:rPr>
        <w:t>6. Conclusion</w:t>
      </w:r>
    </w:p>
    <w:p w14:paraId="439F7B7F" w14:textId="77777777" w:rsidR="0003157D" w:rsidRPr="009B0008" w:rsidRDefault="00DF285B" w:rsidP="0003157D">
      <w:pPr>
        <w:rPr>
          <w:rFonts w:ascii="Arial" w:hAnsi="Arial" w:cs="Arial"/>
          <w:sz w:val="22"/>
          <w:lang w:val="en-GB"/>
        </w:rPr>
      </w:pPr>
      <w:r>
        <w:rPr>
          <w:highlight w:val="yellow"/>
        </w:rPr>
        <w:t xml:space="preserve">This study evaluated the phytochemical composition, antioxidant activity, anti-inflammatory activity, antifungal activity, and acute toxicity of bark extracts from </w:t>
      </w:r>
      <w:r>
        <w:rPr>
          <w:i/>
          <w:highlight w:val="yellow"/>
        </w:rPr>
        <w:t>Annona senegalensis</w:t>
      </w:r>
      <w:r>
        <w:rPr>
          <w:highlight w:val="yellow"/>
        </w:rPr>
        <w:t xml:space="preserve"> and </w:t>
      </w:r>
      <w:r>
        <w:rPr>
          <w:i/>
          <w:highlight w:val="yellow"/>
        </w:rPr>
        <w:t>Pseudocedrela kotschyi</w:t>
      </w:r>
      <w:r>
        <w:rPr>
          <w:highlight w:val="yellow"/>
        </w:rPr>
        <w:t xml:space="preserve">, two species used traditionally in Burkina Faso for skin-related conditions. The extracts contained phenolic compounds and flavonoids, with the highest total phenolic contents recorded in the methanolic extracts of </w:t>
      </w:r>
      <w:r>
        <w:rPr>
          <w:i/>
          <w:highlight w:val="yellow"/>
        </w:rPr>
        <w:t>P. kotschyi</w:t>
      </w:r>
      <w:r>
        <w:rPr>
          <w:highlight w:val="yellow"/>
        </w:rPr>
        <w:t xml:space="preserve"> and </w:t>
      </w:r>
      <w:r>
        <w:rPr>
          <w:i/>
          <w:highlight w:val="yellow"/>
        </w:rPr>
        <w:t>A. senegalensis</w:t>
      </w:r>
      <w:r>
        <w:rPr>
          <w:highlight w:val="yellow"/>
        </w:rPr>
        <w:t xml:space="preserve">. The antioxidant assays showed marked DPPH radical scavenging and ferric reducing capacity, particularly in methanolic and hydromethanolic extracts. Inhibition of bovine serum albumin denaturation indicated anti-inflammatory activity, with the aqueous extract of </w:t>
      </w:r>
      <w:r>
        <w:rPr>
          <w:i/>
          <w:highlight w:val="yellow"/>
        </w:rPr>
        <w:t>P. kotschyi</w:t>
      </w:r>
      <w:r>
        <w:rPr>
          <w:highlight w:val="yellow"/>
        </w:rPr>
        <w:t xml:space="preserve"> and the hydromethanolic extract of </w:t>
      </w:r>
      <w:r>
        <w:rPr>
          <w:i/>
          <w:highlight w:val="yellow"/>
        </w:rPr>
        <w:t>A. senegalensis</w:t>
      </w:r>
      <w:r>
        <w:rPr>
          <w:highlight w:val="yellow"/>
        </w:rPr>
        <w:t xml:space="preserve"> giving the strongest responses. Methanolic extracts from both species also inhibited </w:t>
      </w:r>
      <w:r>
        <w:rPr>
          <w:i/>
          <w:highlight w:val="yellow"/>
        </w:rPr>
        <w:t>Candida albicans</w:t>
      </w:r>
      <w:r>
        <w:rPr>
          <w:highlight w:val="yellow"/>
        </w:rPr>
        <w:t xml:space="preserve">, with MIC values of 100 µg/mL for </w:t>
      </w:r>
      <w:r>
        <w:rPr>
          <w:i/>
          <w:highlight w:val="yellow"/>
        </w:rPr>
        <w:t>P. kotschyi</w:t>
      </w:r>
      <w:r>
        <w:rPr>
          <w:highlight w:val="yellow"/>
        </w:rPr>
        <w:t xml:space="preserve"> and 250 µg/mL for </w:t>
      </w:r>
      <w:r>
        <w:rPr>
          <w:i/>
          <w:highlight w:val="yellow"/>
        </w:rPr>
        <w:t>A. senegalensis</w:t>
      </w:r>
      <w:r>
        <w:rPr>
          <w:highlight w:val="yellow"/>
        </w:rPr>
        <w:t xml:space="preserve">. Acute oral administration at 2000 mg/kg body weight produced no mortality or visible toxicity in NMRI mice. Overall, the results provide experimental support for the traditional use of these plants and indicate that their bark extracts merit further investigation. Future work should focus on compound isolation, mechanism-based </w:t>
      </w:r>
      <w:r>
        <w:rPr>
          <w:highlight w:val="yellow"/>
        </w:rPr>
        <w:lastRenderedPageBreak/>
        <w:t>studies, standardisation, and in vivo validation before any therapeutic application is considered. Such work would clarify the contributions of individual constituents to the activities observed here.</w:t>
      </w:r>
    </w:p>
    <w:p w14:paraId="58517E78" w14:textId="77777777" w:rsidR="0003157D" w:rsidRPr="009B0008" w:rsidRDefault="0003157D" w:rsidP="0003157D">
      <w:pPr>
        <w:rPr>
          <w:rFonts w:ascii="Arial" w:hAnsi="Arial" w:cs="Arial"/>
          <w:sz w:val="22"/>
          <w:lang w:val="en-GB"/>
        </w:rPr>
      </w:pPr>
    </w:p>
    <w:p w14:paraId="496DAF70" w14:textId="77777777" w:rsidR="00FA1ECC" w:rsidRPr="00FA1ECC" w:rsidRDefault="00FA1ECC" w:rsidP="001A5939">
      <w:pPr>
        <w:rPr>
          <w:rFonts w:ascii="Arial" w:hAnsi="Arial" w:cs="Arial"/>
          <w:b/>
          <w:bCs/>
          <w:caps/>
          <w:sz w:val="22"/>
          <w:lang w:val="en-US"/>
        </w:rPr>
      </w:pPr>
      <w:r>
        <w:rPr>
          <w:b/>
          <w:highlight w:val="yellow"/>
        </w:rPr>
        <w:t>Conflict of interest</w:t>
      </w:r>
    </w:p>
    <w:p w14:paraId="0FF04078" w14:textId="77777777" w:rsidR="0025621A" w:rsidRPr="009B0008" w:rsidRDefault="00331052" w:rsidP="001A5939">
      <w:pPr>
        <w:rPr>
          <w:rFonts w:ascii="Arial" w:hAnsi="Arial" w:cs="Arial"/>
          <w:sz w:val="22"/>
          <w:lang w:val="en-GB"/>
        </w:rPr>
      </w:pPr>
      <w:r>
        <w:rPr>
          <w:highlight w:val="yellow"/>
        </w:rPr>
        <w:t>The authors declare no conflict of interest.</w:t>
      </w:r>
    </w:p>
    <w:p w14:paraId="0EE5FAD6" w14:textId="77777777" w:rsidR="0025621A" w:rsidRPr="009B0008" w:rsidRDefault="0025621A" w:rsidP="001A5939">
      <w:pPr>
        <w:rPr>
          <w:lang w:val="en-GB"/>
        </w:rPr>
      </w:pPr>
    </w:p>
    <w:p w14:paraId="27D4A2E9" w14:textId="77777777" w:rsidR="0091489C" w:rsidRPr="00F11BE4" w:rsidRDefault="00561FD1" w:rsidP="001A5939">
      <w:pPr>
        <w:rPr>
          <w:b/>
          <w:bCs/>
          <w:lang w:val="en-GB"/>
        </w:rPr>
      </w:pPr>
      <w:r w:rsidRPr="00F11BE4">
        <w:rPr>
          <w:b/>
          <w:bCs/>
          <w:lang w:val="en-GB"/>
        </w:rPr>
        <w:t xml:space="preserve">Ethical approval </w:t>
      </w:r>
    </w:p>
    <w:p w14:paraId="237A7CD8" w14:textId="77777777" w:rsidR="0091489C" w:rsidRPr="009B0008" w:rsidRDefault="00561FD1" w:rsidP="001A5939">
      <w:pPr>
        <w:rPr>
          <w:lang w:val="en-GB"/>
        </w:rPr>
      </w:pPr>
      <w:r>
        <w:rPr>
          <w:highlight w:val="yellow"/>
        </w:rPr>
        <w:t>All animal experimentation protocols complied with the guidelines of the institutional animal ethics committee (Directive 2010/63/EU on the protection of animals used for scientific purposes; ethics approval code: 2010/63/EU; date of approval: 20 October 2010).</w:t>
      </w:r>
    </w:p>
    <w:p w14:paraId="2D1426CA" w14:textId="77777777" w:rsidR="0091489C" w:rsidRPr="009B0008" w:rsidRDefault="0091489C" w:rsidP="001A5939">
      <w:pPr>
        <w:rPr>
          <w:lang w:val="en-GB"/>
        </w:rPr>
      </w:pPr>
    </w:p>
    <w:p w14:paraId="7920CF53" w14:textId="77777777" w:rsidR="002A5508" w:rsidRDefault="002A5508" w:rsidP="002A5508">
      <w:pPr>
        <w:rPr>
          <w:rFonts w:ascii="Calibri" w:eastAsia="Calibri" w:hAnsi="Calibri" w:cs="Times New Roman"/>
          <w:kern w:val="2"/>
          <w:highlight w:val="yellow"/>
          <w:lang w:val="en-US"/>
        </w:rPr>
      </w:pPr>
      <w:bookmarkStart w:id="4" w:name="_Hlk229240739"/>
    </w:p>
    <w:p w14:paraId="7ABE88FA" w14:textId="77777777" w:rsidR="002A5508" w:rsidRPr="00005ED1" w:rsidRDefault="002A5508" w:rsidP="002A5508">
      <w:pPr>
        <w:pStyle w:val="NoSpacing"/>
        <w:rPr>
          <w:rFonts w:ascii="Arial" w:hAnsi="Arial" w:cs="Arial"/>
          <w:highlight w:val="yellow"/>
        </w:rPr>
      </w:pPr>
      <w:bookmarkStart w:id="5" w:name="_Hlk221624953"/>
      <w:r w:rsidRPr="00005ED1">
        <w:rPr>
          <w:rFonts w:ascii="Arial" w:hAnsi="Arial" w:cs="Arial"/>
          <w:highlight w:val="yellow"/>
        </w:rPr>
        <w:t>Disclaimer (Artificial intelligence)</w:t>
      </w:r>
    </w:p>
    <w:p w14:paraId="7A99D953" w14:textId="77777777" w:rsidR="002A5508" w:rsidRPr="00005ED1" w:rsidRDefault="002A5508" w:rsidP="002A5508">
      <w:pPr>
        <w:pStyle w:val="NoSpacing"/>
        <w:rPr>
          <w:rFonts w:ascii="Arial" w:hAnsi="Arial" w:cs="Arial"/>
          <w:highlight w:val="yellow"/>
        </w:rPr>
      </w:pPr>
    </w:p>
    <w:p w14:paraId="7B3344C0" w14:textId="77777777" w:rsidR="002A5508" w:rsidRDefault="002A5508" w:rsidP="002A5508">
      <w:pPr>
        <w:pStyle w:val="NoSpacing"/>
        <w:rPr>
          <w:rFonts w:ascii="Arial" w:hAnsi="Arial" w:cs="Arial"/>
          <w:highlight w:val="yellow"/>
        </w:rPr>
      </w:pPr>
      <w:r>
        <w:rPr>
          <w:highlight w:val="yellow"/>
        </w:rPr>
        <w:t>The authors hereby declare that no generative AI technologies, such as large language models (ChatGPT, COPILOT, etc.) or text-to-image generators, were used during the writing or editing of this manuscript.</w:t>
      </w:r>
    </w:p>
    <w:bookmarkEnd w:id="4"/>
    <w:bookmarkEnd w:id="5"/>
    <w:p w14:paraId="78E186D6" w14:textId="77777777" w:rsidR="0091489C" w:rsidRPr="009B0008" w:rsidRDefault="0091489C" w:rsidP="001A5939">
      <w:pPr>
        <w:rPr>
          <w:lang w:val="en-GB"/>
        </w:rPr>
      </w:pPr>
    </w:p>
    <w:p w14:paraId="7EFEC124" w14:textId="77777777" w:rsidR="0091489C" w:rsidRPr="009B0008" w:rsidRDefault="0091489C" w:rsidP="001A5939">
      <w:pPr>
        <w:rPr>
          <w:lang w:val="en-GB"/>
        </w:rPr>
      </w:pPr>
    </w:p>
    <w:p w14:paraId="0E447698" w14:textId="77777777" w:rsidR="00D951E9" w:rsidRPr="009B0008" w:rsidRDefault="00D951E9" w:rsidP="001A5939">
      <w:pPr>
        <w:rPr>
          <w:lang w:val="en-GB"/>
        </w:rPr>
      </w:pPr>
    </w:p>
    <w:p w14:paraId="73866A13" w14:textId="77777777" w:rsidR="0023521D" w:rsidRPr="009B0008" w:rsidRDefault="0023521D" w:rsidP="001A5939">
      <w:pPr>
        <w:rPr>
          <w:lang w:val="en-GB"/>
        </w:rPr>
      </w:pPr>
    </w:p>
    <w:p w14:paraId="06A05856" w14:textId="77777777" w:rsidR="00DF285B" w:rsidRPr="00026239" w:rsidRDefault="000F7C5E" w:rsidP="001A5939">
      <w:pPr>
        <w:rPr>
          <w:rFonts w:ascii="Arial" w:hAnsi="Arial" w:cs="Arial"/>
          <w:b/>
          <w:caps/>
        </w:rPr>
      </w:pPr>
      <w:r w:rsidRPr="00261EA5">
        <w:rPr>
          <w:rFonts w:ascii="Arial" w:hAnsi="Arial" w:cs="Arial"/>
          <w:b/>
          <w:caps/>
          <w:sz w:val="22"/>
          <w:szCs w:val="20"/>
        </w:rPr>
        <w:t>References</w:t>
      </w:r>
    </w:p>
    <w:p w14:paraId="5069916A" w14:textId="77777777" w:rsidR="0085640C" w:rsidRPr="0085640C" w:rsidRDefault="0085640C" w:rsidP="0085640C">
      <w:pPr>
        <w:spacing w:line="480" w:lineRule="auto"/>
        <w:rPr>
          <w:rFonts w:cs="Times New Roman"/>
          <w:szCs w:val="24"/>
        </w:rPr>
      </w:pPr>
      <w:r w:rsidRPr="002752A1">
        <w:rPr>
          <w:rFonts w:cs="Times New Roman"/>
          <w:szCs w:val="24"/>
        </w:rPr>
        <w:t>1.</w:t>
      </w:r>
      <w:r w:rsidRPr="002752A1">
        <w:rPr>
          <w:rFonts w:cs="Times New Roman"/>
          <w:szCs w:val="24"/>
        </w:rPr>
        <w:tab/>
        <w:t xml:space="preserve">Yakupu, A. </w:t>
      </w:r>
      <w:r w:rsidRPr="002752A1">
        <w:rPr>
          <w:rFonts w:cs="Times New Roman"/>
          <w:i/>
          <w:iCs/>
          <w:szCs w:val="24"/>
        </w:rPr>
        <w:t>et al.</w:t>
      </w:r>
      <w:r w:rsidRPr="002752A1">
        <w:rPr>
          <w:rFonts w:cs="Times New Roman"/>
          <w:szCs w:val="24"/>
        </w:rPr>
        <w:t xml:space="preserve"> </w:t>
      </w:r>
      <w:r w:rsidRPr="0085640C">
        <w:rPr>
          <w:rFonts w:cs="Times New Roman"/>
          <w:szCs w:val="24"/>
          <w:lang w:val="en-GB"/>
        </w:rPr>
        <w:t xml:space="preserve">The burden of skin and subcutaneous diseases: findings from the global burden of disease study 2019. </w:t>
      </w:r>
      <w:r w:rsidRPr="0085640C">
        <w:rPr>
          <w:rFonts w:cs="Times New Roman"/>
          <w:i/>
          <w:iCs/>
          <w:szCs w:val="24"/>
        </w:rPr>
        <w:t>Front. Public Health</w:t>
      </w:r>
      <w:r w:rsidRPr="0085640C">
        <w:rPr>
          <w:rFonts w:cs="Times New Roman"/>
          <w:szCs w:val="24"/>
        </w:rPr>
        <w:t xml:space="preserve"> 11, (2023).</w:t>
      </w:r>
    </w:p>
    <w:p w14:paraId="7CFC75DB" w14:textId="77777777" w:rsidR="0085640C" w:rsidRPr="0085640C" w:rsidRDefault="0085640C" w:rsidP="0085640C">
      <w:pPr>
        <w:spacing w:line="480" w:lineRule="auto"/>
        <w:rPr>
          <w:rFonts w:cs="Times New Roman"/>
          <w:szCs w:val="24"/>
          <w:lang w:val="en-GB"/>
        </w:rPr>
      </w:pPr>
      <w:r w:rsidRPr="0085640C">
        <w:rPr>
          <w:rFonts w:cs="Times New Roman"/>
          <w:szCs w:val="24"/>
        </w:rPr>
        <w:t>2.</w:t>
      </w:r>
      <w:r w:rsidRPr="0085640C">
        <w:rPr>
          <w:rFonts w:cs="Times New Roman"/>
          <w:szCs w:val="24"/>
        </w:rPr>
        <w:tab/>
        <w:t xml:space="preserve">Catherine, D.-R., Cassandra, P. &amp; Lavigne, J.-P. Actualités sur le microbiome de la peau et son rôle dans les maladies cutanées. </w:t>
      </w:r>
      <w:r w:rsidRPr="0085640C">
        <w:rPr>
          <w:rFonts w:cs="Times New Roman"/>
          <w:i/>
          <w:iCs/>
          <w:szCs w:val="24"/>
          <w:lang w:val="en-GB"/>
        </w:rPr>
        <w:t>Rev. Francoph. Lab.</w:t>
      </w:r>
      <w:r w:rsidRPr="0085640C">
        <w:rPr>
          <w:rFonts w:cs="Times New Roman"/>
          <w:szCs w:val="24"/>
          <w:lang w:val="en-GB"/>
        </w:rPr>
        <w:t xml:space="preserve"> 2024, 52–60 (2024).</w:t>
      </w:r>
    </w:p>
    <w:p w14:paraId="7C425767" w14:textId="77777777" w:rsidR="0085640C" w:rsidRPr="0085640C" w:rsidRDefault="0085640C" w:rsidP="0085640C">
      <w:pPr>
        <w:spacing w:line="480" w:lineRule="auto"/>
        <w:rPr>
          <w:rFonts w:cs="Times New Roman"/>
          <w:szCs w:val="24"/>
        </w:rPr>
      </w:pPr>
      <w:r w:rsidRPr="0085640C">
        <w:rPr>
          <w:rFonts w:cs="Times New Roman"/>
          <w:szCs w:val="24"/>
          <w:lang w:val="en-GB"/>
        </w:rPr>
        <w:t>3.</w:t>
      </w:r>
      <w:r w:rsidRPr="0085640C">
        <w:rPr>
          <w:rFonts w:cs="Times New Roman"/>
          <w:szCs w:val="24"/>
          <w:lang w:val="en-GB"/>
        </w:rPr>
        <w:tab/>
        <w:t xml:space="preserve">Bolatkyzy, N. </w:t>
      </w:r>
      <w:r w:rsidRPr="0085640C">
        <w:rPr>
          <w:rFonts w:cs="Times New Roman"/>
          <w:i/>
          <w:iCs/>
          <w:szCs w:val="24"/>
          <w:lang w:val="en-GB"/>
        </w:rPr>
        <w:t>et al.</w:t>
      </w:r>
      <w:r w:rsidRPr="0085640C">
        <w:rPr>
          <w:rFonts w:cs="Times New Roman"/>
          <w:szCs w:val="24"/>
          <w:lang w:val="en-GB"/>
        </w:rPr>
        <w:t xml:space="preserve"> Medicinal Plants for Skin Disorders: Phytochemistry and Pharmacological Insights. </w:t>
      </w:r>
      <w:r w:rsidRPr="0085640C">
        <w:rPr>
          <w:rFonts w:cs="Times New Roman"/>
          <w:i/>
          <w:iCs/>
          <w:szCs w:val="24"/>
        </w:rPr>
        <w:t>Molecules</w:t>
      </w:r>
      <w:r w:rsidRPr="0085640C">
        <w:rPr>
          <w:rFonts w:cs="Times New Roman"/>
          <w:szCs w:val="24"/>
        </w:rPr>
        <w:t xml:space="preserve"> 30, 3281 (2025).</w:t>
      </w:r>
    </w:p>
    <w:p w14:paraId="18200C92" w14:textId="1538E161" w:rsidR="0085640C" w:rsidRDefault="0085640C" w:rsidP="0085640C">
      <w:pPr>
        <w:spacing w:line="480" w:lineRule="auto"/>
        <w:rPr>
          <w:rFonts w:cs="Times New Roman"/>
          <w:szCs w:val="24"/>
        </w:rPr>
      </w:pPr>
      <w:r w:rsidRPr="0085640C">
        <w:rPr>
          <w:rFonts w:cs="Times New Roman"/>
          <w:szCs w:val="24"/>
        </w:rPr>
        <w:t>4.</w:t>
      </w:r>
      <w:r w:rsidRPr="0085640C">
        <w:rPr>
          <w:rFonts w:cs="Times New Roman"/>
          <w:szCs w:val="24"/>
        </w:rPr>
        <w:tab/>
      </w:r>
      <w:r w:rsidR="002225A9" w:rsidRPr="002225A9">
        <w:rPr>
          <w:rFonts w:cs="Times New Roman"/>
          <w:szCs w:val="24"/>
        </w:rPr>
        <w:t xml:space="preserve">World Health Organization. (2023). Lutter contre les maladies tropicales négligées pour atteindre les objectifs de développement durable: Cadre stratégique pour l’intégration des activités de lutte et de prise en charge liées aux maladies tropicales négligées à manifestation cutanée. World Health Organization. </w:t>
      </w:r>
      <w:hyperlink r:id="rId13" w:history="1">
        <w:r w:rsidR="002225A9" w:rsidRPr="001B073E">
          <w:rPr>
            <w:rStyle w:val="Hyperlink"/>
            <w:rFonts w:cs="Times New Roman"/>
            <w:szCs w:val="24"/>
          </w:rPr>
          <w:t>https://iris.who.int/handle/10665/366485</w:t>
        </w:r>
      </w:hyperlink>
    </w:p>
    <w:p w14:paraId="5973A2F8" w14:textId="77777777" w:rsidR="002225A9" w:rsidRPr="0085640C" w:rsidRDefault="002225A9" w:rsidP="0085640C">
      <w:pPr>
        <w:spacing w:line="480" w:lineRule="auto"/>
        <w:rPr>
          <w:rFonts w:cs="Times New Roman"/>
          <w:szCs w:val="24"/>
          <w:lang w:val="en-GB"/>
        </w:rPr>
      </w:pPr>
    </w:p>
    <w:p w14:paraId="208F0426"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5.</w:t>
      </w:r>
      <w:r w:rsidRPr="0085640C">
        <w:rPr>
          <w:rFonts w:cs="Times New Roman"/>
          <w:szCs w:val="24"/>
          <w:lang w:val="en-GB"/>
        </w:rPr>
        <w:tab/>
        <w:t xml:space="preserve">Sharma, A. </w:t>
      </w:r>
      <w:r w:rsidRPr="0085640C">
        <w:rPr>
          <w:rFonts w:cs="Times New Roman"/>
          <w:i/>
          <w:iCs/>
          <w:szCs w:val="24"/>
          <w:lang w:val="en-GB"/>
        </w:rPr>
        <w:t>et al.</w:t>
      </w:r>
      <w:r w:rsidRPr="0085640C">
        <w:rPr>
          <w:rFonts w:cs="Times New Roman"/>
          <w:szCs w:val="24"/>
          <w:lang w:val="en-GB"/>
        </w:rPr>
        <w:t xml:space="preserve"> Patient Care and Treatment Strategies for Skin Diseases in Sub-Saharan Africa: Role of Traditional and Western Medicines. </w:t>
      </w:r>
      <w:r w:rsidRPr="0085640C">
        <w:rPr>
          <w:rFonts w:cs="Times New Roman"/>
          <w:i/>
          <w:iCs/>
          <w:szCs w:val="24"/>
          <w:lang w:val="en-GB"/>
        </w:rPr>
        <w:t>Infect. Disord. - Drug Targets</w:t>
      </w:r>
      <w:r w:rsidRPr="0085640C">
        <w:rPr>
          <w:rFonts w:cs="Times New Roman"/>
          <w:szCs w:val="24"/>
          <w:lang w:val="en-GB"/>
        </w:rPr>
        <w:t xml:space="preserve"> 23, 69–85 (2023).</w:t>
      </w:r>
    </w:p>
    <w:p w14:paraId="299EE7BE"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6.</w:t>
      </w:r>
      <w:r w:rsidRPr="0085640C">
        <w:rPr>
          <w:rFonts w:cs="Times New Roman"/>
          <w:szCs w:val="24"/>
          <w:lang w:val="en-GB"/>
        </w:rPr>
        <w:tab/>
        <w:t xml:space="preserve">Liu, H.-M. </w:t>
      </w:r>
      <w:r w:rsidRPr="0085640C">
        <w:rPr>
          <w:rFonts w:cs="Times New Roman"/>
          <w:i/>
          <w:iCs/>
          <w:szCs w:val="24"/>
          <w:lang w:val="en-GB"/>
        </w:rPr>
        <w:t>et al.</w:t>
      </w:r>
      <w:r w:rsidRPr="0085640C">
        <w:rPr>
          <w:rFonts w:cs="Times New Roman"/>
          <w:szCs w:val="24"/>
          <w:lang w:val="en-GB"/>
        </w:rPr>
        <w:t xml:space="preserve"> Possible Mechanisms of Oxidative Stress-Induced Skin Cellular Senescence, Inflammation, and Cancer and the Therapeutic Potential of Plant Polyphenols. </w:t>
      </w:r>
      <w:r w:rsidRPr="0085640C">
        <w:rPr>
          <w:rFonts w:cs="Times New Roman"/>
          <w:i/>
          <w:iCs/>
          <w:szCs w:val="24"/>
          <w:lang w:val="en-GB"/>
        </w:rPr>
        <w:t>Int. J. Mol. Sci.</w:t>
      </w:r>
      <w:r w:rsidRPr="0085640C">
        <w:rPr>
          <w:rFonts w:cs="Times New Roman"/>
          <w:szCs w:val="24"/>
          <w:lang w:val="en-GB"/>
        </w:rPr>
        <w:t xml:space="preserve"> 24, 3755 (2023).</w:t>
      </w:r>
    </w:p>
    <w:p w14:paraId="502D37DE"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7.</w:t>
      </w:r>
      <w:r w:rsidRPr="0085640C">
        <w:rPr>
          <w:rFonts w:cs="Times New Roman"/>
          <w:szCs w:val="24"/>
          <w:lang w:val="en-GB"/>
        </w:rPr>
        <w:tab/>
        <w:t xml:space="preserve">Li Pomi, F., Gammeri, L., Borgia, F., Di Gioacchino, M. &amp; Gangemi, S. Oxidative Stress and Skin Diseases: The Role of Lipid Peroxidation. </w:t>
      </w:r>
      <w:r w:rsidRPr="0085640C">
        <w:rPr>
          <w:rFonts w:cs="Times New Roman"/>
          <w:i/>
          <w:iCs/>
          <w:szCs w:val="24"/>
          <w:lang w:val="en-GB"/>
        </w:rPr>
        <w:t>Antioxidants</w:t>
      </w:r>
      <w:r w:rsidRPr="0085640C">
        <w:rPr>
          <w:rFonts w:cs="Times New Roman"/>
          <w:szCs w:val="24"/>
          <w:lang w:val="en-GB"/>
        </w:rPr>
        <w:t xml:space="preserve"> 14, 555 (2025).</w:t>
      </w:r>
    </w:p>
    <w:p w14:paraId="71C5234D"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8.</w:t>
      </w:r>
      <w:r w:rsidRPr="0085640C">
        <w:rPr>
          <w:rFonts w:cs="Times New Roman"/>
          <w:szCs w:val="24"/>
          <w:lang w:val="en-GB"/>
        </w:rPr>
        <w:tab/>
        <w:t xml:space="preserve">Danieli, M. G. </w:t>
      </w:r>
      <w:r w:rsidRPr="0085640C">
        <w:rPr>
          <w:rFonts w:cs="Times New Roman"/>
          <w:i/>
          <w:iCs/>
          <w:szCs w:val="24"/>
          <w:lang w:val="en-GB"/>
        </w:rPr>
        <w:t>et al.</w:t>
      </w:r>
      <w:r w:rsidRPr="0085640C">
        <w:rPr>
          <w:rFonts w:cs="Times New Roman"/>
          <w:szCs w:val="24"/>
          <w:lang w:val="en-GB"/>
        </w:rPr>
        <w:t xml:space="preserve"> Exposome: Epigenetics and autoimmune diseases. </w:t>
      </w:r>
      <w:r w:rsidRPr="0085640C">
        <w:rPr>
          <w:rFonts w:cs="Times New Roman"/>
          <w:i/>
          <w:iCs/>
          <w:szCs w:val="24"/>
          <w:lang w:val="en-GB"/>
        </w:rPr>
        <w:t>Autoimmun. Rev.</w:t>
      </w:r>
      <w:r w:rsidRPr="0085640C">
        <w:rPr>
          <w:rFonts w:cs="Times New Roman"/>
          <w:szCs w:val="24"/>
          <w:lang w:val="en-GB"/>
        </w:rPr>
        <w:t xml:space="preserve"> 23, 103584 (2024).</w:t>
      </w:r>
    </w:p>
    <w:p w14:paraId="32E83124"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9.</w:t>
      </w:r>
      <w:r w:rsidRPr="0085640C">
        <w:rPr>
          <w:rFonts w:cs="Times New Roman"/>
          <w:szCs w:val="24"/>
          <w:lang w:val="en-GB"/>
        </w:rPr>
        <w:tab/>
        <w:t xml:space="preserve">Song, A., Lee, S. E. &amp; Kim, J. H. Immunopathology and Immunotherapy of Inflammatory Skin Diseases. </w:t>
      </w:r>
      <w:r w:rsidRPr="0085640C">
        <w:rPr>
          <w:rFonts w:cs="Times New Roman"/>
          <w:i/>
          <w:iCs/>
          <w:szCs w:val="24"/>
          <w:lang w:val="en-GB"/>
        </w:rPr>
        <w:t>Immune Netw.</w:t>
      </w:r>
      <w:r w:rsidRPr="0085640C">
        <w:rPr>
          <w:rFonts w:cs="Times New Roman"/>
          <w:szCs w:val="24"/>
          <w:lang w:val="en-GB"/>
        </w:rPr>
        <w:t xml:space="preserve"> 22, e7 (2022).</w:t>
      </w:r>
    </w:p>
    <w:p w14:paraId="10B208C6"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10.</w:t>
      </w:r>
      <w:r w:rsidRPr="0085640C">
        <w:rPr>
          <w:rFonts w:cs="Times New Roman"/>
          <w:szCs w:val="24"/>
          <w:lang w:val="en-GB"/>
        </w:rPr>
        <w:tab/>
        <w:t xml:space="preserve">Ayen-Rodríguez, A. </w:t>
      </w:r>
      <w:r w:rsidRPr="0085640C">
        <w:rPr>
          <w:rFonts w:cs="Times New Roman"/>
          <w:i/>
          <w:iCs/>
          <w:szCs w:val="24"/>
          <w:lang w:val="en-GB"/>
        </w:rPr>
        <w:t>et al.</w:t>
      </w:r>
      <w:r w:rsidRPr="0085640C">
        <w:rPr>
          <w:rFonts w:cs="Times New Roman"/>
          <w:szCs w:val="24"/>
          <w:lang w:val="en-GB"/>
        </w:rPr>
        <w:t xml:space="preserve"> Long-Term Effectiveness and Safety of Biologic and Small Molecule Drugs for Moderate to Severe Atopic Dermatitis: A Systematic Review. </w:t>
      </w:r>
      <w:r w:rsidRPr="0085640C">
        <w:rPr>
          <w:rFonts w:cs="Times New Roman"/>
          <w:i/>
          <w:iCs/>
          <w:szCs w:val="24"/>
          <w:lang w:val="en-GB"/>
        </w:rPr>
        <w:t>Life</w:t>
      </w:r>
      <w:r w:rsidRPr="0085640C">
        <w:rPr>
          <w:rFonts w:cs="Times New Roman"/>
          <w:szCs w:val="24"/>
          <w:lang w:val="en-GB"/>
        </w:rPr>
        <w:t xml:space="preserve"> 12, 1159 (2022).</w:t>
      </w:r>
    </w:p>
    <w:p w14:paraId="19074D7A"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11.</w:t>
      </w:r>
      <w:r w:rsidRPr="0085640C">
        <w:rPr>
          <w:rFonts w:cs="Times New Roman"/>
          <w:szCs w:val="24"/>
          <w:lang w:val="en-GB"/>
        </w:rPr>
        <w:tab/>
        <w:t xml:space="preserve">Klein, B., Treudler, R. &amp; Simon, J. C. JAK-inhibitors in dermatology – small molecules, big impact? Overview of the mechanism of action, previous study results and potential adverse effects. </w:t>
      </w:r>
      <w:r w:rsidRPr="0085640C">
        <w:rPr>
          <w:rFonts w:cs="Times New Roman"/>
          <w:i/>
          <w:iCs/>
          <w:szCs w:val="24"/>
          <w:lang w:val="en-GB"/>
        </w:rPr>
        <w:t>JDDG J. Dtsch. Dermatol. Ges.</w:t>
      </w:r>
      <w:r w:rsidRPr="0085640C">
        <w:rPr>
          <w:rFonts w:cs="Times New Roman"/>
          <w:szCs w:val="24"/>
          <w:lang w:val="en-GB"/>
        </w:rPr>
        <w:t xml:space="preserve"> 20, 19–24 (2022).</w:t>
      </w:r>
    </w:p>
    <w:p w14:paraId="483407FA"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12.</w:t>
      </w:r>
      <w:r w:rsidRPr="0085640C">
        <w:rPr>
          <w:rFonts w:cs="Times New Roman"/>
          <w:szCs w:val="24"/>
          <w:lang w:val="en-GB"/>
        </w:rPr>
        <w:tab/>
        <w:t xml:space="preserve">Bangou, M. J. Lippia chevalieri Moldenke: A brief review of traditional uses, phytochemistry and pharmacology. </w:t>
      </w:r>
      <w:r w:rsidRPr="0085640C">
        <w:rPr>
          <w:rFonts w:cs="Times New Roman"/>
          <w:i/>
          <w:iCs/>
          <w:szCs w:val="24"/>
          <w:lang w:val="en-GB"/>
        </w:rPr>
        <w:t>Am. J. Drug Deliv.</w:t>
      </w:r>
      <w:r w:rsidRPr="0085640C">
        <w:rPr>
          <w:rFonts w:cs="Times New Roman"/>
          <w:szCs w:val="24"/>
          <w:lang w:val="en-GB"/>
        </w:rPr>
        <w:t xml:space="preserve"> 4, 289–296 (2012).</w:t>
      </w:r>
    </w:p>
    <w:p w14:paraId="48F8410E" w14:textId="710906A3" w:rsidR="0085640C" w:rsidRPr="0085640C" w:rsidRDefault="0085640C" w:rsidP="0085640C">
      <w:pPr>
        <w:spacing w:line="480" w:lineRule="auto"/>
        <w:rPr>
          <w:rFonts w:cs="Times New Roman"/>
          <w:szCs w:val="24"/>
          <w:lang w:val="en-GB"/>
        </w:rPr>
      </w:pPr>
      <w:r w:rsidRPr="0085640C">
        <w:rPr>
          <w:rFonts w:cs="Times New Roman"/>
          <w:szCs w:val="24"/>
          <w:lang w:val="en-GB"/>
        </w:rPr>
        <w:t>13.</w:t>
      </w:r>
      <w:r w:rsidRPr="0085640C">
        <w:rPr>
          <w:rFonts w:cs="Times New Roman"/>
          <w:szCs w:val="24"/>
          <w:lang w:val="en-GB"/>
        </w:rPr>
        <w:tab/>
        <w:t xml:space="preserve">N’do, J. Y., Paré, D., Bondé, L. &amp; Hilou, A. Comparative phytochemical profile and biological activity of three </w:t>
      </w:r>
      <w:r w:rsidRPr="0085640C">
        <w:rPr>
          <w:rFonts w:cs="Times New Roman"/>
          <w:i/>
          <w:iCs/>
          <w:szCs w:val="24"/>
          <w:lang w:val="en-GB"/>
        </w:rPr>
        <w:t>Terminalia</w:t>
      </w:r>
      <w:r w:rsidRPr="0085640C">
        <w:rPr>
          <w:rFonts w:cs="Times New Roman"/>
          <w:szCs w:val="24"/>
          <w:lang w:val="en-GB"/>
        </w:rPr>
        <w:t xml:space="preserve"> species as alternative antimicrobial therapies. </w:t>
      </w:r>
      <w:r w:rsidRPr="0085640C">
        <w:rPr>
          <w:rFonts w:cs="Times New Roman"/>
          <w:i/>
          <w:iCs/>
          <w:szCs w:val="24"/>
          <w:lang w:val="en-GB"/>
        </w:rPr>
        <w:t>Heliyon</w:t>
      </w:r>
      <w:r w:rsidRPr="0085640C">
        <w:rPr>
          <w:rFonts w:cs="Times New Roman"/>
          <w:szCs w:val="24"/>
          <w:lang w:val="en-GB"/>
        </w:rPr>
        <w:t xml:space="preserve"> 10, e40159 (2024).</w:t>
      </w:r>
    </w:p>
    <w:p w14:paraId="76E4977D"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lastRenderedPageBreak/>
        <w:t>15.</w:t>
      </w:r>
      <w:r w:rsidRPr="0085640C">
        <w:rPr>
          <w:rFonts w:cs="Times New Roman"/>
          <w:szCs w:val="24"/>
          <w:lang w:val="en-GB"/>
        </w:rPr>
        <w:tab/>
        <w:t xml:space="preserve">Leanpolchareanchai, J. &amp; Teeranachaideekul, V. Topical Microemulsions: Skin Irritation Potential and Anti-Inflammatory Effects of Herbal Substances. </w:t>
      </w:r>
      <w:r w:rsidRPr="0085640C">
        <w:rPr>
          <w:rFonts w:cs="Times New Roman"/>
          <w:i/>
          <w:iCs/>
          <w:szCs w:val="24"/>
          <w:lang w:val="en-GB"/>
        </w:rPr>
        <w:t>Pharmaceuticals</w:t>
      </w:r>
      <w:r w:rsidRPr="0085640C">
        <w:rPr>
          <w:rFonts w:cs="Times New Roman"/>
          <w:szCs w:val="24"/>
          <w:lang w:val="en-GB"/>
        </w:rPr>
        <w:t xml:space="preserve"> 16, 999 (2023).</w:t>
      </w:r>
    </w:p>
    <w:p w14:paraId="3A949BB5" w14:textId="77777777" w:rsidR="0085640C" w:rsidRPr="0085640C" w:rsidRDefault="0085640C" w:rsidP="0085640C">
      <w:pPr>
        <w:spacing w:line="480" w:lineRule="auto"/>
        <w:rPr>
          <w:rFonts w:cs="Times New Roman"/>
          <w:szCs w:val="24"/>
        </w:rPr>
      </w:pPr>
      <w:r w:rsidRPr="0085640C">
        <w:rPr>
          <w:rFonts w:cs="Times New Roman"/>
          <w:szCs w:val="24"/>
          <w:lang w:val="en-GB"/>
        </w:rPr>
        <w:t>16.</w:t>
      </w:r>
      <w:r w:rsidRPr="0085640C">
        <w:rPr>
          <w:rFonts w:cs="Times New Roman"/>
          <w:szCs w:val="24"/>
          <w:lang w:val="en-GB"/>
        </w:rPr>
        <w:tab/>
        <w:t xml:space="preserve">Israyilova, A. </w:t>
      </w:r>
      <w:r w:rsidRPr="0085640C">
        <w:rPr>
          <w:rFonts w:cs="Times New Roman"/>
          <w:i/>
          <w:iCs/>
          <w:szCs w:val="24"/>
          <w:lang w:val="en-GB"/>
        </w:rPr>
        <w:t>et al.</w:t>
      </w:r>
      <w:r w:rsidRPr="0085640C">
        <w:rPr>
          <w:rFonts w:cs="Times New Roman"/>
          <w:szCs w:val="24"/>
          <w:lang w:val="en-GB"/>
        </w:rPr>
        <w:t xml:space="preserve"> From Plant to Patient: A Historical Perspective and Review of Selected Medicinal Plants in Dermatology. </w:t>
      </w:r>
      <w:r w:rsidRPr="0085640C">
        <w:rPr>
          <w:rFonts w:cs="Times New Roman"/>
          <w:i/>
          <w:iCs/>
          <w:szCs w:val="24"/>
        </w:rPr>
        <w:t>JID Innov.</w:t>
      </w:r>
      <w:r w:rsidRPr="0085640C">
        <w:rPr>
          <w:rFonts w:cs="Times New Roman"/>
          <w:szCs w:val="24"/>
        </w:rPr>
        <w:t xml:space="preserve"> 5, 100321 (2025).</w:t>
      </w:r>
    </w:p>
    <w:p w14:paraId="72264DFC" w14:textId="77777777" w:rsidR="0085640C" w:rsidRPr="0085640C" w:rsidRDefault="0085640C" w:rsidP="0085640C">
      <w:pPr>
        <w:spacing w:line="480" w:lineRule="auto"/>
        <w:rPr>
          <w:rFonts w:cs="Times New Roman"/>
          <w:szCs w:val="24"/>
        </w:rPr>
      </w:pPr>
      <w:r w:rsidRPr="0085640C">
        <w:rPr>
          <w:rFonts w:cs="Times New Roman"/>
          <w:szCs w:val="24"/>
        </w:rPr>
        <w:t>17.</w:t>
      </w:r>
      <w:r w:rsidRPr="0085640C">
        <w:rPr>
          <w:rFonts w:cs="Times New Roman"/>
          <w:szCs w:val="24"/>
        </w:rPr>
        <w:tab/>
        <w:t>Nacoulma, O. G. Plantes médicinales et pratiques médicales traditionnelles au Burkina Faso: cas du plateau central, Tome I &amp; II. (Université de Ouagadougou, Ouagadougou, 1996).</w:t>
      </w:r>
    </w:p>
    <w:p w14:paraId="428AB794" w14:textId="77777777" w:rsidR="0085640C" w:rsidRPr="0085640C" w:rsidRDefault="0085640C" w:rsidP="0085640C">
      <w:pPr>
        <w:spacing w:line="480" w:lineRule="auto"/>
        <w:rPr>
          <w:rFonts w:cs="Times New Roman"/>
          <w:szCs w:val="24"/>
          <w:lang w:val="en-GB"/>
        </w:rPr>
      </w:pPr>
      <w:r w:rsidRPr="0085640C">
        <w:rPr>
          <w:rFonts w:cs="Times New Roman"/>
          <w:szCs w:val="24"/>
        </w:rPr>
        <w:t>18.</w:t>
      </w:r>
      <w:r w:rsidRPr="0085640C">
        <w:rPr>
          <w:rFonts w:cs="Times New Roman"/>
          <w:szCs w:val="24"/>
        </w:rPr>
        <w:tab/>
        <w:t xml:space="preserve">Zerbo, P., Millogo Rasolodimby, J., Nacoulma Ouedraogo, O. &amp; Van Damme, P. Plantes médicinales et pratiques médicales au Burkina Faso : cas des Sanan. </w:t>
      </w:r>
      <w:r w:rsidRPr="0085640C">
        <w:rPr>
          <w:rFonts w:cs="Times New Roman"/>
          <w:i/>
          <w:iCs/>
          <w:szCs w:val="24"/>
          <w:lang w:val="en-GB"/>
        </w:rPr>
        <w:t>BOIS FORETS Trop.</w:t>
      </w:r>
      <w:r w:rsidRPr="0085640C">
        <w:rPr>
          <w:rFonts w:cs="Times New Roman"/>
          <w:szCs w:val="24"/>
          <w:lang w:val="en-GB"/>
        </w:rPr>
        <w:t xml:space="preserve"> 307, 41 (2011).</w:t>
      </w:r>
    </w:p>
    <w:p w14:paraId="5EB18C7E"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19.</w:t>
      </w:r>
      <w:r w:rsidRPr="0085640C">
        <w:rPr>
          <w:rFonts w:cs="Times New Roman"/>
          <w:szCs w:val="24"/>
          <w:lang w:val="en-GB"/>
        </w:rPr>
        <w:tab/>
        <w:t xml:space="preserve">N’Do, J. Y. </w:t>
      </w:r>
      <w:r w:rsidRPr="0085640C">
        <w:rPr>
          <w:rFonts w:cs="Times New Roman"/>
          <w:i/>
          <w:iCs/>
          <w:szCs w:val="24"/>
          <w:lang w:val="en-GB"/>
        </w:rPr>
        <w:t>et al.</w:t>
      </w:r>
      <w:r w:rsidRPr="0085640C">
        <w:rPr>
          <w:rFonts w:cs="Times New Roman"/>
          <w:szCs w:val="24"/>
          <w:lang w:val="en-GB"/>
        </w:rPr>
        <w:t xml:space="preserve"> Indigenous knowledge and uses of medicinal plants in Ouagadougou, Burkina Faso. </w:t>
      </w:r>
      <w:r w:rsidRPr="0085640C">
        <w:rPr>
          <w:rFonts w:cs="Times New Roman"/>
          <w:i/>
          <w:iCs/>
          <w:szCs w:val="24"/>
          <w:lang w:val="en-GB"/>
        </w:rPr>
        <w:t>Ethnobot. Res. Appl.</w:t>
      </w:r>
      <w:r w:rsidRPr="0085640C">
        <w:rPr>
          <w:rFonts w:cs="Times New Roman"/>
          <w:szCs w:val="24"/>
          <w:lang w:val="en-GB"/>
        </w:rPr>
        <w:t xml:space="preserve"> 29, 1–15 (2024).</w:t>
      </w:r>
    </w:p>
    <w:p w14:paraId="5C67B4E8"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20.</w:t>
      </w:r>
      <w:r w:rsidRPr="0085640C">
        <w:rPr>
          <w:rFonts w:cs="Times New Roman"/>
          <w:szCs w:val="24"/>
          <w:lang w:val="en-GB"/>
        </w:rPr>
        <w:tab/>
        <w:t xml:space="preserve">Singleton, V. L., Orthofer, R. &amp; Lamuela-Raventós, R. M. [14] Analysis of total phenols and other oxidation substrates and antioxidants by means of folin-ciocalteu reagent. in </w:t>
      </w:r>
      <w:r w:rsidRPr="0085640C">
        <w:rPr>
          <w:rFonts w:cs="Times New Roman"/>
          <w:i/>
          <w:iCs/>
          <w:szCs w:val="24"/>
          <w:lang w:val="en-GB"/>
        </w:rPr>
        <w:t>Methods in Enzymology</w:t>
      </w:r>
      <w:r w:rsidRPr="0085640C">
        <w:rPr>
          <w:rFonts w:cs="Times New Roman"/>
          <w:szCs w:val="24"/>
          <w:lang w:val="en-GB"/>
        </w:rPr>
        <w:t xml:space="preserve"> vol. 299 152–178 (Academic Press, 1999).</w:t>
      </w:r>
    </w:p>
    <w:p w14:paraId="11942125"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21.</w:t>
      </w:r>
      <w:r w:rsidRPr="0085640C">
        <w:rPr>
          <w:rFonts w:cs="Times New Roman"/>
          <w:szCs w:val="24"/>
          <w:lang w:val="en-GB"/>
        </w:rPr>
        <w:tab/>
        <w:t xml:space="preserve">Arvouet-Grand, A., Vennat, B., Pourrat, A. &amp; Legret, P. [Standardization of propolis extract and identification of principal constituents]. </w:t>
      </w:r>
      <w:r w:rsidRPr="0085640C">
        <w:rPr>
          <w:rFonts w:cs="Times New Roman"/>
          <w:i/>
          <w:iCs/>
          <w:szCs w:val="24"/>
          <w:lang w:val="en-GB"/>
        </w:rPr>
        <w:t>J. Pharm. Belg.</w:t>
      </w:r>
      <w:r w:rsidRPr="0085640C">
        <w:rPr>
          <w:rFonts w:cs="Times New Roman"/>
          <w:szCs w:val="24"/>
          <w:lang w:val="en-GB"/>
        </w:rPr>
        <w:t xml:space="preserve"> 49, 462–468 (1994).</w:t>
      </w:r>
    </w:p>
    <w:p w14:paraId="7AC83B64"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22.</w:t>
      </w:r>
      <w:r w:rsidRPr="0085640C">
        <w:rPr>
          <w:rFonts w:cs="Times New Roman"/>
          <w:szCs w:val="24"/>
          <w:lang w:val="en-GB"/>
        </w:rPr>
        <w:tab/>
        <w:t xml:space="preserve">Velázquez, E., Tournier, H. A., Mordujovich de Buschiazzo, P., Saavedra, G. &amp; Schinella, G. R. Antioxidant activity of Paraguayan plant extracts. </w:t>
      </w:r>
      <w:r w:rsidRPr="0085640C">
        <w:rPr>
          <w:rFonts w:cs="Times New Roman"/>
          <w:i/>
          <w:iCs/>
          <w:szCs w:val="24"/>
          <w:lang w:val="en-GB"/>
        </w:rPr>
        <w:t>Fitoterapia</w:t>
      </w:r>
      <w:r w:rsidRPr="0085640C">
        <w:rPr>
          <w:rFonts w:cs="Times New Roman"/>
          <w:szCs w:val="24"/>
          <w:lang w:val="en-GB"/>
        </w:rPr>
        <w:t xml:space="preserve"> 74, 91–97 (2003).</w:t>
      </w:r>
    </w:p>
    <w:p w14:paraId="6E9B58F2"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23.</w:t>
      </w:r>
      <w:r w:rsidRPr="0085640C">
        <w:rPr>
          <w:rFonts w:cs="Times New Roman"/>
          <w:szCs w:val="24"/>
          <w:lang w:val="en-GB"/>
        </w:rPr>
        <w:tab/>
        <w:t xml:space="preserve">Hinneburg, I., Dorman, D. &amp; Hiltunen, R. Antioxidant activities of extracts from selected herbs and spices. </w:t>
      </w:r>
      <w:r w:rsidRPr="0085640C">
        <w:rPr>
          <w:rFonts w:cs="Times New Roman"/>
          <w:i/>
          <w:iCs/>
          <w:szCs w:val="24"/>
          <w:lang w:val="en-GB"/>
        </w:rPr>
        <w:t>Food Chem.</w:t>
      </w:r>
      <w:r w:rsidRPr="0085640C">
        <w:rPr>
          <w:rFonts w:cs="Times New Roman"/>
          <w:szCs w:val="24"/>
          <w:lang w:val="en-GB"/>
        </w:rPr>
        <w:t xml:space="preserve"> 97, 122–129 (2006).</w:t>
      </w:r>
    </w:p>
    <w:p w14:paraId="58B0323A" w14:textId="77777777" w:rsidR="0085640C" w:rsidRPr="0085640C" w:rsidRDefault="0085640C" w:rsidP="0085640C">
      <w:pPr>
        <w:spacing w:line="480" w:lineRule="auto"/>
        <w:rPr>
          <w:rFonts w:cs="Times New Roman"/>
          <w:szCs w:val="24"/>
        </w:rPr>
      </w:pPr>
      <w:r w:rsidRPr="0085640C">
        <w:rPr>
          <w:rFonts w:cs="Times New Roman"/>
          <w:szCs w:val="24"/>
          <w:lang w:val="en-GB"/>
        </w:rPr>
        <w:t>24.</w:t>
      </w:r>
      <w:r w:rsidRPr="0085640C">
        <w:rPr>
          <w:rFonts w:cs="Times New Roman"/>
          <w:szCs w:val="24"/>
          <w:lang w:val="en-GB"/>
        </w:rPr>
        <w:tab/>
        <w:t xml:space="preserve">Williams, L. A. D. </w:t>
      </w:r>
      <w:r w:rsidRPr="0085640C">
        <w:rPr>
          <w:rFonts w:cs="Times New Roman"/>
          <w:i/>
          <w:iCs/>
          <w:szCs w:val="24"/>
          <w:lang w:val="en-GB"/>
        </w:rPr>
        <w:t>et al.</w:t>
      </w:r>
      <w:r w:rsidRPr="0085640C">
        <w:rPr>
          <w:rFonts w:cs="Times New Roman"/>
          <w:szCs w:val="24"/>
          <w:lang w:val="en-GB"/>
        </w:rPr>
        <w:t xml:space="preserve"> The in vitro anti-denaturation effects induced by natural products and non-steroidal compounds in heat treated (immunogenic) bovine serum albumin is </w:t>
      </w:r>
      <w:r w:rsidRPr="0085640C">
        <w:rPr>
          <w:rFonts w:cs="Times New Roman"/>
          <w:szCs w:val="24"/>
          <w:lang w:val="en-GB"/>
        </w:rPr>
        <w:lastRenderedPageBreak/>
        <w:t xml:space="preserve">proposed as a screening assay for the detection of anti-inflammatory compounds, without the use of animals, in the early stages of the drug discovery process. </w:t>
      </w:r>
      <w:r w:rsidRPr="0085640C">
        <w:rPr>
          <w:rFonts w:cs="Times New Roman"/>
          <w:i/>
          <w:iCs/>
          <w:szCs w:val="24"/>
        </w:rPr>
        <w:t>West Indian Med. J.</w:t>
      </w:r>
      <w:r w:rsidRPr="0085640C">
        <w:rPr>
          <w:rFonts w:cs="Times New Roman"/>
          <w:szCs w:val="24"/>
        </w:rPr>
        <w:t xml:space="preserve"> 57, (2008).</w:t>
      </w:r>
    </w:p>
    <w:p w14:paraId="7A83ADB7" w14:textId="77777777" w:rsidR="0085640C" w:rsidRPr="0085640C" w:rsidRDefault="0085640C" w:rsidP="0085640C">
      <w:pPr>
        <w:spacing w:line="480" w:lineRule="auto"/>
        <w:rPr>
          <w:rFonts w:cs="Times New Roman"/>
          <w:szCs w:val="24"/>
        </w:rPr>
      </w:pPr>
      <w:r w:rsidRPr="0085640C">
        <w:rPr>
          <w:rFonts w:cs="Times New Roman"/>
          <w:szCs w:val="24"/>
        </w:rPr>
        <w:t>25.</w:t>
      </w:r>
      <w:r w:rsidRPr="0085640C">
        <w:rPr>
          <w:rFonts w:cs="Times New Roman"/>
          <w:szCs w:val="24"/>
        </w:rPr>
        <w:tab/>
        <w:t xml:space="preserve">Bouterfas, K. </w:t>
      </w:r>
      <w:r w:rsidRPr="0085640C">
        <w:rPr>
          <w:rFonts w:cs="Times New Roman"/>
          <w:i/>
          <w:iCs/>
          <w:szCs w:val="24"/>
        </w:rPr>
        <w:t>et al.</w:t>
      </w:r>
      <w:r w:rsidRPr="0085640C">
        <w:rPr>
          <w:rFonts w:cs="Times New Roman"/>
          <w:szCs w:val="24"/>
        </w:rPr>
        <w:t xml:space="preserve"> La localité d’échantillonnage influence-t-elle l’activité antifongique des flavonoïdes de Marrubium vulgare vis-à-vis de Aspergillus niger et Candida albicans ? </w:t>
      </w:r>
      <w:r w:rsidRPr="0085640C">
        <w:rPr>
          <w:rFonts w:cs="Times New Roman"/>
          <w:i/>
          <w:iCs/>
          <w:szCs w:val="24"/>
        </w:rPr>
        <w:t>J. Mycol. Médicale</w:t>
      </w:r>
      <w:r w:rsidRPr="0085640C">
        <w:rPr>
          <w:rFonts w:cs="Times New Roman"/>
          <w:szCs w:val="24"/>
        </w:rPr>
        <w:t xml:space="preserve"> 26, 201–211 (2016).</w:t>
      </w:r>
    </w:p>
    <w:p w14:paraId="28AC2CBC" w14:textId="286F24AA" w:rsidR="0085640C" w:rsidRDefault="0085640C" w:rsidP="0085640C">
      <w:pPr>
        <w:spacing w:line="480" w:lineRule="auto"/>
        <w:rPr>
          <w:rFonts w:cs="Times New Roman"/>
          <w:szCs w:val="24"/>
        </w:rPr>
      </w:pPr>
      <w:r w:rsidRPr="0085640C">
        <w:rPr>
          <w:rFonts w:cs="Times New Roman"/>
          <w:szCs w:val="24"/>
        </w:rPr>
        <w:t>26.</w:t>
      </w:r>
      <w:r w:rsidRPr="0085640C">
        <w:rPr>
          <w:rFonts w:cs="Times New Roman"/>
          <w:szCs w:val="24"/>
        </w:rPr>
        <w:tab/>
      </w:r>
      <w:r w:rsidR="00752462" w:rsidRPr="00752462">
        <w:rPr>
          <w:rFonts w:cs="Times New Roman"/>
          <w:szCs w:val="24"/>
        </w:rPr>
        <w:t xml:space="preserve">Organisation for Economic Co-operation and Development. (2002). Test No. 423: Acute oral toxicity: Acute toxic class method. OECD Guidelines for the Testing of Chemicals, Section 4. OECD Publishing. </w:t>
      </w:r>
      <w:hyperlink r:id="rId14" w:history="1">
        <w:r w:rsidR="00752462" w:rsidRPr="001B073E">
          <w:rPr>
            <w:rStyle w:val="Hyperlink"/>
            <w:rFonts w:cs="Times New Roman"/>
            <w:szCs w:val="24"/>
          </w:rPr>
          <w:t>https://doi.org/10.1787/9789264071001-en</w:t>
        </w:r>
      </w:hyperlink>
    </w:p>
    <w:p w14:paraId="7ED18A6C" w14:textId="77777777" w:rsidR="00752462" w:rsidRPr="0085640C" w:rsidRDefault="00752462" w:rsidP="0085640C">
      <w:pPr>
        <w:spacing w:line="480" w:lineRule="auto"/>
        <w:rPr>
          <w:rFonts w:cs="Times New Roman"/>
          <w:szCs w:val="24"/>
        </w:rPr>
      </w:pPr>
    </w:p>
    <w:p w14:paraId="703CE775" w14:textId="77777777" w:rsidR="0085640C" w:rsidRPr="0085640C" w:rsidRDefault="0085640C" w:rsidP="0085640C">
      <w:pPr>
        <w:spacing w:line="480" w:lineRule="auto"/>
        <w:rPr>
          <w:rFonts w:cs="Times New Roman"/>
          <w:szCs w:val="24"/>
        </w:rPr>
      </w:pPr>
      <w:r w:rsidRPr="0085640C">
        <w:rPr>
          <w:rFonts w:cs="Times New Roman"/>
          <w:szCs w:val="24"/>
        </w:rPr>
        <w:t>27.</w:t>
      </w:r>
      <w:r w:rsidRPr="0085640C">
        <w:rPr>
          <w:rFonts w:cs="Times New Roman"/>
          <w:szCs w:val="24"/>
        </w:rPr>
        <w:tab/>
        <w:t xml:space="preserve">Ghedadba, N., Bousselsela, H., Hambaba, L., Benbia, S. &amp; Mouloud, Y. Évaluation de l’activité antioxydante et antimicrobienne des feuilles et des sommités fleuries de Marrubium vulgare L. </w:t>
      </w:r>
      <w:r w:rsidRPr="0085640C">
        <w:rPr>
          <w:rFonts w:cs="Times New Roman"/>
          <w:i/>
          <w:iCs/>
          <w:szCs w:val="24"/>
        </w:rPr>
        <w:t>Phytothérapie</w:t>
      </w:r>
      <w:r w:rsidRPr="0085640C">
        <w:rPr>
          <w:rFonts w:cs="Times New Roman"/>
          <w:szCs w:val="24"/>
        </w:rPr>
        <w:t xml:space="preserve"> 12, 15–24 (2014).</w:t>
      </w:r>
    </w:p>
    <w:p w14:paraId="6B88786D"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28.</w:t>
      </w:r>
      <w:r w:rsidRPr="0085640C">
        <w:rPr>
          <w:rFonts w:cs="Times New Roman"/>
          <w:szCs w:val="24"/>
          <w:lang w:val="en-GB"/>
        </w:rPr>
        <w:tab/>
        <w:t xml:space="preserve">Soto-Hernández, M., Tenango, M. P. &amp; García-Mateos, R. </w:t>
      </w:r>
      <w:r w:rsidRPr="0085640C">
        <w:rPr>
          <w:rFonts w:cs="Times New Roman"/>
          <w:i/>
          <w:iCs/>
          <w:szCs w:val="24"/>
          <w:lang w:val="en-GB"/>
        </w:rPr>
        <w:t>Phenolic Compounds: Biological Activity</w:t>
      </w:r>
      <w:r w:rsidRPr="0085640C">
        <w:rPr>
          <w:rFonts w:cs="Times New Roman"/>
          <w:szCs w:val="24"/>
          <w:lang w:val="en-GB"/>
        </w:rPr>
        <w:t>. (BoD – Books on Demand, 2017).</w:t>
      </w:r>
    </w:p>
    <w:p w14:paraId="6D80D06D"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29.</w:t>
      </w:r>
      <w:r w:rsidRPr="0085640C">
        <w:rPr>
          <w:rFonts w:cs="Times New Roman"/>
          <w:szCs w:val="24"/>
          <w:lang w:val="en-GB"/>
        </w:rPr>
        <w:tab/>
        <w:t xml:space="preserve">N’do, J. Y. </w:t>
      </w:r>
      <w:r w:rsidRPr="0085640C">
        <w:rPr>
          <w:rFonts w:cs="Times New Roman"/>
          <w:i/>
          <w:iCs/>
          <w:szCs w:val="24"/>
          <w:lang w:val="en-GB"/>
        </w:rPr>
        <w:t>et al.</w:t>
      </w:r>
      <w:r w:rsidRPr="0085640C">
        <w:rPr>
          <w:rFonts w:cs="Times New Roman"/>
          <w:szCs w:val="24"/>
          <w:lang w:val="en-GB"/>
        </w:rPr>
        <w:t xml:space="preserve"> Ethnobotany and preliminary bioactivity investigation on hepatoprotective medicinal plants from the Mouhoun Region of Burkina Faso. </w:t>
      </w:r>
      <w:r w:rsidRPr="0085640C">
        <w:rPr>
          <w:rFonts w:cs="Times New Roman"/>
          <w:i/>
          <w:iCs/>
          <w:szCs w:val="24"/>
          <w:lang w:val="en-GB"/>
        </w:rPr>
        <w:t>Int. J. Phytomedicine</w:t>
      </w:r>
      <w:r w:rsidRPr="0085640C">
        <w:rPr>
          <w:rFonts w:cs="Times New Roman"/>
          <w:szCs w:val="24"/>
          <w:lang w:val="en-GB"/>
        </w:rPr>
        <w:t xml:space="preserve"> 10, 73 (2018).</w:t>
      </w:r>
    </w:p>
    <w:p w14:paraId="01C8D5EB"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30.</w:t>
      </w:r>
      <w:r w:rsidRPr="0085640C">
        <w:rPr>
          <w:rFonts w:cs="Times New Roman"/>
          <w:szCs w:val="24"/>
          <w:lang w:val="en-GB"/>
        </w:rPr>
        <w:tab/>
        <w:t xml:space="preserve">Anoumou, K., Novidzro, K. M., Kanabiya, E. P., Melila, M. &amp; Hono, K. Comparative Study of Phytochemical Composition and In vitro Antioxidant Activities of Pseudocedrela kotschyi Leaf, Trunk and Root Barks. </w:t>
      </w:r>
      <w:r w:rsidRPr="0085640C">
        <w:rPr>
          <w:rFonts w:cs="Times New Roman"/>
          <w:i/>
          <w:iCs/>
          <w:szCs w:val="24"/>
          <w:lang w:val="en-GB"/>
        </w:rPr>
        <w:t>Orient. J. Chem.</w:t>
      </w:r>
      <w:r w:rsidRPr="0085640C">
        <w:rPr>
          <w:rFonts w:cs="Times New Roman"/>
          <w:szCs w:val="24"/>
          <w:lang w:val="en-GB"/>
        </w:rPr>
        <w:t xml:space="preserve"> 40, 1670 (2024).</w:t>
      </w:r>
    </w:p>
    <w:p w14:paraId="10C356A4"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31.</w:t>
      </w:r>
      <w:r w:rsidRPr="0085640C">
        <w:rPr>
          <w:rFonts w:cs="Times New Roman"/>
          <w:szCs w:val="24"/>
          <w:lang w:val="en-GB"/>
        </w:rPr>
        <w:tab/>
        <w:t xml:space="preserve">Sirabana, C., Claude, M. J., Severin, K. &amp; Yaya, S. T. Evaluation of Phytochemical Composition, Safety and Anti-Inflammatory Potential of Pseudocedrela kotschyi Harms (Meliaceae) Trunk Bark Extract. </w:t>
      </w:r>
      <w:r w:rsidRPr="0085640C">
        <w:rPr>
          <w:rFonts w:cs="Times New Roman"/>
          <w:i/>
          <w:iCs/>
          <w:szCs w:val="24"/>
          <w:lang w:val="en-GB"/>
        </w:rPr>
        <w:t>Eur. J. Med. Plants</w:t>
      </w:r>
      <w:r w:rsidRPr="0085640C">
        <w:rPr>
          <w:rFonts w:cs="Times New Roman"/>
          <w:szCs w:val="24"/>
          <w:lang w:val="en-GB"/>
        </w:rPr>
        <w:t xml:space="preserve"> 36, 141–149 (2025).</w:t>
      </w:r>
    </w:p>
    <w:p w14:paraId="30DF82E2"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lastRenderedPageBreak/>
        <w:t>32.</w:t>
      </w:r>
      <w:r w:rsidRPr="0085640C">
        <w:rPr>
          <w:rFonts w:cs="Times New Roman"/>
          <w:szCs w:val="24"/>
          <w:lang w:val="en-GB"/>
        </w:rPr>
        <w:tab/>
        <w:t xml:space="preserve">Diallo, D. </w:t>
      </w:r>
      <w:r w:rsidRPr="0085640C">
        <w:rPr>
          <w:rFonts w:cs="Times New Roman"/>
          <w:i/>
          <w:iCs/>
          <w:szCs w:val="24"/>
          <w:lang w:val="en-GB"/>
        </w:rPr>
        <w:t>et al.</w:t>
      </w:r>
      <w:r w:rsidRPr="0085640C">
        <w:rPr>
          <w:rFonts w:cs="Times New Roman"/>
          <w:szCs w:val="24"/>
          <w:lang w:val="en-GB"/>
        </w:rPr>
        <w:t xml:space="preserve"> Phytochemical Screening and Antioxidant Activity of Annona Senegalensis Extracts (Leaves and Stem Bark) Collected from Three Regions of Senegal. </w:t>
      </w:r>
      <w:r w:rsidRPr="0085640C">
        <w:rPr>
          <w:rFonts w:cs="Times New Roman"/>
          <w:i/>
          <w:iCs/>
          <w:szCs w:val="24"/>
          <w:lang w:val="en-GB"/>
        </w:rPr>
        <w:t>Adv. Biochem.</w:t>
      </w:r>
      <w:r w:rsidRPr="0085640C">
        <w:rPr>
          <w:rFonts w:cs="Times New Roman"/>
          <w:szCs w:val="24"/>
          <w:lang w:val="en-GB"/>
        </w:rPr>
        <w:t xml:space="preserve"> 12, 105–111 (2024).</w:t>
      </w:r>
    </w:p>
    <w:p w14:paraId="09ACF684"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33.</w:t>
      </w:r>
      <w:r w:rsidRPr="0085640C">
        <w:rPr>
          <w:rFonts w:cs="Times New Roman"/>
          <w:szCs w:val="24"/>
          <w:lang w:val="en-GB"/>
        </w:rPr>
        <w:tab/>
        <w:t xml:space="preserve">Tijani, Y. </w:t>
      </w:r>
      <w:r w:rsidRPr="0085640C">
        <w:rPr>
          <w:rFonts w:cs="Times New Roman"/>
          <w:i/>
          <w:iCs/>
          <w:szCs w:val="24"/>
          <w:lang w:val="en-GB"/>
        </w:rPr>
        <w:t>et al.</w:t>
      </w:r>
      <w:r w:rsidRPr="0085640C">
        <w:rPr>
          <w:rFonts w:cs="Times New Roman"/>
          <w:szCs w:val="24"/>
          <w:lang w:val="en-GB"/>
        </w:rPr>
        <w:t xml:space="preserve"> Phytochemical Analysis, Antioxidant Activity, Antifungal Assessment and Soap Development From Annona Senegalensis Leaves. </w:t>
      </w:r>
      <w:r w:rsidRPr="0085640C">
        <w:rPr>
          <w:rFonts w:cs="Times New Roman"/>
          <w:i/>
          <w:iCs/>
          <w:szCs w:val="24"/>
          <w:lang w:val="en-GB"/>
        </w:rPr>
        <w:t>Dutse J. Pure Appl. Sci.</w:t>
      </w:r>
      <w:r w:rsidRPr="0085640C">
        <w:rPr>
          <w:rFonts w:cs="Times New Roman"/>
          <w:szCs w:val="24"/>
          <w:lang w:val="en-GB"/>
        </w:rPr>
        <w:t xml:space="preserve"> 11, 101–113 (2025).</w:t>
      </w:r>
    </w:p>
    <w:p w14:paraId="4B79D455"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34.</w:t>
      </w:r>
      <w:r w:rsidRPr="0085640C">
        <w:rPr>
          <w:rFonts w:cs="Times New Roman"/>
          <w:szCs w:val="24"/>
          <w:lang w:val="en-GB"/>
        </w:rPr>
        <w:tab/>
        <w:t xml:space="preserve">Olszowy, M. What is responsible for antioxidant properties of polyphenolic compounds from plants? </w:t>
      </w:r>
      <w:r w:rsidRPr="0085640C">
        <w:rPr>
          <w:rFonts w:cs="Times New Roman"/>
          <w:i/>
          <w:iCs/>
          <w:szCs w:val="24"/>
          <w:lang w:val="en-GB"/>
        </w:rPr>
        <w:t>Plant Physiol. Biochem.</w:t>
      </w:r>
      <w:r w:rsidRPr="0085640C">
        <w:rPr>
          <w:rFonts w:cs="Times New Roman"/>
          <w:szCs w:val="24"/>
          <w:lang w:val="en-GB"/>
        </w:rPr>
        <w:t xml:space="preserve"> 144, 135–143 (2019).</w:t>
      </w:r>
    </w:p>
    <w:p w14:paraId="1BD3AB6E"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35.</w:t>
      </w:r>
      <w:r w:rsidRPr="0085640C">
        <w:rPr>
          <w:rFonts w:cs="Times New Roman"/>
          <w:szCs w:val="24"/>
          <w:lang w:val="en-GB"/>
        </w:rPr>
        <w:tab/>
        <w:t xml:space="preserve">Yahfoufi, N., Alsadi, N., Jambi, M. &amp; Matar, C. The Immunomodulatory and Anti-Inflammatory Role of Polyphenols. </w:t>
      </w:r>
      <w:r w:rsidRPr="0085640C">
        <w:rPr>
          <w:rFonts w:cs="Times New Roman"/>
          <w:i/>
          <w:iCs/>
          <w:szCs w:val="24"/>
          <w:lang w:val="en-GB"/>
        </w:rPr>
        <w:t>Nutrients</w:t>
      </w:r>
      <w:r w:rsidRPr="0085640C">
        <w:rPr>
          <w:rFonts w:cs="Times New Roman"/>
          <w:szCs w:val="24"/>
          <w:lang w:val="en-GB"/>
        </w:rPr>
        <w:t xml:space="preserve"> 10, 1618 (2018).</w:t>
      </w:r>
    </w:p>
    <w:p w14:paraId="226459AE"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36.</w:t>
      </w:r>
      <w:r w:rsidRPr="0085640C">
        <w:rPr>
          <w:rFonts w:cs="Times New Roman"/>
          <w:szCs w:val="24"/>
          <w:lang w:val="en-GB"/>
        </w:rPr>
        <w:tab/>
        <w:t xml:space="preserve">Rudrapal, M. </w:t>
      </w:r>
      <w:r w:rsidRPr="0085640C">
        <w:rPr>
          <w:rFonts w:cs="Times New Roman"/>
          <w:i/>
          <w:iCs/>
          <w:szCs w:val="24"/>
          <w:lang w:val="en-GB"/>
        </w:rPr>
        <w:t>et al.</w:t>
      </w:r>
      <w:r w:rsidRPr="0085640C">
        <w:rPr>
          <w:rFonts w:cs="Times New Roman"/>
          <w:szCs w:val="24"/>
          <w:lang w:val="en-GB"/>
        </w:rPr>
        <w:t xml:space="preserve"> Anti-Inflammatory and Antioxidant Potential of Plant-Derived Phenolic Acids as Triple COX, LOX, and NOX Inhibitors: A Computational Approach. </w:t>
      </w:r>
      <w:r w:rsidRPr="0085640C">
        <w:rPr>
          <w:rFonts w:cs="Times New Roman"/>
          <w:i/>
          <w:iCs/>
          <w:szCs w:val="24"/>
          <w:lang w:val="en-GB"/>
        </w:rPr>
        <w:t>Chem. Biodivers.</w:t>
      </w:r>
      <w:r w:rsidRPr="0085640C">
        <w:rPr>
          <w:rFonts w:cs="Times New Roman"/>
          <w:szCs w:val="24"/>
          <w:lang w:val="en-GB"/>
        </w:rPr>
        <w:t xml:space="preserve"> 22, e03505 (2025).</w:t>
      </w:r>
    </w:p>
    <w:p w14:paraId="7ED11CF5" w14:textId="77777777" w:rsidR="0085640C" w:rsidRPr="0085640C" w:rsidRDefault="0085640C" w:rsidP="0085640C">
      <w:pPr>
        <w:spacing w:line="480" w:lineRule="auto"/>
        <w:rPr>
          <w:rFonts w:cs="Times New Roman"/>
          <w:szCs w:val="24"/>
        </w:rPr>
      </w:pPr>
      <w:r w:rsidRPr="0085640C">
        <w:rPr>
          <w:rFonts w:cs="Times New Roman"/>
          <w:szCs w:val="24"/>
          <w:lang w:val="en-GB"/>
        </w:rPr>
        <w:t>37.</w:t>
      </w:r>
      <w:r w:rsidRPr="0085640C">
        <w:rPr>
          <w:rFonts w:cs="Times New Roman"/>
          <w:szCs w:val="24"/>
          <w:lang w:val="en-GB"/>
        </w:rPr>
        <w:tab/>
        <w:t xml:space="preserve">Alhassan, A. M., Malami, I. &amp; Abdullahi, M. I. Phytochemical Screening and Antimicrobial Evaluation of Stem Bark Extract of Pseudocedrela kotschyi (Schweinf.) </w:t>
      </w:r>
      <w:r w:rsidRPr="0085640C">
        <w:rPr>
          <w:rFonts w:cs="Times New Roman"/>
          <w:szCs w:val="24"/>
        </w:rPr>
        <w:t xml:space="preserve">Herms. </w:t>
      </w:r>
      <w:r w:rsidRPr="0085640C">
        <w:rPr>
          <w:rFonts w:cs="Times New Roman"/>
          <w:i/>
          <w:iCs/>
          <w:szCs w:val="24"/>
        </w:rPr>
        <w:t>J. Pharm. Res. Int.</w:t>
      </w:r>
      <w:r w:rsidRPr="0085640C">
        <w:rPr>
          <w:rFonts w:cs="Times New Roman"/>
          <w:szCs w:val="24"/>
        </w:rPr>
        <w:t xml:space="preserve"> 1937–1944 (2014) doi:10.9734/BJPR/2014/12163.</w:t>
      </w:r>
    </w:p>
    <w:p w14:paraId="3750DE69" w14:textId="77777777" w:rsidR="0085640C" w:rsidRPr="0085640C" w:rsidRDefault="0085640C" w:rsidP="0085640C">
      <w:pPr>
        <w:spacing w:line="480" w:lineRule="auto"/>
        <w:rPr>
          <w:rFonts w:cs="Times New Roman"/>
          <w:szCs w:val="24"/>
          <w:lang w:val="en-GB"/>
        </w:rPr>
      </w:pPr>
      <w:r w:rsidRPr="0085640C">
        <w:rPr>
          <w:rFonts w:cs="Times New Roman"/>
          <w:szCs w:val="24"/>
        </w:rPr>
        <w:t>38.</w:t>
      </w:r>
      <w:r w:rsidRPr="0085640C">
        <w:rPr>
          <w:rFonts w:cs="Times New Roman"/>
          <w:szCs w:val="24"/>
        </w:rPr>
        <w:tab/>
        <w:t xml:space="preserve">Zhang, X.-E. </w:t>
      </w:r>
      <w:r w:rsidRPr="0085640C">
        <w:rPr>
          <w:rFonts w:cs="Times New Roman"/>
          <w:i/>
          <w:iCs/>
          <w:szCs w:val="24"/>
        </w:rPr>
        <w:t>et al.</w:t>
      </w:r>
      <w:r w:rsidRPr="0085640C">
        <w:rPr>
          <w:rFonts w:cs="Times New Roman"/>
          <w:szCs w:val="24"/>
        </w:rPr>
        <w:t xml:space="preserve"> </w:t>
      </w:r>
      <w:r w:rsidRPr="0085640C">
        <w:rPr>
          <w:rFonts w:cs="Times New Roman"/>
          <w:szCs w:val="24"/>
          <w:lang w:val="en-GB"/>
        </w:rPr>
        <w:t xml:space="preserve">Microbiome: Role in Inflammatory Skin Diseases. </w:t>
      </w:r>
      <w:r w:rsidRPr="0085640C">
        <w:rPr>
          <w:rFonts w:cs="Times New Roman"/>
          <w:i/>
          <w:iCs/>
          <w:szCs w:val="24"/>
          <w:lang w:val="en-GB"/>
        </w:rPr>
        <w:t>J. Inflamm. Res.</w:t>
      </w:r>
      <w:r w:rsidRPr="0085640C">
        <w:rPr>
          <w:rFonts w:cs="Times New Roman"/>
          <w:szCs w:val="24"/>
          <w:lang w:val="en-GB"/>
        </w:rPr>
        <w:t xml:space="preserve"> 17, 1057–1082 (2024).</w:t>
      </w:r>
    </w:p>
    <w:p w14:paraId="34714247" w14:textId="77777777" w:rsidR="0085640C" w:rsidRPr="0085640C" w:rsidRDefault="0085640C" w:rsidP="0085640C">
      <w:pPr>
        <w:spacing w:line="480" w:lineRule="auto"/>
        <w:rPr>
          <w:rFonts w:cs="Times New Roman"/>
          <w:szCs w:val="24"/>
          <w:lang w:val="en-GB"/>
        </w:rPr>
      </w:pPr>
      <w:r w:rsidRPr="0085640C">
        <w:rPr>
          <w:rFonts w:cs="Times New Roman"/>
          <w:szCs w:val="24"/>
          <w:lang w:val="en-GB"/>
        </w:rPr>
        <w:t>39.</w:t>
      </w:r>
      <w:r w:rsidRPr="0085640C">
        <w:rPr>
          <w:rFonts w:cs="Times New Roman"/>
          <w:szCs w:val="24"/>
          <w:lang w:val="en-GB"/>
        </w:rPr>
        <w:tab/>
        <w:t xml:space="preserve">Baba, A. I., Shagal, M. H. &amp; Magaji, A. B. Phytochemical constituents and antimicrobial activities of methanolic extracts of </w:t>
      </w:r>
      <w:r w:rsidRPr="0085640C">
        <w:rPr>
          <w:rFonts w:cs="Times New Roman"/>
          <w:i/>
          <w:iCs/>
          <w:szCs w:val="24"/>
          <w:lang w:val="en-GB"/>
        </w:rPr>
        <w:t xml:space="preserve">Polyalthia longifolia </w:t>
      </w:r>
      <w:r w:rsidRPr="0085640C">
        <w:rPr>
          <w:rFonts w:cs="Times New Roman"/>
          <w:szCs w:val="24"/>
          <w:lang w:val="en-GB"/>
        </w:rPr>
        <w:t xml:space="preserve">and </w:t>
      </w:r>
      <w:r w:rsidRPr="0085640C">
        <w:rPr>
          <w:rFonts w:cs="Times New Roman"/>
          <w:i/>
          <w:iCs/>
          <w:szCs w:val="24"/>
          <w:lang w:val="en-GB"/>
        </w:rPr>
        <w:t>Annona senegalensis</w:t>
      </w:r>
      <w:r w:rsidRPr="0085640C">
        <w:rPr>
          <w:rFonts w:cs="Times New Roman"/>
          <w:szCs w:val="24"/>
          <w:lang w:val="en-GB"/>
        </w:rPr>
        <w:t xml:space="preserve"> plants. </w:t>
      </w:r>
      <w:r w:rsidRPr="0085640C">
        <w:rPr>
          <w:rFonts w:cs="Times New Roman"/>
          <w:i/>
          <w:iCs/>
          <w:szCs w:val="24"/>
          <w:lang w:val="en-GB"/>
        </w:rPr>
        <w:t>J. Health Metab. Nutr. Stud.</w:t>
      </w:r>
      <w:r w:rsidRPr="0085640C">
        <w:rPr>
          <w:rFonts w:cs="Times New Roman"/>
          <w:szCs w:val="24"/>
          <w:lang w:val="en-GB"/>
        </w:rPr>
        <w:t xml:space="preserve"> https://doi.org/10.70382/bejhmns.v8i3.023 (2025) </w:t>
      </w:r>
    </w:p>
    <w:p w14:paraId="7808795A" w14:textId="77777777" w:rsidR="0085640C" w:rsidRPr="0085640C" w:rsidRDefault="0085640C" w:rsidP="0085640C">
      <w:pPr>
        <w:spacing w:line="480" w:lineRule="auto"/>
        <w:rPr>
          <w:rFonts w:cs="Times New Roman"/>
          <w:szCs w:val="24"/>
          <w:lang w:val="en-GB"/>
        </w:rPr>
      </w:pPr>
      <w:r w:rsidRPr="0085640C">
        <w:rPr>
          <w:rFonts w:cs="Times New Roman"/>
          <w:szCs w:val="24"/>
        </w:rPr>
        <w:t>40.</w:t>
      </w:r>
      <w:r w:rsidRPr="0085640C">
        <w:rPr>
          <w:rFonts w:cs="Times New Roman"/>
          <w:szCs w:val="24"/>
        </w:rPr>
        <w:tab/>
        <w:t xml:space="preserve">N’do, J. Y. </w:t>
      </w:r>
      <w:r w:rsidRPr="0085640C">
        <w:rPr>
          <w:rFonts w:cs="Times New Roman"/>
          <w:i/>
          <w:iCs/>
          <w:szCs w:val="24"/>
        </w:rPr>
        <w:t>et al.</w:t>
      </w:r>
      <w:r w:rsidRPr="0085640C">
        <w:rPr>
          <w:rFonts w:cs="Times New Roman"/>
          <w:szCs w:val="24"/>
        </w:rPr>
        <w:t xml:space="preserve"> </w:t>
      </w:r>
      <w:r w:rsidRPr="0085640C">
        <w:rPr>
          <w:rFonts w:cs="Times New Roman"/>
          <w:szCs w:val="24"/>
          <w:lang w:val="en-GB"/>
        </w:rPr>
        <w:t xml:space="preserve">Ethnobotany and quality control of bioproducts: Sustainable management of natural resources in urban environments. </w:t>
      </w:r>
      <w:r w:rsidRPr="0085640C">
        <w:rPr>
          <w:rFonts w:cs="Times New Roman"/>
          <w:i/>
          <w:iCs/>
          <w:szCs w:val="24"/>
          <w:lang w:val="en-GB"/>
        </w:rPr>
        <w:t>Results Eng.</w:t>
      </w:r>
      <w:r w:rsidRPr="0085640C">
        <w:rPr>
          <w:rFonts w:cs="Times New Roman"/>
          <w:szCs w:val="24"/>
          <w:lang w:val="en-GB"/>
        </w:rPr>
        <w:t xml:space="preserve"> 27, 106300 (2025).</w:t>
      </w:r>
    </w:p>
    <w:p w14:paraId="2CBDACB3" w14:textId="60410650" w:rsidR="00670755" w:rsidRDefault="0085640C" w:rsidP="00261EA5">
      <w:pPr>
        <w:spacing w:line="480" w:lineRule="auto"/>
        <w:rPr>
          <w:rFonts w:cs="Times New Roman"/>
          <w:szCs w:val="24"/>
          <w:lang w:val="en-GB"/>
        </w:rPr>
      </w:pPr>
      <w:r w:rsidRPr="0085640C">
        <w:rPr>
          <w:rFonts w:cs="Times New Roman"/>
          <w:szCs w:val="24"/>
          <w:lang w:val="en-GB"/>
        </w:rPr>
        <w:lastRenderedPageBreak/>
        <w:t>41.</w:t>
      </w:r>
      <w:r w:rsidRPr="0085640C">
        <w:rPr>
          <w:rFonts w:cs="Times New Roman"/>
          <w:szCs w:val="24"/>
          <w:lang w:val="en-GB"/>
        </w:rPr>
        <w:tab/>
      </w:r>
      <w:r w:rsidR="00670755" w:rsidRPr="00670755">
        <w:rPr>
          <w:rFonts w:cs="Times New Roman"/>
          <w:szCs w:val="24"/>
          <w:lang w:val="en-GB"/>
        </w:rPr>
        <w:t>Prieto, J. M., &amp; Schinella, G. R. (2022). Anti-inflammatory and antioxidant Chinese herbal medicines: Links between traditional characters and the skin lipoperoxidation “Western” model. Antioxidants, 11(4), 611.</w:t>
      </w:r>
      <w:r w:rsidR="00670755" w:rsidRPr="00670755">
        <w:t xml:space="preserve"> </w:t>
      </w:r>
      <w:hyperlink r:id="rId15" w:history="1">
        <w:r w:rsidR="00670755" w:rsidRPr="001B073E">
          <w:rPr>
            <w:rStyle w:val="Hyperlink"/>
            <w:rFonts w:cs="Times New Roman"/>
            <w:szCs w:val="24"/>
            <w:lang w:val="en-GB"/>
          </w:rPr>
          <w:t>https://doi.org/10.3390/antiox11040611</w:t>
        </w:r>
      </w:hyperlink>
      <w:r w:rsidR="00670755">
        <w:rPr>
          <w:rFonts w:cs="Times New Roman"/>
          <w:szCs w:val="24"/>
          <w:lang w:val="en-GB"/>
        </w:rPr>
        <w:t xml:space="preserve"> </w:t>
      </w:r>
    </w:p>
    <w:p w14:paraId="28FE98A2" w14:textId="30970593" w:rsidR="00261EA5" w:rsidRPr="002752A1" w:rsidRDefault="00261EA5" w:rsidP="00261EA5">
      <w:pPr>
        <w:spacing w:line="480" w:lineRule="auto"/>
        <w:rPr>
          <w:rFonts w:cs="Times New Roman"/>
          <w:szCs w:val="24"/>
          <w:lang w:val="en-US"/>
        </w:rPr>
      </w:pPr>
      <w:r>
        <w:rPr>
          <w:rFonts w:cs="Times New Roman"/>
          <w:szCs w:val="24"/>
          <w:lang w:val="en-GB"/>
        </w:rPr>
        <w:t>42</w:t>
      </w:r>
      <w:r>
        <w:rPr>
          <w:rFonts w:cs="Times New Roman"/>
          <w:szCs w:val="24"/>
          <w:lang w:val="en-GB"/>
        </w:rPr>
        <w:tab/>
      </w:r>
      <w:r w:rsidRPr="00261EA5">
        <w:rPr>
          <w:rFonts w:cs="Times New Roman"/>
          <w:szCs w:val="24"/>
          <w:lang w:val="en-GB"/>
        </w:rPr>
        <w:t xml:space="preserve">Ashraf, M. V., Pant, S., Khan, M. A. H., Shah, A. A., Siddiqui, S., Jeridi, M., Alhamdi, H. W. S., &amp; Ahmad, S. (2023). Phytochemicals as Antimicrobials : Prospecting Himalayan Medicinal Plants as Source of Alternate Medicine to Combat Antimicrobial Resistance. </w:t>
      </w:r>
      <w:r w:rsidRPr="002752A1">
        <w:rPr>
          <w:rFonts w:cs="Times New Roman"/>
          <w:i/>
          <w:iCs/>
          <w:szCs w:val="24"/>
          <w:lang w:val="en-US"/>
        </w:rPr>
        <w:t>Pharmaceuticals</w:t>
      </w:r>
      <w:r w:rsidRPr="002752A1">
        <w:rPr>
          <w:rFonts w:cs="Times New Roman"/>
          <w:szCs w:val="24"/>
          <w:lang w:val="en-US"/>
        </w:rPr>
        <w:t xml:space="preserve">, </w:t>
      </w:r>
      <w:r w:rsidRPr="002752A1">
        <w:rPr>
          <w:rFonts w:cs="Times New Roman"/>
          <w:i/>
          <w:iCs/>
          <w:szCs w:val="24"/>
          <w:lang w:val="en-US"/>
        </w:rPr>
        <w:t>16</w:t>
      </w:r>
      <w:r w:rsidRPr="002752A1">
        <w:rPr>
          <w:rFonts w:cs="Times New Roman"/>
          <w:szCs w:val="24"/>
          <w:lang w:val="en-US"/>
        </w:rPr>
        <w:t xml:space="preserve">(6), 881. </w:t>
      </w:r>
      <w:hyperlink r:id="rId16" w:history="1">
        <w:r w:rsidRPr="002752A1">
          <w:rPr>
            <w:rStyle w:val="Hyperlink"/>
            <w:rFonts w:cs="Times New Roman"/>
            <w:szCs w:val="24"/>
            <w:lang w:val="en-US"/>
          </w:rPr>
          <w:t>https://doi.org/10.3390/ph16060881</w:t>
        </w:r>
      </w:hyperlink>
    </w:p>
    <w:p w14:paraId="4A323660" w14:textId="77777777" w:rsidR="00056EAF" w:rsidRPr="00056EAF" w:rsidRDefault="00056EAF" w:rsidP="00056EAF">
      <w:pPr>
        <w:spacing w:line="480" w:lineRule="auto"/>
        <w:rPr>
          <w:rFonts w:cs="Times New Roman"/>
          <w:szCs w:val="24"/>
        </w:rPr>
      </w:pPr>
      <w:r w:rsidRPr="002752A1">
        <w:rPr>
          <w:rFonts w:cs="Times New Roman"/>
          <w:szCs w:val="24"/>
          <w:lang w:val="en-US"/>
        </w:rPr>
        <w:t>43</w:t>
      </w:r>
      <w:r w:rsidRPr="002752A1">
        <w:rPr>
          <w:rFonts w:cs="Times New Roman"/>
          <w:szCs w:val="24"/>
          <w:lang w:val="en-US"/>
        </w:rPr>
        <w:tab/>
      </w:r>
      <w:r w:rsidRPr="00056EAF">
        <w:rPr>
          <w:rFonts w:cs="Times New Roman"/>
          <w:szCs w:val="24"/>
          <w:lang w:val="en-GB"/>
        </w:rPr>
        <w:t xml:space="preserve">Hartung, T. (2018). Perspectives on In Vitro to In Vivo Extrapolations. </w:t>
      </w:r>
      <w:r w:rsidRPr="00056EAF">
        <w:rPr>
          <w:rFonts w:cs="Times New Roman"/>
          <w:i/>
          <w:iCs/>
          <w:szCs w:val="24"/>
        </w:rPr>
        <w:t>Applied In Vitro Toxicology</w:t>
      </w:r>
      <w:r w:rsidRPr="00056EAF">
        <w:rPr>
          <w:rFonts w:cs="Times New Roman"/>
          <w:szCs w:val="24"/>
        </w:rPr>
        <w:t xml:space="preserve">, </w:t>
      </w:r>
      <w:r w:rsidRPr="00056EAF">
        <w:rPr>
          <w:rFonts w:cs="Times New Roman"/>
          <w:i/>
          <w:iCs/>
          <w:szCs w:val="24"/>
        </w:rPr>
        <w:t>4</w:t>
      </w:r>
      <w:r w:rsidRPr="00056EAF">
        <w:rPr>
          <w:rFonts w:cs="Times New Roman"/>
          <w:szCs w:val="24"/>
        </w:rPr>
        <w:t>(4), 305</w:t>
      </w:r>
      <w:r w:rsidRPr="00056EAF">
        <w:rPr>
          <w:rFonts w:cs="Times New Roman"/>
          <w:szCs w:val="24"/>
        </w:rPr>
        <w:noBreakHyphen/>
        <w:t xml:space="preserve">316. </w:t>
      </w:r>
      <w:hyperlink r:id="rId17" w:history="1">
        <w:r w:rsidRPr="00056EAF">
          <w:rPr>
            <w:rStyle w:val="Hyperlink"/>
            <w:rFonts w:cs="Times New Roman"/>
            <w:szCs w:val="24"/>
          </w:rPr>
          <w:t>https://doi.org/10.1089/aivt.2016.0026</w:t>
        </w:r>
      </w:hyperlink>
    </w:p>
    <w:p w14:paraId="035CCB35" w14:textId="77777777" w:rsidR="00A0573E" w:rsidRPr="00484423" w:rsidRDefault="00A0573E" w:rsidP="0091489C">
      <w:pPr>
        <w:spacing w:line="480" w:lineRule="auto"/>
        <w:rPr>
          <w:rFonts w:cs="Times New Roman"/>
          <w:szCs w:val="24"/>
          <w:lang w:val="en-GB"/>
        </w:rPr>
      </w:pPr>
    </w:p>
    <w:sectPr w:rsidR="00A0573E" w:rsidRPr="00484423" w:rsidSect="00981AC4">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8755" w14:textId="77777777" w:rsidR="004F1095" w:rsidRDefault="004F1095" w:rsidP="00184B71">
      <w:pPr>
        <w:spacing w:line="240" w:lineRule="auto"/>
      </w:pPr>
      <w:r>
        <w:separator/>
      </w:r>
    </w:p>
  </w:endnote>
  <w:endnote w:type="continuationSeparator" w:id="0">
    <w:p w14:paraId="62542818" w14:textId="77777777" w:rsidR="004F1095" w:rsidRDefault="004F1095" w:rsidP="00184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5364" w14:textId="77777777" w:rsidR="00A31870" w:rsidRDefault="00A31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A575" w14:textId="77777777" w:rsidR="00A332A8" w:rsidRPr="00493035" w:rsidRDefault="00A332A8">
    <w:pPr>
      <w:pStyle w:val="Footer"/>
      <w:rPr>
        <w:rFonts w:ascii="Helvetica" w:hAnsi="Helvetica" w:cs="Helvetica"/>
        <w:sz w:val="20"/>
        <w:szCs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652A" w14:textId="77777777" w:rsidR="00A31870" w:rsidRDefault="00A31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92A97" w14:textId="77777777" w:rsidR="004F1095" w:rsidRDefault="004F1095" w:rsidP="00184B71">
      <w:pPr>
        <w:spacing w:line="240" w:lineRule="auto"/>
      </w:pPr>
      <w:r>
        <w:separator/>
      </w:r>
    </w:p>
  </w:footnote>
  <w:footnote w:type="continuationSeparator" w:id="0">
    <w:p w14:paraId="6AB6AF7E" w14:textId="77777777" w:rsidR="004F1095" w:rsidRDefault="004F1095" w:rsidP="00184B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BC9F" w14:textId="77777777" w:rsidR="00A31870" w:rsidRDefault="00000000">
    <w:pPr>
      <w:pStyle w:val="Header"/>
    </w:pPr>
    <w:r>
      <w:rPr>
        <w:noProof/>
      </w:rPr>
      <w:pict w14:anchorId="351D85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01876" o:spid="_x0000_s1027" type="#_x0000_t136" alt="" style="position:absolute;left:0;text-align:left;margin-left:0;margin-top:0;width:575.5pt;height:63.9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ECD6" w14:textId="77777777" w:rsidR="00A31870" w:rsidRDefault="00000000">
    <w:pPr>
      <w:pStyle w:val="Header"/>
    </w:pPr>
    <w:r>
      <w:rPr>
        <w:noProof/>
      </w:rPr>
      <w:pict w14:anchorId="3F9DF0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01877" o:spid="_x0000_s1026" type="#_x0000_t136" alt="" style="position:absolute;left:0;text-align:left;margin-left:0;margin-top:0;width:575.5pt;height:63.9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4BD2" w14:textId="77777777" w:rsidR="00A31870" w:rsidRDefault="00000000">
    <w:pPr>
      <w:pStyle w:val="Header"/>
    </w:pPr>
    <w:r>
      <w:rPr>
        <w:noProof/>
      </w:rPr>
      <w:pict w14:anchorId="4FEAFB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01875" o:spid="_x0000_s1025" type="#_x0000_t136" alt="" style="position:absolute;left:0;text-align:left;margin-left:0;margin-top:0;width:575.5pt;height:63.9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DEA"/>
    <w:multiLevelType w:val="multilevel"/>
    <w:tmpl w:val="040C001D"/>
    <w:styleLink w:val="PaulinNiveau"/>
    <w:lvl w:ilvl="0">
      <w:start w:val="1"/>
      <w:numFmt w:val="upperRoman"/>
      <w:lvlText w:val="%1)"/>
      <w:lvlJc w:val="left"/>
      <w:pPr>
        <w:ind w:left="360" w:hanging="360"/>
      </w:pPr>
    </w:lvl>
    <w:lvl w:ilvl="1">
      <w:start w:val="1"/>
      <w:numFmt w:val="decimal"/>
      <w:lvlText w:val="%2)"/>
      <w:lvlJc w:val="left"/>
      <w:pPr>
        <w:ind w:left="36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5D14A47"/>
    <w:multiLevelType w:val="hybridMultilevel"/>
    <w:tmpl w:val="ADBEF4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6F6E3183"/>
    <w:multiLevelType w:val="multilevel"/>
    <w:tmpl w:val="980C74CA"/>
    <w:styleLink w:val="mondocument"/>
    <w:lvl w:ilvl="0">
      <w:start w:val="1"/>
      <w:numFmt w:val="upperRoman"/>
      <w:lvlText w:val="%1."/>
      <w:lvlJc w:val="left"/>
      <w:pPr>
        <w:ind w:left="1440" w:hanging="363"/>
      </w:pPr>
      <w:rPr>
        <w:rFonts w:hint="default"/>
      </w:rPr>
    </w:lvl>
    <w:lvl w:ilvl="1">
      <w:start w:val="1"/>
      <w:numFmt w:val="decimal"/>
      <w:pStyle w:val="Heading2"/>
      <w:lvlText w:val="%1.%2."/>
      <w:lvlJc w:val="left"/>
      <w:pPr>
        <w:ind w:left="1797" w:hanging="363"/>
      </w:pPr>
      <w:rPr>
        <w:rFonts w:hint="default"/>
      </w:rPr>
    </w:lvl>
    <w:lvl w:ilvl="2">
      <w:start w:val="1"/>
      <w:numFmt w:val="decimal"/>
      <w:lvlText w:val="%1.%2.%3."/>
      <w:lvlJc w:val="left"/>
      <w:pPr>
        <w:ind w:left="2154" w:hanging="363"/>
      </w:pPr>
      <w:rPr>
        <w:rFonts w:hint="default"/>
      </w:rPr>
    </w:lvl>
    <w:lvl w:ilvl="3">
      <w:start w:val="1"/>
      <w:numFmt w:val="decimal"/>
      <w:lvlText w:val="%1.%2.%3.%4."/>
      <w:lvlJc w:val="left"/>
      <w:pPr>
        <w:ind w:left="2511" w:hanging="363"/>
      </w:pPr>
      <w:rPr>
        <w:rFonts w:hint="default"/>
      </w:rPr>
    </w:lvl>
    <w:lvl w:ilvl="4">
      <w:start w:val="1"/>
      <w:numFmt w:val="decimal"/>
      <w:lvlText w:val="%1.%2.%3.%4.%5."/>
      <w:lvlJc w:val="left"/>
      <w:pPr>
        <w:ind w:left="2868" w:hanging="363"/>
      </w:pPr>
      <w:rPr>
        <w:rFonts w:hint="default"/>
      </w:rPr>
    </w:lvl>
    <w:lvl w:ilvl="5">
      <w:start w:val="1"/>
      <w:numFmt w:val="decimal"/>
      <w:lvlText w:val="%1.%2.%3.%4.%5.%6."/>
      <w:lvlJc w:val="left"/>
      <w:pPr>
        <w:ind w:left="3225" w:hanging="363"/>
      </w:pPr>
      <w:rPr>
        <w:rFonts w:hint="default"/>
      </w:rPr>
    </w:lvl>
    <w:lvl w:ilvl="6">
      <w:start w:val="1"/>
      <w:numFmt w:val="decimal"/>
      <w:lvlText w:val="%1.%2.%3.%4.%5.%6.%7."/>
      <w:lvlJc w:val="left"/>
      <w:pPr>
        <w:ind w:left="3582" w:hanging="363"/>
      </w:pPr>
      <w:rPr>
        <w:rFonts w:hint="default"/>
      </w:rPr>
    </w:lvl>
    <w:lvl w:ilvl="7">
      <w:start w:val="1"/>
      <w:numFmt w:val="decimal"/>
      <w:lvlText w:val="%1.%2.%3.%4.%5.%6.%7.%8."/>
      <w:lvlJc w:val="left"/>
      <w:pPr>
        <w:ind w:left="3939" w:hanging="363"/>
      </w:pPr>
      <w:rPr>
        <w:rFonts w:hint="default"/>
      </w:rPr>
    </w:lvl>
    <w:lvl w:ilvl="8">
      <w:start w:val="1"/>
      <w:numFmt w:val="decimal"/>
      <w:lvlText w:val="%1.%2.%3.%4.%5.%6.%7.%8.%9."/>
      <w:lvlJc w:val="left"/>
      <w:pPr>
        <w:ind w:left="4296" w:hanging="363"/>
      </w:pPr>
      <w:rPr>
        <w:rFonts w:hint="default"/>
      </w:rPr>
    </w:lvl>
  </w:abstractNum>
  <w:num w:numId="1" w16cid:durableId="82456641">
    <w:abstractNumId w:val="0"/>
  </w:num>
  <w:num w:numId="2" w16cid:durableId="246115437">
    <w:abstractNumId w:val="2"/>
  </w:num>
  <w:num w:numId="3" w16cid:durableId="796067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W0NDc2NDQBUiYWZko6SsGpxcWZ+XkgBYa1ACEcmzssAAAA"/>
  </w:docVars>
  <w:rsids>
    <w:rsidRoot w:val="0037392F"/>
    <w:rsid w:val="000014D7"/>
    <w:rsid w:val="00006B2B"/>
    <w:rsid w:val="000120C8"/>
    <w:rsid w:val="000175AD"/>
    <w:rsid w:val="00024DD2"/>
    <w:rsid w:val="000255BF"/>
    <w:rsid w:val="00026239"/>
    <w:rsid w:val="0003157D"/>
    <w:rsid w:val="0004155F"/>
    <w:rsid w:val="00042DA2"/>
    <w:rsid w:val="00043538"/>
    <w:rsid w:val="000522CE"/>
    <w:rsid w:val="00056EAF"/>
    <w:rsid w:val="00096657"/>
    <w:rsid w:val="000A580C"/>
    <w:rsid w:val="000B15EF"/>
    <w:rsid w:val="000B333A"/>
    <w:rsid w:val="000B3A50"/>
    <w:rsid w:val="000C5F1D"/>
    <w:rsid w:val="000D35DB"/>
    <w:rsid w:val="000E283E"/>
    <w:rsid w:val="000E6C46"/>
    <w:rsid w:val="000F5CEB"/>
    <w:rsid w:val="000F7C5E"/>
    <w:rsid w:val="00100E35"/>
    <w:rsid w:val="00112A22"/>
    <w:rsid w:val="0012237B"/>
    <w:rsid w:val="00141713"/>
    <w:rsid w:val="00171147"/>
    <w:rsid w:val="00181AD8"/>
    <w:rsid w:val="00184B71"/>
    <w:rsid w:val="001856F4"/>
    <w:rsid w:val="00194F93"/>
    <w:rsid w:val="001A57D4"/>
    <w:rsid w:val="001A5939"/>
    <w:rsid w:val="001A5AC6"/>
    <w:rsid w:val="001C467F"/>
    <w:rsid w:val="001C5F34"/>
    <w:rsid w:val="001E6E5E"/>
    <w:rsid w:val="001F56D8"/>
    <w:rsid w:val="0021545D"/>
    <w:rsid w:val="00215D43"/>
    <w:rsid w:val="002225A9"/>
    <w:rsid w:val="0023521D"/>
    <w:rsid w:val="00237113"/>
    <w:rsid w:val="00245B8E"/>
    <w:rsid w:val="0025621A"/>
    <w:rsid w:val="00256888"/>
    <w:rsid w:val="0025788C"/>
    <w:rsid w:val="00261EA5"/>
    <w:rsid w:val="002752A1"/>
    <w:rsid w:val="002A09A3"/>
    <w:rsid w:val="002A25E1"/>
    <w:rsid w:val="002A2C97"/>
    <w:rsid w:val="002A5508"/>
    <w:rsid w:val="002C125A"/>
    <w:rsid w:val="002D345B"/>
    <w:rsid w:val="002D3654"/>
    <w:rsid w:val="002E510F"/>
    <w:rsid w:val="002F6B5E"/>
    <w:rsid w:val="00300384"/>
    <w:rsid w:val="003101DD"/>
    <w:rsid w:val="0032033C"/>
    <w:rsid w:val="00331052"/>
    <w:rsid w:val="00341969"/>
    <w:rsid w:val="003471C0"/>
    <w:rsid w:val="0036447D"/>
    <w:rsid w:val="0037392F"/>
    <w:rsid w:val="003755D3"/>
    <w:rsid w:val="00377190"/>
    <w:rsid w:val="00380E13"/>
    <w:rsid w:val="00392324"/>
    <w:rsid w:val="003A403A"/>
    <w:rsid w:val="003C1B10"/>
    <w:rsid w:val="003C7FA9"/>
    <w:rsid w:val="003E00D8"/>
    <w:rsid w:val="003E033F"/>
    <w:rsid w:val="003E0B0F"/>
    <w:rsid w:val="003E282D"/>
    <w:rsid w:val="003E63DA"/>
    <w:rsid w:val="003F450F"/>
    <w:rsid w:val="003F5C2C"/>
    <w:rsid w:val="004027A5"/>
    <w:rsid w:val="004043F2"/>
    <w:rsid w:val="00437ED6"/>
    <w:rsid w:val="004476F5"/>
    <w:rsid w:val="00461AA4"/>
    <w:rsid w:val="0047044A"/>
    <w:rsid w:val="00474AC1"/>
    <w:rsid w:val="004814A4"/>
    <w:rsid w:val="00484423"/>
    <w:rsid w:val="004909B2"/>
    <w:rsid w:val="00493035"/>
    <w:rsid w:val="004B0386"/>
    <w:rsid w:val="004F0B1C"/>
    <w:rsid w:val="004F1095"/>
    <w:rsid w:val="00500FDA"/>
    <w:rsid w:val="005069F4"/>
    <w:rsid w:val="00512CD7"/>
    <w:rsid w:val="0055025E"/>
    <w:rsid w:val="00561FD1"/>
    <w:rsid w:val="005859EF"/>
    <w:rsid w:val="0059728B"/>
    <w:rsid w:val="005A2648"/>
    <w:rsid w:val="005B4297"/>
    <w:rsid w:val="005F5914"/>
    <w:rsid w:val="00630594"/>
    <w:rsid w:val="00642CB3"/>
    <w:rsid w:val="00655DCE"/>
    <w:rsid w:val="00664005"/>
    <w:rsid w:val="006651D0"/>
    <w:rsid w:val="00670755"/>
    <w:rsid w:val="00673B02"/>
    <w:rsid w:val="00692DBE"/>
    <w:rsid w:val="006A5A69"/>
    <w:rsid w:val="006B63FB"/>
    <w:rsid w:val="006C4FB4"/>
    <w:rsid w:val="006D464A"/>
    <w:rsid w:val="006F02AA"/>
    <w:rsid w:val="00704D06"/>
    <w:rsid w:val="0071617C"/>
    <w:rsid w:val="00727666"/>
    <w:rsid w:val="0073117F"/>
    <w:rsid w:val="00736579"/>
    <w:rsid w:val="007429CF"/>
    <w:rsid w:val="0074457B"/>
    <w:rsid w:val="00752462"/>
    <w:rsid w:val="00752B1B"/>
    <w:rsid w:val="00754402"/>
    <w:rsid w:val="00754A52"/>
    <w:rsid w:val="00764066"/>
    <w:rsid w:val="00771BDC"/>
    <w:rsid w:val="00787177"/>
    <w:rsid w:val="00796746"/>
    <w:rsid w:val="007970F8"/>
    <w:rsid w:val="007A59D3"/>
    <w:rsid w:val="007B1608"/>
    <w:rsid w:val="007D36FC"/>
    <w:rsid w:val="007E2093"/>
    <w:rsid w:val="007F006C"/>
    <w:rsid w:val="007F7AA1"/>
    <w:rsid w:val="00826992"/>
    <w:rsid w:val="00830758"/>
    <w:rsid w:val="00846B87"/>
    <w:rsid w:val="0085640C"/>
    <w:rsid w:val="00857D8E"/>
    <w:rsid w:val="00863EF8"/>
    <w:rsid w:val="00874EDE"/>
    <w:rsid w:val="00876967"/>
    <w:rsid w:val="00885D8A"/>
    <w:rsid w:val="008B018D"/>
    <w:rsid w:val="008C2EB5"/>
    <w:rsid w:val="008C50A4"/>
    <w:rsid w:val="008C698B"/>
    <w:rsid w:val="008D1E10"/>
    <w:rsid w:val="008E430E"/>
    <w:rsid w:val="008F6CF1"/>
    <w:rsid w:val="008F7D5F"/>
    <w:rsid w:val="009049BC"/>
    <w:rsid w:val="00904E1C"/>
    <w:rsid w:val="009146E4"/>
    <w:rsid w:val="0091489C"/>
    <w:rsid w:val="009336DC"/>
    <w:rsid w:val="009547BE"/>
    <w:rsid w:val="00981AC4"/>
    <w:rsid w:val="009A6035"/>
    <w:rsid w:val="009A772A"/>
    <w:rsid w:val="009A7D8B"/>
    <w:rsid w:val="009B0008"/>
    <w:rsid w:val="009C30A7"/>
    <w:rsid w:val="009D1B89"/>
    <w:rsid w:val="009D2DF1"/>
    <w:rsid w:val="009D3A77"/>
    <w:rsid w:val="00A04965"/>
    <w:rsid w:val="00A0573E"/>
    <w:rsid w:val="00A100C1"/>
    <w:rsid w:val="00A17CEA"/>
    <w:rsid w:val="00A22FED"/>
    <w:rsid w:val="00A23043"/>
    <w:rsid w:val="00A23CFE"/>
    <w:rsid w:val="00A27C24"/>
    <w:rsid w:val="00A31870"/>
    <w:rsid w:val="00A332A8"/>
    <w:rsid w:val="00A437C2"/>
    <w:rsid w:val="00A43901"/>
    <w:rsid w:val="00A50433"/>
    <w:rsid w:val="00A512F9"/>
    <w:rsid w:val="00A55D33"/>
    <w:rsid w:val="00A61987"/>
    <w:rsid w:val="00A74575"/>
    <w:rsid w:val="00AA51C9"/>
    <w:rsid w:val="00AF386A"/>
    <w:rsid w:val="00B000A0"/>
    <w:rsid w:val="00B13F2C"/>
    <w:rsid w:val="00B223E1"/>
    <w:rsid w:val="00B23F58"/>
    <w:rsid w:val="00B32C6D"/>
    <w:rsid w:val="00B43535"/>
    <w:rsid w:val="00B47092"/>
    <w:rsid w:val="00B52C3E"/>
    <w:rsid w:val="00B530B3"/>
    <w:rsid w:val="00B539E6"/>
    <w:rsid w:val="00B7155E"/>
    <w:rsid w:val="00B72825"/>
    <w:rsid w:val="00B736F2"/>
    <w:rsid w:val="00B76260"/>
    <w:rsid w:val="00B936D6"/>
    <w:rsid w:val="00B94581"/>
    <w:rsid w:val="00BB5E3B"/>
    <w:rsid w:val="00BC0D4E"/>
    <w:rsid w:val="00BD0B8F"/>
    <w:rsid w:val="00BD4CC7"/>
    <w:rsid w:val="00BF232D"/>
    <w:rsid w:val="00BF3557"/>
    <w:rsid w:val="00C00C17"/>
    <w:rsid w:val="00C229AE"/>
    <w:rsid w:val="00C3441C"/>
    <w:rsid w:val="00C46418"/>
    <w:rsid w:val="00C47FEE"/>
    <w:rsid w:val="00C50EF3"/>
    <w:rsid w:val="00C61181"/>
    <w:rsid w:val="00C61309"/>
    <w:rsid w:val="00C83F61"/>
    <w:rsid w:val="00C91439"/>
    <w:rsid w:val="00C92E5E"/>
    <w:rsid w:val="00C969F4"/>
    <w:rsid w:val="00CB229C"/>
    <w:rsid w:val="00CC7FAB"/>
    <w:rsid w:val="00CD185A"/>
    <w:rsid w:val="00CF050F"/>
    <w:rsid w:val="00D043AB"/>
    <w:rsid w:val="00D119DF"/>
    <w:rsid w:val="00D35E47"/>
    <w:rsid w:val="00D5712F"/>
    <w:rsid w:val="00D643C2"/>
    <w:rsid w:val="00D767BE"/>
    <w:rsid w:val="00D94F74"/>
    <w:rsid w:val="00D951E9"/>
    <w:rsid w:val="00DA1453"/>
    <w:rsid w:val="00DA3265"/>
    <w:rsid w:val="00DA5261"/>
    <w:rsid w:val="00DA57DF"/>
    <w:rsid w:val="00DB3C69"/>
    <w:rsid w:val="00DB7A90"/>
    <w:rsid w:val="00DE0A45"/>
    <w:rsid w:val="00DE1A48"/>
    <w:rsid w:val="00DE2332"/>
    <w:rsid w:val="00DE7413"/>
    <w:rsid w:val="00DF285B"/>
    <w:rsid w:val="00E476FA"/>
    <w:rsid w:val="00E6703A"/>
    <w:rsid w:val="00E9653A"/>
    <w:rsid w:val="00EA2C0A"/>
    <w:rsid w:val="00EC312F"/>
    <w:rsid w:val="00EC352E"/>
    <w:rsid w:val="00EC4D93"/>
    <w:rsid w:val="00EC7C7B"/>
    <w:rsid w:val="00ED1E6F"/>
    <w:rsid w:val="00EF0721"/>
    <w:rsid w:val="00EF527F"/>
    <w:rsid w:val="00F11BE4"/>
    <w:rsid w:val="00F30F98"/>
    <w:rsid w:val="00F40626"/>
    <w:rsid w:val="00F50312"/>
    <w:rsid w:val="00F5426B"/>
    <w:rsid w:val="00F75870"/>
    <w:rsid w:val="00F85847"/>
    <w:rsid w:val="00FA1ECC"/>
    <w:rsid w:val="00FA7070"/>
    <w:rsid w:val="00FA7716"/>
    <w:rsid w:val="00FB7956"/>
    <w:rsid w:val="00FC1AB8"/>
    <w:rsid w:val="00FC1FF7"/>
    <w:rsid w:val="00FC3141"/>
    <w:rsid w:val="00FC57D5"/>
    <w:rsid w:val="00FE3E66"/>
    <w:rsid w:val="00FE6F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71F2B"/>
  <w15:chartTrackingRefBased/>
  <w15:docId w15:val="{E1E5BBB9-6D1C-412D-B27B-31EAC06E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fr-F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Titre 2 II"/>
    <w:basedOn w:val="Normal"/>
    <w:next w:val="Normal"/>
    <w:link w:val="Heading2Char"/>
    <w:autoRedefine/>
    <w:uiPriority w:val="9"/>
    <w:unhideWhenUsed/>
    <w:qFormat/>
    <w:rsid w:val="00DE1A48"/>
    <w:pPr>
      <w:keepNext/>
      <w:keepLines/>
      <w:numPr>
        <w:ilvl w:val="1"/>
        <w:numId w:val="2"/>
      </w:numPr>
      <w:spacing w:before="16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aulinNiveau">
    <w:name w:val="Paulin Niveau"/>
    <w:uiPriority w:val="99"/>
    <w:rsid w:val="00DE1A48"/>
    <w:pPr>
      <w:numPr>
        <w:numId w:val="1"/>
      </w:numPr>
    </w:pPr>
  </w:style>
  <w:style w:type="character" w:customStyle="1" w:styleId="Heading2Char">
    <w:name w:val="Heading 2 Char"/>
    <w:aliases w:val="Titre 2 II Char"/>
    <w:basedOn w:val="DefaultParagraphFont"/>
    <w:link w:val="Heading2"/>
    <w:uiPriority w:val="9"/>
    <w:rsid w:val="00DE1A48"/>
    <w:rPr>
      <w:rFonts w:eastAsiaTheme="majorEastAsia" w:cstheme="majorBidi"/>
      <w:b/>
      <w:szCs w:val="26"/>
    </w:rPr>
  </w:style>
  <w:style w:type="numbering" w:customStyle="1" w:styleId="mondocument">
    <w:name w:val="mon document"/>
    <w:uiPriority w:val="99"/>
    <w:rsid w:val="0036447D"/>
    <w:pPr>
      <w:numPr>
        <w:numId w:val="2"/>
      </w:numPr>
    </w:pPr>
  </w:style>
  <w:style w:type="table" w:styleId="TableGridLight">
    <w:name w:val="Grid Table Light"/>
    <w:basedOn w:val="TableNormal"/>
    <w:uiPriority w:val="40"/>
    <w:rsid w:val="000D35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846B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0573E"/>
    <w:pPr>
      <w:spacing w:line="480" w:lineRule="auto"/>
      <w:ind w:left="720" w:hanging="720"/>
    </w:pPr>
  </w:style>
  <w:style w:type="paragraph" w:styleId="Header">
    <w:name w:val="header"/>
    <w:basedOn w:val="Normal"/>
    <w:link w:val="HeaderChar"/>
    <w:uiPriority w:val="99"/>
    <w:unhideWhenUsed/>
    <w:rsid w:val="00184B71"/>
    <w:pPr>
      <w:tabs>
        <w:tab w:val="center" w:pos="4536"/>
        <w:tab w:val="right" w:pos="9072"/>
      </w:tabs>
      <w:spacing w:line="240" w:lineRule="auto"/>
    </w:pPr>
  </w:style>
  <w:style w:type="character" w:customStyle="1" w:styleId="HeaderChar">
    <w:name w:val="Header Char"/>
    <w:basedOn w:val="DefaultParagraphFont"/>
    <w:link w:val="Header"/>
    <w:uiPriority w:val="99"/>
    <w:rsid w:val="00184B71"/>
  </w:style>
  <w:style w:type="paragraph" w:styleId="Footer">
    <w:name w:val="footer"/>
    <w:basedOn w:val="Normal"/>
    <w:link w:val="FooterChar"/>
    <w:uiPriority w:val="99"/>
    <w:unhideWhenUsed/>
    <w:rsid w:val="00184B71"/>
    <w:pPr>
      <w:tabs>
        <w:tab w:val="center" w:pos="4536"/>
        <w:tab w:val="right" w:pos="9072"/>
      </w:tabs>
      <w:spacing w:line="240" w:lineRule="auto"/>
    </w:pPr>
  </w:style>
  <w:style w:type="character" w:customStyle="1" w:styleId="FooterChar">
    <w:name w:val="Footer Char"/>
    <w:basedOn w:val="DefaultParagraphFont"/>
    <w:link w:val="Footer"/>
    <w:uiPriority w:val="99"/>
    <w:rsid w:val="00184B71"/>
  </w:style>
  <w:style w:type="paragraph" w:customStyle="1" w:styleId="AcknHead">
    <w:name w:val="Ackn Head"/>
    <w:basedOn w:val="Normal"/>
    <w:rsid w:val="0003157D"/>
    <w:pPr>
      <w:keepNext/>
      <w:spacing w:after="240" w:line="240" w:lineRule="auto"/>
      <w:jc w:val="left"/>
    </w:pPr>
    <w:rPr>
      <w:rFonts w:ascii="Helvetica" w:eastAsia="Times New Roman" w:hAnsi="Helvetica" w:cs="Times New Roman"/>
      <w:b/>
      <w:caps/>
      <w:sz w:val="22"/>
      <w:szCs w:val="20"/>
      <w:lang w:val="en-US"/>
    </w:rPr>
  </w:style>
  <w:style w:type="paragraph" w:styleId="NoSpacing">
    <w:name w:val="No Spacing"/>
    <w:uiPriority w:val="1"/>
    <w:qFormat/>
    <w:rsid w:val="002A5508"/>
    <w:pPr>
      <w:spacing w:line="240" w:lineRule="auto"/>
      <w:jc w:val="left"/>
    </w:pPr>
    <w:rPr>
      <w:rFonts w:asciiTheme="minorHAnsi" w:hAnsiTheme="minorHAnsi"/>
      <w:sz w:val="22"/>
      <w:lang w:val="en-GB"/>
    </w:rPr>
  </w:style>
  <w:style w:type="character" w:styleId="Hyperlink">
    <w:name w:val="Hyperlink"/>
    <w:basedOn w:val="DefaultParagraphFont"/>
    <w:uiPriority w:val="99"/>
    <w:unhideWhenUsed/>
    <w:rsid w:val="00261EA5"/>
    <w:rPr>
      <w:color w:val="0563C1" w:themeColor="hyperlink"/>
      <w:u w:val="single"/>
    </w:rPr>
  </w:style>
  <w:style w:type="character" w:styleId="UnresolvedMention">
    <w:name w:val="Unresolved Mention"/>
    <w:basedOn w:val="DefaultParagraphFont"/>
    <w:uiPriority w:val="99"/>
    <w:semiHidden/>
    <w:unhideWhenUsed/>
    <w:rsid w:val="00261EA5"/>
    <w:rPr>
      <w:color w:val="605E5C"/>
      <w:shd w:val="clear" w:color="auto" w:fill="E1DFDD"/>
    </w:rPr>
  </w:style>
  <w:style w:type="paragraph" w:styleId="Revision">
    <w:name w:val="Revision"/>
    <w:hidden/>
    <w:uiPriority w:val="99"/>
    <w:semiHidden/>
    <w:rsid w:val="002752A1"/>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4027">
      <w:bodyDiv w:val="1"/>
      <w:marLeft w:val="0"/>
      <w:marRight w:val="0"/>
      <w:marTop w:val="0"/>
      <w:marBottom w:val="0"/>
      <w:divBdr>
        <w:top w:val="none" w:sz="0" w:space="0" w:color="auto"/>
        <w:left w:val="none" w:sz="0" w:space="0" w:color="auto"/>
        <w:bottom w:val="none" w:sz="0" w:space="0" w:color="auto"/>
        <w:right w:val="none" w:sz="0" w:space="0" w:color="auto"/>
      </w:divBdr>
      <w:divsChild>
        <w:div w:id="1848907104">
          <w:marLeft w:val="480"/>
          <w:marRight w:val="0"/>
          <w:marTop w:val="0"/>
          <w:marBottom w:val="0"/>
          <w:divBdr>
            <w:top w:val="none" w:sz="0" w:space="0" w:color="auto"/>
            <w:left w:val="none" w:sz="0" w:space="0" w:color="auto"/>
            <w:bottom w:val="none" w:sz="0" w:space="0" w:color="auto"/>
            <w:right w:val="none" w:sz="0" w:space="0" w:color="auto"/>
          </w:divBdr>
          <w:divsChild>
            <w:div w:id="2183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329">
      <w:bodyDiv w:val="1"/>
      <w:marLeft w:val="0"/>
      <w:marRight w:val="0"/>
      <w:marTop w:val="0"/>
      <w:marBottom w:val="0"/>
      <w:divBdr>
        <w:top w:val="none" w:sz="0" w:space="0" w:color="auto"/>
        <w:left w:val="none" w:sz="0" w:space="0" w:color="auto"/>
        <w:bottom w:val="none" w:sz="0" w:space="0" w:color="auto"/>
        <w:right w:val="none" w:sz="0" w:space="0" w:color="auto"/>
      </w:divBdr>
    </w:div>
    <w:div w:id="167406897">
      <w:bodyDiv w:val="1"/>
      <w:marLeft w:val="0"/>
      <w:marRight w:val="0"/>
      <w:marTop w:val="0"/>
      <w:marBottom w:val="0"/>
      <w:divBdr>
        <w:top w:val="none" w:sz="0" w:space="0" w:color="auto"/>
        <w:left w:val="none" w:sz="0" w:space="0" w:color="auto"/>
        <w:bottom w:val="none" w:sz="0" w:space="0" w:color="auto"/>
        <w:right w:val="none" w:sz="0" w:space="0" w:color="auto"/>
      </w:divBdr>
    </w:div>
    <w:div w:id="306129754">
      <w:bodyDiv w:val="1"/>
      <w:marLeft w:val="0"/>
      <w:marRight w:val="0"/>
      <w:marTop w:val="0"/>
      <w:marBottom w:val="0"/>
      <w:divBdr>
        <w:top w:val="none" w:sz="0" w:space="0" w:color="auto"/>
        <w:left w:val="none" w:sz="0" w:space="0" w:color="auto"/>
        <w:bottom w:val="none" w:sz="0" w:space="0" w:color="auto"/>
        <w:right w:val="none" w:sz="0" w:space="0" w:color="auto"/>
      </w:divBdr>
    </w:div>
    <w:div w:id="541789597">
      <w:bodyDiv w:val="1"/>
      <w:marLeft w:val="0"/>
      <w:marRight w:val="0"/>
      <w:marTop w:val="0"/>
      <w:marBottom w:val="0"/>
      <w:divBdr>
        <w:top w:val="none" w:sz="0" w:space="0" w:color="auto"/>
        <w:left w:val="none" w:sz="0" w:space="0" w:color="auto"/>
        <w:bottom w:val="none" w:sz="0" w:space="0" w:color="auto"/>
        <w:right w:val="none" w:sz="0" w:space="0" w:color="auto"/>
      </w:divBdr>
      <w:divsChild>
        <w:div w:id="14044530">
          <w:marLeft w:val="480"/>
          <w:marRight w:val="0"/>
          <w:marTop w:val="0"/>
          <w:marBottom w:val="0"/>
          <w:divBdr>
            <w:top w:val="none" w:sz="0" w:space="0" w:color="auto"/>
            <w:left w:val="none" w:sz="0" w:space="0" w:color="auto"/>
            <w:bottom w:val="none" w:sz="0" w:space="0" w:color="auto"/>
            <w:right w:val="none" w:sz="0" w:space="0" w:color="auto"/>
          </w:divBdr>
          <w:divsChild>
            <w:div w:id="3885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32530">
      <w:bodyDiv w:val="1"/>
      <w:marLeft w:val="0"/>
      <w:marRight w:val="0"/>
      <w:marTop w:val="0"/>
      <w:marBottom w:val="0"/>
      <w:divBdr>
        <w:top w:val="none" w:sz="0" w:space="0" w:color="auto"/>
        <w:left w:val="none" w:sz="0" w:space="0" w:color="auto"/>
        <w:bottom w:val="none" w:sz="0" w:space="0" w:color="auto"/>
        <w:right w:val="none" w:sz="0" w:space="0" w:color="auto"/>
      </w:divBdr>
      <w:divsChild>
        <w:div w:id="2120640904">
          <w:marLeft w:val="480"/>
          <w:marRight w:val="0"/>
          <w:marTop w:val="0"/>
          <w:marBottom w:val="0"/>
          <w:divBdr>
            <w:top w:val="none" w:sz="0" w:space="0" w:color="auto"/>
            <w:left w:val="none" w:sz="0" w:space="0" w:color="auto"/>
            <w:bottom w:val="none" w:sz="0" w:space="0" w:color="auto"/>
            <w:right w:val="none" w:sz="0" w:space="0" w:color="auto"/>
          </w:divBdr>
          <w:divsChild>
            <w:div w:id="9289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468388">
      <w:bodyDiv w:val="1"/>
      <w:marLeft w:val="0"/>
      <w:marRight w:val="0"/>
      <w:marTop w:val="0"/>
      <w:marBottom w:val="0"/>
      <w:divBdr>
        <w:top w:val="none" w:sz="0" w:space="0" w:color="auto"/>
        <w:left w:val="none" w:sz="0" w:space="0" w:color="auto"/>
        <w:bottom w:val="none" w:sz="0" w:space="0" w:color="auto"/>
        <w:right w:val="none" w:sz="0" w:space="0" w:color="auto"/>
      </w:divBdr>
    </w:div>
    <w:div w:id="880363434">
      <w:bodyDiv w:val="1"/>
      <w:marLeft w:val="0"/>
      <w:marRight w:val="0"/>
      <w:marTop w:val="0"/>
      <w:marBottom w:val="0"/>
      <w:divBdr>
        <w:top w:val="none" w:sz="0" w:space="0" w:color="auto"/>
        <w:left w:val="none" w:sz="0" w:space="0" w:color="auto"/>
        <w:bottom w:val="none" w:sz="0" w:space="0" w:color="auto"/>
        <w:right w:val="none" w:sz="0" w:space="0" w:color="auto"/>
      </w:divBdr>
      <w:divsChild>
        <w:div w:id="511335865">
          <w:marLeft w:val="480"/>
          <w:marRight w:val="0"/>
          <w:marTop w:val="0"/>
          <w:marBottom w:val="0"/>
          <w:divBdr>
            <w:top w:val="none" w:sz="0" w:space="0" w:color="auto"/>
            <w:left w:val="none" w:sz="0" w:space="0" w:color="auto"/>
            <w:bottom w:val="none" w:sz="0" w:space="0" w:color="auto"/>
            <w:right w:val="none" w:sz="0" w:space="0" w:color="auto"/>
          </w:divBdr>
          <w:divsChild>
            <w:div w:id="13667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858">
      <w:bodyDiv w:val="1"/>
      <w:marLeft w:val="0"/>
      <w:marRight w:val="0"/>
      <w:marTop w:val="0"/>
      <w:marBottom w:val="0"/>
      <w:divBdr>
        <w:top w:val="none" w:sz="0" w:space="0" w:color="auto"/>
        <w:left w:val="none" w:sz="0" w:space="0" w:color="auto"/>
        <w:bottom w:val="none" w:sz="0" w:space="0" w:color="auto"/>
        <w:right w:val="none" w:sz="0" w:space="0" w:color="auto"/>
      </w:divBdr>
    </w:div>
    <w:div w:id="1445929918">
      <w:bodyDiv w:val="1"/>
      <w:marLeft w:val="0"/>
      <w:marRight w:val="0"/>
      <w:marTop w:val="0"/>
      <w:marBottom w:val="0"/>
      <w:divBdr>
        <w:top w:val="none" w:sz="0" w:space="0" w:color="auto"/>
        <w:left w:val="none" w:sz="0" w:space="0" w:color="auto"/>
        <w:bottom w:val="none" w:sz="0" w:space="0" w:color="auto"/>
        <w:right w:val="none" w:sz="0" w:space="0" w:color="auto"/>
      </w:divBdr>
    </w:div>
    <w:div w:id="1631133579">
      <w:bodyDiv w:val="1"/>
      <w:marLeft w:val="0"/>
      <w:marRight w:val="0"/>
      <w:marTop w:val="0"/>
      <w:marBottom w:val="0"/>
      <w:divBdr>
        <w:top w:val="none" w:sz="0" w:space="0" w:color="auto"/>
        <w:left w:val="none" w:sz="0" w:space="0" w:color="auto"/>
        <w:bottom w:val="none" w:sz="0" w:space="0" w:color="auto"/>
        <w:right w:val="none" w:sz="0" w:space="0" w:color="auto"/>
      </w:divBdr>
    </w:div>
    <w:div w:id="2025785213">
      <w:bodyDiv w:val="1"/>
      <w:marLeft w:val="0"/>
      <w:marRight w:val="0"/>
      <w:marTop w:val="0"/>
      <w:marBottom w:val="0"/>
      <w:divBdr>
        <w:top w:val="none" w:sz="0" w:space="0" w:color="auto"/>
        <w:left w:val="none" w:sz="0" w:space="0" w:color="auto"/>
        <w:bottom w:val="none" w:sz="0" w:space="0" w:color="auto"/>
        <w:right w:val="none" w:sz="0" w:space="0" w:color="auto"/>
      </w:divBdr>
    </w:div>
    <w:div w:id="211007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s://iris.who.int/handle/10665/36648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doi.org/10.1089/aivt.2016.002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390/ph1606088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antiox11040611" TargetMode="External"/><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yperlink" Target="https://doi.org/10.1787/9789264071001-en" TargetMode="Externa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Feuil1!$J$3</c:f>
              <c:strCache>
                <c:ptCount val="1"/>
                <c:pt idx="0">
                  <c:v>inhibition de la dénaturation de la BSA (%)</c:v>
                </c:pt>
              </c:strCache>
            </c:strRef>
          </c:tx>
          <c:spPr>
            <a:solidFill>
              <a:schemeClr val="accent1"/>
            </a:solidFill>
            <a:ln>
              <a:noFill/>
            </a:ln>
            <a:effectLst/>
          </c:spPr>
          <c:invertIfNegative val="0"/>
          <c:dLbls>
            <c:dLbl>
              <c:idx val="0"/>
              <c:tx>
                <c:rich>
                  <a:bodyPr/>
                  <a:lstStyle/>
                  <a:p>
                    <a:fld id="{061901F1-0B51-4751-9A55-4DC4B095822B}"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0BFA-4A08-8B2A-038CC59157D6}"/>
                </c:ext>
              </c:extLst>
            </c:dLbl>
            <c:dLbl>
              <c:idx val="1"/>
              <c:tx>
                <c:rich>
                  <a:bodyPr/>
                  <a:lstStyle/>
                  <a:p>
                    <a:fld id="{20C8EAC6-DC57-4F42-9F61-FFA162AB441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BFA-4A08-8B2A-038CC59157D6}"/>
                </c:ext>
              </c:extLst>
            </c:dLbl>
            <c:dLbl>
              <c:idx val="2"/>
              <c:tx>
                <c:rich>
                  <a:bodyPr/>
                  <a:lstStyle/>
                  <a:p>
                    <a:fld id="{672E8954-11FE-43A9-A033-B4A4C7A313A2}"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BFA-4A08-8B2A-038CC59157D6}"/>
                </c:ext>
              </c:extLst>
            </c:dLbl>
            <c:dLbl>
              <c:idx val="3"/>
              <c:tx>
                <c:rich>
                  <a:bodyPr/>
                  <a:lstStyle/>
                  <a:p>
                    <a:fld id="{0E4D5E12-859D-49FC-B774-770E9510E74F}"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BFA-4A08-8B2A-038CC59157D6}"/>
                </c:ext>
              </c:extLst>
            </c:dLbl>
            <c:dLbl>
              <c:idx val="4"/>
              <c:tx>
                <c:rich>
                  <a:bodyPr/>
                  <a:lstStyle/>
                  <a:p>
                    <a:fld id="{D7DFEF2B-1969-48D0-A0B4-9F0ECB808049}"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BFA-4A08-8B2A-038CC59157D6}"/>
                </c:ext>
              </c:extLst>
            </c:dLbl>
            <c:dLbl>
              <c:idx val="5"/>
              <c:tx>
                <c:rich>
                  <a:bodyPr/>
                  <a:lstStyle/>
                  <a:p>
                    <a:fld id="{4A755F67-4085-44E8-90D1-106FF8CA4D57}"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BFA-4A08-8B2A-038CC59157D6}"/>
                </c:ext>
              </c:extLst>
            </c:dLbl>
            <c:dLbl>
              <c:idx val="6"/>
              <c:tx>
                <c:rich>
                  <a:bodyPr/>
                  <a:lstStyle/>
                  <a:p>
                    <a:endParaRPr lang="en-US"/>
                  </a:p>
                </c:rich>
              </c:tx>
              <c:dLblPos val="inEnd"/>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0BFA-4A08-8B2A-038CC59157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BF"/>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Feuil1!$E$2:$E$8</c:f>
                <c:numCache>
                  <c:formatCode>General</c:formatCode>
                  <c:ptCount val="7"/>
                  <c:pt idx="0">
                    <c:v>0.06</c:v>
                  </c:pt>
                  <c:pt idx="1">
                    <c:v>0.15</c:v>
                  </c:pt>
                  <c:pt idx="2">
                    <c:v>0.63</c:v>
                  </c:pt>
                  <c:pt idx="3">
                    <c:v>0.02</c:v>
                  </c:pt>
                  <c:pt idx="4">
                    <c:v>0.12</c:v>
                  </c:pt>
                  <c:pt idx="5">
                    <c:v>1.1299999999999999</c:v>
                  </c:pt>
                  <c:pt idx="6">
                    <c:v>0.01</c:v>
                  </c:pt>
                </c:numCache>
              </c:numRef>
            </c:plus>
            <c:minus>
              <c:numRef>
                <c:f>Feuil1!$E$2:$E$8</c:f>
                <c:numCache>
                  <c:formatCode>General</c:formatCode>
                  <c:ptCount val="7"/>
                  <c:pt idx="0">
                    <c:v>0.06</c:v>
                  </c:pt>
                  <c:pt idx="1">
                    <c:v>0.15</c:v>
                  </c:pt>
                  <c:pt idx="2">
                    <c:v>0.63</c:v>
                  </c:pt>
                  <c:pt idx="3">
                    <c:v>0.02</c:v>
                  </c:pt>
                  <c:pt idx="4">
                    <c:v>0.12</c:v>
                  </c:pt>
                  <c:pt idx="5">
                    <c:v>1.1299999999999999</c:v>
                  </c:pt>
                  <c:pt idx="6">
                    <c:v>0.01</c:v>
                  </c:pt>
                </c:numCache>
              </c:numRef>
            </c:minus>
            <c:spPr>
              <a:noFill/>
              <a:ln w="19050" cap="flat" cmpd="sng" algn="ctr">
                <a:solidFill>
                  <a:schemeClr val="dk1"/>
                </a:solidFill>
                <a:prstDash val="solid"/>
                <a:miter lim="800000"/>
              </a:ln>
              <a:effectLst/>
            </c:spPr>
          </c:errBars>
          <c:cat>
            <c:multiLvlStrRef>
              <c:f>Feuil1!$H$4:$I$10</c:f>
              <c:multiLvlStrCache>
                <c:ptCount val="7"/>
                <c:lvl>
                  <c:pt idx="0">
                    <c:v>Methanolic</c:v>
                  </c:pt>
                  <c:pt idx="1">
                    <c:v>Hydro methanolic</c:v>
                  </c:pt>
                  <c:pt idx="2">
                    <c:v>Decoction</c:v>
                  </c:pt>
                  <c:pt idx="3">
                    <c:v>Methanolic</c:v>
                  </c:pt>
                  <c:pt idx="4">
                    <c:v>Hydro methanolic</c:v>
                  </c:pt>
                  <c:pt idx="5">
                    <c:v>Decoction</c:v>
                  </c:pt>
                  <c:pt idx="6">
                    <c:v>Ascorbic Acid</c:v>
                  </c:pt>
                </c:lvl>
                <c:lvl>
                  <c:pt idx="0">
                    <c:v>Pseudocedrela kotschyi </c:v>
                  </c:pt>
                  <c:pt idx="3">
                    <c:v>Annona senegalensis</c:v>
                  </c:pt>
                  <c:pt idx="6">
                    <c:v>Reference</c:v>
                  </c:pt>
                </c:lvl>
              </c:multiLvlStrCache>
            </c:multiLvlStrRef>
          </c:cat>
          <c:val>
            <c:numRef>
              <c:f>Feuil1!$J$4:$J$10</c:f>
              <c:numCache>
                <c:formatCode>General</c:formatCode>
                <c:ptCount val="7"/>
                <c:pt idx="0">
                  <c:v>67</c:v>
                </c:pt>
                <c:pt idx="1">
                  <c:v>68</c:v>
                </c:pt>
                <c:pt idx="2">
                  <c:v>77</c:v>
                </c:pt>
                <c:pt idx="3">
                  <c:v>61</c:v>
                </c:pt>
                <c:pt idx="4">
                  <c:v>71</c:v>
                </c:pt>
                <c:pt idx="5">
                  <c:v>42</c:v>
                </c:pt>
                <c:pt idx="6">
                  <c:v>82</c:v>
                </c:pt>
              </c:numCache>
            </c:numRef>
          </c:val>
          <c:extLst>
            <c:ext xmlns:c15="http://schemas.microsoft.com/office/drawing/2012/chart" uri="{02D57815-91ED-43cb-92C2-25804820EDAC}">
              <c15:datalabelsRange>
                <c15:f>Feuil1!$F$2:$F$7</c15:f>
                <c15:dlblRangeCache>
                  <c:ptCount val="6"/>
                  <c:pt idx="0">
                    <c:v>c</c:v>
                  </c:pt>
                  <c:pt idx="1">
                    <c:v>b</c:v>
                  </c:pt>
                  <c:pt idx="2">
                    <c:v>a</c:v>
                  </c:pt>
                  <c:pt idx="3">
                    <c:v>b</c:v>
                  </c:pt>
                  <c:pt idx="4">
                    <c:v>a</c:v>
                  </c:pt>
                  <c:pt idx="5">
                    <c:v>c</c:v>
                  </c:pt>
                </c15:dlblRangeCache>
              </c15:datalabelsRange>
            </c:ext>
            <c:ext xmlns:c16="http://schemas.microsoft.com/office/drawing/2014/chart" uri="{C3380CC4-5D6E-409C-BE32-E72D297353CC}">
              <c16:uniqueId val="{00000007-0BFA-4A08-8B2A-038CC59157D6}"/>
            </c:ext>
          </c:extLst>
        </c:ser>
        <c:dLbls>
          <c:dLblPos val="inEnd"/>
          <c:showLegendKey val="0"/>
          <c:showVal val="1"/>
          <c:showCatName val="0"/>
          <c:showSerName val="0"/>
          <c:showPercent val="0"/>
          <c:showBubbleSize val="0"/>
        </c:dLbls>
        <c:gapWidth val="150"/>
        <c:overlap val="100"/>
        <c:axId val="1111446591"/>
        <c:axId val="1111444095"/>
      </c:barChart>
      <c:catAx>
        <c:axId val="1111446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BF"/>
          </a:p>
        </c:txPr>
        <c:crossAx val="1111444095"/>
        <c:crosses val="autoZero"/>
        <c:auto val="1"/>
        <c:lblAlgn val="ctr"/>
        <c:lblOffset val="100"/>
        <c:noMultiLvlLbl val="0"/>
      </c:catAx>
      <c:valAx>
        <c:axId val="1111444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n-US" sz="1100" b="0" i="0" baseline="0">
                    <a:effectLst/>
                    <a:latin typeface="Arial" panose="020B0604020202020204" pitchFamily="34" charset="0"/>
                    <a:cs typeface="Arial" panose="020B0604020202020204" pitchFamily="34" charset="0"/>
                  </a:rPr>
                  <a:t>Inhibition percentage(%)</a:t>
                </a:r>
                <a:endParaRPr lang="fr-FR" sz="1100">
                  <a:effectLst/>
                  <a:latin typeface="Arial" panose="020B0604020202020204" pitchFamily="34" charset="0"/>
                  <a:cs typeface="Arial" panose="020B0604020202020204" pitchFamily="34" charset="0"/>
                </a:endParaRPr>
              </a:p>
              <a:p>
                <a:pPr marL="0" marR="0" lvl="0" indent="0" algn="ctr" defTabSz="914400" rtl="0" eaLnBrk="1" fontAlgn="auto" latinLnBrk="0" hangingPunct="1">
                  <a:lnSpc>
                    <a:spcPct val="100000"/>
                  </a:lnSpc>
                  <a:spcBef>
                    <a:spcPts val="0"/>
                  </a:spcBef>
                  <a:spcAft>
                    <a:spcPts val="0"/>
                  </a:spcAft>
                  <a:buClrTx/>
                  <a:buSzTx/>
                  <a:buFontTx/>
                  <a:buNone/>
                  <a:tabLst/>
                  <a:defRPr sz="1100">
                    <a:solidFill>
                      <a:sysClr val="windowText" lastClr="000000">
                        <a:lumMod val="65000"/>
                        <a:lumOff val="35000"/>
                      </a:sysClr>
                    </a:solidFill>
                    <a:latin typeface="Arial" panose="020B0604020202020204" pitchFamily="34" charset="0"/>
                    <a:cs typeface="Arial" panose="020B0604020202020204" pitchFamily="34" charset="0"/>
                  </a:defRPr>
                </a:pPr>
                <a:endParaRPr lang="fr-FR" sz="1100">
                  <a:latin typeface="Arial" panose="020B0604020202020204" pitchFamily="34" charset="0"/>
                  <a:cs typeface="Arial" panose="020B0604020202020204" pitchFamily="34" charset="0"/>
                </a:endParaRPr>
              </a:p>
            </c:rich>
          </c:tx>
          <c:layout>
            <c:manualLayout>
              <c:xMode val="edge"/>
              <c:yMode val="edge"/>
              <c:x val="1.5717092337917484E-2"/>
              <c:y val="6.0185185185185182E-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F"/>
          </a:p>
        </c:txPr>
        <c:crossAx val="1111446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BF"/>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pPr>
            <a:r>
              <a:rPr lang="fr-FR"/>
              <a:t>Variables (axes F1 et F2 : 90,26 %)</a:t>
            </a:r>
          </a:p>
        </c:rich>
      </c:tx>
      <c:overlay val="0"/>
    </c:title>
    <c:autoTitleDeleted val="0"/>
    <c:plotArea>
      <c:layout>
        <c:manualLayout>
          <c:xMode val="edge"/>
          <c:yMode val="edge"/>
          <c:x val="4.5883464566929127E-2"/>
          <c:y val="8.2294272039524469E-2"/>
          <c:w val="0.93411653543307083"/>
          <c:h val="0.84411733827389224"/>
        </c:manualLayout>
      </c:layout>
      <c:scatterChart>
        <c:scatterStyle val="lineMarker"/>
        <c:varyColors val="0"/>
        <c:ser>
          <c:idx val="0"/>
          <c:order val="0"/>
          <c:spPr>
            <a:ln w="19050">
              <a:noFill/>
            </a:ln>
            <a:effectLst/>
          </c:spPr>
          <c:marker>
            <c:symbol val="circle"/>
            <c:size val="3"/>
            <c:spPr>
              <a:solidFill>
                <a:srgbClr val="FF0000"/>
              </a:solidFill>
              <a:ln>
                <a:solidFill>
                  <a:srgbClr val="FF0000"/>
                </a:solidFill>
                <a:prstDash val="solid"/>
              </a:ln>
            </c:spPr>
          </c:marker>
          <c:dLbls>
            <c:dLbl>
              <c:idx val="0"/>
              <c:tx>
                <c:rich>
                  <a:bodyPr/>
                  <a:lstStyle/>
                  <a:p>
                    <a:r>
                      <a:rPr lang="en-US"/>
                      <a:t>Polyphenols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1C-40DE-9A8A-8D22978953E2}"/>
                </c:ext>
              </c:extLst>
            </c:dLbl>
            <c:dLbl>
              <c:idx val="1"/>
              <c:tx>
                <c:rich>
                  <a:bodyPr/>
                  <a:lstStyle/>
                  <a:p>
                    <a:r>
                      <a:rPr lang="en-US"/>
                      <a:t>Flavonoids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1C-40DE-9A8A-8D22978953E2}"/>
                </c:ext>
              </c:extLst>
            </c:dLbl>
            <c:dLbl>
              <c:idx val="2"/>
              <c:tx>
                <c:rich>
                  <a:bodyPr/>
                  <a:lstStyle/>
                  <a:p>
                    <a:r>
                      <a:rPr lang="en-US"/>
                      <a:t>DPPH</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1C-40DE-9A8A-8D22978953E2}"/>
                </c:ext>
              </c:extLst>
            </c:dLbl>
            <c:dLbl>
              <c:idx val="3"/>
              <c:tx>
                <c:rich>
                  <a:bodyPr/>
                  <a:lstStyle/>
                  <a:p>
                    <a:r>
                      <a:rPr lang="en-US"/>
                      <a:t>FRAP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A1C-40DE-9A8A-8D22978953E2}"/>
                </c:ext>
              </c:extLst>
            </c:dLbl>
            <c:dLbl>
              <c:idx val="4"/>
              <c:tx>
                <c:rich>
                  <a:bodyPr/>
                  <a:lstStyle/>
                  <a:p>
                    <a:r>
                      <a:rPr lang="en-US"/>
                      <a:t>Inhibition BSA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A1C-40DE-9A8A-8D22978953E2}"/>
                </c:ext>
              </c:extLst>
            </c:dLbl>
            <c:spPr>
              <a:noFill/>
              <a:ln>
                <a:noFill/>
              </a:ln>
              <a:effectLst/>
            </c:spPr>
            <c:txPr>
              <a:bodyPr wrap="square" lIns="38100" tIns="19050" rIns="38100" bIns="19050" anchor="ctr">
                <a:spAutoFit/>
              </a:bodyPr>
              <a:lstStyle/>
              <a:p>
                <a:pPr>
                  <a:defRPr sz="700"/>
                </a:pPr>
                <a:endParaRPr lang="fr-BF"/>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ACP!$C$79:$C$83</c:f>
              <c:numCache>
                <c:formatCode>0.000</c:formatCode>
                <c:ptCount val="5"/>
                <c:pt idx="0">
                  <c:v>0.84499948129768243</c:v>
                </c:pt>
                <c:pt idx="1">
                  <c:v>0.81601604203840938</c:v>
                </c:pt>
                <c:pt idx="2">
                  <c:v>0.22377463745690232</c:v>
                </c:pt>
                <c:pt idx="3">
                  <c:v>0.95295748874107744</c:v>
                </c:pt>
                <c:pt idx="4">
                  <c:v>0.84838733582800241</c:v>
                </c:pt>
              </c:numCache>
            </c:numRef>
          </c:xVal>
          <c:yVal>
            <c:numRef>
              <c:f>ACP!$D$79:$D$83</c:f>
              <c:numCache>
                <c:formatCode>0.000</c:formatCode>
                <c:ptCount val="5"/>
                <c:pt idx="0">
                  <c:v>-0.47947397386651774</c:v>
                </c:pt>
                <c:pt idx="1">
                  <c:v>-0.39241274812423405</c:v>
                </c:pt>
                <c:pt idx="2">
                  <c:v>0.94149820857494959</c:v>
                </c:pt>
                <c:pt idx="3">
                  <c:v>0.20238544123058208</c:v>
                </c:pt>
                <c:pt idx="4">
                  <c:v>0.37933406248406143</c:v>
                </c:pt>
              </c:numCache>
            </c:numRef>
          </c:yVal>
          <c:smooth val="0"/>
          <c:extLst>
            <c:ext xmlns:c16="http://schemas.microsoft.com/office/drawing/2014/chart" uri="{C3380CC4-5D6E-409C-BE32-E72D297353CC}">
              <c16:uniqueId val="{00000005-EA1C-40DE-9A8A-8D22978953E2}"/>
            </c:ext>
          </c:extLst>
        </c:ser>
        <c:ser>
          <c:idx val="1"/>
          <c:order val="1"/>
          <c:spPr>
            <a:ln w="3175">
              <a:solidFill>
                <a:srgbClr val="000000"/>
              </a:solidFill>
              <a:prstDash val="solid"/>
            </a:ln>
          </c:spPr>
          <c:marker>
            <c:symbol val="none"/>
          </c:marker>
          <c:xVal>
            <c:numRef>
              <c:f>ACP!ycir2</c:f>
              <c:numCache>
                <c:formatCode>General</c:formatCode>
                <c:ptCount val="500"/>
                <c:pt idx="0">
                  <c:v>-1</c:v>
                </c:pt>
                <c:pt idx="1">
                  <c:v>-0.9999207274352172</c:v>
                </c:pt>
                <c:pt idx="2">
                  <c:v>-0.99968292230889111</c:v>
                </c:pt>
                <c:pt idx="3">
                  <c:v>-0.99928662232386611</c:v>
                </c:pt>
                <c:pt idx="4">
                  <c:v>-0.99873189031157483</c:v>
                </c:pt>
                <c:pt idx="5">
                  <c:v>-0.99801881422207628</c:v>
                </c:pt>
                <c:pt idx="6">
                  <c:v>-0.99714750711011146</c:v>
                </c:pt>
                <c:pt idx="7">
                  <c:v>-0.99611810711717974</c:v>
                </c:pt>
                <c:pt idx="8">
                  <c:v>-0.99493077744963665</c:v>
                </c:pt>
                <c:pt idx="9">
                  <c:v>-0.99358570635281829</c:v>
                </c:pt>
                <c:pt idx="10">
                  <c:v>-0.9920831070811964</c:v>
                </c:pt>
                <c:pt idx="11">
                  <c:v>-0.99042321786456755</c:v>
                </c:pt>
                <c:pt idx="12">
                  <c:v>-0.9886063018702832</c:v>
                </c:pt>
                <c:pt idx="13">
                  <c:v>-0.98663264716152554</c:v>
                </c:pt>
                <c:pt idx="14">
                  <c:v>-0.98450256665163649</c:v>
                </c:pt>
                <c:pt idx="15">
                  <c:v>-0.982216398054507</c:v>
                </c:pt>
                <c:pt idx="16">
                  <c:v>-0.97977450383103415</c:v>
                </c:pt>
                <c:pt idx="17">
                  <c:v>-0.97717727113165453</c:v>
                </c:pt>
                <c:pt idx="18">
                  <c:v>-0.97442511173496393</c:v>
                </c:pt>
                <c:pt idx="19">
                  <c:v>-0.97151846198243086</c:v>
                </c:pt>
                <c:pt idx="20">
                  <c:v>-0.9684577827092179</c:v>
                </c:pt>
                <c:pt idx="21">
                  <c:v>-0.96524355917111748</c:v>
                </c:pt>
                <c:pt idx="22">
                  <c:v>-0.96187630096761811</c:v>
                </c:pt>
                <c:pt idx="23">
                  <c:v>-0.95835654196110864</c:v>
                </c:pt>
                <c:pt idx="24">
                  <c:v>-0.95468484019223765</c:v>
                </c:pt>
                <c:pt idx="25">
                  <c:v>-0.95086177779143866</c:v>
                </c:pt>
                <c:pt idx="26">
                  <c:v>-0.94688796088663651</c:v>
                </c:pt>
                <c:pt idx="27">
                  <c:v>-0.94276401950714839</c:v>
                </c:pt>
                <c:pt idx="28">
                  <c:v>-0.93849060748379531</c:v>
                </c:pt>
                <c:pt idx="29">
                  <c:v>-0.93406840234524158</c:v>
                </c:pt>
                <c:pt idx="30">
                  <c:v>-0.92949810521057485</c:v>
                </c:pt>
                <c:pt idx="31">
                  <c:v>-0.92478044067814769</c:v>
                </c:pt>
                <c:pt idx="32">
                  <c:v>-0.91991615671069593</c:v>
                </c:pt>
                <c:pt idx="33">
                  <c:v>-0.91490602451675285</c:v>
                </c:pt>
                <c:pt idx="34">
                  <c:v>-0.90975083842837712</c:v>
                </c:pt>
                <c:pt idx="35">
                  <c:v>-0.90445141577521659</c:v>
                </c:pt>
                <c:pt idx="36">
                  <c:v>-0.89900859675492384</c:v>
                </c:pt>
                <c:pt idx="37">
                  <c:v>-0.89342324429994724</c:v>
                </c:pt>
                <c:pt idx="38">
                  <c:v>-0.88769624394071645</c:v>
                </c:pt>
                <c:pt idx="39">
                  <c:v>-0.88182850366524712</c:v>
                </c:pt>
                <c:pt idx="40">
                  <c:v>-0.87582095377518299</c:v>
                </c:pt>
                <c:pt idx="41">
                  <c:v>-0.86967454673830125</c:v>
                </c:pt>
                <c:pt idx="42">
                  <c:v>-0.86339025703750361</c:v>
                </c:pt>
                <c:pt idx="43">
                  <c:v>-0.85696908101631664</c:v>
                </c:pt>
                <c:pt idx="44">
                  <c:v>-0.8504120367209258</c:v>
                </c:pt>
                <c:pt idx="45">
                  <c:v>-0.84372016373877046</c:v>
                </c:pt>
                <c:pt idx="46">
                  <c:v>-0.83689452303372125</c:v>
                </c:pt>
                <c:pt idx="47">
                  <c:v>-0.82993619677787023</c:v>
                </c:pt>
                <c:pt idx="48">
                  <c:v>-0.82284628817995631</c:v>
                </c:pt>
                <c:pt idx="49">
                  <c:v>-0.81562592131045897</c:v>
                </c:pt>
                <c:pt idx="50">
                  <c:v>-0.8082762409233808</c:v>
                </c:pt>
                <c:pt idx="51">
                  <c:v>-0.80079841227475301</c:v>
                </c:pt>
                <c:pt idx="52">
                  <c:v>-0.79319362093788937</c:v>
                </c:pt>
                <c:pt idx="53">
                  <c:v>-0.78546307261542014</c:v>
                </c:pt>
                <c:pt idx="54">
                  <c:v>-0.77760799294813199</c:v>
                </c:pt>
                <c:pt idx="55">
                  <c:v>-0.76962962732065077</c:v>
                </c:pt>
                <c:pt idx="56">
                  <c:v>-0.76152924066399108</c:v>
                </c:pt>
                <c:pt idx="57">
                  <c:v>-0.75330811725500646</c:v>
                </c:pt>
                <c:pt idx="58">
                  <c:v>-0.74496756051277513</c:v>
                </c:pt>
                <c:pt idx="59">
                  <c:v>-0.73650889279194887</c:v>
                </c:pt>
                <c:pt idx="60">
                  <c:v>-0.72793345517309938</c:v>
                </c:pt>
                <c:pt idx="61">
                  <c:v>-0.71924260725009737</c:v>
                </c:pt>
                <c:pt idx="62">
                  <c:v>-0.71043772691455498</c:v>
                </c:pt>
                <c:pt idx="63">
                  <c:v>-0.70152021013736843</c:v>
                </c:pt>
                <c:pt idx="64">
                  <c:v>-0.69249147074739226</c:v>
                </c:pt>
                <c:pt idx="65">
                  <c:v>-0.68335294020728543</c:v>
                </c:pt>
                <c:pt idx="66">
                  <c:v>-0.67410606738655909</c:v>
                </c:pt>
                <c:pt idx="67">
                  <c:v>-0.66475231833186454</c:v>
                </c:pt>
                <c:pt idx="68">
                  <c:v>-0.65529317603456028</c:v>
                </c:pt>
                <c:pt idx="69">
                  <c:v>-0.64573014019558972</c:v>
                </c:pt>
                <c:pt idx="70">
                  <c:v>-0.63606472698771155</c:v>
                </c:pt>
                <c:pt idx="71">
                  <c:v>-0.62629846881511764</c:v>
                </c:pt>
                <c:pt idx="72">
                  <c:v>-0.61643291407047773</c:v>
                </c:pt>
                <c:pt idx="73">
                  <c:v>-0.60646962688945005</c:v>
                </c:pt>
                <c:pt idx="74">
                  <c:v>-0.59641018690269343</c:v>
                </c:pt>
                <c:pt idx="75">
                  <c:v>-0.58625618898542686</c:v>
                </c:pt>
                <c:pt idx="76">
                  <c:v>-0.57600924300456857</c:v>
                </c:pt>
                <c:pt idx="77">
                  <c:v>-0.56567097356349894</c:v>
                </c:pt>
                <c:pt idx="78">
                  <c:v>-0.55524301974448875</c:v>
                </c:pt>
                <c:pt idx="79">
                  <c:v>-0.54472703484883012</c:v>
                </c:pt>
                <c:pt idx="80">
                  <c:v>-0.53412468613471364</c:v>
                </c:pt>
                <c:pt idx="81">
                  <c:v>-0.52343765455289248</c:v>
                </c:pt>
                <c:pt idx="82">
                  <c:v>-0.51266763448017616</c:v>
                </c:pt>
                <c:pt idx="83">
                  <c:v>-0.50181633345079579</c:v>
                </c:pt>
                <c:pt idx="84">
                  <c:v>-0.4908854718856811</c:v>
                </c:pt>
                <c:pt idx="85">
                  <c:v>-0.47987678281969864</c:v>
                </c:pt>
                <c:pt idx="86">
                  <c:v>-0.46879201162688483</c:v>
                </c:pt>
                <c:pt idx="87">
                  <c:v>-0.45763291574372789</c:v>
                </c:pt>
                <c:pt idx="88">
                  <c:v>-0.44640126439053329</c:v>
                </c:pt>
                <c:pt idx="89">
                  <c:v>-0.43509883829092294</c:v>
                </c:pt>
                <c:pt idx="90">
                  <c:v>-0.42372742938951014</c:v>
                </c:pt>
                <c:pt idx="91">
                  <c:v>-0.41228884056779558</c:v>
                </c:pt>
                <c:pt idx="92">
                  <c:v>-0.40078488535832868</c:v>
                </c:pt>
                <c:pt idx="93">
                  <c:v>-0.38921738765718195</c:v>
                </c:pt>
                <c:pt idx="94">
                  <c:v>-0.37758818143477968</c:v>
                </c:pt>
                <c:pt idx="95">
                  <c:v>-0.36589911044513262</c:v>
                </c:pt>
                <c:pt idx="96">
                  <c:v>-0.35415202793351785</c:v>
                </c:pt>
                <c:pt idx="97">
                  <c:v>-0.34234879634265747</c:v>
                </c:pt>
                <c:pt idx="98">
                  <c:v>-0.33049128701743657</c:v>
                </c:pt>
                <c:pt idx="99">
                  <c:v>-0.31858137990821012</c:v>
                </c:pt>
                <c:pt idx="100">
                  <c:v>-0.30662096327274724</c:v>
                </c:pt>
                <c:pt idx="101">
                  <c:v>-0.29461193337685576</c:v>
                </c:pt>
                <c:pt idx="102">
                  <c:v>-0.28255619419373978</c:v>
                </c:pt>
                <c:pt idx="103">
                  <c:v>-0.27045565710213343</c:v>
                </c:pt>
                <c:pt idx="104">
                  <c:v>-0.25831224058326041</c:v>
                </c:pt>
                <c:pt idx="105">
                  <c:v>-0.24612786991666954</c:v>
                </c:pt>
                <c:pt idx="106">
                  <c:v>-0.23390447687498958</c:v>
                </c:pt>
                <c:pt idx="107">
                  <c:v>-0.22164399941765742</c:v>
                </c:pt>
                <c:pt idx="108">
                  <c:v>-0.20934838138366341</c:v>
                </c:pt>
                <c:pt idx="109">
                  <c:v>-0.19701957218336458</c:v>
                </c:pt>
                <c:pt idx="110">
                  <c:v>-0.18465952648941655</c:v>
                </c:pt>
                <c:pt idx="111">
                  <c:v>-0.17227020392686812</c:v>
                </c:pt>
                <c:pt idx="112">
                  <c:v>-0.15985356876247375</c:v>
                </c:pt>
                <c:pt idx="113">
                  <c:v>-0.14741158959326711</c:v>
                </c:pt>
                <c:pt idx="114">
                  <c:v>-0.13494623903445108</c:v>
                </c:pt>
                <c:pt idx="115">
                  <c:v>-0.1224594934066485</c:v>
                </c:pt>
                <c:pt idx="116">
                  <c:v>-0.10995333242256551</c:v>
                </c:pt>
                <c:pt idx="117">
                  <c:v>-9.7429738873119412E-2</c:v>
                </c:pt>
                <c:pt idx="118">
                  <c:v>-8.4890698313074872E-2</c:v>
                </c:pt>
                <c:pt idx="119">
                  <c:v>-7.2338198746245572E-2</c:v>
                </c:pt>
                <c:pt idx="120">
                  <c:v>-5.9774230310305126E-2</c:v>
                </c:pt>
                <c:pt idx="121">
                  <c:v>-4.720078496125988E-2</c:v>
                </c:pt>
                <c:pt idx="122">
                  <c:v>-3.4619856157635444E-2</c:v>
                </c:pt>
                <c:pt idx="123">
                  <c:v>-2.2033438544421836E-2</c:v>
                </c:pt>
                <c:pt idx="124">
                  <c:v>-9.4435276368337699E-3</c:v>
                </c:pt>
                <c:pt idx="125">
                  <c:v>3.1478804960692404E-3</c:v>
                </c:pt>
                <c:pt idx="126">
                  <c:v>1.5738789547850556E-2</c:v>
                </c:pt>
                <c:pt idx="127">
                  <c:v>2.8327203291199539E-2</c:v>
                </c:pt>
                <c:pt idx="128">
                  <c:v>4.0911125894425429E-2</c:v>
                </c:pt>
                <c:pt idx="129">
                  <c:v>5.3488562237885208E-2</c:v>
                </c:pt>
                <c:pt idx="130">
                  <c:v>6.6057518230300732E-2</c:v>
                </c:pt>
                <c:pt idx="131">
                  <c:v>7.8616001124912904E-2</c:v>
                </c:pt>
                <c:pt idx="132">
                  <c:v>9.1162019835420383E-2</c:v>
                </c:pt>
                <c:pt idx="133">
                  <c:v>0.10369358525165838</c:v>
                </c:pt>
                <c:pt idx="134">
                  <c:v>0.1162087105549609</c:v>
                </c:pt>
                <c:pt idx="135">
                  <c:v>0.12870541153316176</c:v>
                </c:pt>
                <c:pt idx="136">
                  <c:v>0.14118170689518245</c:v>
                </c:pt>
                <c:pt idx="137">
                  <c:v>0.15363561858515465</c:v>
                </c:pt>
                <c:pt idx="138">
                  <c:v>0.16606517209603314</c:v>
                </c:pt>
                <c:pt idx="139">
                  <c:v>0.17846839678264265</c:v>
                </c:pt>
                <c:pt idx="140">
                  <c:v>0.19084332617411484</c:v>
                </c:pt>
                <c:pt idx="141">
                  <c:v>0.2031879982856632</c:v>
                </c:pt>
                <c:pt idx="142">
                  <c:v>0.21550045592964476</c:v>
                </c:pt>
                <c:pt idx="143">
                  <c:v>0.22777874702586434</c:v>
                </c:pt>
                <c:pt idx="144">
                  <c:v>0.24002092491106591</c:v>
                </c:pt>
                <c:pt idx="145">
                  <c:v>0.25222504864756712</c:v>
                </c:pt>
                <c:pt idx="146">
                  <c:v>0.26438918333098627</c:v>
                </c:pt>
                <c:pt idx="147">
                  <c:v>0.27651140039701028</c:v>
                </c:pt>
                <c:pt idx="148">
                  <c:v>0.28858977792716112</c:v>
                </c:pt>
                <c:pt idx="149">
                  <c:v>0.3006224009535049</c:v>
                </c:pt>
                <c:pt idx="150">
                  <c:v>0.31260736176226211</c:v>
                </c:pt>
                <c:pt idx="151">
                  <c:v>0.32454276019626527</c:v>
                </c:pt>
                <c:pt idx="152">
                  <c:v>0.33642670395621993</c:v>
                </c:pt>
                <c:pt idx="153">
                  <c:v>0.34825730890072032</c:v>
                </c:pt>
                <c:pt idx="154">
                  <c:v>0.36003269934496918</c:v>
                </c:pt>
                <c:pt idx="155">
                  <c:v>0.37175100835816027</c:v>
                </c:pt>
                <c:pt idx="156">
                  <c:v>0.38341037805946954</c:v>
                </c:pt>
                <c:pt idx="157">
                  <c:v>0.39500895991261387</c:v>
                </c:pt>
                <c:pt idx="158">
                  <c:v>0.40654491501892803</c:v>
                </c:pt>
                <c:pt idx="159">
                  <c:v>0.4180164144089118</c:v>
                </c:pt>
                <c:pt idx="160">
                  <c:v>0.42942163933220517</c:v>
                </c:pt>
                <c:pt idx="161">
                  <c:v>0.44075878154594161</c:v>
                </c:pt>
                <c:pt idx="162">
                  <c:v>0.45202604360143783</c:v>
                </c:pt>
                <c:pt idx="163">
                  <c:v>0.46322163912916808</c:v>
                </c:pt>
                <c:pt idx="164">
                  <c:v>0.47434379312198605</c:v>
                </c:pt>
                <c:pt idx="165">
                  <c:v>0.48539074221654255</c:v>
                </c:pt>
                <c:pt idx="166">
                  <c:v>0.4963607349728601</c:v>
                </c:pt>
                <c:pt idx="167">
                  <c:v>0.50725203215201253</c:v>
                </c:pt>
                <c:pt idx="168">
                  <c:v>0.51806290699187474</c:v>
                </c:pt>
                <c:pt idx="169">
                  <c:v>0.52879164548089164</c:v>
                </c:pt>
                <c:pt idx="170">
                  <c:v>0.53943654662982632</c:v>
                </c:pt>
                <c:pt idx="171">
                  <c:v>0.54999592274144504</c:v>
                </c:pt>
                <c:pt idx="172">
                  <c:v>0.56046809967809075</c:v>
                </c:pt>
                <c:pt idx="173">
                  <c:v>0.57085141712711174</c:v>
                </c:pt>
                <c:pt idx="174">
                  <c:v>0.58114422886409478</c:v>
                </c:pt>
                <c:pt idx="175">
                  <c:v>0.59134490301386677</c:v>
                </c:pt>
                <c:pt idx="176">
                  <c:v>0.60145182230922078</c:v>
                </c:pt>
                <c:pt idx="177">
                  <c:v>0.61146338434732483</c:v>
                </c:pt>
                <c:pt idx="178">
                  <c:v>0.62137800184377578</c:v>
                </c:pt>
                <c:pt idx="179">
                  <c:v>0.63119410288425559</c:v>
                </c:pt>
                <c:pt idx="180">
                  <c:v>0.64091013117374995</c:v>
                </c:pt>
                <c:pt idx="181">
                  <c:v>0.65052454628329326</c:v>
                </c:pt>
                <c:pt idx="182">
                  <c:v>0.66003582389419335</c:v>
                </c:pt>
                <c:pt idx="183">
                  <c:v>0.66944245603970665</c:v>
                </c:pt>
                <c:pt idx="184">
                  <c:v>0.67874295134411833</c:v>
                </c:pt>
                <c:pt idx="185">
                  <c:v>0.68793583525919277</c:v>
                </c:pt>
                <c:pt idx="186">
                  <c:v>0.69701965029795676</c:v>
                </c:pt>
                <c:pt idx="187">
                  <c:v>0.70599295626577541</c:v>
                </c:pt>
                <c:pt idx="188">
                  <c:v>0.71485433048868918</c:v>
                </c:pt>
                <c:pt idx="189">
                  <c:v>0.72360236803897138</c:v>
                </c:pt>
                <c:pt idx="190">
                  <c:v>0.7322356819578727</c:v>
                </c:pt>
                <c:pt idx="191">
                  <c:v>0.74075290347551759</c:v>
                </c:pt>
                <c:pt idx="192">
                  <c:v>0.74915268222791453</c:v>
                </c:pt>
                <c:pt idx="193">
                  <c:v>0.7574336864710508</c:v>
                </c:pt>
                <c:pt idx="194">
                  <c:v>0.76559460329203355</c:v>
                </c:pt>
                <c:pt idx="195">
                  <c:v>0.77363413881724563</c:v>
                </c:pt>
                <c:pt idx="196">
                  <c:v>0.78155101841748409</c:v>
                </c:pt>
                <c:pt idx="197">
                  <c:v>0.7893439869100447</c:v>
                </c:pt>
                <c:pt idx="198">
                  <c:v>0.79701180875772593</c:v>
                </c:pt>
                <c:pt idx="199">
                  <c:v>0.80455326826471762</c:v>
                </c:pt>
                <c:pt idx="200">
                  <c:v>0.81196716976934291</c:v>
                </c:pt>
                <c:pt idx="201">
                  <c:v>0.81925233783362583</c:v>
                </c:pt>
                <c:pt idx="202">
                  <c:v>0.82640761742964941</c:v>
                </c:pt>
                <c:pt idx="203">
                  <c:v>0.83343187412268127</c:v>
                </c:pt>
                <c:pt idx="204">
                  <c:v>0.84032399425103221</c:v>
                </c:pt>
                <c:pt idx="205">
                  <c:v>0.84708288510262131</c:v>
                </c:pt>
                <c:pt idx="206">
                  <c:v>0.85370747508822165</c:v>
                </c:pt>
                <c:pt idx="207">
                  <c:v>0.86019671391135366</c:v>
                </c:pt>
                <c:pt idx="208">
                  <c:v>0.86654957273480571</c:v>
                </c:pt>
                <c:pt idx="209">
                  <c:v>0.87276504434375091</c:v>
                </c:pt>
                <c:pt idx="210">
                  <c:v>0.87884214330543575</c:v>
                </c:pt>
                <c:pt idx="211">
                  <c:v>0.88477990612541701</c:v>
                </c:pt>
                <c:pt idx="212">
                  <c:v>0.89057739140031733</c:v>
                </c:pt>
                <c:pt idx="213">
                  <c:v>0.89623367996708103</c:v>
                </c:pt>
                <c:pt idx="214">
                  <c:v>0.90174787504870302</c:v>
                </c:pt>
                <c:pt idx="215">
                  <c:v>0.90711910239640803</c:v>
                </c:pt>
                <c:pt idx="216">
                  <c:v>0.91234651042825932</c:v>
                </c:pt>
                <c:pt idx="217">
                  <c:v>0.91742927036417166</c:v>
                </c:pt>
                <c:pt idx="218">
                  <c:v>0.92236657635731101</c:v>
                </c:pt>
                <c:pt idx="219">
                  <c:v>0.92715764562185798</c:v>
                </c:pt>
                <c:pt idx="220">
                  <c:v>0.93180171855711369</c:v>
                </c:pt>
                <c:pt idx="221">
                  <c:v>0.93629805886793205</c:v>
                </c:pt>
                <c:pt idx="222">
                  <c:v>0.94064595368145465</c:v>
                </c:pt>
                <c:pt idx="223">
                  <c:v>0.94484471366013378</c:v>
                </c:pt>
                <c:pt idx="224">
                  <c:v>0.94889367311102335</c:v>
                </c:pt>
                <c:pt idx="225">
                  <c:v>0.95279219009132199</c:v>
                </c:pt>
                <c:pt idx="226">
                  <c:v>0.95653964651014867</c:v>
                </c:pt>
                <c:pt idx="227">
                  <c:v>0.96013544822653907</c:v>
                </c:pt>
                <c:pt idx="228">
                  <c:v>0.96357902514364313</c:v>
                </c:pt>
                <c:pt idx="229">
                  <c:v>0.96686983129911142</c:v>
                </c:pt>
                <c:pt idx="230">
                  <c:v>0.97000734495165508</c:v>
                </c:pt>
                <c:pt idx="231">
                  <c:v>0.9729910686637645</c:v>
                </c:pt>
                <c:pt idx="232">
                  <c:v>0.97582052938057651</c:v>
                </c:pt>
                <c:pt idx="233">
                  <c:v>0.97849527850487439</c:v>
                </c:pt>
                <c:pt idx="234">
                  <c:v>0.98101489196821101</c:v>
                </c:pt>
                <c:pt idx="235">
                  <c:v>0.9833789702981427</c:v>
                </c:pt>
                <c:pt idx="236">
                  <c:v>0.98558713868156367</c:v>
                </c:pt>
                <c:pt idx="237">
                  <c:v>0.98763904702413108</c:v>
                </c:pt>
                <c:pt idx="238">
                  <c:v>0.98953437000577016</c:v>
                </c:pt>
                <c:pt idx="239">
                  <c:v>0.99127280713225285</c:v>
                </c:pt>
                <c:pt idx="240">
                  <c:v>0.99285408278283926</c:v>
                </c:pt>
                <c:pt idx="241">
                  <c:v>0.99427794625397603</c:v>
                </c:pt>
                <c:pt idx="242">
                  <c:v>0.99554417179904431</c:v>
                </c:pt>
                <c:pt idx="243">
                  <c:v>0.99665255866415059</c:v>
                </c:pt>
                <c:pt idx="244">
                  <c:v>0.99760293111995557</c:v>
                </c:pt>
                <c:pt idx="245">
                  <c:v>0.99839513848953476</c:v>
                </c:pt>
                <c:pt idx="246">
                  <c:v>0.99902905517226803</c:v>
                </c:pt>
                <c:pt idx="247">
                  <c:v>0.99950458066375258</c:v>
                </c:pt>
                <c:pt idx="248">
                  <c:v>0.99982163957173753</c:v>
                </c:pt>
                <c:pt idx="249">
                  <c:v>0.99998018162807711</c:v>
                </c:pt>
                <c:pt idx="250">
                  <c:v>0.99998018169670067</c:v>
                </c:pt>
                <c:pt idx="251">
                  <c:v>0.99982163977759708</c:v>
                </c:pt>
                <c:pt idx="252">
                  <c:v>0.99950458100681572</c:v>
                </c:pt>
                <c:pt idx="253">
                  <c:v>0.99902905565248035</c:v>
                </c:pt>
                <c:pt idx="254">
                  <c:v>0.9983951391068201</c:v>
                </c:pt>
                <c:pt idx="255">
                  <c:v>0.997602931874216</c:v>
                </c:pt>
                <c:pt idx="256">
                  <c:v>0.99665255955526655</c:v>
                </c:pt>
                <c:pt idx="257">
                  <c:v>0.99554417282687446</c:v>
                </c:pt>
                <c:pt idx="258">
                  <c:v>0.9942779474183574</c:v>
                </c:pt>
                <c:pt idx="259">
                  <c:v>0.99285408408358744</c:v>
                </c:pt>
                <c:pt idx="260">
                  <c:v>0.99127280856916145</c:v>
                </c:pt>
                <c:pt idx="261">
                  <c:v>0.98953437157861135</c:v>
                </c:pt>
                <c:pt idx="262">
                  <c:v>0.98763904873265551</c:v>
                </c:pt>
                <c:pt idx="263">
                  <c:v>0.98558714052550056</c:v>
                </c:pt>
                <c:pt idx="264">
                  <c:v>0.98337897227719961</c:v>
                </c:pt>
                <c:pt idx="265">
                  <c:v>0.98101489408207421</c:v>
                </c:pt>
                <c:pt idx="266">
                  <c:v>0.9784952807532088</c:v>
                </c:pt>
                <c:pt idx="267">
                  <c:v>0.97582053176302552</c:v>
                </c:pt>
                <c:pt idx="268">
                  <c:v>0.97299107117995043</c:v>
                </c:pt>
                <c:pt idx="269">
                  <c:v>0.97000734760117913</c:v>
                </c:pt>
                <c:pt idx="270">
                  <c:v>0.96686983408155347</c:v>
                </c:pt>
                <c:pt idx="271">
                  <c:v>0.96357902805856188</c:v>
                </c:pt>
                <c:pt idx="272">
                  <c:v>0.96013545127347244</c:v>
                </c:pt>
                <c:pt idx="273">
                  <c:v>0.9565396496886136</c:v>
                </c:pt>
                <c:pt idx="274">
                  <c:v>0.95279219340081478</c:v>
                </c:pt>
                <c:pt idx="275">
                  <c:v>0.94889367655101908</c:v>
                </c:pt>
                <c:pt idx="276">
                  <c:v>0.94484471723008689</c:v>
                </c:pt>
                <c:pt idx="277">
                  <c:v>0.94064595738079926</c:v>
                </c:pt>
                <c:pt idx="278">
                  <c:v>0.93629806269608173</c:v>
                </c:pt>
                <c:pt idx="279">
                  <c:v>0.93180172251346161</c:v>
                </c:pt>
                <c:pt idx="280">
                  <c:v>0.92715764970577663</c:v>
                </c:pt>
                <c:pt idx="281">
                  <c:v>0.92236658056815313</c:v>
                </c:pt>
                <c:pt idx="282">
                  <c:v>0.91742927470126934</c:v>
                </c:pt>
                <c:pt idx="283">
                  <c:v>0.91234651489092522</c:v>
                </c:pt>
                <c:pt idx="284">
                  <c:v>0.90711910698393472</c:v>
                </c:pt>
                <c:pt idx="285">
                  <c:v>0.90174787976036275</c:v>
                </c:pt>
                <c:pt idx="286">
                  <c:v>0.89623368480212706</c:v>
                </c:pt>
                <c:pt idx="287">
                  <c:v>0.89057739635798305</c:v>
                </c:pt>
                <c:pt idx="288">
                  <c:v>0.88477991120491639</c:v>
                </c:pt>
                <c:pt idx="289">
                  <c:v>0.87884214850596376</c:v>
                </c:pt>
                <c:pt idx="290">
                  <c:v>0.87276504966448243</c:v>
                </c:pt>
                <c:pt idx="291">
                  <c:v>0.86654957817489753</c:v>
                </c:pt>
                <c:pt idx="292">
                  <c:v>0.86019671946994314</c:v>
                </c:pt>
                <c:pt idx="293">
                  <c:v>0.85370748076442782</c:v>
                </c:pt>
                <c:pt idx="294">
                  <c:v>0.84708289089554401</c:v>
                </c:pt>
                <c:pt idx="295">
                  <c:v>0.84032400015975273</c:v>
                </c:pt>
                <c:pt idx="296">
                  <c:v>0.83343188014626313</c:v>
                </c:pt>
                <c:pt idx="297">
                  <c:v>0.82640762356713748</c:v>
                </c:pt>
                <c:pt idx="298">
                  <c:v>0.81925234408404735</c:v>
                </c:pt>
                <c:pt idx="299">
                  <c:v>0.81196717613170677</c:v>
                </c:pt>
                <c:pt idx="300">
                  <c:v>0.80455327473801475</c:v>
                </c:pt>
                <c:pt idx="301">
                  <c:v>0.79701181534093024</c:v>
                </c:pt>
                <c:pt idx="302">
                  <c:v>0.78934399360211238</c:v>
                </c:pt>
                <c:pt idx="303">
                  <c:v>0.78155102521735464</c:v>
                </c:pt>
                <c:pt idx="304">
                  <c:v>0.77363414572384048</c:v>
                </c:pt>
                <c:pt idx="305">
                  <c:v>0.76559461030425746</c:v>
                </c:pt>
                <c:pt idx="306">
                  <c:v>0.75743369358779233</c:v>
                </c:pt>
                <c:pt idx="307">
                  <c:v>0.74915268944804536</c:v>
                </c:pt>
                <c:pt idx="308">
                  <c:v>0.74075291079789329</c:v>
                </c:pt>
                <c:pt idx="309">
                  <c:v>0.7322356893813321</c:v>
                </c:pt>
                <c:pt idx="310">
                  <c:v>0.7236023755623372</c:v>
                </c:pt>
                <c:pt idx="311">
                  <c:v>0.71485433811076882</c:v>
                </c:pt>
                <c:pt idx="312">
                  <c:v>0.7059929639853606</c:v>
                </c:pt>
                <c:pt idx="313">
                  <c:v>0.69701965811382383</c:v>
                </c:pt>
                <c:pt idx="314">
                  <c:v>0.68793584317010215</c:v>
                </c:pt>
                <c:pt idx="315">
                  <c:v>0.67874295934881557</c:v>
                </c:pt>
                <c:pt idx="316">
                  <c:v>0.66944246413692288</c:v>
                </c:pt>
                <c:pt idx="317">
                  <c:v>0.66003583208264494</c:v>
                </c:pt>
                <c:pt idx="318">
                  <c:v>0.6505245545616819</c:v>
                </c:pt>
                <c:pt idx="319">
                  <c:v>0.64091013954076315</c:v>
                </c:pt>
                <c:pt idx="320">
                  <c:v>0.6311941113385664</c:v>
                </c:pt>
                <c:pt idx="321">
                  <c:v>0.62137801038404483</c:v>
                </c:pt>
                <c:pt idx="322">
                  <c:v>0.61146339297219754</c:v>
                </c:pt>
                <c:pt idx="323">
                  <c:v>0.60145183101732957</c:v>
                </c:pt>
                <c:pt idx="324">
                  <c:v>0.59134491180383109</c:v>
                </c:pt>
                <c:pt idx="325">
                  <c:v>0.58114423773452073</c:v>
                </c:pt>
                <c:pt idx="326">
                  <c:v>0.57085142607659323</c:v>
                </c:pt>
                <c:pt idx="327">
                  <c:v>0.56046810870520891</c:v>
                </c:pt>
                <c:pt idx="328">
                  <c:v>0.54999593184476858</c:v>
                </c:pt>
                <c:pt idx="329">
                  <c:v>0.53943655580791217</c:v>
                </c:pt>
                <c:pt idx="330">
                  <c:v>0.52879165473228484</c:v>
                </c:pt>
                <c:pt idx="331">
                  <c:v>0.51806291631510815</c:v>
                </c:pt>
                <c:pt idx="332">
                  <c:v>0.5072520415456081</c:v>
                </c:pt>
                <c:pt idx="333">
                  <c:v>0.4963607444353284</c:v>
                </c:pt>
                <c:pt idx="334">
                  <c:v>0.48539075174638346</c:v>
                </c:pt>
                <c:pt idx="335">
                  <c:v>0.47434380271768822</c:v>
                </c:pt>
                <c:pt idx="336">
                  <c:v>0.46322164878921057</c:v>
                </c:pt>
                <c:pt idx="337">
                  <c:v>0.45202605332428908</c:v>
                </c:pt>
                <c:pt idx="338">
                  <c:v>0.44075879133006007</c:v>
                </c:pt>
                <c:pt idx="339">
                  <c:v>0.42942164917603926</c:v>
                </c:pt>
                <c:pt idx="340">
                  <c:v>0.41801642431090202</c:v>
                </c:pt>
                <c:pt idx="341">
                  <c:v>0.40654492497750366</c:v>
                </c:pt>
                <c:pt idx="342">
                  <c:v>0.39500896992619611</c:v>
                </c:pt>
                <c:pt idx="343">
                  <c:v>0.38341038812647049</c:v>
                </c:pt>
                <c:pt idx="344">
                  <c:v>0.37175101847698405</c:v>
                </c:pt>
                <c:pt idx="345">
                  <c:v>0.36003270951401156</c:v>
                </c:pt>
                <c:pt idx="346">
                  <c:v>0.34825731911836877</c:v>
                </c:pt>
                <c:pt idx="347">
                  <c:v>0.33642671422085474</c:v>
                </c:pt>
                <c:pt idx="348">
                  <c:v>0.32454277050625885</c:v>
                </c:pt>
                <c:pt idx="349">
                  <c:v>0.31260737211598</c:v>
                </c:pt>
                <c:pt idx="350">
                  <c:v>0.30062241134930645</c:v>
                </c:pt>
                <c:pt idx="351">
                  <c:v>0.2885897883633971</c:v>
                </c:pt>
                <c:pt idx="352">
                  <c:v>0.27651141087202619</c:v>
                </c:pt>
                <c:pt idx="353">
                  <c:v>0.26438919384312121</c:v>
                </c:pt>
                <c:pt idx="354">
                  <c:v>0.2522250591951547</c:v>
                </c:pt>
                <c:pt idx="355">
                  <c:v>0.24002093549243358</c:v>
                </c:pt>
                <c:pt idx="356">
                  <c:v>0.22777875763933469</c:v>
                </c:pt>
                <c:pt idx="357">
                  <c:v>0.21550046657353508</c:v>
                </c:pt>
                <c:pt idx="358">
                  <c:v>0.20318800895828573</c:v>
                </c:pt>
                <c:pt idx="359">
                  <c:v>0.19084333687377772</c:v>
                </c:pt>
                <c:pt idx="360">
                  <c:v>0.17846840750765017</c:v>
                </c:pt>
                <c:pt idx="361">
                  <c:v>0.16606518284468424</c:v>
                </c:pt>
                <c:pt idx="362">
                  <c:v>0.15363562935574518</c:v>
                </c:pt>
                <c:pt idx="363">
                  <c:v>0.14118171768600457</c:v>
                </c:pt>
                <c:pt idx="364">
                  <c:v>0.12870542234250484</c:v>
                </c:pt>
                <c:pt idx="365">
                  <c:v>0.11620872138111096</c:v>
                </c:pt>
                <c:pt idx="366">
                  <c:v>0.10369359609289922</c:v>
                </c:pt>
                <c:pt idx="367">
                  <c:v>9.1162030690033147E-2</c:v>
                </c:pt>
                <c:pt idx="368">
                  <c:v>7.8616011991176446E-2</c:v>
                </c:pt>
                <c:pt idx="369">
                  <c:v>6.6057529106492485E-2</c:v>
                </c:pt>
                <c:pt idx="370">
                  <c:v>5.3488573122281453E-2</c:v>
                </c:pt>
                <c:pt idx="371">
                  <c:v>4.0911136785299847E-2</c:v>
                </c:pt>
                <c:pt idx="372">
                  <c:v>2.8327214186825427E-2</c:v>
                </c:pt>
                <c:pt idx="373">
                  <c:v>1.5738800446500247E-2</c:v>
                </c:pt>
                <c:pt idx="374">
                  <c:v>3.1478913960150266E-3</c:v>
                </c:pt>
                <c:pt idx="375">
                  <c:v>-9.4435167373202421E-3</c:v>
                </c:pt>
                <c:pt idx="376">
                  <c:v>-2.2033427647068414E-2</c:v>
                </c:pt>
                <c:pt idx="377">
                  <c:v>-3.4619845264169842E-2</c:v>
                </c:pt>
                <c:pt idx="378">
                  <c:v>-4.7200774073409432E-2</c:v>
                </c:pt>
                <c:pt idx="379">
                  <c:v>-5.977421942979582E-2</c:v>
                </c:pt>
                <c:pt idx="380">
                  <c:v>-7.2338187874801799E-2</c:v>
                </c:pt>
                <c:pt idx="381">
                  <c:v>-8.4890687452420913E-2</c:v>
                </c:pt>
                <c:pt idx="382">
                  <c:v>-9.7429728024977166E-2</c:v>
                </c:pt>
                <c:pt idx="383">
                  <c:v>-0.10995332158865513</c:v>
                </c:pt>
                <c:pt idx="384">
                  <c:v>-0.1224594825886874</c:v>
                </c:pt>
                <c:pt idx="385">
                  <c:v>-0.13494622823415464</c:v>
                </c:pt>
                <c:pt idx="386">
                  <c:v>-0.14741157881234745</c:v>
                </c:pt>
                <c:pt idx="387">
                  <c:v>-0.15985355800264012</c:v>
                </c:pt>
                <c:pt idx="388">
                  <c:v>-0.17227019318982664</c:v>
                </c:pt>
                <c:pt idx="389">
                  <c:v>-0.18465951577686848</c:v>
                </c:pt>
                <c:pt idx="390">
                  <c:v>-0.19701956149700939</c:v>
                </c:pt>
                <c:pt idx="391">
                  <c:v>-0.20934837072519516</c:v>
                </c:pt>
                <c:pt idx="392">
                  <c:v>-0.22164398878876621</c:v>
                </c:pt>
                <c:pt idx="393">
                  <c:v>-0.23390446627736031</c:v>
                </c:pt>
                <c:pt idx="394">
                  <c:v>-0.24612785935198242</c:v>
                </c:pt>
                <c:pt idx="395">
                  <c:v>-0.25831223005319065</c:v>
                </c:pt>
                <c:pt idx="396">
                  <c:v>-0.27045564660835031</c:v>
                </c:pt>
                <c:pt idx="397">
                  <c:v>-0.28255618373790725</c:v>
                </c:pt>
                <c:pt idx="398">
                  <c:v>-0.29461192296063132</c:v>
                </c:pt>
                <c:pt idx="399">
                  <c:v>-0.30662095289778146</c:v>
                </c:pt>
                <c:pt idx="400">
                  <c:v>-0.31858136957614897</c:v>
                </c:pt>
                <c:pt idx="401">
                  <c:v>-0.33049127672991802</c:v>
                </c:pt>
                <c:pt idx="402">
                  <c:v>-0.34234878610131264</c:v>
                </c:pt>
                <c:pt idx="403">
                  <c:v>-0.35415201773997029</c:v>
                </c:pt>
                <c:pt idx="404">
                  <c:v>-0.36589910030099848</c:v>
                </c:pt>
                <c:pt idx="405">
                  <c:v>-0.3775881713416675</c:v>
                </c:pt>
                <c:pt idx="406">
                  <c:v>-0.38921737761669167</c:v>
                </c:pt>
                <c:pt idx="407">
                  <c:v>-0.40078487537205243</c:v>
                </c:pt>
                <c:pt idx="408">
                  <c:v>-0.41228883063731642</c:v>
                </c:pt>
                <c:pt idx="409">
                  <c:v>-0.42372741951640186</c:v>
                </c:pt>
                <c:pt idx="410">
                  <c:v>-0.43509882847675152</c:v>
                </c:pt>
                <c:pt idx="411">
                  <c:v>-0.44640125463685465</c:v>
                </c:pt>
                <c:pt idx="412">
                  <c:v>-0.45763290605208851</c:v>
                </c:pt>
                <c:pt idx="413">
                  <c:v>-0.46879200199882126</c:v>
                </c:pt>
                <c:pt idx="414">
                  <c:v>-0.47987677325673733</c:v>
                </c:pt>
                <c:pt idx="415">
                  <c:v>-0.49088546238933861</c:v>
                </c:pt>
                <c:pt idx="416">
                  <c:v>-0.50181632402257736</c:v>
                </c:pt>
                <c:pt idx="417">
                  <c:v>-0.51266762512157693</c:v>
                </c:pt>
                <c:pt idx="418">
                  <c:v>-0.52343764526539582</c:v>
                </c:pt>
                <c:pt idx="419">
                  <c:v>-0.53412467691979126</c:v>
                </c:pt>
                <c:pt idx="420">
                  <c:v>-0.54472702570794396</c:v>
                </c:pt>
                <c:pt idx="421">
                  <c:v>-0.55524301067908777</c:v>
                </c:pt>
                <c:pt idx="422">
                  <c:v>-0.56567096457502053</c:v>
                </c:pt>
                <c:pt idx="423">
                  <c:v>-0.57600923409443794</c:v>
                </c:pt>
                <c:pt idx="424">
                  <c:v>-0.58625618015505676</c:v>
                </c:pt>
                <c:pt idx="425">
                  <c:v>-0.59641017815348374</c:v>
                </c:pt>
                <c:pt idx="426">
                  <c:v>-0.60646961822278789</c:v>
                </c:pt>
                <c:pt idx="427">
                  <c:v>-0.61643290548773744</c:v>
                </c:pt>
                <c:pt idx="428">
                  <c:v>-0.62629846031765957</c:v>
                </c:pt>
                <c:pt idx="429">
                  <c:v>-0.6360647185768824</c:v>
                </c:pt>
                <c:pt idx="430">
                  <c:v>-0.64573013187272355</c:v>
                </c:pt>
                <c:pt idx="431">
                  <c:v>-0.65529316780097657</c:v>
                </c:pt>
                <c:pt idx="432">
                  <c:v>-0.66475231018886882</c:v>
                </c:pt>
                <c:pt idx="433">
                  <c:v>-0.67410605933544243</c:v>
                </c:pt>
                <c:pt idx="434">
                  <c:v>-0.68335293224932447</c:v>
                </c:pt>
                <c:pt idx="435">
                  <c:v>-0.69249146288384844</c:v>
                </c:pt>
                <c:pt idx="436">
                  <c:v>-0.70152020236948853</c:v>
                </c:pt>
                <c:pt idx="437">
                  <c:v>-0.7104377192435708</c:v>
                </c:pt>
                <c:pt idx="438">
                  <c:v>-0.71924259967722481</c:v>
                </c:pt>
                <c:pt idx="439">
                  <c:v>-0.72793344769953849</c:v>
                </c:pt>
                <c:pt idx="440">
                  <c:v>-0.73650888541888515</c:v>
                </c:pt>
                <c:pt idx="441">
                  <c:v>-0.74496755324137753</c:v>
                </c:pt>
                <c:pt idx="442">
                  <c:v>-0.75330811008642784</c:v>
                </c:pt>
                <c:pt idx="443">
                  <c:v>-0.76152923359936797</c:v>
                </c:pt>
                <c:pt idx="444">
                  <c:v>-0.76962962036110361</c:v>
                </c:pt>
                <c:pt idx="445">
                  <c:v>-0.77760798609476367</c:v>
                </c:pt>
                <c:pt idx="446">
                  <c:v>-0.78546306586931747</c:v>
                </c:pt>
                <c:pt idx="447">
                  <c:v>-0.79319361430012214</c:v>
                </c:pt>
                <c:pt idx="448">
                  <c:v>-0.80079840574637262</c:v>
                </c:pt>
                <c:pt idx="449">
                  <c:v>-0.80827623450542296</c:v>
                </c:pt>
                <c:pt idx="450">
                  <c:v>-0.81562591500394122</c:v>
                </c:pt>
                <c:pt idx="451">
                  <c:v>-0.8228462819858785</c:v>
                </c:pt>
                <c:pt idx="452">
                  <c:v>-0.82993619069721436</c:v>
                </c:pt>
                <c:pt idx="453">
                  <c:v>-0.83689451706745177</c:v>
                </c:pt>
                <c:pt idx="454">
                  <c:v>-0.84372015788783294</c:v>
                </c:pt>
                <c:pt idx="455">
                  <c:v>-0.85041203098624796</c:v>
                </c:pt>
                <c:pt idx="456">
                  <c:v>-0.85696907539880751</c:v>
                </c:pt>
                <c:pt idx="457">
                  <c:v>-0.86339025153805415</c:v>
                </c:pt>
                <c:pt idx="458">
                  <c:v>-0.86967454135778277</c:v>
                </c:pt>
                <c:pt idx="459">
                  <c:v>-0.87582094851444892</c:v>
                </c:pt>
                <c:pt idx="460">
                  <c:v>-0.88182849852513145</c:v>
                </c:pt>
                <c:pt idx="461">
                  <c:v>-0.8876962389220342</c:v>
                </c:pt>
                <c:pt idx="462">
                  <c:v>-0.89342323940349411</c:v>
                </c:pt>
                <c:pt idx="463">
                  <c:v>-0.89900859198147631</c:v>
                </c:pt>
                <c:pt idx="464">
                  <c:v>-0.90445141112553129</c:v>
                </c:pt>
                <c:pt idx="465">
                  <c:v>-0.90975083390319123</c:v>
                </c:pt>
                <c:pt idx="466">
                  <c:v>-0.91490602011678368</c:v>
                </c:pt>
                <c:pt idx="467">
                  <c:v>-0.91991615243664149</c:v>
                </c:pt>
                <c:pt idx="468">
                  <c:v>-0.92478043653068498</c:v>
                </c:pt>
                <c:pt idx="469">
                  <c:v>-0.92949810119036169</c:v>
                </c:pt>
                <c:pt idx="470">
                  <c:v>-0.93406839845291545</c:v>
                </c:pt>
                <c:pt idx="471">
                  <c:v>-0.93849060371997339</c:v>
                </c:pt>
                <c:pt idx="472">
                  <c:v>-0.94276401587242731</c:v>
                </c:pt>
                <c:pt idx="473">
                  <c:v>-0.9468879573815927</c:v>
                </c:pt>
                <c:pt idx="474">
                  <c:v>-0.95086177441662767</c:v>
                </c:pt>
                <c:pt idx="475">
                  <c:v>-0.9546848369481945</c:v>
                </c:pt>
                <c:pt idx="476">
                  <c:v>-0.95835653884834771</c:v>
                </c:pt>
                <c:pt idx="477">
                  <c:v>-0.96187629798663299</c:v>
                </c:pt>
                <c:pt idx="478">
                  <c:v>-0.96524355632238057</c:v>
                </c:pt>
                <c:pt idx="479">
                  <c:v>-0.96845777999318094</c:v>
                </c:pt>
                <c:pt idx="480">
                  <c:v>-0.97151845939952464</c:v>
                </c:pt>
                <c:pt idx="481">
                  <c:v>-0.97442510928559778</c:v>
                </c:pt>
                <c:pt idx="482">
                  <c:v>-0.97717726881621703</c:v>
                </c:pt>
                <c:pt idx="483">
                  <c:v>-0.9797745016498921</c:v>
                </c:pt>
                <c:pt idx="484">
                  <c:v>-0.98221639600800636</c:v>
                </c:pt>
                <c:pt idx="485">
                  <c:v>-0.98450256474010167</c:v>
                </c:pt>
                <c:pt idx="486">
                  <c:v>-0.98663264538525963</c:v>
                </c:pt>
                <c:pt idx="487">
                  <c:v>-0.98860630022956786</c:v>
                </c:pt>
                <c:pt idx="488">
                  <c:v>-0.99042321635966279</c:v>
                </c:pt>
                <c:pt idx="489">
                  <c:v>-0.99208310571234082</c:v>
                </c:pt>
                <c:pt idx="490">
                  <c:v>-0.99358570512022892</c:v>
                </c:pt>
                <c:pt idx="491">
                  <c:v>-0.99493077635350902</c:v>
                </c:pt>
                <c:pt idx="492">
                  <c:v>-0.9961181061576877</c:v>
                </c:pt>
                <c:pt idx="493">
                  <c:v>-0.997147506287407</c:v>
                </c:pt>
                <c:pt idx="494">
                  <c:v>-0.99801881353628974</c:v>
                </c:pt>
                <c:pt idx="495">
                  <c:v>-0.99873188976281513</c:v>
                </c:pt>
                <c:pt idx="496">
                  <c:v>-0.99928662191222017</c:v>
                </c:pt>
                <c:pt idx="497">
                  <c:v>-0.99968292203442422</c:v>
                </c:pt>
                <c:pt idx="498">
                  <c:v>-0.99992072729797288</c:v>
                </c:pt>
                <c:pt idx="499">
                  <c:v>-0.99999999999999989</c:v>
                </c:pt>
              </c:numCache>
            </c:numRef>
          </c:xVal>
          <c:yVal>
            <c:numRef>
              <c:f>ACP!yycir3</c:f>
              <c:numCache>
                <c:formatCode>General</c:formatCode>
                <c:ptCount val="500"/>
                <c:pt idx="0">
                  <c:v>1.0206823884348348E-11</c:v>
                </c:pt>
                <c:pt idx="1">
                  <c:v>-1.2591220966449658E-2</c:v>
                </c:pt>
                <c:pt idx="2">
                  <c:v>-2.5180445666343389E-2</c:v>
                </c:pt>
                <c:pt idx="3">
                  <c:v>-3.7765678129209522E-2</c:v>
                </c:pt>
                <c:pt idx="4">
                  <c:v>-5.0344923027734259E-2</c:v>
                </c:pt>
                <c:pt idx="5">
                  <c:v>-6.2916185983901668E-2</c:v>
                </c:pt>
                <c:pt idx="6">
                  <c:v>-7.547747388519431E-2</c:v>
                </c:pt>
                <c:pt idx="7">
                  <c:v>-8.802679520059116E-2</c:v>
                </c:pt>
                <c:pt idx="8">
                  <c:v>-0.10056216029631462</c:v>
                </c:pt>
                <c:pt idx="9">
                  <c:v>-0.11308158175127912</c:v>
                </c:pt>
                <c:pt idx="10">
                  <c:v>-0.12558307467218432</c:v>
                </c:pt>
                <c:pt idx="11">
                  <c:v>-0.1380646570082121</c:v>
                </c:pt>
                <c:pt idx="12">
                  <c:v>-0.15052434986527063</c:v>
                </c:pt>
                <c:pt idx="13">
                  <c:v>-0.16296017781973787</c:v>
                </c:pt>
                <c:pt idx="14">
                  <c:v>-0.17537016923165721</c:v>
                </c:pt>
                <c:pt idx="15">
                  <c:v>-0.18775235655732875</c:v>
                </c:pt>
                <c:pt idx="16">
                  <c:v>-0.2001047766612554</c:v>
                </c:pt>
                <c:pt idx="17">
                  <c:v>-0.21242547112738819</c:v>
                </c:pt>
                <c:pt idx="18">
                  <c:v>-0.22471248656962303</c:v>
                </c:pt>
                <c:pt idx="19">
                  <c:v>-0.23696387494150239</c:v>
                </c:pt>
                <c:pt idx="20">
                  <c:v>-0.24917769384506591</c:v>
                </c:pt>
                <c:pt idx="21">
                  <c:v>-0.26135200683880988</c:v>
                </c:pt>
                <c:pt idx="22">
                  <c:v>-0.2734848837447002</c:v>
                </c:pt>
                <c:pt idx="23">
                  <c:v>-0.28557440095419234</c:v>
                </c:pt>
                <c:pt idx="24">
                  <c:v>-0.29761864173321162</c:v>
                </c:pt>
                <c:pt idx="25">
                  <c:v>-0.30961569652603971</c:v>
                </c:pt>
                <c:pt idx="26">
                  <c:v>-0.32156366325806696</c:v>
                </c:pt>
                <c:pt idx="27">
                  <c:v>-0.33346064763735633</c:v>
                </c:pt>
                <c:pt idx="28">
                  <c:v>-0.34530476345497579</c:v>
                </c:pt>
                <c:pt idx="29">
                  <c:v>-0.3570941328840449</c:v>
                </c:pt>
                <c:pt idx="30">
                  <c:v>-0.36882688677745706</c:v>
                </c:pt>
                <c:pt idx="31">
                  <c:v>-0.38050116496422309</c:v>
                </c:pt>
                <c:pt idx="32">
                  <c:v>-0.39211511654439224</c:v>
                </c:pt>
                <c:pt idx="33">
                  <c:v>-0.40366690018250306</c:v>
                </c:pt>
                <c:pt idx="34">
                  <c:v>-0.4151546843995198</c:v>
                </c:pt>
                <c:pt idx="35">
                  <c:v>-0.42657664786320199</c:v>
                </c:pt>
                <c:pt idx="36">
                  <c:v>-0.43793097967686945</c:v>
                </c:pt>
                <c:pt idx="37">
                  <c:v>-0.44921587966651033</c:v>
                </c:pt>
                <c:pt idx="38">
                  <c:v>-0.46042955866619156</c:v>
                </c:pt>
                <c:pt idx="39">
                  <c:v>-0.47157023880171994</c:v>
                </c:pt>
                <c:pt idx="40">
                  <c:v>-0.48263615377251706</c:v>
                </c:pt>
                <c:pt idx="41">
                  <c:v>-0.49362554913165729</c:v>
                </c:pt>
                <c:pt idx="42">
                  <c:v>-0.50453668256402673</c:v>
                </c:pt>
                <c:pt idx="43">
                  <c:v>-0.51536782416255844</c:v>
                </c:pt>
                <c:pt idx="44">
                  <c:v>-0.52611725670250231</c:v>
                </c:pt>
                <c:pt idx="45">
                  <c:v>-0.53678327591368036</c:v>
                </c:pt>
                <c:pt idx="46">
                  <c:v>-0.5473641907506922</c:v>
                </c:pt>
                <c:pt idx="47">
                  <c:v>-0.55785832366102084</c:v>
                </c:pt>
                <c:pt idx="48">
                  <c:v>-0.56826401085100253</c:v>
                </c:pt>
                <c:pt idx="49">
                  <c:v>-0.57857960254961038</c:v>
                </c:pt>
                <c:pt idx="50">
                  <c:v>-0.5888034632700192</c:v>
                </c:pt>
                <c:pt idx="51">
                  <c:v>-0.59893397206890409</c:v>
                </c:pt>
                <c:pt idx="52">
                  <c:v>-0.60896952280343208</c:v>
                </c:pt>
                <c:pt idx="53">
                  <c:v>-0.61890852438590893</c:v>
                </c:pt>
                <c:pt idx="54">
                  <c:v>-0.62874940103603916</c:v>
                </c:pt>
                <c:pt idx="55">
                  <c:v>-0.63849059253075624</c:v>
                </c:pt>
                <c:pt idx="56">
                  <c:v>-0.64813055445158974</c:v>
                </c:pt>
                <c:pt idx="57">
                  <c:v>-0.65766775842952607</c:v>
                </c:pt>
                <c:pt idx="58">
                  <c:v>-0.66710069238732217</c:v>
                </c:pt>
                <c:pt idx="59">
                  <c:v>-0.676427860779239</c:v>
                </c:pt>
                <c:pt idx="60">
                  <c:v>-0.68564778482815303</c:v>
                </c:pt>
                <c:pt idx="61">
                  <c:v>-0.69475900276000901</c:v>
                </c:pt>
                <c:pt idx="62">
                  <c:v>-0.70376007003557695</c:v>
                </c:pt>
                <c:pt idx="63">
                  <c:v>-0.71264955957947684</c:v>
                </c:pt>
                <c:pt idx="64">
                  <c:v>-0.72142606200643566</c:v>
                </c:pt>
                <c:pt idx="65">
                  <c:v>-0.73008818584473634</c:v>
                </c:pt>
                <c:pt idx="66">
                  <c:v>-0.73863455775682996</c:v>
                </c:pt>
                <c:pt idx="67">
                  <c:v>-0.74706382275707306</c:v>
                </c:pt>
                <c:pt idx="68">
                  <c:v>-0.75537464442655133</c:v>
                </c:pt>
                <c:pt idx="69">
                  <c:v>-0.76356570512496436</c:v>
                </c:pt>
                <c:pt idx="70">
                  <c:v>-0.77163570619953037</c:v>
                </c:pt>
                <c:pt idx="71">
                  <c:v>-0.77958336819088125</c:v>
                </c:pt>
                <c:pt idx="72">
                  <c:v>-0.78740743103591482</c:v>
                </c:pt>
                <c:pt idx="73">
                  <c:v>-0.79510665426757132</c:v>
                </c:pt>
                <c:pt idx="74">
                  <c:v>-0.8026798172115045</c:v>
                </c:pt>
                <c:pt idx="75">
                  <c:v>-0.81012571917961196</c:v>
                </c:pt>
                <c:pt idx="76">
                  <c:v>-0.81744317966039926</c:v>
                </c:pt>
                <c:pt idx="77">
                  <c:v>-0.82463103850614505</c:v>
                </c:pt>
                <c:pt idx="78">
                  <c:v>-0.83168815611683522</c:v>
                </c:pt>
                <c:pt idx="79">
                  <c:v>-0.83861341362084196</c:v>
                </c:pt>
                <c:pt idx="80">
                  <c:v>-0.84540571305231527</c:v>
                </c:pt>
                <c:pt idx="81">
                  <c:v>-0.85206397752526009</c:v>
                </c:pt>
                <c:pt idx="82">
                  <c:v>-0.85858715140427089</c:v>
                </c:pt>
                <c:pt idx="83">
                  <c:v>-0.86497420047189832</c:v>
                </c:pt>
                <c:pt idx="84">
                  <c:v>-0.87122411209261896</c:v>
                </c:pt>
                <c:pt idx="85">
                  <c:v>-0.87733589537338308</c:v>
                </c:pt>
                <c:pt idx="86">
                  <c:v>-0.88330858132071755</c:v>
                </c:pt>
                <c:pt idx="87">
                  <c:v>-0.88914122299435316</c:v>
                </c:pt>
                <c:pt idx="88">
                  <c:v>-0.89483289565735857</c:v>
                </c:pt>
                <c:pt idx="89">
                  <c:v>-0.90038269692275252</c:v>
                </c:pt>
                <c:pt idx="90">
                  <c:v>-0.90578974689657299</c:v>
                </c:pt>
                <c:pt idx="91">
                  <c:v>-0.91105318831737969</c:v>
                </c:pt>
                <c:pt idx="92">
                  <c:v>-0.91617218669216938</c:v>
                </c:pt>
                <c:pt idx="93">
                  <c:v>-0.9211459304286802</c:v>
                </c:pt>
                <c:pt idx="94">
                  <c:v>-0.92597363096406582</c:v>
                </c:pt>
                <c:pt idx="95">
                  <c:v>-0.9306545228899179</c:v>
                </c:pt>
                <c:pt idx="96">
                  <c:v>-0.93518786407361854</c:v>
                </c:pt>
                <c:pt idx="97">
                  <c:v>-0.93957293577600121</c:v>
                </c:pt>
                <c:pt idx="98">
                  <c:v>-0.94380904276530342</c:v>
                </c:pt>
                <c:pt idx="99">
                  <c:v>-0.94789551342739287</c:v>
                </c:pt>
                <c:pt idx="100">
                  <c:v>-0.95183169987224769</c:v>
                </c:pt>
                <c:pt idx="101">
                  <c:v>-0.95561697803667711</c:v>
                </c:pt>
                <c:pt idx="102">
                  <c:v>-0.95925074778326314</c:v>
                </c:pt>
                <c:pt idx="103">
                  <c:v>-0.96273243299550948</c:v>
                </c:pt>
                <c:pt idx="104">
                  <c:v>-0.96606148166918226</c:v>
                </c:pt>
                <c:pt idx="105">
                  <c:v>-0.96923736599982724</c:v>
                </c:pt>
                <c:pt idx="106">
                  <c:v>-0.97225958246645094</c:v>
                </c:pt>
                <c:pt idx="107">
                  <c:v>-0.97512765191135131</c:v>
                </c:pt>
                <c:pt idx="108">
                  <c:v>-0.97784111961608577</c:v>
                </c:pt>
                <c:pt idx="109">
                  <c:v>-0.98039955537356505</c:v>
                </c:pt>
                <c:pt idx="110">
                  <c:v>-0.98280255355625956</c:v>
                </c:pt>
                <c:pt idx="111">
                  <c:v>-0.9850497331805107</c:v>
                </c:pt>
                <c:pt idx="112">
                  <c:v>-0.98714073796693302</c:v>
                </c:pt>
                <c:pt idx="113">
                  <c:v>-0.98907523639690131</c:v>
                </c:pt>
                <c:pt idx="114">
                  <c:v>-0.99085292176511075</c:v>
                </c:pt>
                <c:pt idx="115">
                  <c:v>-0.99247351222820401</c:v>
                </c:pt>
                <c:pt idx="116">
                  <c:v>-0.99393675084945565</c:v>
                </c:pt>
                <c:pt idx="117">
                  <c:v>-0.99524240563950839</c:v>
                </c:pt>
                <c:pt idx="118">
                  <c:v>-0.99639026959315424</c:v>
                </c:pt>
                <c:pt idx="119">
                  <c:v>-0.99738016072215352</c:v>
                </c:pt>
                <c:pt idx="120">
                  <c:v>-0.9982119220840886</c:v>
                </c:pt>
                <c:pt idx="121">
                  <c:v>-0.9988854218072466</c:v>
                </c:pt>
                <c:pt idx="122">
                  <c:v>-0.99940055311152631</c:v>
                </c:pt>
                <c:pt idx="123">
                  <c:v>-0.99975723432536823</c:v>
                </c:pt>
                <c:pt idx="124">
                  <c:v>-0.99995540889870305</c:v>
                </c:pt>
                <c:pt idx="125">
                  <c:v>-0.9999950454119173</c:v>
                </c:pt>
                <c:pt idx="126">
                  <c:v>-0.99987613758083482</c:v>
                </c:pt>
                <c:pt idx="127">
                  <c:v>-0.99959870425771313</c:v>
                </c:pt>
                <c:pt idx="128">
                  <c:v>-0.99916278942825454</c:v>
                </c:pt>
                <c:pt idx="129">
                  <c:v>-0.99856846220463213</c:v>
                </c:pt>
                <c:pt idx="130">
                  <c:v>-0.99781581681453291</c:v>
                </c:pt>
                <c:pt idx="131">
                  <c:v>-0.9969049725862178</c:v>
                </c:pt>
                <c:pt idx="132">
                  <c:v>-0.99583607392960338</c:v>
                </c:pt>
                <c:pt idx="133">
                  <c:v>-0.99460929031336576</c:v>
                </c:pt>
                <c:pt idx="134">
                  <c:v>-0.99322481623807268</c:v>
                </c:pt>
                <c:pt idx="135">
                  <c:v>-0.99168287120534626</c:v>
                </c:pt>
                <c:pt idx="136">
                  <c:v>-0.98998369968306188</c:v>
                </c:pt>
                <c:pt idx="137">
                  <c:v>-0.98812757106658899</c:v>
                </c:pt>
                <c:pt idx="138">
                  <c:v>-0.98611477963608019</c:v>
                </c:pt>
                <c:pt idx="139">
                  <c:v>-0.98394564450981403</c:v>
                </c:pt>
                <c:pt idx="140">
                  <c:v>-0.9816205095936007</c:v>
                </c:pt>
                <c:pt idx="141">
                  <c:v>-0.97913974352625754</c:v>
                </c:pt>
                <c:pt idx="142">
                  <c:v>-0.97650373962116255</c:v>
                </c:pt>
                <c:pt idx="143">
                  <c:v>-0.97371291580389718</c:v>
                </c:pt>
                <c:pt idx="144">
                  <c:v>-0.97076771454598576</c:v>
                </c:pt>
                <c:pt idx="145">
                  <c:v>-0.9676686027947442</c:v>
                </c:pt>
                <c:pt idx="146">
                  <c:v>-0.96441607189924727</c:v>
                </c:pt>
                <c:pt idx="147">
                  <c:v>-0.96101063753242832</c:v>
                </c:pt>
                <c:pt idx="148">
                  <c:v>-0.95745283960932082</c:v>
                </c:pt>
                <c:pt idx="149">
                  <c:v>-0.95374324220145856</c:v>
                </c:pt>
                <c:pt idx="150">
                  <c:v>-0.94988243344744416</c:v>
                </c:pt>
                <c:pt idx="151">
                  <c:v>-0.9458710254597027</c:v>
                </c:pt>
                <c:pt idx="152">
                  <c:v>-0.94170965422743436</c:v>
                </c:pt>
                <c:pt idx="153">
                  <c:v>-0.93739897951578133</c:v>
                </c:pt>
                <c:pt idx="154">
                  <c:v>-0.93293968476122557</c:v>
                </c:pt>
                <c:pt idx="155">
                  <c:v>-0.92833247696323273</c:v>
                </c:pt>
                <c:pt idx="156">
                  <c:v>-0.92357808657216123</c:v>
                </c:pt>
                <c:pt idx="157">
                  <c:v>-0.91867726737345312</c:v>
                </c:pt>
                <c:pt idx="158">
                  <c:v>-0.91363079636812405</c:v>
                </c:pt>
                <c:pt idx="159">
                  <c:v>-0.908439473649575</c:v>
                </c:pt>
                <c:pt idx="160">
                  <c:v>-0.90310412227674031</c:v>
                </c:pt>
                <c:pt idx="161">
                  <c:v>-0.89762558814359616</c:v>
                </c:pt>
                <c:pt idx="162">
                  <c:v>-0.89200473984504758</c:v>
                </c:pt>
                <c:pt idx="163">
                  <c:v>-0.88624246853921795</c:v>
                </c:pt>
                <c:pt idx="164">
                  <c:v>-0.88033968780615957</c:v>
                </c:pt>
                <c:pt idx="165">
                  <c:v>-0.87429733350301031</c:v>
                </c:pt>
                <c:pt idx="166">
                  <c:v>-0.86811636361561695</c:v>
                </c:pt>
                <c:pt idx="167">
                  <c:v>-0.86179775810665327</c:v>
                </c:pt>
                <c:pt idx="168">
                  <c:v>-0.85534251876024969</c:v>
                </c:pt>
                <c:pt idx="169">
                  <c:v>-0.84875166902316668</c:v>
                </c:pt>
                <c:pt idx="170">
                  <c:v>-0.84202625384253138</c:v>
                </c:pt>
                <c:pt idx="171">
                  <c:v>-0.83516733950016653</c:v>
                </c:pt>
                <c:pt idx="172">
                  <c:v>-0.82817601344353708</c:v>
                </c:pt>
                <c:pt idx="173">
                  <c:v>-0.82105338411334028</c:v>
                </c:pt>
                <c:pt idx="174">
                  <c:v>-0.81380058076776807</c:v>
                </c:pt>
                <c:pt idx="175">
                  <c:v>-0.80641875330346857</c:v>
                </c:pt>
                <c:pt idx="176">
                  <c:v>-0.79890907207323514</c:v>
                </c:pt>
                <c:pt idx="177">
                  <c:v>-0.79127272770045332</c:v>
                </c:pt>
                <c:pt idx="178">
                  <c:v>-0.7835109308903333</c:v>
                </c:pt>
                <c:pt idx="179">
                  <c:v>-0.77562491223795782</c:v>
                </c:pt>
                <c:pt idx="180">
                  <c:v>-0.76761592203317841</c:v>
                </c:pt>
                <c:pt idx="181">
                  <c:v>-0.759485230062386</c:v>
                </c:pt>
                <c:pt idx="182">
                  <c:v>-0.75123412540719514</c:v>
                </c:pt>
                <c:pt idx="183">
                  <c:v>-0.74286391624006443</c:v>
                </c:pt>
                <c:pt idx="184">
                  <c:v>-0.73437592961689302</c:v>
                </c:pt>
                <c:pt idx="185">
                  <c:v>-0.72577151126662232</c:v>
                </c:pt>
                <c:pt idx="186">
                  <c:v>-0.71705202537787593</c:v>
                </c:pt>
                <c:pt idx="187">
                  <c:v>-0.70821885438267662</c:v>
                </c:pt>
                <c:pt idx="188">
                  <c:v>-0.69927339873726635</c:v>
                </c:pt>
                <c:pt idx="189">
                  <c:v>-0.69021707670007193</c:v>
                </c:pt>
                <c:pt idx="190">
                  <c:v>-0.68105132410684666</c:v>
                </c:pt>
                <c:pt idx="191">
                  <c:v>-0.67177759414302485</c:v>
                </c:pt>
                <c:pt idx="192">
                  <c:v>-0.66239735711332759</c:v>
                </c:pt>
                <c:pt idx="193">
                  <c:v>-0.65291210020865287</c:v>
                </c:pt>
                <c:pt idx="194">
                  <c:v>-0.64332332727028774</c:v>
                </c:pt>
                <c:pt idx="195">
                  <c:v>-0.63363255855148315</c:v>
                </c:pt>
                <c:pt idx="196">
                  <c:v>-0.62384133047642276</c:v>
                </c:pt>
                <c:pt idx="197">
                  <c:v>-0.61395119539663345</c:v>
                </c:pt>
                <c:pt idx="198">
                  <c:v>-0.60396372134486531</c:v>
                </c:pt>
                <c:pt idx="199">
                  <c:v>-0.59388049178648838</c:v>
                </c:pt>
                <c:pt idx="200">
                  <c:v>-0.58370310536844239</c:v>
                </c:pt>
                <c:pt idx="201">
                  <c:v>-0.57343317566577767</c:v>
                </c:pt>
                <c:pt idx="202">
                  <c:v>-0.56307233092583253</c:v>
                </c:pt>
                <c:pt idx="203">
                  <c:v>-0.55262221381008125</c:v>
                </c:pt>
                <c:pt idx="204">
                  <c:v>-0.54208448113369867</c:v>
                </c:pt>
                <c:pt idx="205">
                  <c:v>-0.53146080360288028</c:v>
                </c:pt>
                <c:pt idx="206">
                  <c:v>-0.5207528655499587</c:v>
                </c:pt>
                <c:pt idx="207">
                  <c:v>-0.50996236466636313</c:v>
                </c:pt>
                <c:pt idx="208">
                  <c:v>-0.49909101173345694</c:v>
                </c:pt>
                <c:pt idx="209">
                  <c:v>-0.48814053035130217</c:v>
                </c:pt>
                <c:pt idx="210">
                  <c:v>-0.4771126566653916</c:v>
                </c:pt>
                <c:pt idx="211">
                  <c:v>-0.46600913909138969</c:v>
                </c:pt>
                <c:pt idx="212">
                  <c:v>-0.45483173803793203</c:v>
                </c:pt>
                <c:pt idx="213">
                  <c:v>-0.44358222562751976</c:v>
                </c:pt>
                <c:pt idx="214">
                  <c:v>-0.43226238541555839</c:v>
                </c:pt>
                <c:pt idx="215">
                  <c:v>-0.42087401210758435</c:v>
                </c:pt>
                <c:pt idx="216">
                  <c:v>-0.40941891127472135</c:v>
                </c:pt>
                <c:pt idx="217">
                  <c:v>-0.39789889906741854</c:v>
                </c:pt>
                <c:pt idx="218">
                  <c:v>-0.38631580192750681</c:v>
                </c:pt>
                <c:pt idx="219">
                  <c:v>-0.37467145629862603</c:v>
                </c:pt>
                <c:pt idx="220">
                  <c:v>-0.36296770833506597</c:v>
                </c:pt>
                <c:pt idx="221">
                  <c:v>-0.35120641360906618</c:v>
                </c:pt>
                <c:pt idx="222">
                  <c:v>-0.3393894368166262</c:v>
                </c:pt>
                <c:pt idx="223">
                  <c:v>-0.32751865148186576</c:v>
                </c:pt>
                <c:pt idx="224">
                  <c:v>-0.31559593965998722</c:v>
                </c:pt>
                <c:pt idx="225">
                  <c:v>-0.30362319163888341</c:v>
                </c:pt>
                <c:pt idx="226">
                  <c:v>-0.29160230563944411</c:v>
                </c:pt>
                <c:pt idx="227">
                  <c:v>-0.27953518751460066</c:v>
                </c:pt>
                <c:pt idx="228">
                  <c:v>-0.26742375044716271</c:v>
                </c:pt>
                <c:pt idx="229">
                  <c:v>-0.25526991464649296</c:v>
                </c:pt>
                <c:pt idx="230">
                  <c:v>-0.24307560704406533</c:v>
                </c:pt>
                <c:pt idx="231">
                  <c:v>-0.23084276098796225</c:v>
                </c:pt>
                <c:pt idx="232">
                  <c:v>-0.21857331593634971</c:v>
                </c:pt>
                <c:pt idx="233">
                  <c:v>-0.20626921714998633</c:v>
                </c:pt>
                <c:pt idx="234">
                  <c:v>-0.19393241538381192</c:v>
                </c:pt>
                <c:pt idx="235">
                  <c:v>-0.1815648665776633</c:v>
                </c:pt>
                <c:pt idx="236">
                  <c:v>-0.16916853154617187</c:v>
                </c:pt>
                <c:pt idx="237">
                  <c:v>-0.1567453756678846</c:v>
                </c:pt>
                <c:pt idx="238">
                  <c:v>-0.14429736857366296</c:v>
                </c:pt>
                <c:pt idx="239">
                  <c:v>-0.1318264838344082</c:v>
                </c:pt>
                <c:pt idx="240">
                  <c:v>-0.11933469864815945</c:v>
                </c:pt>
                <c:pt idx="241">
                  <c:v>-0.10682399352662118</c:v>
                </c:pt>
                <c:pt idx="242">
                  <c:v>-9.4296351981161083E-2</c:v>
                </c:pt>
                <c:pt idx="243">
                  <c:v>-8.1753760208334331E-2</c:v>
                </c:pt>
                <c:pt idx="244">
                  <c:v>-6.9198206774982327E-2</c:v>
                </c:pt>
                <c:pt idx="245">
                  <c:v>-5.6631682302953242E-2</c:v>
                </c:pt>
                <c:pt idx="246">
                  <c:v>-4.4056179153501372E-2</c:v>
                </c:pt>
                <c:pt idx="247">
                  <c:v>-3.1473691111406125E-2</c:v>
                </c:pt>
                <c:pt idx="248">
                  <c:v>-1.8886213068867626E-2</c:v>
                </c:pt>
                <c:pt idx="249">
                  <c:v>-6.2957407092267123E-3</c:v>
                </c:pt>
                <c:pt idx="250">
                  <c:v>6.2957298094427185E-3</c:v>
                </c:pt>
                <c:pt idx="251">
                  <c:v>1.8886202170812185E-2</c:v>
                </c:pt>
                <c:pt idx="252">
                  <c:v>3.1473680216806625E-2</c:v>
                </c:pt>
                <c:pt idx="253">
                  <c:v>4.4056168264085101E-2</c:v>
                </c:pt>
                <c:pt idx="254">
                  <c:v>5.6631671420446214E-2</c:v>
                </c:pt>
                <c:pt idx="255">
                  <c:v>6.9198195901110357E-2</c:v>
                </c:pt>
                <c:pt idx="256">
                  <c:v>8.1753749344821866E-2</c:v>
                </c:pt>
                <c:pt idx="257">
                  <c:v>9.4296341129730038E-2</c:v>
                </c:pt>
                <c:pt idx="258">
                  <c:v>0.106823982688992</c:v>
                </c:pt>
                <c:pt idx="259">
                  <c:v>0.11933468782604993</c:v>
                </c:pt>
                <c:pt idx="260">
                  <c:v>0.1318264730295346</c:v>
                </c:pt>
                <c:pt idx="261">
                  <c:v>0.14429735778773875</c:v>
                </c:pt>
                <c:pt idx="262">
                  <c:v>0.15674536490261939</c:v>
                </c:pt>
                <c:pt idx="263">
                  <c:v>0.16916852080327247</c:v>
                </c:pt>
                <c:pt idx="264">
                  <c:v>0.18156485585883247</c:v>
                </c:pt>
                <c:pt idx="265">
                  <c:v>0.1939324046907496</c:v>
                </c:pt>
                <c:pt idx="266">
                  <c:v>0.20626920648438821</c:v>
                </c:pt>
                <c:pt idx="267">
                  <c:v>0.21857330529990635</c:v>
                </c:pt>
                <c:pt idx="268">
                  <c:v>0.23084275038235999</c:v>
                </c:pt>
                <c:pt idx="269">
                  <c:v>0.24307559647098526</c:v>
                </c:pt>
                <c:pt idx="270">
                  <c:v>0.25526990410761174</c:v>
                </c:pt>
                <c:pt idx="271">
                  <c:v>0.26742373994415175</c:v>
                </c:pt>
                <c:pt idx="272">
                  <c:v>0.27953517704912467</c:v>
                </c:pt>
                <c:pt idx="273">
                  <c:v>0.29160229521316233</c:v>
                </c:pt>
                <c:pt idx="274">
                  <c:v>0.3036231812534485</c:v>
                </c:pt>
                <c:pt idx="275">
                  <c:v>0.31559592931704616</c:v>
                </c:pt>
                <c:pt idx="276">
                  <c:v>0.32751864118305873</c:v>
                </c:pt>
                <c:pt idx="277">
                  <c:v>0.33938942656358567</c:v>
                </c:pt>
                <c:pt idx="278">
                  <c:v>0.35120640340341769</c:v>
                </c:pt>
                <c:pt idx="279">
                  <c:v>0.36296769817842722</c:v>
                </c:pt>
                <c:pt idx="280">
                  <c:v>0.37467144619260806</c:v>
                </c:pt>
                <c:pt idx="281">
                  <c:v>0.38631579187371151</c:v>
                </c:pt>
                <c:pt idx="282">
                  <c:v>0.39789888906743986</c:v>
                </c:pt>
                <c:pt idx="283">
                  <c:v>0.40941890133014475</c:v>
                </c:pt>
                <c:pt idx="284">
                  <c:v>0.42087400221998605</c:v>
                </c:pt>
                <c:pt idx="285">
                  <c:v>0.43226237558650693</c:v>
                </c:pt>
                <c:pt idx="286">
                  <c:v>0.44358221585857299</c:v>
                </c:pt>
                <c:pt idx="287">
                  <c:v>0.45483172833063878</c:v>
                </c:pt>
                <c:pt idx="288">
                  <c:v>0.46600912944728906</c:v>
                </c:pt>
                <c:pt idx="289">
                  <c:v>0.4771126470860122</c:v>
                </c:pt>
                <c:pt idx="290">
                  <c:v>0.48814052083816351</c:v>
                </c:pt>
                <c:pt idx="291">
                  <c:v>0.49909100228806691</c:v>
                </c:pt>
                <c:pt idx="292">
                  <c:v>0.50996235529021927</c:v>
                </c:pt>
                <c:pt idx="293">
                  <c:v>0.52075285624454726</c:v>
                </c:pt>
                <c:pt idx="294">
                  <c:v>0.53146079436967675</c:v>
                </c:pt>
                <c:pt idx="295">
                  <c:v>0.54208447197416743</c:v>
                </c:pt>
                <c:pt idx="296">
                  <c:v>0.55262220472567414</c:v>
                </c:pt>
                <c:pt idx="297">
                  <c:v>0.56307232191798984</c:v>
                </c:pt>
                <c:pt idx="298">
                  <c:v>0.57343316673592715</c:v>
                </c:pt>
                <c:pt idx="299">
                  <c:v>0.58370309651800023</c:v>
                </c:pt>
                <c:pt idx="300">
                  <c:v>0.59388048301685803</c:v>
                </c:pt>
                <c:pt idx="301">
                  <c:v>0.60396371265743687</c:v>
                </c:pt>
                <c:pt idx="302">
                  <c:v>0.61395118679278426</c:v>
                </c:pt>
                <c:pt idx="303">
                  <c:v>0.62384132195751663</c:v>
                </c:pt>
                <c:pt idx="304">
                  <c:v>0.63363255011887099</c:v>
                </c:pt>
                <c:pt idx="305">
                  <c:v>0.64332331892530692</c:v>
                </c:pt>
                <c:pt idx="306">
                  <c:v>0.65291209195262589</c:v>
                </c:pt>
                <c:pt idx="307">
                  <c:v>0.66239734894756364</c:v>
                </c:pt>
                <c:pt idx="308">
                  <c:v>0.6717775860688181</c:v>
                </c:pt>
                <c:pt idx="309">
                  <c:v>0.68105131612547776</c:v>
                </c:pt>
                <c:pt idx="310">
                  <c:v>0.69021706881280642</c:v>
                </c:pt>
                <c:pt idx="311">
                  <c:v>0.69927339094535446</c:v>
                </c:pt>
                <c:pt idx="312">
                  <c:v>0.70821884668735369</c:v>
                </c:pt>
                <c:pt idx="313">
                  <c:v>0.71705201778036176</c:v>
                </c:pt>
                <c:pt idx="314">
                  <c:v>0.72577150376812161</c:v>
                </c:pt>
                <c:pt idx="315">
                  <c:v>0.73437592221859516</c:v>
                </c:pt>
                <c:pt idx="316">
                  <c:v>0.74286390894314192</c:v>
                </c:pt>
                <c:pt idx="317">
                  <c:v>0.75123411821280495</c:v>
                </c:pt>
                <c:pt idx="318">
                  <c:v>0.75948522297166865</c:v>
                </c:pt>
                <c:pt idx="319">
                  <c:v>0.76761591504725812</c:v>
                </c:pt>
                <c:pt idx="320">
                  <c:v>0.7756249053579426</c:v>
                </c:pt>
                <c:pt idx="321">
                  <c:v>0.78351092411731305</c:v>
                </c:pt>
                <c:pt idx="322">
                  <c:v>0.79127272103550239</c:v>
                </c:pt>
                <c:pt idx="323">
                  <c:v>0.79890906551741014</c:v>
                </c:pt>
                <c:pt idx="324">
                  <c:v>0.80641874685780912</c:v>
                </c:pt>
                <c:pt idx="325">
                  <c:v>0.81380057443329612</c:v>
                </c:pt>
                <c:pt idx="326">
                  <c:v>0.82105337789106003</c:v>
                </c:pt>
                <c:pt idx="327">
                  <c:v>0.82817600733443497</c:v>
                </c:pt>
                <c:pt idx="328">
                  <c:v>0.83516733350521122</c:v>
                </c:pt>
                <c:pt idx="329">
                  <c:v>0.84202624796267322</c:v>
                </c:pt>
                <c:pt idx="330">
                  <c:v>0.8487516632593376</c:v>
                </c:pt>
                <c:pt idx="331">
                  <c:v>0.85534251311336396</c:v>
                </c:pt>
                <c:pt idx="332">
                  <c:v>0.86179775257760605</c:v>
                </c:pt>
                <c:pt idx="333">
                  <c:v>0.86811635820528488</c:v>
                </c:pt>
                <c:pt idx="334">
                  <c:v>0.87429732821225115</c:v>
                </c:pt>
                <c:pt idx="335">
                  <c:v>0.88033968263581241</c:v>
                </c:pt>
                <c:pt idx="336">
                  <c:v>0.88624246349010227</c:v>
                </c:pt>
                <c:pt idx="337">
                  <c:v>0.89200473491796384</c:v>
                </c:pt>
                <c:pt idx="338">
                  <c:v>0.89762558333932563</c:v>
                </c:pt>
                <c:pt idx="339">
                  <c:v>0.90310411759604481</c:v>
                </c:pt>
                <c:pt idx="340">
                  <c:v>0.90843946909319606</c:v>
                </c:pt>
                <c:pt idx="341">
                  <c:v>0.91363079193678443</c:v>
                </c:pt>
                <c:pt idx="342">
                  <c:v>0.91867726306785535</c:v>
                </c:pt>
                <c:pt idx="343">
                  <c:v>0.92357808239298822</c:v>
                </c:pt>
                <c:pt idx="344">
                  <c:v>0.92833247291114673</c:v>
                </c:pt>
                <c:pt idx="345">
                  <c:v>0.93293968083686918</c:v>
                </c:pt>
                <c:pt idx="346">
                  <c:v>0.93739897571977682</c:v>
                </c:pt>
                <c:pt idx="347">
                  <c:v>0.94170965056038336</c:v>
                </c:pt>
                <c:pt idx="348">
                  <c:v>0.94587102192218675</c:v>
                </c:pt>
                <c:pt idx="349">
                  <c:v>0.94988243004002404</c:v>
                </c:pt>
                <c:pt idx="350">
                  <c:v>0.95374323892467427</c:v>
                </c:pt>
                <c:pt idx="351">
                  <c:v>0.95745283646369217</c:v>
                </c:pt>
                <c:pt idx="352">
                  <c:v>0.96101063451845392</c:v>
                </c:pt>
                <c:pt idx="353">
                  <c:v>0.96441606901740518</c:v>
                </c:pt>
                <c:pt idx="354">
                  <c:v>0.96766860004549116</c:v>
                </c:pt>
                <c:pt idx="355">
                  <c:v>0.97076771192975775</c:v>
                </c:pt>
                <c:pt idx="356">
                  <c:v>0.97371291332110887</c:v>
                </c:pt>
                <c:pt idx="357">
                  <c:v>0.97650373727220763</c:v>
                </c:pt>
                <c:pt idx="358">
                  <c:v>0.97913974131150838</c:v>
                </c:pt>
                <c:pt idx="359">
                  <c:v>0.98162050751340857</c:v>
                </c:pt>
                <c:pt idx="360">
                  <c:v>0.98394564256450845</c:v>
                </c:pt>
                <c:pt idx="361">
                  <c:v>0.98611477782596968</c:v>
                </c:pt>
                <c:pt idx="362">
                  <c:v>0.98812756939196067</c:v>
                </c:pt>
                <c:pt idx="363">
                  <c:v>0.98998369814418119</c:v>
                </c:pt>
                <c:pt idx="364">
                  <c:v>0.99168286980245723</c:v>
                </c:pt>
                <c:pt idx="365">
                  <c:v>0.99322481497139781</c:v>
                </c:pt>
                <c:pt idx="366">
                  <c:v>0.99460928918310565</c:v>
                </c:pt>
                <c:pt idx="367">
                  <c:v>0.99583607293593734</c:v>
                </c:pt>
                <c:pt idx="368">
                  <c:v>0.99690497172930337</c:v>
                </c:pt>
                <c:pt idx="369">
                  <c:v>0.99781581609450598</c:v>
                </c:pt>
                <c:pt idx="370">
                  <c:v>0.99856846162160673</c:v>
                </c:pt>
                <c:pt idx="371">
                  <c:v>0.99916278898232314</c:v>
                </c:pt>
                <c:pt idx="372">
                  <c:v>0.99959870394894657</c:v>
                </c:pt>
                <c:pt idx="373">
                  <c:v>0.99987613740928194</c:v>
                </c:pt>
                <c:pt idx="374">
                  <c:v>0.99999504537760531</c:v>
                </c:pt>
                <c:pt idx="375">
                  <c:v>0.99995540900163737</c:v>
                </c:pt>
                <c:pt idx="376">
                  <c:v>0.99975723456553256</c:v>
                </c:pt>
                <c:pt idx="377">
                  <c:v>0.99940055348888257</c:v>
                </c:pt>
                <c:pt idx="378">
                  <c:v>0.99888542232173505</c:v>
                </c:pt>
                <c:pt idx="379">
                  <c:v>0.99821192273562764</c:v>
                </c:pt>
                <c:pt idx="380">
                  <c:v>0.9973801615106398</c:v>
                </c:pt>
                <c:pt idx="381">
                  <c:v>0.99639027051846274</c:v>
                </c:pt>
                <c:pt idx="382">
                  <c:v>0.99524240670149244</c:v>
                </c:pt>
                <c:pt idx="383">
                  <c:v>0.99393675204794685</c:v>
                </c:pt>
                <c:pt idx="384">
                  <c:v>0.99247351356301239</c:v>
                </c:pt>
                <c:pt idx="385">
                  <c:v>0.9908529232360247</c:v>
                </c:pt>
                <c:pt idx="386">
                  <c:v>0.98907523800368746</c:v>
                </c:pt>
                <c:pt idx="387">
                  <c:v>0.9871407397093368</c:v>
                </c:pt>
                <c:pt idx="388">
                  <c:v>0.98504973505825577</c:v>
                </c:pt>
                <c:pt idx="389">
                  <c:v>0.98280255556904839</c:v>
                </c:pt>
                <c:pt idx="390">
                  <c:v>0.98039955752107832</c:v>
                </c:pt>
                <c:pt idx="391">
                  <c:v>0.97784112189798311</c:v>
                </c:pt>
                <c:pt idx="392">
                  <c:v>0.97512765432727078</c:v>
                </c:pt>
                <c:pt idx="393">
                  <c:v>0.97225958501600962</c:v>
                </c:pt>
                <c:pt idx="394">
                  <c:v>0.96923736868262089</c:v>
                </c:pt>
                <c:pt idx="395">
                  <c:v>0.96606148448478557</c:v>
                </c:pt>
                <c:pt idx="396">
                  <c:v>0.96273243594347602</c:v>
                </c:pt>
                <c:pt idx="397">
                  <c:v>0.9592507508631255</c:v>
                </c:pt>
                <c:pt idx="398">
                  <c:v>0.95561698124794703</c:v>
                </c:pt>
                <c:pt idx="399">
                  <c:v>0.95183170321441624</c:v>
                </c:pt>
                <c:pt idx="400">
                  <c:v>0.94789551689992979</c:v>
                </c:pt>
                <c:pt idx="401">
                  <c:v>0.94380904636765839</c:v>
                </c:pt>
                <c:pt idx="402">
                  <c:v>0.9395729395076029</c:v>
                </c:pt>
                <c:pt idx="403">
                  <c:v>0.93518786793387554</c:v>
                </c:pt>
                <c:pt idx="404">
                  <c:v>0.93065452687821804</c:v>
                </c:pt>
                <c:pt idx="405">
                  <c:v>0.9259736350797767</c:v>
                </c:pt>
                <c:pt idx="406">
                  <c:v>0.92114593467114947</c:v>
                </c:pt>
                <c:pt idx="407">
                  <c:v>0.91617219106072434</c:v>
                </c:pt>
                <c:pt idx="408">
                  <c:v>0.91105319281132768</c:v>
                </c:pt>
                <c:pt idx="409">
                  <c:v>0.90578975151520191</c:v>
                </c:pt>
                <c:pt idx="410">
                  <c:v>0.90038270166532985</c:v>
                </c:pt>
                <c:pt idx="411">
                  <c:v>0.89483290052313236</c:v>
                </c:pt>
                <c:pt idx="412">
                  <c:v>0.88914122798255191</c:v>
                </c:pt>
                <c:pt idx="413">
                  <c:v>0.88330858643055044</c:v>
                </c:pt>
                <c:pt idx="414">
                  <c:v>0.87733590060403999</c:v>
                </c:pt>
                <c:pt idx="415">
                  <c:v>0.87122411744327033</c:v>
                </c:pt>
                <c:pt idx="416">
                  <c:v>0.86497420594169605</c:v>
                </c:pt>
                <c:pt idx="417">
                  <c:v>0.85858715699234767</c:v>
                </c:pt>
                <c:pt idx="418">
                  <c:v>0.85206398323072996</c:v>
                </c:pt>
                <c:pt idx="419">
                  <c:v>0.84540571887427429</c:v>
                </c:pt>
                <c:pt idx="420">
                  <c:v>0.83861341955836666</c:v>
                </c:pt>
                <c:pt idx="421">
                  <c:v>0.83168816216898411</c:v>
                </c:pt>
                <c:pt idx="422">
                  <c:v>0.82463104467195869</c:v>
                </c:pt>
                <c:pt idx="423">
                  <c:v>0.81744318593889997</c:v>
                </c:pt>
                <c:pt idx="424">
                  <c:v>0.81012572556980411</c:v>
                </c:pt>
                <c:pt idx="425">
                  <c:v>0.80267982371237523</c:v>
                </c:pt>
                <c:pt idx="426">
                  <c:v>0.7951066608780899</c:v>
                </c:pt>
                <c:pt idx="427">
                  <c:v>0.78740743775503297</c:v>
                </c:pt>
                <c:pt idx="428">
                  <c:v>0.77958337501753394</c:v>
                </c:pt>
                <c:pt idx="429">
                  <c:v>0.77163571313263579</c:v>
                </c:pt>
                <c:pt idx="430">
                  <c:v>0.76356571216342284</c:v>
                </c:pt>
                <c:pt idx="431">
                  <c:v>0.75537465156924688</c:v>
                </c:pt>
                <c:pt idx="432">
                  <c:v>0.74706383000287324</c:v>
                </c:pt>
                <c:pt idx="433">
                  <c:v>0.73863456510458603</c:v>
                </c:pt>
                <c:pt idx="434">
                  <c:v>0.73008819329328301</c:v>
                </c:pt>
                <c:pt idx="435">
                  <c:v>0.72142606955459232</c:v>
                </c:pt>
                <c:pt idx="436">
                  <c:v>0.71264956722604689</c:v>
                </c:pt>
                <c:pt idx="437">
                  <c:v>0.70376007777934746</c:v>
                </c:pt>
                <c:pt idx="438">
                  <c:v>0.69475901059975276</c:v>
                </c:pt>
                <c:pt idx="439">
                  <c:v>0.68564779276262766</c:v>
                </c:pt>
                <c:pt idx="440">
                  <c:v>0.67642786880718597</c:v>
                </c:pt>
                <c:pt idx="441">
                  <c:v>0.66710070050746861</c:v>
                </c:pt>
                <c:pt idx="442">
                  <c:v>0.65766776664058457</c:v>
                </c:pt>
                <c:pt idx="443">
                  <c:v>0.64813056275225844</c:v>
                </c:pt>
                <c:pt idx="444">
                  <c:v>0.63849060091971876</c:v>
                </c:pt>
                <c:pt idx="445">
                  <c:v>0.6287494095119659</c:v>
                </c:pt>
                <c:pt idx="446">
                  <c:v>0.61890853294745607</c:v>
                </c:pt>
                <c:pt idx="447">
                  <c:v>0.60896953144924182</c:v>
                </c:pt>
                <c:pt idx="448">
                  <c:v>0.59893398079760674</c:v>
                </c:pt>
                <c:pt idx="449">
                  <c:v>0.58880347208023021</c:v>
                </c:pt>
                <c:pt idx="450">
                  <c:v>0.57857961143993286</c:v>
                </c:pt>
                <c:pt idx="451">
                  <c:v>0.56826401982002706</c:v>
                </c:pt>
                <c:pt idx="452">
                  <c:v>0.55785833270732543</c:v>
                </c:pt>
                <c:pt idx="453">
                  <c:v>0.54736419987284213</c:v>
                </c:pt>
                <c:pt idx="454">
                  <c:v>0.53678328511022977</c:v>
                </c:pt>
                <c:pt idx="455">
                  <c:v>0.52611726597199304</c:v>
                </c:pt>
                <c:pt idx="456">
                  <c:v>0.515367833503521</c:v>
                </c:pt>
                <c:pt idx="457">
                  <c:v>0.50453669197497975</c:v>
                </c:pt>
                <c:pt idx="458">
                  <c:v>0.49362555861110979</c:v>
                </c:pt>
                <c:pt idx="459">
                  <c:v>0.48263616331896542</c:v>
                </c:pt>
                <c:pt idx="460">
                  <c:v>0.47157024841365064</c:v>
                </c:pt>
                <c:pt idx="461">
                  <c:v>0.4604295683420806</c:v>
                </c:pt>
                <c:pt idx="462">
                  <c:v>0.44921588940482371</c:v>
                </c:pt>
                <c:pt idx="463">
                  <c:v>0.43793098947606274</c:v>
                </c:pt>
                <c:pt idx="464">
                  <c:v>0.42657665772172199</c:v>
                </c:pt>
                <c:pt idx="465">
                  <c:v>0.41515469431580354</c:v>
                </c:pt>
                <c:pt idx="466">
                  <c:v>0.4036669101549783</c:v>
                </c:pt>
                <c:pt idx="467">
                  <c:v>0.39211512657147751</c:v>
                </c:pt>
                <c:pt idx="468">
                  <c:v>0.3805011750443299</c:v>
                </c:pt>
                <c:pt idx="469">
                  <c:v>0.3688268969089864</c:v>
                </c:pt>
                <c:pt idx="470">
                  <c:v>0.3570941430653905</c:v>
                </c:pt>
                <c:pt idx="471">
                  <c:v>0.34530477368452339</c:v>
                </c:pt>
                <c:pt idx="472">
                  <c:v>0.33346065791348412</c:v>
                </c:pt>
                <c:pt idx="473">
                  <c:v>0.32156367357914528</c:v>
                </c:pt>
                <c:pt idx="474">
                  <c:v>0.30961570689043261</c:v>
                </c:pt>
                <c:pt idx="475">
                  <c:v>0.29761865213927596</c:v>
                </c:pt>
                <c:pt idx="476">
                  <c:v>0.28557441140027823</c:v>
                </c:pt>
                <c:pt idx="477">
                  <c:v>0.27348489422915107</c:v>
                </c:pt>
                <c:pt idx="478">
                  <c:v>0.26135201735996466</c:v>
                </c:pt>
                <c:pt idx="479">
                  <c:v>0.24917770440125575</c:v>
                </c:pt>
                <c:pt idx="480">
                  <c:v>0.23696388553105363</c:v>
                </c:pt>
                <c:pt idx="481">
                  <c:v>0.22471249719085676</c:v>
                </c:pt>
                <c:pt idx="482">
                  <c:v>0.21242548177862</c:v>
                </c:pt>
                <c:pt idx="483">
                  <c:v>0.20010478734079706</c:v>
                </c:pt>
                <c:pt idx="484">
                  <c:v>0.18775236726348704</c:v>
                </c:pt>
                <c:pt idx="485">
                  <c:v>0.17537017996273477</c:v>
                </c:pt>
                <c:pt idx="486">
                  <c:v>0.1629601885740333</c:v>
                </c:pt>
                <c:pt idx="487">
                  <c:v>0.15052436064107844</c:v>
                </c:pt>
                <c:pt idx="488">
                  <c:v>0.1380646678038252</c:v>
                </c:pt>
                <c:pt idx="489">
                  <c:v>0.1255830854858902</c:v>
                </c:pt>
                <c:pt idx="490">
                  <c:v>0.11308159258136333</c:v>
                </c:pt>
                <c:pt idx="491">
                  <c:v>0.1005621711410601</c:v>
                </c:pt>
                <c:pt idx="492">
                  <c:v>8.802680605827809E-2</c:v>
                </c:pt>
                <c:pt idx="493">
                  <c:v>7.5477484754101709E-2</c:v>
                </c:pt>
                <c:pt idx="494">
                  <c:v>6.2916196862306303E-2</c:v>
                </c:pt>
                <c:pt idx="495">
                  <c:v>5.0344933913911434E-2</c:v>
                </c:pt>
                <c:pt idx="496">
                  <c:v>3.776568902143327E-2</c:v>
                </c:pt>
                <c:pt idx="497">
                  <c:v>2.5180456562886366E-2</c:v>
                </c:pt>
                <c:pt idx="498">
                  <c:v>1.2591231865585599E-2</c:v>
                </c:pt>
                <c:pt idx="499">
                  <c:v>1.0889793189807276E-8</c:v>
                </c:pt>
              </c:numCache>
            </c:numRef>
          </c:yVal>
          <c:smooth val="0"/>
          <c:extLst>
            <c:ext xmlns:c16="http://schemas.microsoft.com/office/drawing/2014/chart" uri="{C3380CC4-5D6E-409C-BE32-E72D297353CC}">
              <c16:uniqueId val="{00000006-EA1C-40DE-9A8A-8D22978953E2}"/>
            </c:ext>
          </c:extLst>
        </c:ser>
        <c:ser>
          <c:idx val="2"/>
          <c:order val="2"/>
          <c:spPr>
            <a:ln w="12700">
              <a:solidFill>
                <a:srgbClr val="FF0000"/>
              </a:solidFill>
              <a:prstDash val="solid"/>
            </a:ln>
          </c:spPr>
          <c:marker>
            <c:symbol val="none"/>
          </c:marker>
          <c:xVal>
            <c:numLit>
              <c:formatCode>General</c:formatCode>
              <c:ptCount val="2"/>
              <c:pt idx="0">
                <c:v>0</c:v>
              </c:pt>
              <c:pt idx="1">
                <c:v>0.84499948129768243</c:v>
              </c:pt>
            </c:numLit>
          </c:xVal>
          <c:yVal>
            <c:numLit>
              <c:formatCode>General</c:formatCode>
              <c:ptCount val="2"/>
              <c:pt idx="0">
                <c:v>0</c:v>
              </c:pt>
              <c:pt idx="1">
                <c:v>-0.47947397386651774</c:v>
              </c:pt>
            </c:numLit>
          </c:yVal>
          <c:smooth val="0"/>
          <c:extLst>
            <c:ext xmlns:c16="http://schemas.microsoft.com/office/drawing/2014/chart" uri="{C3380CC4-5D6E-409C-BE32-E72D297353CC}">
              <c16:uniqueId val="{00000007-EA1C-40DE-9A8A-8D22978953E2}"/>
            </c:ext>
          </c:extLst>
        </c:ser>
        <c:ser>
          <c:idx val="3"/>
          <c:order val="3"/>
          <c:spPr>
            <a:ln w="12700">
              <a:solidFill>
                <a:srgbClr val="FF0000"/>
              </a:solidFill>
              <a:prstDash val="solid"/>
            </a:ln>
          </c:spPr>
          <c:marker>
            <c:symbol val="none"/>
          </c:marker>
          <c:xVal>
            <c:numLit>
              <c:formatCode>General</c:formatCode>
              <c:ptCount val="2"/>
              <c:pt idx="0">
                <c:v>0</c:v>
              </c:pt>
              <c:pt idx="1">
                <c:v>0.81601604203840938</c:v>
              </c:pt>
            </c:numLit>
          </c:xVal>
          <c:yVal>
            <c:numLit>
              <c:formatCode>General</c:formatCode>
              <c:ptCount val="2"/>
              <c:pt idx="0">
                <c:v>0</c:v>
              </c:pt>
              <c:pt idx="1">
                <c:v>-0.39241274812423405</c:v>
              </c:pt>
            </c:numLit>
          </c:yVal>
          <c:smooth val="0"/>
          <c:extLst>
            <c:ext xmlns:c16="http://schemas.microsoft.com/office/drawing/2014/chart" uri="{C3380CC4-5D6E-409C-BE32-E72D297353CC}">
              <c16:uniqueId val="{00000008-EA1C-40DE-9A8A-8D22978953E2}"/>
            </c:ext>
          </c:extLst>
        </c:ser>
        <c:ser>
          <c:idx val="4"/>
          <c:order val="4"/>
          <c:spPr>
            <a:ln w="12700">
              <a:solidFill>
                <a:srgbClr val="FF0000"/>
              </a:solidFill>
              <a:prstDash val="solid"/>
            </a:ln>
          </c:spPr>
          <c:marker>
            <c:symbol val="none"/>
          </c:marker>
          <c:xVal>
            <c:numLit>
              <c:formatCode>General</c:formatCode>
              <c:ptCount val="2"/>
              <c:pt idx="0">
                <c:v>0</c:v>
              </c:pt>
              <c:pt idx="1">
                <c:v>0.22377463745690232</c:v>
              </c:pt>
            </c:numLit>
          </c:xVal>
          <c:yVal>
            <c:numLit>
              <c:formatCode>General</c:formatCode>
              <c:ptCount val="2"/>
              <c:pt idx="0">
                <c:v>0</c:v>
              </c:pt>
              <c:pt idx="1">
                <c:v>0.94149820857494959</c:v>
              </c:pt>
            </c:numLit>
          </c:yVal>
          <c:smooth val="0"/>
          <c:extLst>
            <c:ext xmlns:c16="http://schemas.microsoft.com/office/drawing/2014/chart" uri="{C3380CC4-5D6E-409C-BE32-E72D297353CC}">
              <c16:uniqueId val="{00000009-EA1C-40DE-9A8A-8D22978953E2}"/>
            </c:ext>
          </c:extLst>
        </c:ser>
        <c:ser>
          <c:idx val="5"/>
          <c:order val="5"/>
          <c:spPr>
            <a:ln w="12700">
              <a:solidFill>
                <a:srgbClr val="FF0000"/>
              </a:solidFill>
              <a:prstDash val="solid"/>
            </a:ln>
          </c:spPr>
          <c:marker>
            <c:symbol val="none"/>
          </c:marker>
          <c:xVal>
            <c:numLit>
              <c:formatCode>General</c:formatCode>
              <c:ptCount val="2"/>
              <c:pt idx="0">
                <c:v>0</c:v>
              </c:pt>
              <c:pt idx="1">
                <c:v>0.95295748874107744</c:v>
              </c:pt>
            </c:numLit>
          </c:xVal>
          <c:yVal>
            <c:numLit>
              <c:formatCode>General</c:formatCode>
              <c:ptCount val="2"/>
              <c:pt idx="0">
                <c:v>0</c:v>
              </c:pt>
              <c:pt idx="1">
                <c:v>0.20238544123058208</c:v>
              </c:pt>
            </c:numLit>
          </c:yVal>
          <c:smooth val="0"/>
          <c:extLst>
            <c:ext xmlns:c16="http://schemas.microsoft.com/office/drawing/2014/chart" uri="{C3380CC4-5D6E-409C-BE32-E72D297353CC}">
              <c16:uniqueId val="{0000000A-EA1C-40DE-9A8A-8D22978953E2}"/>
            </c:ext>
          </c:extLst>
        </c:ser>
        <c:ser>
          <c:idx val="6"/>
          <c:order val="6"/>
          <c:spPr>
            <a:ln w="12700">
              <a:solidFill>
                <a:srgbClr val="FF0000"/>
              </a:solidFill>
              <a:prstDash val="solid"/>
            </a:ln>
          </c:spPr>
          <c:marker>
            <c:symbol val="none"/>
          </c:marker>
          <c:xVal>
            <c:numLit>
              <c:formatCode>General</c:formatCode>
              <c:ptCount val="2"/>
              <c:pt idx="0">
                <c:v>0</c:v>
              </c:pt>
              <c:pt idx="1">
                <c:v>0.84838733582800241</c:v>
              </c:pt>
            </c:numLit>
          </c:xVal>
          <c:yVal>
            <c:numLit>
              <c:formatCode>General</c:formatCode>
              <c:ptCount val="2"/>
              <c:pt idx="0">
                <c:v>0</c:v>
              </c:pt>
              <c:pt idx="1">
                <c:v>0.37933406248406143</c:v>
              </c:pt>
            </c:numLit>
          </c:yVal>
          <c:smooth val="0"/>
          <c:extLst>
            <c:ext xmlns:c16="http://schemas.microsoft.com/office/drawing/2014/chart" uri="{C3380CC4-5D6E-409C-BE32-E72D297353CC}">
              <c16:uniqueId val="{0000000B-EA1C-40DE-9A8A-8D22978953E2}"/>
            </c:ext>
          </c:extLst>
        </c:ser>
        <c:dLbls>
          <c:showLegendKey val="0"/>
          <c:showVal val="0"/>
          <c:showCatName val="0"/>
          <c:showSerName val="0"/>
          <c:showPercent val="0"/>
          <c:showBubbleSize val="0"/>
        </c:dLbls>
        <c:axId val="480125263"/>
        <c:axId val="480131919"/>
      </c:scatterChart>
      <c:valAx>
        <c:axId val="480125263"/>
        <c:scaling>
          <c:orientation val="minMax"/>
          <c:max val="1"/>
          <c:min val="-1"/>
        </c:scaling>
        <c:delete val="0"/>
        <c:axPos val="b"/>
        <c:title>
          <c:tx>
            <c:rich>
              <a:bodyPr/>
              <a:lstStyle/>
              <a:p>
                <a:pPr>
                  <a:defRPr sz="800" b="1"/>
                </a:pPr>
                <a:r>
                  <a:rPr lang="fr-FR"/>
                  <a:t>F1 (61,16 %)</a:t>
                </a:r>
              </a:p>
            </c:rich>
          </c:tx>
          <c:overlay val="0"/>
        </c:title>
        <c:numFmt formatCode="General" sourceLinked="0"/>
        <c:majorTickMark val="cross"/>
        <c:minorTickMark val="none"/>
        <c:tickLblPos val="low"/>
        <c:txPr>
          <a:bodyPr/>
          <a:lstStyle/>
          <a:p>
            <a:pPr>
              <a:defRPr sz="700"/>
            </a:pPr>
            <a:endParaRPr lang="fr-BF"/>
          </a:p>
        </c:txPr>
        <c:crossAx val="480131919"/>
        <c:crosses val="autoZero"/>
        <c:crossBetween val="midCat"/>
        <c:majorUnit val="0.25"/>
      </c:valAx>
      <c:valAx>
        <c:axId val="480131919"/>
        <c:scaling>
          <c:orientation val="minMax"/>
          <c:max val="1"/>
          <c:min val="-1"/>
        </c:scaling>
        <c:delete val="0"/>
        <c:axPos val="l"/>
        <c:title>
          <c:tx>
            <c:rich>
              <a:bodyPr/>
              <a:lstStyle/>
              <a:p>
                <a:pPr>
                  <a:defRPr sz="800" b="1"/>
                </a:pPr>
                <a:r>
                  <a:rPr lang="fr-FR"/>
                  <a:t>F2 (29,10 %)</a:t>
                </a:r>
              </a:p>
            </c:rich>
          </c:tx>
          <c:overlay val="0"/>
        </c:title>
        <c:numFmt formatCode="General" sourceLinked="0"/>
        <c:majorTickMark val="cross"/>
        <c:minorTickMark val="none"/>
        <c:tickLblPos val="low"/>
        <c:txPr>
          <a:bodyPr/>
          <a:lstStyle/>
          <a:p>
            <a:pPr>
              <a:defRPr sz="700"/>
            </a:pPr>
            <a:endParaRPr lang="fr-BF"/>
          </a:p>
        </c:txPr>
        <c:crossAx val="480125263"/>
        <c:crosses val="autoZero"/>
        <c:crossBetween val="midCat"/>
        <c:majorUnit val="0.25"/>
      </c:valAx>
      <c:spPr>
        <a:ln>
          <a:solidFill>
            <a:srgbClr val="808080"/>
          </a:solidFill>
          <a:prstDash val="solid"/>
        </a:ln>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a:pPr>
            <a:r>
              <a:rPr lang="fr-FR"/>
              <a:t>Biplot (axes F1 et F2 : 90,26 %)</a:t>
            </a:r>
          </a:p>
        </c:rich>
      </c:tx>
      <c:overlay val="0"/>
    </c:title>
    <c:autoTitleDeleted val="0"/>
    <c:plotArea>
      <c:layout/>
      <c:scatterChart>
        <c:scatterStyle val="lineMarker"/>
        <c:varyColors val="0"/>
        <c:ser>
          <c:idx val="0"/>
          <c:order val="0"/>
          <c:spPr>
            <a:ln w="19050">
              <a:noFill/>
            </a:ln>
            <a:effectLst/>
          </c:spPr>
          <c:marker>
            <c:symbol val="circle"/>
            <c:size val="3"/>
            <c:spPr>
              <a:solidFill>
                <a:srgbClr val="3266FF"/>
              </a:solidFill>
              <a:ln>
                <a:solidFill>
                  <a:srgbClr val="3266FF"/>
                </a:solidFill>
                <a:prstDash val="solid"/>
              </a:ln>
            </c:spPr>
          </c:marker>
          <c:dLbls>
            <c:dLbl>
              <c:idx val="0"/>
              <c:layout>
                <c:manualLayout>
                  <c:x val="-1.2554927809165096E-2"/>
                  <c:y val="4.3282896089601001E-3"/>
                </c:manualLayout>
              </c:layout>
              <c:tx>
                <c:rich>
                  <a:bodyPr/>
                  <a:lstStyle/>
                  <a:p>
                    <a:r>
                      <a:rPr lang="en-US"/>
                      <a:t>Methanolic(PK)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4B6-477F-B2F0-0A2B12EF22F0}"/>
                </c:ext>
              </c:extLst>
            </c:dLbl>
            <c:dLbl>
              <c:idx val="1"/>
              <c:layout>
                <c:manualLayout>
                  <c:x val="4.1697488304960244E-3"/>
                  <c:y val="6.2880124898180038E-3"/>
                </c:manualLayout>
              </c:layout>
              <c:tx>
                <c:rich>
                  <a:bodyPr/>
                  <a:lstStyle/>
                  <a:p>
                    <a:r>
                      <a:rPr lang="en-US"/>
                      <a:t>Hydromethanolic(PK)</a:t>
                    </a:r>
                  </a:p>
                </c:rich>
              </c:tx>
              <c:dLblPos val="r"/>
              <c:showLegendKey val="0"/>
              <c:showVal val="1"/>
              <c:showCatName val="0"/>
              <c:showSerName val="0"/>
              <c:showPercent val="0"/>
              <c:showBubbleSize val="0"/>
              <c:extLst>
                <c:ext xmlns:c15="http://schemas.microsoft.com/office/drawing/2012/chart" uri="{CE6537A1-D6FC-4f65-9D91-7224C49458BB}">
                  <c15:layout>
                    <c:manualLayout>
                      <c:w val="0.22622422903351774"/>
                      <c:h val="7.71505376344086E-2"/>
                    </c:manualLayout>
                  </c15:layout>
                  <c15:showDataLabelsRange val="0"/>
                </c:ext>
                <c:ext xmlns:c16="http://schemas.microsoft.com/office/drawing/2014/chart" uri="{C3380CC4-5D6E-409C-BE32-E72D297353CC}">
                  <c16:uniqueId val="{00000001-F4B6-477F-B2F0-0A2B12EF22F0}"/>
                </c:ext>
              </c:extLst>
            </c:dLbl>
            <c:dLbl>
              <c:idx val="2"/>
              <c:layout>
                <c:manualLayout>
                  <c:x val="0"/>
                  <c:y val="-2.3529411764705917E-2"/>
                </c:manualLayout>
              </c:layout>
              <c:tx>
                <c:rich>
                  <a:bodyPr/>
                  <a:lstStyle/>
                  <a:p>
                    <a:r>
                      <a:rPr lang="en-US"/>
                      <a:t>Decoction (PK)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4B6-477F-B2F0-0A2B12EF22F0}"/>
                </c:ext>
              </c:extLst>
            </c:dLbl>
            <c:dLbl>
              <c:idx val="3"/>
              <c:layout>
                <c:manualLayout>
                  <c:x val="-0.20596666666666669"/>
                  <c:y val="2.3529411764705809E-2"/>
                </c:manualLayout>
              </c:layout>
              <c:tx>
                <c:rich>
                  <a:bodyPr/>
                  <a:lstStyle/>
                  <a:p>
                    <a:r>
                      <a:rPr lang="en-US"/>
                      <a:t>Methanolic(AS)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4B6-477F-B2F0-0A2B12EF22F0}"/>
                </c:ext>
              </c:extLst>
            </c:dLbl>
            <c:dLbl>
              <c:idx val="4"/>
              <c:layout>
                <c:manualLayout>
                  <c:x val="-0.22500494288496423"/>
                  <c:y val="-1.4872939269688133E-2"/>
                </c:manualLayout>
              </c:layout>
              <c:tx>
                <c:rich>
                  <a:bodyPr/>
                  <a:lstStyle/>
                  <a:p>
                    <a:r>
                      <a:rPr lang="en-US"/>
                      <a:t>Hydromethanolic(AS)</a:t>
                    </a:r>
                  </a:p>
                </c:rich>
              </c:tx>
              <c:dLblPos val="r"/>
              <c:showLegendKey val="0"/>
              <c:showVal val="1"/>
              <c:showCatName val="0"/>
              <c:showSerName val="0"/>
              <c:showPercent val="0"/>
              <c:showBubbleSize val="0"/>
              <c:extLst>
                <c:ext xmlns:c15="http://schemas.microsoft.com/office/drawing/2012/chart" uri="{CE6537A1-D6FC-4f65-9D91-7224C49458BB}">
                  <c15:layout>
                    <c:manualLayout>
                      <c:w val="0.224450721908349"/>
                      <c:h val="7.71505376344086E-2"/>
                    </c:manualLayout>
                  </c15:layout>
                  <c15:showDataLabelsRange val="0"/>
                </c:ext>
                <c:ext xmlns:c16="http://schemas.microsoft.com/office/drawing/2014/chart" uri="{C3380CC4-5D6E-409C-BE32-E72D297353CC}">
                  <c16:uniqueId val="{00000004-F4B6-477F-B2F0-0A2B12EF22F0}"/>
                </c:ext>
              </c:extLst>
            </c:dLbl>
            <c:dLbl>
              <c:idx val="5"/>
              <c:layout>
                <c:manualLayout>
                  <c:x val="-0.17273333333333332"/>
                  <c:y val="2.3529411764705809E-2"/>
                </c:manualLayout>
              </c:layout>
              <c:tx>
                <c:rich>
                  <a:bodyPr/>
                  <a:lstStyle/>
                  <a:p>
                    <a:r>
                      <a:rPr lang="en-US"/>
                      <a:t>Decoction (AS)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4B6-477F-B2F0-0A2B12EF22F0}"/>
                </c:ext>
              </c:extLst>
            </c:dLbl>
            <c:spPr>
              <a:noFill/>
              <a:ln>
                <a:noFill/>
              </a:ln>
              <a:effectLst/>
            </c:spPr>
            <c:txPr>
              <a:bodyPr wrap="square" lIns="38100" tIns="19050" rIns="38100" bIns="19050" anchor="ctr">
                <a:spAutoFit/>
              </a:bodyPr>
              <a:lstStyle/>
              <a:p>
                <a:pPr>
                  <a:defRPr sz="700"/>
                </a:pPr>
                <a:endParaRPr lang="fr-BF"/>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ACP_HID!$B$2:$B$7</c:f>
              <c:numCache>
                <c:formatCode>0</c:formatCode>
                <c:ptCount val="6"/>
                <c:pt idx="0">
                  <c:v>1.4376207763121598</c:v>
                </c:pt>
                <c:pt idx="1">
                  <c:v>1.8530151078174968</c:v>
                </c:pt>
                <c:pt idx="2">
                  <c:v>1.0435054076415082</c:v>
                </c:pt>
                <c:pt idx="3">
                  <c:v>-0.860175809577437</c:v>
                </c:pt>
                <c:pt idx="4">
                  <c:v>-0.15841058464913649</c:v>
                </c:pt>
                <c:pt idx="5">
                  <c:v>-3.3155548975445885</c:v>
                </c:pt>
              </c:numCache>
            </c:numRef>
          </c:xVal>
          <c:yVal>
            <c:numRef>
              <c:f>ACP_HID!$C$2:$C$7</c:f>
              <c:numCache>
                <c:formatCode>0</c:formatCode>
                <c:ptCount val="6"/>
                <c:pt idx="0">
                  <c:v>-0.78070423120737398</c:v>
                </c:pt>
                <c:pt idx="1">
                  <c:v>-1.2649330272207464</c:v>
                </c:pt>
                <c:pt idx="2">
                  <c:v>2.5357349281341457</c:v>
                </c:pt>
                <c:pt idx="3">
                  <c:v>-0.22550112020751573</c:v>
                </c:pt>
                <c:pt idx="4">
                  <c:v>-7.9505859225557918E-2</c:v>
                </c:pt>
                <c:pt idx="5">
                  <c:v>-0.18509069027295072</c:v>
                </c:pt>
              </c:numCache>
            </c:numRef>
          </c:yVal>
          <c:smooth val="0"/>
          <c:extLst>
            <c:ext xmlns:c16="http://schemas.microsoft.com/office/drawing/2014/chart" uri="{C3380CC4-5D6E-409C-BE32-E72D297353CC}">
              <c16:uniqueId val="{00000006-F4B6-477F-B2F0-0A2B12EF22F0}"/>
            </c:ext>
          </c:extLst>
        </c:ser>
        <c:ser>
          <c:idx val="1"/>
          <c:order val="1"/>
          <c:spPr>
            <a:ln w="19050">
              <a:noFill/>
            </a:ln>
            <a:effectLst/>
          </c:spPr>
          <c:marker>
            <c:symbol val="circle"/>
            <c:size val="3"/>
            <c:spPr>
              <a:solidFill>
                <a:srgbClr val="FF0000"/>
              </a:solidFill>
              <a:ln>
                <a:solidFill>
                  <a:srgbClr val="FF0000"/>
                </a:solidFill>
                <a:prstDash val="solid"/>
              </a:ln>
            </c:spPr>
          </c:marker>
          <c:dLbls>
            <c:dLbl>
              <c:idx val="0"/>
              <c:layout>
                <c:manualLayout>
                  <c:x val="0"/>
                  <c:y val="2.3529411764705882E-2"/>
                </c:manualLayout>
              </c:layout>
              <c:tx>
                <c:rich>
                  <a:bodyPr/>
                  <a:lstStyle/>
                  <a:p>
                    <a:r>
                      <a:rPr lang="en-US"/>
                      <a:t>Polyphenols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4B6-477F-B2F0-0A2B12EF22F0}"/>
                </c:ext>
              </c:extLst>
            </c:dLbl>
            <c:dLbl>
              <c:idx val="1"/>
              <c:layout>
                <c:manualLayout>
                  <c:x val="0"/>
                  <c:y val="2.3529411764705882E-2"/>
                </c:manualLayout>
              </c:layout>
              <c:tx>
                <c:rich>
                  <a:bodyPr/>
                  <a:lstStyle/>
                  <a:p>
                    <a:r>
                      <a:rPr lang="en-US"/>
                      <a:t>Flavonoids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4B6-477F-B2F0-0A2B12EF22F0}"/>
                </c:ext>
              </c:extLst>
            </c:dLbl>
            <c:dLbl>
              <c:idx val="2"/>
              <c:layout>
                <c:manualLayout>
                  <c:x val="0"/>
                  <c:y val="-2.3529411764705882E-2"/>
                </c:manualLayout>
              </c:layout>
              <c:tx>
                <c:rich>
                  <a:bodyPr/>
                  <a:lstStyle/>
                  <a:p>
                    <a:r>
                      <a:rPr lang="en-US"/>
                      <a:t>DPPH</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4B6-477F-B2F0-0A2B12EF22F0}"/>
                </c:ext>
              </c:extLst>
            </c:dLbl>
            <c:dLbl>
              <c:idx val="3"/>
              <c:layout>
                <c:manualLayout>
                  <c:x val="-1.2222081031699194E-16"/>
                  <c:y val="-2.3529411764705882E-2"/>
                </c:manualLayout>
              </c:layout>
              <c:tx>
                <c:rich>
                  <a:bodyPr/>
                  <a:lstStyle/>
                  <a:p>
                    <a:r>
                      <a:rPr lang="en-US"/>
                      <a:t>FRAP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4B6-477F-B2F0-0A2B12EF22F0}"/>
                </c:ext>
              </c:extLst>
            </c:dLbl>
            <c:dLbl>
              <c:idx val="4"/>
              <c:layout>
                <c:manualLayout>
                  <c:x val="0"/>
                  <c:y val="-2.3529411764705955E-2"/>
                </c:manualLayout>
              </c:layout>
              <c:tx>
                <c:rich>
                  <a:bodyPr/>
                  <a:lstStyle/>
                  <a:p>
                    <a:r>
                      <a:rPr lang="en-US"/>
                      <a:t>Inhibition BSA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4B6-477F-B2F0-0A2B12EF22F0}"/>
                </c:ext>
              </c:extLst>
            </c:dLbl>
            <c:spPr>
              <a:noFill/>
              <a:ln>
                <a:noFill/>
              </a:ln>
              <a:effectLst/>
            </c:spPr>
            <c:txPr>
              <a:bodyPr wrap="square" lIns="38100" tIns="19050" rIns="38100" bIns="19050" anchor="ctr">
                <a:spAutoFit/>
              </a:bodyPr>
              <a:lstStyle/>
              <a:p>
                <a:pPr>
                  <a:defRPr sz="700"/>
                </a:pPr>
                <a:endParaRPr lang="fr-BF"/>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ACP_HID!$G$2:$G$6</c:f>
              <c:numCache>
                <c:formatCode>0</c:formatCode>
                <c:ptCount val="5"/>
                <c:pt idx="0">
                  <c:v>2.3519556343192862</c:v>
                </c:pt>
                <c:pt idx="1">
                  <c:v>2.2712836756062327</c:v>
                </c:pt>
                <c:pt idx="2">
                  <c:v>0.62285010941812091</c:v>
                </c:pt>
                <c:pt idx="3">
                  <c:v>2.6524439180356709</c:v>
                </c:pt>
                <c:pt idx="4">
                  <c:v>2.3613853247832415</c:v>
                </c:pt>
              </c:numCache>
            </c:numRef>
          </c:xVal>
          <c:yVal>
            <c:numRef>
              <c:f>ACP_HID!$H$2:$H$6</c:f>
              <c:numCache>
                <c:formatCode>0</c:formatCode>
                <c:ptCount val="5"/>
                <c:pt idx="0">
                  <c:v>-1.934605708175321</c:v>
                </c:pt>
                <c:pt idx="1">
                  <c:v>-1.5833266952113101</c:v>
                </c:pt>
                <c:pt idx="2">
                  <c:v>3.7988043310417705</c:v>
                </c:pt>
                <c:pt idx="3">
                  <c:v>0.81659495863536902</c:v>
                </c:pt>
                <c:pt idx="4">
                  <c:v>1.53055615650851</c:v>
                </c:pt>
              </c:numCache>
            </c:numRef>
          </c:yVal>
          <c:smooth val="0"/>
          <c:extLst>
            <c:ext xmlns:c16="http://schemas.microsoft.com/office/drawing/2014/chart" uri="{C3380CC4-5D6E-409C-BE32-E72D297353CC}">
              <c16:uniqueId val="{0000000C-F4B6-477F-B2F0-0A2B12EF22F0}"/>
            </c:ext>
          </c:extLst>
        </c:ser>
        <c:ser>
          <c:idx val="2"/>
          <c:order val="2"/>
          <c:spPr>
            <a:ln w="12700">
              <a:solidFill>
                <a:srgbClr val="FF0000"/>
              </a:solidFill>
              <a:prstDash val="solid"/>
            </a:ln>
          </c:spPr>
          <c:marker>
            <c:symbol val="none"/>
          </c:marker>
          <c:xVal>
            <c:numLit>
              <c:formatCode>General</c:formatCode>
              <c:ptCount val="2"/>
              <c:pt idx="0">
                <c:v>0</c:v>
              </c:pt>
              <c:pt idx="1">
                <c:v>2.3519556343192862</c:v>
              </c:pt>
            </c:numLit>
          </c:xVal>
          <c:yVal>
            <c:numLit>
              <c:formatCode>General</c:formatCode>
              <c:ptCount val="2"/>
              <c:pt idx="0">
                <c:v>0</c:v>
              </c:pt>
              <c:pt idx="1">
                <c:v>-1.934605708175321</c:v>
              </c:pt>
            </c:numLit>
          </c:yVal>
          <c:smooth val="0"/>
          <c:extLst>
            <c:ext xmlns:c16="http://schemas.microsoft.com/office/drawing/2014/chart" uri="{C3380CC4-5D6E-409C-BE32-E72D297353CC}">
              <c16:uniqueId val="{0000000D-F4B6-477F-B2F0-0A2B12EF22F0}"/>
            </c:ext>
          </c:extLst>
        </c:ser>
        <c:ser>
          <c:idx val="3"/>
          <c:order val="3"/>
          <c:spPr>
            <a:ln w="12700">
              <a:solidFill>
                <a:srgbClr val="FF0000"/>
              </a:solidFill>
              <a:prstDash val="solid"/>
            </a:ln>
          </c:spPr>
          <c:marker>
            <c:symbol val="none"/>
          </c:marker>
          <c:xVal>
            <c:numLit>
              <c:formatCode>General</c:formatCode>
              <c:ptCount val="2"/>
              <c:pt idx="0">
                <c:v>0</c:v>
              </c:pt>
              <c:pt idx="1">
                <c:v>2.2712836756062327</c:v>
              </c:pt>
            </c:numLit>
          </c:xVal>
          <c:yVal>
            <c:numLit>
              <c:formatCode>General</c:formatCode>
              <c:ptCount val="2"/>
              <c:pt idx="0">
                <c:v>0</c:v>
              </c:pt>
              <c:pt idx="1">
                <c:v>-1.5833266952113101</c:v>
              </c:pt>
            </c:numLit>
          </c:yVal>
          <c:smooth val="0"/>
          <c:extLst>
            <c:ext xmlns:c16="http://schemas.microsoft.com/office/drawing/2014/chart" uri="{C3380CC4-5D6E-409C-BE32-E72D297353CC}">
              <c16:uniqueId val="{0000000E-F4B6-477F-B2F0-0A2B12EF22F0}"/>
            </c:ext>
          </c:extLst>
        </c:ser>
        <c:ser>
          <c:idx val="4"/>
          <c:order val="4"/>
          <c:spPr>
            <a:ln w="12700">
              <a:solidFill>
                <a:srgbClr val="FF0000"/>
              </a:solidFill>
              <a:prstDash val="solid"/>
            </a:ln>
          </c:spPr>
          <c:marker>
            <c:symbol val="none"/>
          </c:marker>
          <c:xVal>
            <c:numLit>
              <c:formatCode>General</c:formatCode>
              <c:ptCount val="2"/>
              <c:pt idx="0">
                <c:v>0</c:v>
              </c:pt>
              <c:pt idx="1">
                <c:v>0.62285010941812091</c:v>
              </c:pt>
            </c:numLit>
          </c:xVal>
          <c:yVal>
            <c:numLit>
              <c:formatCode>General</c:formatCode>
              <c:ptCount val="2"/>
              <c:pt idx="0">
                <c:v>0</c:v>
              </c:pt>
              <c:pt idx="1">
                <c:v>3.7988043310417705</c:v>
              </c:pt>
            </c:numLit>
          </c:yVal>
          <c:smooth val="0"/>
          <c:extLst>
            <c:ext xmlns:c16="http://schemas.microsoft.com/office/drawing/2014/chart" uri="{C3380CC4-5D6E-409C-BE32-E72D297353CC}">
              <c16:uniqueId val="{0000000F-F4B6-477F-B2F0-0A2B12EF22F0}"/>
            </c:ext>
          </c:extLst>
        </c:ser>
        <c:ser>
          <c:idx val="5"/>
          <c:order val="5"/>
          <c:spPr>
            <a:ln w="12700">
              <a:solidFill>
                <a:srgbClr val="FF0000"/>
              </a:solidFill>
              <a:prstDash val="solid"/>
            </a:ln>
          </c:spPr>
          <c:marker>
            <c:symbol val="none"/>
          </c:marker>
          <c:xVal>
            <c:numLit>
              <c:formatCode>General</c:formatCode>
              <c:ptCount val="2"/>
              <c:pt idx="0">
                <c:v>0</c:v>
              </c:pt>
              <c:pt idx="1">
                <c:v>2.6524439180356709</c:v>
              </c:pt>
            </c:numLit>
          </c:xVal>
          <c:yVal>
            <c:numLit>
              <c:formatCode>General</c:formatCode>
              <c:ptCount val="2"/>
              <c:pt idx="0">
                <c:v>0</c:v>
              </c:pt>
              <c:pt idx="1">
                <c:v>0.81659495863536902</c:v>
              </c:pt>
            </c:numLit>
          </c:yVal>
          <c:smooth val="0"/>
          <c:extLst>
            <c:ext xmlns:c16="http://schemas.microsoft.com/office/drawing/2014/chart" uri="{C3380CC4-5D6E-409C-BE32-E72D297353CC}">
              <c16:uniqueId val="{00000010-F4B6-477F-B2F0-0A2B12EF22F0}"/>
            </c:ext>
          </c:extLst>
        </c:ser>
        <c:ser>
          <c:idx val="6"/>
          <c:order val="6"/>
          <c:spPr>
            <a:ln w="12700">
              <a:solidFill>
                <a:srgbClr val="FF0000"/>
              </a:solidFill>
              <a:prstDash val="solid"/>
            </a:ln>
          </c:spPr>
          <c:marker>
            <c:symbol val="none"/>
          </c:marker>
          <c:xVal>
            <c:numLit>
              <c:formatCode>General</c:formatCode>
              <c:ptCount val="2"/>
              <c:pt idx="0">
                <c:v>0</c:v>
              </c:pt>
              <c:pt idx="1">
                <c:v>2.3613853247832415</c:v>
              </c:pt>
            </c:numLit>
          </c:xVal>
          <c:yVal>
            <c:numLit>
              <c:formatCode>General</c:formatCode>
              <c:ptCount val="2"/>
              <c:pt idx="0">
                <c:v>0</c:v>
              </c:pt>
              <c:pt idx="1">
                <c:v>1.53055615650851</c:v>
              </c:pt>
            </c:numLit>
          </c:yVal>
          <c:smooth val="0"/>
          <c:extLst>
            <c:ext xmlns:c16="http://schemas.microsoft.com/office/drawing/2014/chart" uri="{C3380CC4-5D6E-409C-BE32-E72D297353CC}">
              <c16:uniqueId val="{00000011-F4B6-477F-B2F0-0A2B12EF22F0}"/>
            </c:ext>
          </c:extLst>
        </c:ser>
        <c:dLbls>
          <c:showLegendKey val="0"/>
          <c:showVal val="0"/>
          <c:showCatName val="0"/>
          <c:showSerName val="0"/>
          <c:showPercent val="0"/>
          <c:showBubbleSize val="0"/>
        </c:dLbls>
        <c:axId val="480133999"/>
        <c:axId val="480141071"/>
      </c:scatterChart>
      <c:valAx>
        <c:axId val="480133999"/>
        <c:scaling>
          <c:orientation val="minMax"/>
          <c:max val="5"/>
          <c:min val="-4"/>
        </c:scaling>
        <c:delete val="0"/>
        <c:axPos val="b"/>
        <c:title>
          <c:tx>
            <c:rich>
              <a:bodyPr/>
              <a:lstStyle/>
              <a:p>
                <a:pPr>
                  <a:defRPr sz="800" b="1"/>
                </a:pPr>
                <a:r>
                  <a:rPr lang="fr-FR"/>
                  <a:t>F1 (61,16 %)</a:t>
                </a:r>
              </a:p>
            </c:rich>
          </c:tx>
          <c:overlay val="0"/>
        </c:title>
        <c:numFmt formatCode="General" sourceLinked="0"/>
        <c:majorTickMark val="cross"/>
        <c:minorTickMark val="none"/>
        <c:tickLblPos val="low"/>
        <c:txPr>
          <a:bodyPr/>
          <a:lstStyle/>
          <a:p>
            <a:pPr>
              <a:defRPr sz="700"/>
            </a:pPr>
            <a:endParaRPr lang="fr-BF"/>
          </a:p>
        </c:txPr>
        <c:crossAx val="480141071"/>
        <c:crosses val="autoZero"/>
        <c:crossBetween val="midCat"/>
        <c:majorUnit val="1"/>
      </c:valAx>
      <c:valAx>
        <c:axId val="480141071"/>
        <c:scaling>
          <c:orientation val="minMax"/>
          <c:max val="4"/>
          <c:min val="-3"/>
        </c:scaling>
        <c:delete val="0"/>
        <c:axPos val="l"/>
        <c:title>
          <c:tx>
            <c:rich>
              <a:bodyPr/>
              <a:lstStyle/>
              <a:p>
                <a:pPr>
                  <a:defRPr sz="800" b="1"/>
                </a:pPr>
                <a:r>
                  <a:rPr lang="fr-FR"/>
                  <a:t>F2 (29,10 %)</a:t>
                </a:r>
              </a:p>
            </c:rich>
          </c:tx>
          <c:overlay val="0"/>
        </c:title>
        <c:numFmt formatCode="General" sourceLinked="0"/>
        <c:majorTickMark val="cross"/>
        <c:minorTickMark val="none"/>
        <c:tickLblPos val="low"/>
        <c:txPr>
          <a:bodyPr/>
          <a:lstStyle/>
          <a:p>
            <a:pPr>
              <a:defRPr sz="700"/>
            </a:pPr>
            <a:endParaRPr lang="fr-BF"/>
          </a:p>
        </c:txPr>
        <c:crossAx val="480133999"/>
        <c:crosses val="autoZero"/>
        <c:crossBetween val="midCat"/>
        <c:majorUnit val="1"/>
      </c:valAx>
      <c:spPr>
        <a:ln>
          <a:solidFill>
            <a:srgbClr val="808080"/>
          </a:solidFill>
          <a:prstDash val="solid"/>
        </a:ln>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0.30517</cdr:x>
      <cdr:y>0.14815</cdr:y>
    </cdr:from>
    <cdr:to>
      <cdr:x>0.38245</cdr:x>
      <cdr:y>0.21759</cdr:y>
    </cdr:to>
    <cdr:sp macro="" textlink="">
      <cdr:nvSpPr>
        <cdr:cNvPr id="3" name="ZoneTexte 2">
          <a:extLst xmlns:a="http://schemas.openxmlformats.org/drawingml/2006/main">
            <a:ext uri="{FF2B5EF4-FFF2-40B4-BE49-F238E27FC236}">
              <a16:creationId xmlns:a16="http://schemas.microsoft.com/office/drawing/2014/main" id="{7D692B7C-3A53-4392-9B7D-F4BFDF77C7B5}"/>
            </a:ext>
          </a:extLst>
        </cdr:cNvPr>
        <cdr:cNvSpPr txBox="1"/>
      </cdr:nvSpPr>
      <cdr:spPr>
        <a:xfrm xmlns:a="http://schemas.openxmlformats.org/drawingml/2006/main">
          <a:off x="1479550" y="406400"/>
          <a:ext cx="374650"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63EC-B3CD-4144-B215-DB1252DA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19</Pages>
  <Words>5550</Words>
  <Characters>31639</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 Wendsom</dc:creator>
  <cp:keywords/>
  <dc:description/>
  <cp:lastModifiedBy>SDI 1020</cp:lastModifiedBy>
  <cp:revision>30</cp:revision>
  <dcterms:created xsi:type="dcterms:W3CDTF">2026-05-29T15:19:00Z</dcterms:created>
  <dcterms:modified xsi:type="dcterms:W3CDTF">2026-06-15T11:45:00Z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1d000727-5272-407c-9c37-84c41eb60023</vt:lpwstr>
  </property>
  <property fmtid="{D5CDD505-2E9C-101B-9397-08002B2CF9AE}" pid="3" name="ZOTERO_PREF_1">
    <vt:lpwstr>&lt;data data-version="3" zotero-version="9.0.3"&gt;&lt;session id="b1YLRPPp"/&gt;&lt;style id="http://www.zotero.org/styles/apa" locale="fr-FR"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