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A9540" w14:textId="77777777" w:rsidR="00F13557" w:rsidRPr="0021739E" w:rsidRDefault="00CC3D30" w:rsidP="00982C0F">
      <w:pPr>
        <w:jc w:val="both"/>
        <w:rPr>
          <w:rFonts w:ascii="Times New Roman" w:hAnsi="Times New Roman" w:cs="Times New Roman"/>
          <w:b/>
          <w:sz w:val="32"/>
          <w:szCs w:val="32"/>
        </w:rPr>
      </w:pPr>
      <w:r>
        <w:rPr>
          <w:rFonts w:ascii="Times New Roman" w:hAnsi="Times New Roman"/>
          <w:sz w:val="24"/>
          <w:highlight w:val="yellow"/>
        </w:rPr>
        <w:t xml:space="preserve">Identity of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w:t>
      </w:r>
      <w:proofErr w:type="spellStart"/>
      <w:r>
        <w:rPr>
          <w:rFonts w:ascii="Times New Roman" w:hAnsi="Times New Roman"/>
          <w:sz w:val="24"/>
          <w:highlight w:val="yellow"/>
        </w:rPr>
        <w:t>Acanthaceae</w:t>
      </w:r>
      <w:proofErr w:type="spellEnd"/>
      <w:r>
        <w:rPr>
          <w:rFonts w:ascii="Times New Roman" w:hAnsi="Times New Roman"/>
          <w:sz w:val="24"/>
          <w:highlight w:val="yellow"/>
        </w:rPr>
        <w:t>) in coastal Odisha, India, after 30 years: A note on taxonomy, distribution and threat assessment</w:t>
      </w:r>
    </w:p>
    <w:p w14:paraId="7C4C8B7E" w14:textId="77777777" w:rsidR="00855DFB" w:rsidRPr="0021739E" w:rsidRDefault="00855DFB" w:rsidP="00855DFB">
      <w:pPr>
        <w:spacing w:after="0" w:line="240" w:lineRule="auto"/>
        <w:jc w:val="both"/>
        <w:rPr>
          <w:rFonts w:ascii="Times New Roman" w:hAnsi="Times New Roman" w:cs="Times New Roman"/>
          <w:bCs/>
          <w:sz w:val="24"/>
          <w:szCs w:val="24"/>
        </w:rPr>
      </w:pPr>
    </w:p>
    <w:p w14:paraId="1F905969" w14:textId="77777777" w:rsidR="00054597" w:rsidRPr="0021739E" w:rsidRDefault="00F13557" w:rsidP="008B4A89">
      <w:pPr>
        <w:spacing w:line="360" w:lineRule="auto"/>
        <w:jc w:val="both"/>
        <w:rPr>
          <w:rFonts w:ascii="Times New Roman" w:hAnsi="Times New Roman" w:cs="Times New Roman"/>
          <w:bCs/>
          <w:sz w:val="24"/>
          <w:szCs w:val="24"/>
        </w:rPr>
      </w:pPr>
      <w:r>
        <w:rPr>
          <w:rFonts w:ascii="Times New Roman" w:hAnsi="Times New Roman"/>
          <w:b/>
          <w:sz w:val="24"/>
          <w:highlight w:val="yellow"/>
        </w:rPr>
        <w:t>Abstract:</w:t>
      </w:r>
      <w:r>
        <w:rPr>
          <w:rFonts w:ascii="Times New Roman" w:hAnsi="Times New Roman"/>
          <w:sz w:val="24"/>
          <w:highlight w:val="yellow"/>
        </w:rPr>
        <w:t xml:space="preserve">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a rare member of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was relocated from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a sacred hill forest in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coastal Odisha, India, during floristic exploration of the family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The species has previously been treated in regional literature as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(C.B. Clarke) Gamble, now regarded as a synonym of </w:t>
      </w:r>
      <w:r>
        <w:rPr>
          <w:rFonts w:ascii="Times New Roman" w:hAnsi="Times New Roman"/>
          <w:i/>
          <w:sz w:val="24"/>
          <w:highlight w:val="yellow"/>
        </w:rPr>
        <w:t xml:space="preserve">P. </w:t>
      </w:r>
      <w:proofErr w:type="spellStart"/>
      <w:r>
        <w:rPr>
          <w:rFonts w:ascii="Times New Roman" w:hAnsi="Times New Roman"/>
          <w:i/>
          <w:sz w:val="24"/>
          <w:highlight w:val="yellow"/>
        </w:rPr>
        <w:t>latifolium</w:t>
      </w:r>
      <w:proofErr w:type="spellEnd"/>
      <w:r>
        <w:rPr>
          <w:rFonts w:ascii="Times New Roman" w:hAnsi="Times New Roman"/>
          <w:sz w:val="24"/>
          <w:highlight w:val="yellow"/>
        </w:rPr>
        <w:t>. Earlier documentation from Odisha was associated with the Northern Circars, including Ganjam district, and recent field observations indicate its relocation in the state after about 30 years. The present note provides an updated taxonomic account based on field collection, examination of vegetative and reproductive characters, comparison with herbarium material and consultation of relevant literature and online databases. The plants were observed growing sporadically in shaded rock crevices under forest canopy, and only three to four individuals were recorded at the study site. Diagnostic characters, phenology, habitat and ecology, systematic position, distributional notes, a colour photo plate and photomicrographs are presented to support reliable identification and future comparison in subsequent surveys. A preliminary threat assessment was also undertaken using the Geospatial Conservation Assessment Tool by incorporating 139 GBIF occurrence points and two user points. The estimated extent of occurrence was 55,097,853.217 km², while the area of occupancy was 336.000 km². On the basis of Criterion B1, the taxon falls under Least Concern, whereas Criterion B2 indicates Endangered status. Considering the restricted and sporadic occurrence observed in Odisha, the study emphasises the need for continued field verification, habitat monitoring and site-level conservation attention for this species in coastal Odisha.</w:t>
      </w:r>
    </w:p>
    <w:p w14:paraId="7FC2D5B3" w14:textId="77777777" w:rsidR="00315024" w:rsidRPr="0021739E" w:rsidRDefault="00D72FCF" w:rsidP="008B4A89">
      <w:pPr>
        <w:spacing w:line="360" w:lineRule="auto"/>
        <w:jc w:val="both"/>
        <w:rPr>
          <w:rFonts w:ascii="Times New Roman" w:hAnsi="Times New Roman" w:cs="Times New Roman"/>
          <w:b/>
          <w:sz w:val="24"/>
          <w:szCs w:val="24"/>
        </w:rPr>
      </w:pPr>
      <w:r>
        <w:rPr>
          <w:rFonts w:ascii="Times New Roman" w:hAnsi="Times New Roman"/>
          <w:b/>
          <w:sz w:val="24"/>
          <w:highlight w:val="yellow"/>
        </w:rPr>
        <w:t>Keywords:</w:t>
      </w:r>
      <w:r>
        <w:rPr>
          <w:rFonts w:ascii="Times New Roman" w:hAnsi="Times New Roman"/>
          <w:sz w:val="24"/>
          <w:highlight w:val="yellow"/>
        </w:rPr>
        <w:t xml:space="preserve">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coastal Odisha;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taxonomy; distribution; threat assessment; </w:t>
      </w:r>
      <w:proofErr w:type="spellStart"/>
      <w:r>
        <w:rPr>
          <w:rFonts w:ascii="Times New Roman" w:hAnsi="Times New Roman"/>
          <w:sz w:val="24"/>
          <w:highlight w:val="yellow"/>
        </w:rPr>
        <w:t>GeoCAT</w:t>
      </w:r>
      <w:proofErr w:type="spellEnd"/>
      <w:r>
        <w:rPr>
          <w:rFonts w:ascii="Times New Roman" w:hAnsi="Times New Roman"/>
          <w:sz w:val="24"/>
          <w:highlight w:val="yellow"/>
        </w:rPr>
        <w:t>; area of occupancy; sacred hill forest; conservation</w:t>
      </w:r>
    </w:p>
    <w:p w14:paraId="708D3BF2" w14:textId="77777777" w:rsidR="0011585A" w:rsidRPr="0021739E" w:rsidRDefault="00054597"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Introduction:</w:t>
      </w:r>
      <w:r w:rsidR="00493F76" w:rsidRPr="0021739E">
        <w:rPr>
          <w:rFonts w:ascii="Times New Roman" w:hAnsi="Times New Roman" w:cs="Times New Roman"/>
          <w:b/>
          <w:sz w:val="24"/>
          <w:szCs w:val="24"/>
        </w:rPr>
        <w:t xml:space="preserve"> </w:t>
      </w:r>
    </w:p>
    <w:p w14:paraId="75419FEF" w14:textId="77777777" w:rsidR="00A73294" w:rsidRPr="0021739E" w:rsidRDefault="00A73294" w:rsidP="008B4A89">
      <w:pPr>
        <w:spacing w:line="360" w:lineRule="auto"/>
        <w:jc w:val="both"/>
        <w:rPr>
          <w:rFonts w:ascii="Times New Roman" w:hAnsi="Times New Roman" w:cs="Times New Roman"/>
          <w:sz w:val="24"/>
          <w:szCs w:val="24"/>
        </w:rPr>
      </w:pPr>
      <w:r>
        <w:rPr>
          <w:rFonts w:ascii="Times New Roman" w:hAnsi="Times New Roman"/>
          <w:sz w:val="24"/>
          <w:highlight w:val="yellow"/>
        </w:rPr>
        <w:t xml:space="preserve">The family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belonging to the order </w:t>
      </w:r>
      <w:proofErr w:type="spellStart"/>
      <w:r>
        <w:rPr>
          <w:rFonts w:ascii="Times New Roman" w:hAnsi="Times New Roman"/>
          <w:sz w:val="24"/>
          <w:highlight w:val="yellow"/>
        </w:rPr>
        <w:t>Lamiales</w:t>
      </w:r>
      <w:proofErr w:type="spellEnd"/>
      <w:r>
        <w:rPr>
          <w:rFonts w:ascii="Times New Roman" w:hAnsi="Times New Roman"/>
          <w:sz w:val="24"/>
          <w:highlight w:val="yellow"/>
        </w:rPr>
        <w:t>, is represented by 191 genera and 4,900 species worldwide (</w:t>
      </w:r>
      <w:proofErr w:type="spellStart"/>
      <w:r>
        <w:rPr>
          <w:rFonts w:ascii="Times New Roman" w:hAnsi="Times New Roman"/>
          <w:sz w:val="24"/>
          <w:highlight w:val="yellow"/>
        </w:rPr>
        <w:t>Manzitto</w:t>
      </w:r>
      <w:proofErr w:type="spellEnd"/>
      <w:r>
        <w:rPr>
          <w:rFonts w:ascii="Times New Roman" w:hAnsi="Times New Roman"/>
          <w:sz w:val="24"/>
          <w:highlight w:val="yellow"/>
        </w:rPr>
        <w:t xml:space="preserve">-Tripp et al., 2022). In India, the family is represented by 352 species under 44 genera (Karthikeyan et al., 2009). Similarly, in Odisha, the family includes 29 genera and 79 species (Saxena &amp;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1995). Members of the family are distributed worldwide in tropical and subtropical regions. This </w:t>
      </w:r>
      <w:proofErr w:type="spellStart"/>
      <w:r>
        <w:rPr>
          <w:rFonts w:ascii="Times New Roman" w:hAnsi="Times New Roman"/>
          <w:sz w:val="24"/>
          <w:highlight w:val="yellow"/>
        </w:rPr>
        <w:t>angiospermic</w:t>
      </w:r>
      <w:proofErr w:type="spellEnd"/>
      <w:r>
        <w:rPr>
          <w:rFonts w:ascii="Times New Roman" w:hAnsi="Times New Roman"/>
          <w:sz w:val="24"/>
          <w:highlight w:val="yellow"/>
        </w:rPr>
        <w:t xml:space="preserve"> dicotyledonous </w:t>
      </w:r>
      <w:r>
        <w:rPr>
          <w:rFonts w:ascii="Times New Roman" w:hAnsi="Times New Roman"/>
          <w:sz w:val="24"/>
          <w:highlight w:val="yellow"/>
        </w:rPr>
        <w:lastRenderedPageBreak/>
        <w:t>family has a broad spectrum of diversity in life form, morphology and physiology. It includes herbs, shrubs, trees, climbers, mangroves and a few xerophytic species, most of which flower in winter.</w:t>
      </w:r>
    </w:p>
    <w:p w14:paraId="71A178C0" w14:textId="77777777" w:rsidR="00593AC5" w:rsidRPr="00803D57" w:rsidRDefault="00493F76" w:rsidP="008B4A89">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t xml:space="preserve">The genus </w:t>
      </w:r>
      <w:proofErr w:type="spellStart"/>
      <w:r>
        <w:rPr>
          <w:rFonts w:ascii="Times New Roman" w:hAnsi="Times New Roman"/>
          <w:i/>
          <w:sz w:val="24"/>
          <w:highlight w:val="yellow"/>
        </w:rPr>
        <w:t>Pseuderanthemum</w:t>
      </w:r>
      <w:proofErr w:type="spellEnd"/>
      <w:r>
        <w:rPr>
          <w:rFonts w:ascii="Times New Roman" w:hAnsi="Times New Roman"/>
          <w:sz w:val="24"/>
          <w:highlight w:val="yellow"/>
        </w:rPr>
        <w:t xml:space="preserve"> </w:t>
      </w:r>
      <w:proofErr w:type="spellStart"/>
      <w:r>
        <w:rPr>
          <w:rFonts w:ascii="Times New Roman" w:hAnsi="Times New Roman"/>
          <w:sz w:val="24"/>
          <w:highlight w:val="yellow"/>
        </w:rPr>
        <w:t>Radlk</w:t>
      </w:r>
      <w:proofErr w:type="spellEnd"/>
      <w:r>
        <w:rPr>
          <w:rFonts w:ascii="Times New Roman" w:hAnsi="Times New Roman"/>
          <w:sz w:val="24"/>
          <w:highlight w:val="yellow"/>
        </w:rPr>
        <w:t xml:space="preserve">. belongs to the tribe </w:t>
      </w:r>
      <w:proofErr w:type="spellStart"/>
      <w:r>
        <w:rPr>
          <w:rFonts w:ascii="Times New Roman" w:hAnsi="Times New Roman"/>
          <w:sz w:val="24"/>
          <w:highlight w:val="yellow"/>
        </w:rPr>
        <w:t>Justicieae</w:t>
      </w:r>
      <w:proofErr w:type="spellEnd"/>
      <w:r>
        <w:rPr>
          <w:rFonts w:ascii="Times New Roman" w:hAnsi="Times New Roman"/>
          <w:sz w:val="24"/>
          <w:highlight w:val="yellow"/>
        </w:rPr>
        <w:t xml:space="preserve"> of the subfamily </w:t>
      </w:r>
      <w:proofErr w:type="spellStart"/>
      <w:r>
        <w:rPr>
          <w:rFonts w:ascii="Times New Roman" w:hAnsi="Times New Roman"/>
          <w:sz w:val="24"/>
          <w:highlight w:val="yellow"/>
        </w:rPr>
        <w:t>Acanthoideae</w:t>
      </w:r>
      <w:proofErr w:type="spellEnd"/>
      <w:r>
        <w:rPr>
          <w:rFonts w:ascii="Times New Roman" w:hAnsi="Times New Roman"/>
          <w:sz w:val="24"/>
          <w:highlight w:val="yellow"/>
        </w:rPr>
        <w:t xml:space="preserve"> (Olmstead et al., 2016) within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This genus is distinguished by leaves that are green on the abaxial surface, usually with a lighter green band along the veins on the upper surface, ovate leaves with an acute apex, a </w:t>
      </w:r>
      <w:proofErr w:type="spellStart"/>
      <w:r>
        <w:rPr>
          <w:rFonts w:ascii="Times New Roman" w:hAnsi="Times New Roman"/>
          <w:sz w:val="24"/>
          <w:highlight w:val="yellow"/>
        </w:rPr>
        <w:t>puberulous</w:t>
      </w:r>
      <w:proofErr w:type="spellEnd"/>
      <w:r>
        <w:rPr>
          <w:rFonts w:ascii="Times New Roman" w:hAnsi="Times New Roman"/>
          <w:sz w:val="24"/>
          <w:highlight w:val="yellow"/>
        </w:rPr>
        <w:t xml:space="preserve"> ovary (</w:t>
      </w:r>
      <w:proofErr w:type="spellStart"/>
      <w:r>
        <w:rPr>
          <w:rFonts w:ascii="Times New Roman" w:hAnsi="Times New Roman"/>
          <w:sz w:val="24"/>
          <w:highlight w:val="yellow"/>
        </w:rPr>
        <w:t>Choopan</w:t>
      </w:r>
      <w:proofErr w:type="spellEnd"/>
      <w:r>
        <w:rPr>
          <w:rFonts w:ascii="Times New Roman" w:hAnsi="Times New Roman"/>
          <w:sz w:val="24"/>
          <w:highlight w:val="yellow"/>
        </w:rPr>
        <w:t xml:space="preserve"> et al., 2018), an elongated slender corolla tube, two stamens with spreading limbs and approximately 60 species globally (Scotland &amp; Vollesen, 2000). </w:t>
      </w:r>
      <w:proofErr w:type="spellStart"/>
      <w:r>
        <w:rPr>
          <w:rFonts w:ascii="Times New Roman" w:hAnsi="Times New Roman"/>
          <w:i/>
          <w:sz w:val="24"/>
          <w:highlight w:val="yellow"/>
        </w:rPr>
        <w:t>Pseuderanthemum</w:t>
      </w:r>
      <w:proofErr w:type="spellEnd"/>
      <w:r>
        <w:rPr>
          <w:rFonts w:ascii="Times New Roman" w:hAnsi="Times New Roman"/>
          <w:sz w:val="24"/>
          <w:highlight w:val="yellow"/>
        </w:rPr>
        <w:t xml:space="preserve"> has a native range in tropical and subtropical regions. Several species of the genus are ornamental and cultivated in different parts of the world. In Odisha, the genus is represented by a single species,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(C.B. Clarke) Gamble (Saxena &amp;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1995), which is now treated as a synonym of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However, the species is wild and has a very scarce distribution in tropical and subtropical regions (POWO, 2026).</w:t>
      </w:r>
    </w:p>
    <w:p w14:paraId="5AA2515D" w14:textId="77777777" w:rsidR="00A73294" w:rsidRPr="0021739E" w:rsidRDefault="00A73294" w:rsidP="008B4A89">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t xml:space="preserve">During the floristic investigation of the diversity of the family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in Odisha, the first author noticed an interesting taxon growing in the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forest area of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(Fig. 1). After critical observation, detailed analysis of vegetative and reproductive characters, consultation of herbarium specimens at RPRC, Bhubaneswar, CSIR-IMMT, Bhubaneswar, and scrutiny of existing literature (Gamble, 1924; Haines, 1921-1925; Mooney, 1950; Saxena &amp;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1995; </w:t>
      </w:r>
      <w:proofErr w:type="spellStart"/>
      <w:r>
        <w:rPr>
          <w:rFonts w:ascii="Times New Roman" w:hAnsi="Times New Roman"/>
          <w:sz w:val="24"/>
          <w:highlight w:val="yellow"/>
        </w:rPr>
        <w:t>Dhatchanamoorthy</w:t>
      </w:r>
      <w:proofErr w:type="spellEnd"/>
      <w:r>
        <w:rPr>
          <w:rFonts w:ascii="Times New Roman" w:hAnsi="Times New Roman"/>
          <w:sz w:val="24"/>
          <w:highlight w:val="yellow"/>
        </w:rPr>
        <w:t xml:space="preserve"> et al., 2015; POWO, 2026), the taxon was identified as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The species was previously reported from the Northern Circars of Odisha. After nearly 30 years since the detailed floristic documentation of Odisha by Saxena and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(1995), the species appeared to be confined to that region, although several floristic studies have been conducted by different researchers (Sahoo et al., 2014; Sahu &amp; Dhal, 2012; Pal et al., 2022; Nayak et al., 2024).</w:t>
      </w:r>
    </w:p>
    <w:p w14:paraId="2018411E" w14:textId="77777777" w:rsidR="003C02EC" w:rsidRDefault="00000000">
      <w:r>
        <w:rPr>
          <w:rFonts w:ascii="Times New Roman" w:hAnsi="Times New Roman"/>
          <w:sz w:val="24"/>
          <w:highlight w:val="yellow"/>
        </w:rPr>
        <w:t xml:space="preserve">Despite the earlier record of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from Odisha and subsequent floristic investigations in different parts of the state, recent locality-specific documentation of the species from coastal Odisha remains limited. Updated evidence on its correct taxonomic identity, present distribution and preliminary conservation status is therefore necessary for supporting habitat-level conservation planning.</w:t>
      </w:r>
    </w:p>
    <w:p w14:paraId="5D86D7B1" w14:textId="77777777" w:rsidR="00D600E9" w:rsidRDefault="001A4008" w:rsidP="008B4A89">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lastRenderedPageBreak/>
        <w:t xml:space="preserve">The present study highlights the detailed taxonomic characterisation of the species, along with notes on its ecology, phenology and distribution, which will be helpful for conservation biologists and policy makers in relation to habitat protection and species conservation. The study also reviews different pharmaceutical possibilities through phytochemical analysis. Ethanolic extracts prepared from shade-dried leaves revealed the presence of several important phytochemicals in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(syn.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Preliminary phytochemical screening revealed the presence of coumarins, flavonoids, phenols, saponins and terpenoids. Gas chromatography-mass spectroscopy (GC-MS) revealed about 10 different types of chemical compounds in variable quantities. Some of them, such as 3-dihydro-3,5-dihydroxy-6-methyl-(DDMP), 2-furancarboxaldehyde-5-(hydroxymethyl)-(5HMF), 4H-pyran-4-one-2 and 1-(+)-ascorbic acid-2-6-dihexadecanoate, were reported to possess antioxidant and anticancer properties (Sujana et al., 2023). The ethanolic leaf extract also exhibits anthelmintic properties (Hema &amp; </w:t>
      </w:r>
      <w:proofErr w:type="spellStart"/>
      <w:r>
        <w:rPr>
          <w:rFonts w:ascii="Times New Roman" w:hAnsi="Times New Roman"/>
          <w:sz w:val="24"/>
          <w:highlight w:val="yellow"/>
        </w:rPr>
        <w:t>Keshamma</w:t>
      </w:r>
      <w:proofErr w:type="spellEnd"/>
      <w:r>
        <w:rPr>
          <w:rFonts w:ascii="Times New Roman" w:hAnsi="Times New Roman"/>
          <w:sz w:val="24"/>
          <w:highlight w:val="yellow"/>
        </w:rPr>
        <w:t>, 2025).</w:t>
      </w:r>
    </w:p>
    <w:p w14:paraId="190D7932" w14:textId="77777777"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
          <w:noProof/>
          <w:sz w:val="24"/>
          <w:szCs w:val="24"/>
        </w:rPr>
        <w:drawing>
          <wp:inline distT="0" distB="0" distL="0" distR="0" wp14:anchorId="2799BCCD" wp14:editId="24FA827D">
            <wp:extent cx="5564143" cy="3116826"/>
            <wp:effectExtent l="76200" t="76200" r="132080" b="140970"/>
            <wp:docPr id="138818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2382" name=""/>
                    <pic:cNvPicPr/>
                  </pic:nvPicPr>
                  <pic:blipFill>
                    <a:blip r:embed="rId6"/>
                    <a:stretch>
                      <a:fillRect/>
                    </a:stretch>
                  </pic:blipFill>
                  <pic:spPr>
                    <a:xfrm>
                      <a:off x="0" y="0"/>
                      <a:ext cx="5571106" cy="31207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EF291D" w14:textId="77777777" w:rsidR="00982C0F" w:rsidRPr="0021739E" w:rsidRDefault="00982C0F" w:rsidP="008B4A89">
      <w:pPr>
        <w:spacing w:line="360" w:lineRule="auto"/>
        <w:jc w:val="center"/>
        <w:rPr>
          <w:rFonts w:ascii="Times New Roman" w:hAnsi="Times New Roman" w:cs="Times New Roman"/>
          <w:bCs/>
          <w:sz w:val="24"/>
          <w:szCs w:val="24"/>
        </w:rPr>
      </w:pPr>
      <w:r>
        <w:rPr>
          <w:rFonts w:ascii="Times New Roman" w:hAnsi="Times New Roman"/>
          <w:sz w:val="24"/>
          <w:highlight w:val="yellow"/>
        </w:rPr>
        <w:t>Fig. 1. Map of the study area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w:t>
      </w:r>
    </w:p>
    <w:p w14:paraId="56090EFB" w14:textId="77777777" w:rsidR="001F7F82" w:rsidRDefault="00957B70" w:rsidP="008B4A89">
      <w:pPr>
        <w:spacing w:line="360" w:lineRule="auto"/>
        <w:jc w:val="both"/>
        <w:rPr>
          <w:rFonts w:ascii="Times New Roman" w:hAnsi="Times New Roman" w:cs="Times New Roman"/>
          <w:bCs/>
          <w:sz w:val="24"/>
          <w:szCs w:val="24"/>
        </w:rPr>
      </w:pPr>
      <w:r>
        <w:rPr>
          <w:rFonts w:ascii="Times New Roman" w:hAnsi="Times New Roman"/>
          <w:b/>
          <w:sz w:val="24"/>
          <w:highlight w:val="yellow"/>
        </w:rPr>
        <w:t>Materials and Methods:</w:t>
      </w:r>
      <w:r>
        <w:rPr>
          <w:rFonts w:ascii="Times New Roman" w:hAnsi="Times New Roman"/>
          <w:sz w:val="24"/>
          <w:highlight w:val="yellow"/>
        </w:rPr>
        <w:t xml:space="preserve"> Extensive field studies were conducted during October-March from 2024 to 2026 to explore different species belonging to the family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in the coastal districts of Odisha. An interesting species was observed from the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sacred hill of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Odisha, India. The plants were distributed sporadically in rock crevices in the </w:t>
      </w:r>
      <w:r>
        <w:rPr>
          <w:rFonts w:ascii="Times New Roman" w:hAnsi="Times New Roman"/>
          <w:sz w:val="24"/>
          <w:highlight w:val="yellow"/>
        </w:rPr>
        <w:lastRenderedPageBreak/>
        <w:t>shaded regions of the forest canopy. The sample specimen was collected, washed gently and allowed to dry. Fresh flowering twigs were also collected for microscopic observation. A healthy specimen was processed for herbarium preservation. For correct identification of the species, several publications, herbaria, e-texts and e-resources were consulted. Besides the taxonomic enumeration of the species, a threat assessment was conducted because the species is very rare in its natural habitat. The assessment was undertaken by recording the presence of the species from recent research papers, herbaria and plant database information facilities. The Geospatial Conservation Assessment Tool was used to determine the worldwide distribution and geographical range of the species. About 139 GBIF points and two user points were incorporated for threat assessment (Fig. 4). Criteria B1 and B2 were used (IUCN Standards and Petitions Committee, 2019) to calculate the Extent of Occurrence (EOO) and Area of Occupancy (AOO).</w:t>
      </w:r>
    </w:p>
    <w:p w14:paraId="34909E08" w14:textId="77777777" w:rsidR="00D83DB2" w:rsidRPr="00BF457D" w:rsidRDefault="00D83DB2" w:rsidP="00BF457D">
      <w:pPr>
        <w:spacing w:line="360" w:lineRule="auto"/>
        <w:rPr>
          <w:rFonts w:ascii="Times New Roman" w:hAnsi="Times New Roman" w:cs="Times New Roman"/>
          <w:b/>
          <w:sz w:val="24"/>
          <w:szCs w:val="24"/>
        </w:rPr>
      </w:pPr>
      <w:r>
        <w:rPr>
          <w:rFonts w:ascii="Times New Roman" w:hAnsi="Times New Roman"/>
          <w:sz w:val="24"/>
          <w:highlight w:val="yellow"/>
        </w:rPr>
        <w:t>Table 1. Geographical range in the form of B1 (Extent of Occurrence) or B2 (Area of Occupancy).</w:t>
      </w:r>
    </w:p>
    <w:tbl>
      <w:tblPr>
        <w:tblStyle w:val="TableGrid"/>
        <w:tblW w:w="0" w:type="auto"/>
        <w:jc w:val="center"/>
        <w:tblLook w:val="04A0" w:firstRow="1" w:lastRow="0" w:firstColumn="1" w:lastColumn="0" w:noHBand="0" w:noVBand="1"/>
      </w:tblPr>
      <w:tblGrid>
        <w:gridCol w:w="1838"/>
        <w:gridCol w:w="1941"/>
        <w:gridCol w:w="44"/>
        <w:gridCol w:w="1275"/>
        <w:gridCol w:w="9"/>
        <w:gridCol w:w="1554"/>
      </w:tblGrid>
      <w:tr w:rsidR="00E15DE8" w14:paraId="3BC9CABF" w14:textId="77777777" w:rsidTr="001348CC">
        <w:trPr>
          <w:trHeight w:val="398"/>
          <w:jc w:val="center"/>
        </w:trPr>
        <w:tc>
          <w:tcPr>
            <w:tcW w:w="6661" w:type="dxa"/>
            <w:gridSpan w:val="6"/>
          </w:tcPr>
          <w:p w14:paraId="2B0B737F" w14:textId="77777777" w:rsidR="00BF1AED" w:rsidRPr="00BF1AED" w:rsidRDefault="00B403F0" w:rsidP="00A801E2">
            <w:pPr>
              <w:spacing w:line="360" w:lineRule="auto"/>
              <w:jc w:val="center"/>
              <w:rPr>
                <w:rFonts w:ascii="Times New Roman" w:hAnsi="Times New Roman" w:cs="Times New Roman"/>
                <w:b/>
                <w:sz w:val="24"/>
                <w:szCs w:val="24"/>
              </w:rPr>
            </w:pPr>
            <w:r w:rsidRPr="00BF1AED">
              <w:rPr>
                <w:rFonts w:ascii="Times New Roman" w:hAnsi="Times New Roman" w:cs="Times New Roman"/>
                <w:b/>
                <w:sz w:val="24"/>
                <w:szCs w:val="24"/>
              </w:rPr>
              <w:t xml:space="preserve">Geographical range in the form of </w:t>
            </w:r>
          </w:p>
          <w:p w14:paraId="715A99C3" w14:textId="77777777" w:rsidR="00E15DE8" w:rsidRPr="00924368" w:rsidRDefault="00B403F0" w:rsidP="00A801E2">
            <w:pPr>
              <w:spacing w:line="360" w:lineRule="auto"/>
              <w:jc w:val="center"/>
              <w:rPr>
                <w:rFonts w:ascii="Times New Roman" w:hAnsi="Times New Roman" w:cs="Times New Roman"/>
                <w:b/>
                <w:sz w:val="24"/>
                <w:szCs w:val="24"/>
              </w:rPr>
            </w:pPr>
            <w:r w:rsidRPr="00924368">
              <w:rPr>
                <w:rFonts w:ascii="Times New Roman" w:hAnsi="Times New Roman" w:cs="Times New Roman"/>
                <w:b/>
              </w:rPr>
              <w:t>B1</w:t>
            </w:r>
            <w:r w:rsidR="00BF1AED">
              <w:rPr>
                <w:rFonts w:ascii="Times New Roman" w:hAnsi="Times New Roman" w:cs="Times New Roman"/>
                <w:b/>
              </w:rPr>
              <w:t xml:space="preserve"> </w:t>
            </w:r>
            <w:r w:rsidRPr="00924368">
              <w:rPr>
                <w:rFonts w:ascii="Times New Roman" w:hAnsi="Times New Roman" w:cs="Times New Roman"/>
                <w:b/>
              </w:rPr>
              <w:t>(E</w:t>
            </w:r>
            <w:r w:rsidR="00FF7410">
              <w:rPr>
                <w:rFonts w:ascii="Times New Roman" w:hAnsi="Times New Roman" w:cs="Times New Roman"/>
                <w:b/>
              </w:rPr>
              <w:t xml:space="preserve">xtent </w:t>
            </w:r>
            <w:r w:rsidRPr="00924368">
              <w:rPr>
                <w:rFonts w:ascii="Times New Roman" w:hAnsi="Times New Roman" w:cs="Times New Roman"/>
                <w:b/>
              </w:rPr>
              <w:t>O</w:t>
            </w:r>
            <w:r w:rsidR="00FF7410">
              <w:rPr>
                <w:rFonts w:ascii="Times New Roman" w:hAnsi="Times New Roman" w:cs="Times New Roman"/>
                <w:b/>
              </w:rPr>
              <w:t xml:space="preserve">f </w:t>
            </w:r>
            <w:r w:rsidR="00FF7410" w:rsidRPr="00924368">
              <w:rPr>
                <w:rFonts w:ascii="Times New Roman" w:hAnsi="Times New Roman" w:cs="Times New Roman"/>
                <w:b/>
              </w:rPr>
              <w:t>O</w:t>
            </w:r>
            <w:r w:rsidR="00FF7410">
              <w:rPr>
                <w:rFonts w:ascii="Times New Roman" w:hAnsi="Times New Roman" w:cs="Times New Roman"/>
                <w:b/>
              </w:rPr>
              <w:t>ccurrence</w:t>
            </w:r>
            <w:r w:rsidRPr="00924368">
              <w:rPr>
                <w:rFonts w:ascii="Times New Roman" w:hAnsi="Times New Roman" w:cs="Times New Roman"/>
                <w:b/>
              </w:rPr>
              <w:t>)</w:t>
            </w:r>
            <w:r w:rsidR="00A801E2" w:rsidRPr="00924368">
              <w:rPr>
                <w:rFonts w:ascii="Times New Roman" w:hAnsi="Times New Roman" w:cs="Times New Roman"/>
                <w:b/>
              </w:rPr>
              <w:t xml:space="preserve"> or B2 (A</w:t>
            </w:r>
            <w:r w:rsidR="00FF7410">
              <w:rPr>
                <w:rFonts w:ascii="Times New Roman" w:hAnsi="Times New Roman" w:cs="Times New Roman"/>
                <w:b/>
              </w:rPr>
              <w:t xml:space="preserve">rea </w:t>
            </w:r>
            <w:r w:rsidR="00A801E2" w:rsidRPr="00924368">
              <w:rPr>
                <w:rFonts w:ascii="Times New Roman" w:hAnsi="Times New Roman" w:cs="Times New Roman"/>
                <w:b/>
              </w:rPr>
              <w:t>O</w:t>
            </w:r>
            <w:r w:rsidR="00FF7410">
              <w:rPr>
                <w:rFonts w:ascii="Times New Roman" w:hAnsi="Times New Roman" w:cs="Times New Roman"/>
                <w:b/>
              </w:rPr>
              <w:t xml:space="preserve">f </w:t>
            </w:r>
            <w:r w:rsidR="00A801E2" w:rsidRPr="00924368">
              <w:rPr>
                <w:rFonts w:ascii="Times New Roman" w:hAnsi="Times New Roman" w:cs="Times New Roman"/>
                <w:b/>
              </w:rPr>
              <w:t>O</w:t>
            </w:r>
            <w:r w:rsidR="00FF7410">
              <w:rPr>
                <w:rFonts w:ascii="Times New Roman" w:hAnsi="Times New Roman" w:cs="Times New Roman"/>
                <w:b/>
              </w:rPr>
              <w:t>ccupancy</w:t>
            </w:r>
            <w:r w:rsidR="00A801E2" w:rsidRPr="00924368">
              <w:rPr>
                <w:rFonts w:ascii="Times New Roman" w:hAnsi="Times New Roman" w:cs="Times New Roman"/>
                <w:b/>
              </w:rPr>
              <w:t>)</w:t>
            </w:r>
          </w:p>
        </w:tc>
      </w:tr>
      <w:tr w:rsidR="00932BB8" w:rsidRPr="00924368" w14:paraId="6A7D536E" w14:textId="77777777" w:rsidTr="001348CC">
        <w:trPr>
          <w:trHeight w:val="382"/>
          <w:jc w:val="center"/>
        </w:trPr>
        <w:tc>
          <w:tcPr>
            <w:tcW w:w="1838" w:type="dxa"/>
            <w:vMerge w:val="restart"/>
          </w:tcPr>
          <w:p w14:paraId="4773D36F" w14:textId="77777777" w:rsidR="00952E8F" w:rsidRPr="00924368" w:rsidRDefault="00952E8F" w:rsidP="00FF7410">
            <w:pPr>
              <w:spacing w:line="360" w:lineRule="auto"/>
              <w:jc w:val="center"/>
              <w:rPr>
                <w:rFonts w:ascii="Times New Roman" w:hAnsi="Times New Roman" w:cs="Times New Roman"/>
                <w:bCs/>
              </w:rPr>
            </w:pPr>
          </w:p>
          <w:p w14:paraId="41831F31" w14:textId="77777777" w:rsidR="00932BB8" w:rsidRPr="00924368" w:rsidRDefault="00932BB8" w:rsidP="00FF7410">
            <w:pPr>
              <w:spacing w:line="360" w:lineRule="auto"/>
              <w:jc w:val="center"/>
              <w:rPr>
                <w:rFonts w:ascii="Times New Roman" w:hAnsi="Times New Roman" w:cs="Times New Roman"/>
                <w:bCs/>
              </w:rPr>
            </w:pPr>
            <w:r w:rsidRPr="00924368">
              <w:rPr>
                <w:rFonts w:ascii="Times New Roman" w:hAnsi="Times New Roman" w:cs="Times New Roman"/>
                <w:bCs/>
              </w:rPr>
              <w:t>B1</w:t>
            </w:r>
          </w:p>
        </w:tc>
        <w:tc>
          <w:tcPr>
            <w:tcW w:w="1941" w:type="dxa"/>
          </w:tcPr>
          <w:p w14:paraId="5E507AC8" w14:textId="77777777" w:rsidR="00932BB8" w:rsidRPr="00924368" w:rsidRDefault="00932BB8" w:rsidP="00952E8F">
            <w:pPr>
              <w:spacing w:line="360" w:lineRule="auto"/>
              <w:jc w:val="center"/>
              <w:rPr>
                <w:rFonts w:ascii="Times New Roman" w:hAnsi="Times New Roman" w:cs="Times New Roman"/>
                <w:bCs/>
              </w:rPr>
            </w:pPr>
            <w:r w:rsidRPr="00924368">
              <w:rPr>
                <w:rFonts w:ascii="Times New Roman" w:hAnsi="Times New Roman" w:cs="Times New Roman"/>
                <w:bCs/>
              </w:rPr>
              <w:t>Critically endan</w:t>
            </w:r>
            <w:r w:rsidR="00EC32B0" w:rsidRPr="00924368">
              <w:rPr>
                <w:rFonts w:ascii="Times New Roman" w:hAnsi="Times New Roman" w:cs="Times New Roman"/>
                <w:bCs/>
              </w:rPr>
              <w:t>gered</w:t>
            </w:r>
            <w:r w:rsidR="00952E8F" w:rsidRPr="00924368">
              <w:rPr>
                <w:rFonts w:ascii="Times New Roman" w:hAnsi="Times New Roman" w:cs="Times New Roman"/>
                <w:bCs/>
              </w:rPr>
              <w:t xml:space="preserve"> </w:t>
            </w:r>
          </w:p>
        </w:tc>
        <w:tc>
          <w:tcPr>
            <w:tcW w:w="1328" w:type="dxa"/>
            <w:gridSpan w:val="3"/>
          </w:tcPr>
          <w:p w14:paraId="50833EA5" w14:textId="77777777" w:rsidR="00932BB8" w:rsidRPr="00924368" w:rsidRDefault="00EC32B0" w:rsidP="00952E8F">
            <w:pPr>
              <w:spacing w:line="360" w:lineRule="auto"/>
              <w:jc w:val="center"/>
              <w:rPr>
                <w:rFonts w:ascii="Times New Roman" w:hAnsi="Times New Roman" w:cs="Times New Roman"/>
                <w:bCs/>
              </w:rPr>
            </w:pPr>
            <w:r w:rsidRPr="00924368">
              <w:rPr>
                <w:rFonts w:ascii="Times New Roman" w:hAnsi="Times New Roman" w:cs="Times New Roman"/>
                <w:bCs/>
              </w:rPr>
              <w:t>Endangered</w:t>
            </w:r>
          </w:p>
        </w:tc>
        <w:tc>
          <w:tcPr>
            <w:tcW w:w="1554" w:type="dxa"/>
          </w:tcPr>
          <w:p w14:paraId="560720AC" w14:textId="77777777" w:rsidR="00932BB8" w:rsidRPr="00924368" w:rsidRDefault="00351517" w:rsidP="00952E8F">
            <w:pPr>
              <w:spacing w:line="360" w:lineRule="auto"/>
              <w:jc w:val="center"/>
              <w:rPr>
                <w:rFonts w:ascii="Times New Roman" w:hAnsi="Times New Roman" w:cs="Times New Roman"/>
                <w:bCs/>
              </w:rPr>
            </w:pPr>
            <w:r w:rsidRPr="00924368">
              <w:rPr>
                <w:rFonts w:ascii="Times New Roman" w:hAnsi="Times New Roman" w:cs="Times New Roman"/>
                <w:bCs/>
              </w:rPr>
              <w:t xml:space="preserve">Vulnerable </w:t>
            </w:r>
          </w:p>
        </w:tc>
      </w:tr>
      <w:tr w:rsidR="00932BB8" w:rsidRPr="00924368" w14:paraId="57D41B23" w14:textId="77777777" w:rsidTr="001348CC">
        <w:trPr>
          <w:trHeight w:val="381"/>
          <w:jc w:val="center"/>
        </w:trPr>
        <w:tc>
          <w:tcPr>
            <w:tcW w:w="1838" w:type="dxa"/>
            <w:vMerge/>
          </w:tcPr>
          <w:p w14:paraId="64F680D8" w14:textId="77777777" w:rsidR="00932BB8" w:rsidRPr="00924368" w:rsidRDefault="00932BB8" w:rsidP="00FF7410">
            <w:pPr>
              <w:spacing w:line="360" w:lineRule="auto"/>
              <w:jc w:val="center"/>
              <w:rPr>
                <w:rFonts w:ascii="Times New Roman" w:hAnsi="Times New Roman" w:cs="Times New Roman"/>
                <w:bCs/>
              </w:rPr>
            </w:pPr>
          </w:p>
        </w:tc>
        <w:tc>
          <w:tcPr>
            <w:tcW w:w="1941" w:type="dxa"/>
          </w:tcPr>
          <w:p w14:paraId="5FB9CF29" w14:textId="77777777" w:rsidR="00932BB8" w:rsidRPr="00924368" w:rsidRDefault="00EC32B0" w:rsidP="00F054B4">
            <w:pPr>
              <w:spacing w:line="360" w:lineRule="auto"/>
              <w:jc w:val="center"/>
              <w:rPr>
                <w:rFonts w:ascii="Times New Roman" w:hAnsi="Times New Roman" w:cs="Times New Roman"/>
                <w:bCs/>
                <w:vertAlign w:val="superscript"/>
              </w:rPr>
            </w:pPr>
            <w:r w:rsidRPr="00924368">
              <w:rPr>
                <w:rFonts w:ascii="Times New Roman" w:hAnsi="Times New Roman" w:cs="Times New Roman"/>
                <w:bCs/>
              </w:rPr>
              <w:t>&lt; 100km</w:t>
            </w:r>
            <w:r w:rsidRPr="00924368">
              <w:rPr>
                <w:rFonts w:ascii="Times New Roman" w:hAnsi="Times New Roman" w:cs="Times New Roman"/>
                <w:bCs/>
                <w:vertAlign w:val="superscript"/>
              </w:rPr>
              <w:t>2</w:t>
            </w:r>
          </w:p>
        </w:tc>
        <w:tc>
          <w:tcPr>
            <w:tcW w:w="1328" w:type="dxa"/>
            <w:gridSpan w:val="3"/>
          </w:tcPr>
          <w:p w14:paraId="764D38EC" w14:textId="77777777" w:rsidR="00932BB8" w:rsidRPr="00924368" w:rsidRDefault="0092769B" w:rsidP="00F054B4">
            <w:pPr>
              <w:spacing w:line="360" w:lineRule="auto"/>
              <w:jc w:val="center"/>
              <w:rPr>
                <w:rFonts w:ascii="Times New Roman" w:hAnsi="Times New Roman" w:cs="Times New Roman"/>
                <w:bCs/>
                <w:vertAlign w:val="superscript"/>
              </w:rPr>
            </w:pPr>
            <w:r w:rsidRPr="00924368">
              <w:rPr>
                <w:rFonts w:ascii="Times New Roman" w:hAnsi="Times New Roman" w:cs="Times New Roman"/>
                <w:bCs/>
              </w:rPr>
              <w:t>&lt; 5000 km</w:t>
            </w:r>
            <w:r w:rsidRPr="00924368">
              <w:rPr>
                <w:rFonts w:ascii="Times New Roman" w:hAnsi="Times New Roman" w:cs="Times New Roman"/>
                <w:bCs/>
                <w:vertAlign w:val="superscript"/>
              </w:rPr>
              <w:t>2</w:t>
            </w:r>
          </w:p>
        </w:tc>
        <w:tc>
          <w:tcPr>
            <w:tcW w:w="1554" w:type="dxa"/>
          </w:tcPr>
          <w:p w14:paraId="0B8DBE8F" w14:textId="77777777" w:rsidR="00932BB8" w:rsidRPr="00924368" w:rsidRDefault="00351517" w:rsidP="00F054B4">
            <w:pPr>
              <w:spacing w:line="360" w:lineRule="auto"/>
              <w:jc w:val="center"/>
              <w:rPr>
                <w:rFonts w:ascii="Times New Roman" w:hAnsi="Times New Roman" w:cs="Times New Roman"/>
                <w:bCs/>
                <w:vertAlign w:val="superscript"/>
              </w:rPr>
            </w:pPr>
            <w:r w:rsidRPr="00924368">
              <w:rPr>
                <w:rFonts w:ascii="Times New Roman" w:hAnsi="Times New Roman" w:cs="Times New Roman"/>
                <w:bCs/>
              </w:rPr>
              <w:t>&lt; 20,000 km</w:t>
            </w:r>
            <w:r w:rsidRPr="00924368">
              <w:rPr>
                <w:rFonts w:ascii="Times New Roman" w:hAnsi="Times New Roman" w:cs="Times New Roman"/>
                <w:bCs/>
                <w:vertAlign w:val="superscript"/>
              </w:rPr>
              <w:t>2</w:t>
            </w:r>
          </w:p>
        </w:tc>
      </w:tr>
      <w:tr w:rsidR="001F7F82" w:rsidRPr="00924368" w14:paraId="7F920E25" w14:textId="77777777" w:rsidTr="001348CC">
        <w:trPr>
          <w:trHeight w:val="365"/>
          <w:jc w:val="center"/>
        </w:trPr>
        <w:tc>
          <w:tcPr>
            <w:tcW w:w="1838" w:type="dxa"/>
          </w:tcPr>
          <w:p w14:paraId="7F21E77A" w14:textId="77777777" w:rsidR="001F7F82" w:rsidRPr="00924368" w:rsidRDefault="00351517" w:rsidP="00FF7410">
            <w:pPr>
              <w:spacing w:line="360" w:lineRule="auto"/>
              <w:jc w:val="center"/>
              <w:rPr>
                <w:rFonts w:ascii="Times New Roman" w:hAnsi="Times New Roman" w:cs="Times New Roman"/>
                <w:bCs/>
              </w:rPr>
            </w:pPr>
            <w:r w:rsidRPr="00924368">
              <w:rPr>
                <w:rFonts w:ascii="Times New Roman" w:hAnsi="Times New Roman" w:cs="Times New Roman"/>
                <w:bCs/>
              </w:rPr>
              <w:t>B2</w:t>
            </w:r>
          </w:p>
        </w:tc>
        <w:tc>
          <w:tcPr>
            <w:tcW w:w="1941" w:type="dxa"/>
          </w:tcPr>
          <w:p w14:paraId="52BA2463" w14:textId="77777777" w:rsidR="001F7F82" w:rsidRPr="00924368" w:rsidRDefault="003368A6" w:rsidP="00F054B4">
            <w:pPr>
              <w:spacing w:line="360" w:lineRule="auto"/>
              <w:jc w:val="center"/>
              <w:rPr>
                <w:rFonts w:ascii="Times New Roman" w:hAnsi="Times New Roman" w:cs="Times New Roman"/>
                <w:bCs/>
                <w:vertAlign w:val="superscript"/>
              </w:rPr>
            </w:pPr>
            <w:r w:rsidRPr="00924368">
              <w:rPr>
                <w:rFonts w:ascii="Times New Roman" w:hAnsi="Times New Roman" w:cs="Times New Roman"/>
                <w:bCs/>
              </w:rPr>
              <w:t>&lt; 10 km</w:t>
            </w:r>
            <w:r w:rsidRPr="00924368">
              <w:rPr>
                <w:rFonts w:ascii="Times New Roman" w:hAnsi="Times New Roman" w:cs="Times New Roman"/>
                <w:bCs/>
                <w:vertAlign w:val="superscript"/>
              </w:rPr>
              <w:t>2</w:t>
            </w:r>
          </w:p>
        </w:tc>
        <w:tc>
          <w:tcPr>
            <w:tcW w:w="1328" w:type="dxa"/>
            <w:gridSpan w:val="3"/>
          </w:tcPr>
          <w:p w14:paraId="4A12C78D" w14:textId="77777777" w:rsidR="001F7F82" w:rsidRPr="00924368" w:rsidRDefault="003368A6" w:rsidP="00F054B4">
            <w:pPr>
              <w:spacing w:line="360" w:lineRule="auto"/>
              <w:jc w:val="center"/>
              <w:rPr>
                <w:rFonts w:ascii="Times New Roman" w:hAnsi="Times New Roman" w:cs="Times New Roman"/>
                <w:bCs/>
              </w:rPr>
            </w:pPr>
            <w:r w:rsidRPr="00924368">
              <w:rPr>
                <w:rFonts w:ascii="Times New Roman" w:hAnsi="Times New Roman" w:cs="Times New Roman"/>
                <w:bCs/>
              </w:rPr>
              <w:t>&lt; 500 km</w:t>
            </w:r>
            <w:r w:rsidRPr="00924368">
              <w:rPr>
                <w:rFonts w:ascii="Times New Roman" w:hAnsi="Times New Roman" w:cs="Times New Roman"/>
                <w:bCs/>
                <w:vertAlign w:val="superscript"/>
              </w:rPr>
              <w:t>2</w:t>
            </w:r>
          </w:p>
        </w:tc>
        <w:tc>
          <w:tcPr>
            <w:tcW w:w="1554" w:type="dxa"/>
          </w:tcPr>
          <w:p w14:paraId="4D7E410A" w14:textId="77777777" w:rsidR="001F7F82" w:rsidRPr="00924368" w:rsidRDefault="005C415A" w:rsidP="00F054B4">
            <w:pPr>
              <w:spacing w:line="360" w:lineRule="auto"/>
              <w:jc w:val="center"/>
              <w:rPr>
                <w:rFonts w:ascii="Times New Roman" w:hAnsi="Times New Roman" w:cs="Times New Roman"/>
                <w:bCs/>
              </w:rPr>
            </w:pPr>
            <w:r w:rsidRPr="00924368">
              <w:rPr>
                <w:rFonts w:ascii="Times New Roman" w:hAnsi="Times New Roman" w:cs="Times New Roman"/>
                <w:bCs/>
              </w:rPr>
              <w:t>&lt; 2000 km</w:t>
            </w:r>
            <w:r w:rsidRPr="00924368">
              <w:rPr>
                <w:rFonts w:ascii="Times New Roman" w:hAnsi="Times New Roman" w:cs="Times New Roman"/>
                <w:bCs/>
                <w:vertAlign w:val="superscript"/>
              </w:rPr>
              <w:t>2</w:t>
            </w:r>
          </w:p>
        </w:tc>
      </w:tr>
      <w:tr w:rsidR="000D4E90" w:rsidRPr="00924368" w14:paraId="22981C7B" w14:textId="77777777" w:rsidTr="001348CC">
        <w:trPr>
          <w:trHeight w:val="354"/>
          <w:jc w:val="center"/>
        </w:trPr>
        <w:tc>
          <w:tcPr>
            <w:tcW w:w="6661" w:type="dxa"/>
            <w:gridSpan w:val="6"/>
          </w:tcPr>
          <w:p w14:paraId="2135A8C4" w14:textId="77777777" w:rsidR="000D4E90" w:rsidRPr="00924368" w:rsidRDefault="000D4E90" w:rsidP="00EE3578">
            <w:pPr>
              <w:spacing w:line="360" w:lineRule="auto"/>
              <w:jc w:val="center"/>
              <w:rPr>
                <w:rFonts w:ascii="Times New Roman" w:hAnsi="Times New Roman" w:cs="Times New Roman"/>
                <w:bCs/>
              </w:rPr>
            </w:pPr>
            <w:r w:rsidRPr="00924368">
              <w:rPr>
                <w:rFonts w:ascii="Times New Roman" w:hAnsi="Times New Roman" w:cs="Times New Roman"/>
                <w:bCs/>
              </w:rPr>
              <w:t>At least 2 of the following 3 (a, b &amp;c)</w:t>
            </w:r>
          </w:p>
        </w:tc>
      </w:tr>
      <w:tr w:rsidR="000977DA" w:rsidRPr="00924368" w14:paraId="2769E701" w14:textId="77777777" w:rsidTr="001348CC">
        <w:trPr>
          <w:trHeight w:val="354"/>
          <w:jc w:val="center"/>
        </w:trPr>
        <w:tc>
          <w:tcPr>
            <w:tcW w:w="1838" w:type="dxa"/>
          </w:tcPr>
          <w:p w14:paraId="408953C7" w14:textId="77777777" w:rsidR="000977DA" w:rsidRPr="003B2134" w:rsidRDefault="004310A4" w:rsidP="003B2134">
            <w:pPr>
              <w:pStyle w:val="ListParagraph"/>
              <w:numPr>
                <w:ilvl w:val="0"/>
                <w:numId w:val="14"/>
              </w:numPr>
              <w:jc w:val="center"/>
              <w:rPr>
                <w:rFonts w:ascii="Times New Roman" w:hAnsi="Times New Roman" w:cs="Times New Roman"/>
                <w:bCs/>
              </w:rPr>
            </w:pPr>
            <w:r w:rsidRPr="003B2134">
              <w:rPr>
                <w:rFonts w:ascii="Times New Roman" w:hAnsi="Times New Roman" w:cs="Times New Roman"/>
                <w:bCs/>
              </w:rPr>
              <w:t>Severely fragmented or number of locations</w:t>
            </w:r>
          </w:p>
        </w:tc>
        <w:tc>
          <w:tcPr>
            <w:tcW w:w="1985" w:type="dxa"/>
            <w:gridSpan w:val="2"/>
          </w:tcPr>
          <w:p w14:paraId="6F5FE2DD" w14:textId="77777777" w:rsidR="00FF7410" w:rsidRDefault="00FF7410" w:rsidP="00EE3578">
            <w:pPr>
              <w:spacing w:line="360" w:lineRule="auto"/>
              <w:jc w:val="center"/>
              <w:rPr>
                <w:rFonts w:ascii="Times New Roman" w:hAnsi="Times New Roman" w:cs="Times New Roman"/>
                <w:bCs/>
              </w:rPr>
            </w:pPr>
          </w:p>
          <w:p w14:paraId="4C8F35DD" w14:textId="77777777" w:rsidR="000977DA" w:rsidRPr="00924368" w:rsidRDefault="004310A4" w:rsidP="00EE3578">
            <w:pPr>
              <w:spacing w:line="360" w:lineRule="auto"/>
              <w:jc w:val="center"/>
              <w:rPr>
                <w:rFonts w:ascii="Times New Roman" w:hAnsi="Times New Roman" w:cs="Times New Roman"/>
                <w:bCs/>
              </w:rPr>
            </w:pPr>
            <w:r w:rsidRPr="00924368">
              <w:rPr>
                <w:rFonts w:ascii="Times New Roman" w:hAnsi="Times New Roman" w:cs="Times New Roman"/>
                <w:bCs/>
              </w:rPr>
              <w:t>=</w:t>
            </w:r>
            <w:r w:rsidR="001348CC" w:rsidRPr="00924368">
              <w:rPr>
                <w:rFonts w:ascii="Times New Roman" w:hAnsi="Times New Roman" w:cs="Times New Roman"/>
                <w:bCs/>
              </w:rPr>
              <w:t xml:space="preserve"> </w:t>
            </w:r>
            <w:r w:rsidRPr="00924368">
              <w:rPr>
                <w:rFonts w:ascii="Times New Roman" w:hAnsi="Times New Roman" w:cs="Times New Roman"/>
                <w:bCs/>
              </w:rPr>
              <w:t>1</w:t>
            </w:r>
          </w:p>
        </w:tc>
        <w:tc>
          <w:tcPr>
            <w:tcW w:w="1275" w:type="dxa"/>
          </w:tcPr>
          <w:p w14:paraId="2D12499C" w14:textId="77777777" w:rsidR="00FF7410" w:rsidRDefault="00FF7410" w:rsidP="00EE3578">
            <w:pPr>
              <w:spacing w:line="360" w:lineRule="auto"/>
              <w:jc w:val="center"/>
              <w:rPr>
                <w:rFonts w:ascii="Times New Roman" w:hAnsi="Times New Roman" w:cs="Times New Roman"/>
                <w:bCs/>
              </w:rPr>
            </w:pPr>
          </w:p>
          <w:p w14:paraId="319EB5D9" w14:textId="77777777" w:rsidR="000977DA" w:rsidRPr="00924368" w:rsidRDefault="00EF3D47" w:rsidP="00EE3578">
            <w:pPr>
              <w:spacing w:line="360" w:lineRule="auto"/>
              <w:jc w:val="center"/>
              <w:rPr>
                <w:rFonts w:ascii="Times New Roman" w:hAnsi="Times New Roman" w:cs="Times New Roman"/>
                <w:bCs/>
              </w:rPr>
            </w:pPr>
            <w:r w:rsidRPr="00924368">
              <w:rPr>
                <w:rFonts w:ascii="Times New Roman" w:hAnsi="Times New Roman" w:cs="Times New Roman"/>
                <w:bCs/>
              </w:rPr>
              <w:t>≤ 5</w:t>
            </w:r>
          </w:p>
        </w:tc>
        <w:tc>
          <w:tcPr>
            <w:tcW w:w="1563" w:type="dxa"/>
            <w:gridSpan w:val="2"/>
          </w:tcPr>
          <w:p w14:paraId="30B306F2" w14:textId="77777777" w:rsidR="00FF7410" w:rsidRDefault="00FF7410" w:rsidP="00EE3578">
            <w:pPr>
              <w:spacing w:line="360" w:lineRule="auto"/>
              <w:jc w:val="center"/>
              <w:rPr>
                <w:rFonts w:ascii="Times New Roman" w:hAnsi="Times New Roman" w:cs="Times New Roman"/>
                <w:bCs/>
              </w:rPr>
            </w:pPr>
          </w:p>
          <w:p w14:paraId="5F1E45D5" w14:textId="77777777" w:rsidR="000977DA" w:rsidRPr="00924368" w:rsidRDefault="00EF3D47" w:rsidP="00EE3578">
            <w:pPr>
              <w:spacing w:line="360" w:lineRule="auto"/>
              <w:jc w:val="center"/>
              <w:rPr>
                <w:rFonts w:ascii="Times New Roman" w:hAnsi="Times New Roman" w:cs="Times New Roman"/>
                <w:bCs/>
              </w:rPr>
            </w:pPr>
            <w:r w:rsidRPr="00924368">
              <w:rPr>
                <w:rFonts w:ascii="Times New Roman" w:hAnsi="Times New Roman" w:cs="Times New Roman"/>
                <w:bCs/>
              </w:rPr>
              <w:t>≤ 10</w:t>
            </w:r>
          </w:p>
        </w:tc>
      </w:tr>
    </w:tbl>
    <w:tbl>
      <w:tblPr>
        <w:tblStyle w:val="TableGrid"/>
        <w:tblpPr w:leftFromText="180" w:rightFromText="180" w:vertAnchor="text" w:horzAnchor="margin" w:tblpXSpec="center" w:tblpY="13"/>
        <w:tblW w:w="0" w:type="auto"/>
        <w:tblLook w:val="04A0" w:firstRow="1" w:lastRow="0" w:firstColumn="1" w:lastColumn="0" w:noHBand="0" w:noVBand="1"/>
      </w:tblPr>
      <w:tblGrid>
        <w:gridCol w:w="6658"/>
      </w:tblGrid>
      <w:tr w:rsidR="001A4861" w:rsidRPr="00924368" w14:paraId="5479BE5A" w14:textId="77777777" w:rsidTr="001A4861">
        <w:tc>
          <w:tcPr>
            <w:tcW w:w="6658" w:type="dxa"/>
          </w:tcPr>
          <w:p w14:paraId="24CFD70C" w14:textId="77777777" w:rsidR="001A4861" w:rsidRPr="00924368" w:rsidRDefault="00843490" w:rsidP="001A4861">
            <w:pPr>
              <w:spacing w:line="360" w:lineRule="auto"/>
              <w:jc w:val="both"/>
              <w:rPr>
                <w:rFonts w:ascii="Times New Roman" w:hAnsi="Times New Roman" w:cs="Times New Roman"/>
                <w:bCs/>
              </w:rPr>
            </w:pPr>
            <w:r w:rsidRPr="00924368">
              <w:rPr>
                <w:rFonts w:ascii="Times New Roman" w:hAnsi="Times New Roman" w:cs="Times New Roman"/>
                <w:bCs/>
              </w:rPr>
              <w:t xml:space="preserve">b. </w:t>
            </w:r>
            <w:r w:rsidR="007E122A" w:rsidRPr="00924368">
              <w:rPr>
                <w:rFonts w:ascii="Times New Roman" w:hAnsi="Times New Roman" w:cs="Times New Roman"/>
                <w:bCs/>
              </w:rPr>
              <w:t>continuing decline observed,</w:t>
            </w:r>
            <w:r w:rsidR="00E0438A" w:rsidRPr="00924368">
              <w:rPr>
                <w:rFonts w:ascii="Times New Roman" w:hAnsi="Times New Roman" w:cs="Times New Roman"/>
                <w:bCs/>
              </w:rPr>
              <w:t xml:space="preserve"> estimated, inferred or projected in any </w:t>
            </w:r>
            <w:r w:rsidR="00BC329B" w:rsidRPr="00924368">
              <w:rPr>
                <w:rFonts w:ascii="Times New Roman" w:hAnsi="Times New Roman" w:cs="Times New Roman"/>
                <w:bCs/>
              </w:rPr>
              <w:t>of (</w:t>
            </w:r>
            <w:proofErr w:type="spellStart"/>
            <w:r w:rsidR="004C2DEF" w:rsidRPr="00924368">
              <w:rPr>
                <w:rFonts w:ascii="Times New Roman" w:hAnsi="Times New Roman" w:cs="Times New Roman"/>
                <w:bCs/>
              </w:rPr>
              <w:t>i</w:t>
            </w:r>
            <w:proofErr w:type="spellEnd"/>
            <w:r w:rsidR="004C2DEF" w:rsidRPr="00924368">
              <w:rPr>
                <w:rFonts w:ascii="Times New Roman" w:hAnsi="Times New Roman" w:cs="Times New Roman"/>
                <w:bCs/>
              </w:rPr>
              <w:t xml:space="preserve">) Extent of </w:t>
            </w:r>
            <w:r w:rsidR="00FE3657" w:rsidRPr="00924368">
              <w:rPr>
                <w:rFonts w:ascii="Times New Roman" w:hAnsi="Times New Roman" w:cs="Times New Roman"/>
                <w:bCs/>
              </w:rPr>
              <w:t xml:space="preserve">occurrence, (ii) </w:t>
            </w:r>
            <w:r w:rsidR="00E524EA" w:rsidRPr="00924368">
              <w:rPr>
                <w:rFonts w:ascii="Times New Roman" w:hAnsi="Times New Roman" w:cs="Times New Roman"/>
                <w:bCs/>
              </w:rPr>
              <w:t>area of occupancy (iii) area extent and / or quality of habitat.</w:t>
            </w:r>
            <w:r w:rsidR="009B1C97" w:rsidRPr="00924368">
              <w:rPr>
                <w:rFonts w:ascii="Times New Roman" w:hAnsi="Times New Roman" w:cs="Times New Roman"/>
                <w:bCs/>
              </w:rPr>
              <w:t xml:space="preserve"> (iv) number of locations or sub populations</w:t>
            </w:r>
            <w:r w:rsidR="0017182A" w:rsidRPr="00924368">
              <w:rPr>
                <w:rFonts w:ascii="Times New Roman" w:hAnsi="Times New Roman" w:cs="Times New Roman"/>
                <w:bCs/>
              </w:rPr>
              <w:t>, (v) number of mature individuals</w:t>
            </w:r>
            <w:r w:rsidR="00496441">
              <w:rPr>
                <w:rFonts w:ascii="Times New Roman" w:hAnsi="Times New Roman" w:cs="Times New Roman"/>
                <w:bCs/>
              </w:rPr>
              <w:t>.</w:t>
            </w:r>
          </w:p>
        </w:tc>
      </w:tr>
    </w:tbl>
    <w:p w14:paraId="5D88581D" w14:textId="77777777" w:rsidR="001A4861" w:rsidRPr="00924368" w:rsidRDefault="001A4861" w:rsidP="008B4A89">
      <w:pPr>
        <w:spacing w:line="360" w:lineRule="auto"/>
        <w:jc w:val="both"/>
        <w:rPr>
          <w:rFonts w:ascii="Times New Roman" w:hAnsi="Times New Roman" w:cs="Times New Roman"/>
          <w:b/>
        </w:rPr>
      </w:pPr>
      <w:r w:rsidRPr="00924368">
        <w:rPr>
          <w:rFonts w:ascii="Times New Roman" w:hAnsi="Times New Roman" w:cs="Times New Roman"/>
          <w:b/>
        </w:rPr>
        <w:t xml:space="preserve">             </w:t>
      </w:r>
    </w:p>
    <w:p w14:paraId="52A92D12" w14:textId="77777777" w:rsidR="002B1BB2" w:rsidRPr="00924368" w:rsidRDefault="002B1BB2" w:rsidP="008B4A89">
      <w:pPr>
        <w:spacing w:line="360" w:lineRule="auto"/>
        <w:jc w:val="both"/>
        <w:rPr>
          <w:rFonts w:ascii="Times New Roman" w:hAnsi="Times New Roman" w:cs="Times New Roman"/>
          <w:b/>
        </w:rPr>
      </w:pPr>
    </w:p>
    <w:tbl>
      <w:tblPr>
        <w:tblStyle w:val="TableGrid"/>
        <w:tblpPr w:leftFromText="180" w:rightFromText="180" w:vertAnchor="text" w:horzAnchor="margin" w:tblpXSpec="center" w:tblpY="467"/>
        <w:tblW w:w="0" w:type="auto"/>
        <w:tblLook w:val="04A0" w:firstRow="1" w:lastRow="0" w:firstColumn="1" w:lastColumn="0" w:noHBand="0" w:noVBand="1"/>
      </w:tblPr>
      <w:tblGrid>
        <w:gridCol w:w="6658"/>
      </w:tblGrid>
      <w:tr w:rsidR="0017182A" w:rsidRPr="00924368" w14:paraId="20769651" w14:textId="77777777" w:rsidTr="0017182A">
        <w:tc>
          <w:tcPr>
            <w:tcW w:w="6658" w:type="dxa"/>
          </w:tcPr>
          <w:p w14:paraId="3F32F1E4" w14:textId="77777777" w:rsidR="0017182A" w:rsidRPr="00924368" w:rsidRDefault="0017182A" w:rsidP="0017182A">
            <w:pPr>
              <w:spacing w:line="360" w:lineRule="auto"/>
              <w:jc w:val="both"/>
              <w:rPr>
                <w:rFonts w:ascii="Times New Roman" w:hAnsi="Times New Roman" w:cs="Times New Roman"/>
                <w:bCs/>
              </w:rPr>
            </w:pPr>
            <w:r w:rsidRPr="00924368">
              <w:rPr>
                <w:rFonts w:ascii="Times New Roman" w:hAnsi="Times New Roman" w:cs="Times New Roman"/>
                <w:bCs/>
              </w:rPr>
              <w:t xml:space="preserve">c. </w:t>
            </w:r>
            <w:r w:rsidR="006C4971" w:rsidRPr="00924368">
              <w:rPr>
                <w:rFonts w:ascii="Times New Roman" w:hAnsi="Times New Roman" w:cs="Times New Roman"/>
                <w:bCs/>
              </w:rPr>
              <w:t>Extreme fluctuations in any one</w:t>
            </w:r>
            <w:r w:rsidR="004A24AA" w:rsidRPr="00924368">
              <w:rPr>
                <w:rFonts w:ascii="Times New Roman" w:hAnsi="Times New Roman" w:cs="Times New Roman"/>
                <w:bCs/>
              </w:rPr>
              <w:t>-(</w:t>
            </w:r>
            <w:proofErr w:type="spellStart"/>
            <w:r w:rsidR="004A24AA" w:rsidRPr="00924368">
              <w:rPr>
                <w:rFonts w:ascii="Times New Roman" w:hAnsi="Times New Roman" w:cs="Times New Roman"/>
                <w:bCs/>
              </w:rPr>
              <w:t>i</w:t>
            </w:r>
            <w:proofErr w:type="spellEnd"/>
            <w:r w:rsidR="004A24AA" w:rsidRPr="00924368">
              <w:rPr>
                <w:rFonts w:ascii="Times New Roman" w:hAnsi="Times New Roman" w:cs="Times New Roman"/>
                <w:bCs/>
              </w:rPr>
              <w:t xml:space="preserve">) extent of occurrence (ii) area of occupancy (iii) </w:t>
            </w:r>
            <w:r w:rsidR="00992D65" w:rsidRPr="00924368">
              <w:rPr>
                <w:rFonts w:ascii="Times New Roman" w:hAnsi="Times New Roman" w:cs="Times New Roman"/>
                <w:bCs/>
              </w:rPr>
              <w:t>number of locations, subpopulations (iv) number of mature individuals</w:t>
            </w:r>
            <w:r w:rsidR="00496441">
              <w:rPr>
                <w:rFonts w:ascii="Times New Roman" w:hAnsi="Times New Roman" w:cs="Times New Roman"/>
                <w:bCs/>
              </w:rPr>
              <w:t>.</w:t>
            </w:r>
          </w:p>
        </w:tc>
      </w:tr>
    </w:tbl>
    <w:p w14:paraId="007156C7" w14:textId="77777777" w:rsidR="0017182A" w:rsidRDefault="0017182A" w:rsidP="008B4A89">
      <w:pPr>
        <w:spacing w:line="360" w:lineRule="auto"/>
        <w:jc w:val="both"/>
        <w:rPr>
          <w:rFonts w:ascii="Times New Roman" w:hAnsi="Times New Roman" w:cs="Times New Roman"/>
          <w:b/>
          <w:sz w:val="24"/>
          <w:szCs w:val="24"/>
        </w:rPr>
      </w:pPr>
    </w:p>
    <w:p w14:paraId="171AD05C" w14:textId="77777777" w:rsidR="0017182A" w:rsidRDefault="0017182A" w:rsidP="008B4A89">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t xml:space="preserve">        </w:t>
      </w:r>
    </w:p>
    <w:p w14:paraId="7AB81882" w14:textId="77777777" w:rsidR="00924368" w:rsidRDefault="00924368" w:rsidP="008B4A89">
      <w:pPr>
        <w:spacing w:line="360" w:lineRule="auto"/>
        <w:jc w:val="both"/>
        <w:rPr>
          <w:rFonts w:ascii="Times New Roman" w:hAnsi="Times New Roman" w:cs="Times New Roman"/>
          <w:b/>
          <w:sz w:val="24"/>
          <w:szCs w:val="24"/>
        </w:rPr>
      </w:pPr>
    </w:p>
    <w:p w14:paraId="03913CB0" w14:textId="77777777" w:rsidR="00982C0F" w:rsidRPr="001F7F82" w:rsidRDefault="00982C0F" w:rsidP="008B4A89">
      <w:pPr>
        <w:spacing w:line="360" w:lineRule="auto"/>
        <w:jc w:val="both"/>
        <w:rPr>
          <w:rFonts w:ascii="Times New Roman" w:hAnsi="Times New Roman" w:cs="Times New Roman"/>
          <w:bCs/>
          <w:sz w:val="24"/>
          <w:szCs w:val="24"/>
        </w:rPr>
      </w:pPr>
      <w:r>
        <w:rPr>
          <w:rFonts w:ascii="Times New Roman" w:hAnsi="Times New Roman"/>
          <w:b/>
          <w:sz w:val="24"/>
          <w:highlight w:val="yellow"/>
        </w:rPr>
        <w:t>Taxonomic Treatment:</w:t>
      </w:r>
    </w:p>
    <w:p w14:paraId="75D1D4C5" w14:textId="77777777" w:rsidR="00982C0F" w:rsidRPr="0021739E" w:rsidRDefault="00982C0F" w:rsidP="008B4A89">
      <w:pPr>
        <w:spacing w:line="360" w:lineRule="auto"/>
        <w:ind w:firstLine="720"/>
        <w:jc w:val="both"/>
        <w:rPr>
          <w:rFonts w:ascii="Times New Roman" w:hAnsi="Times New Roman" w:cs="Times New Roman"/>
          <w:bCs/>
        </w:rPr>
      </w:pPr>
      <w:proofErr w:type="spellStart"/>
      <w:r>
        <w:rPr>
          <w:rFonts w:ascii="Times New Roman" w:hAnsi="Times New Roman"/>
          <w:i/>
          <w:sz w:val="24"/>
          <w:highlight w:val="yellow"/>
        </w:rPr>
        <w:lastRenderedPageBreak/>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(Hansen, 1989).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(C.B. Clarke) Gamble, Fl. Madras: 1064 (1924); </w:t>
      </w:r>
      <w:proofErr w:type="spellStart"/>
      <w:r>
        <w:rPr>
          <w:rFonts w:ascii="Times New Roman" w:hAnsi="Times New Roman"/>
          <w:i/>
          <w:sz w:val="24"/>
          <w:highlight w:val="yellow"/>
        </w:rPr>
        <w:t>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C.B. Clarke, in J.D. Hooker, Fl. Brit. India 4: 497 (1884).</w:t>
      </w:r>
    </w:p>
    <w:p w14:paraId="0DDC898C" w14:textId="77777777" w:rsidR="00982C0F" w:rsidRPr="0021739E" w:rsidRDefault="00982C0F" w:rsidP="008B4A89">
      <w:pPr>
        <w:spacing w:line="360" w:lineRule="auto"/>
        <w:ind w:firstLine="720"/>
        <w:jc w:val="both"/>
        <w:rPr>
          <w:rFonts w:ascii="Times New Roman" w:hAnsi="Times New Roman" w:cs="Times New Roman"/>
          <w:sz w:val="24"/>
          <w:szCs w:val="24"/>
        </w:rPr>
      </w:pPr>
      <w:r>
        <w:rPr>
          <w:rFonts w:ascii="Times New Roman" w:hAnsi="Times New Roman"/>
          <w:b/>
          <w:sz w:val="24"/>
          <w:highlight w:val="yellow"/>
        </w:rPr>
        <w:t>Description:</w:t>
      </w:r>
      <w:r>
        <w:rPr>
          <w:rFonts w:ascii="Times New Roman" w:hAnsi="Times New Roman"/>
          <w:sz w:val="24"/>
          <w:highlight w:val="yellow"/>
        </w:rPr>
        <w:t xml:space="preserve"> Annual erect herb growing in rock crevices under shade; height up to 90-120 cm; spike 25-50 cm; flower subsessile; one to three flowers at an inflorescence apex, with one flower blooming at a time; bracteolate; bracteoles small, up to 3 mm, glandular. Flowers sessile; corolla tube white, elongated, about 2 cm; petals five, white, subequal, gamopetalous, 1-1.5 cm each; flower 3.5-4 cm; bracts two; calyx small; sepals five, glandular (ca. 7 mm); stamens two, epipetalous; filament 1.7 cm; anthers purple, 2 mm, oblique (not parallel); carpel 1.5 cm; style 1.2 cm; ovary 2 mm; ovules four; fruit a capsule with constriction, measuring about 1.7 cm; seeds four (ca. 3 mm); apex curved; retinacula distinct; seed surface rugose.</w:t>
      </w:r>
    </w:p>
    <w:p w14:paraId="60957CA0" w14:textId="77777777" w:rsidR="00176954" w:rsidRPr="0021739E" w:rsidRDefault="00176954" w:rsidP="008B4A89">
      <w:pPr>
        <w:spacing w:line="360" w:lineRule="auto"/>
        <w:ind w:firstLine="720"/>
        <w:jc w:val="both"/>
        <w:rPr>
          <w:rFonts w:ascii="Times New Roman" w:hAnsi="Times New Roman" w:cs="Times New Roman"/>
          <w:sz w:val="24"/>
          <w:szCs w:val="24"/>
        </w:rPr>
      </w:pPr>
      <w:r>
        <w:rPr>
          <w:rFonts w:ascii="Times New Roman" w:hAnsi="Times New Roman"/>
          <w:b/>
          <w:sz w:val="24"/>
          <w:highlight w:val="yellow"/>
        </w:rPr>
        <w:t>Anatomy:</w:t>
      </w:r>
      <w:r>
        <w:rPr>
          <w:rFonts w:ascii="Times New Roman" w:hAnsi="Times New Roman"/>
          <w:sz w:val="24"/>
          <w:highlight w:val="yellow"/>
        </w:rPr>
        <w:t xml:space="preserve"> All species belonging to the genus </w:t>
      </w:r>
      <w:proofErr w:type="spellStart"/>
      <w:r>
        <w:rPr>
          <w:rFonts w:ascii="Times New Roman" w:hAnsi="Times New Roman"/>
          <w:i/>
          <w:sz w:val="24"/>
          <w:highlight w:val="yellow"/>
        </w:rPr>
        <w:t>Pseuderanthemum</w:t>
      </w:r>
      <w:proofErr w:type="spellEnd"/>
      <w:r>
        <w:rPr>
          <w:rFonts w:ascii="Times New Roman" w:hAnsi="Times New Roman"/>
          <w:sz w:val="24"/>
          <w:highlight w:val="yellow"/>
        </w:rPr>
        <w:t xml:space="preserve"> possess cystoliths in their leaf epidermis inside specialised epidermal cells known as </w:t>
      </w:r>
      <w:proofErr w:type="spellStart"/>
      <w:r>
        <w:rPr>
          <w:rFonts w:ascii="Times New Roman" w:hAnsi="Times New Roman"/>
          <w:sz w:val="24"/>
          <w:highlight w:val="yellow"/>
        </w:rPr>
        <w:t>lithocysts</w:t>
      </w:r>
      <w:proofErr w:type="spellEnd"/>
      <w:r>
        <w:rPr>
          <w:rFonts w:ascii="Times New Roman" w:hAnsi="Times New Roman"/>
          <w:sz w:val="24"/>
          <w:highlight w:val="yellow"/>
        </w:rPr>
        <w:t xml:space="preserve">. The cystoliths are common in the leaves of </w:t>
      </w:r>
      <w:r>
        <w:rPr>
          <w:rFonts w:ascii="Times New Roman" w:hAnsi="Times New Roman"/>
          <w:i/>
          <w:sz w:val="24"/>
          <w:highlight w:val="yellow"/>
        </w:rPr>
        <w:t xml:space="preserve">P.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and occur as rod-shaped crystals. All calcium carbonate crystals or cystoliths are located in the epidermal layer. They never completely fill the cell lumen (</w:t>
      </w:r>
      <w:proofErr w:type="spellStart"/>
      <w:r>
        <w:rPr>
          <w:rFonts w:ascii="Times New Roman" w:hAnsi="Times New Roman"/>
          <w:sz w:val="24"/>
          <w:highlight w:val="yellow"/>
        </w:rPr>
        <w:t>Choopan</w:t>
      </w:r>
      <w:proofErr w:type="spellEnd"/>
      <w:r>
        <w:rPr>
          <w:rFonts w:ascii="Times New Roman" w:hAnsi="Times New Roman"/>
          <w:sz w:val="24"/>
          <w:highlight w:val="yellow"/>
        </w:rPr>
        <w:t xml:space="preserve"> &amp; Grote, 2015).</w:t>
      </w:r>
    </w:p>
    <w:p w14:paraId="61DAEBE0" w14:textId="77777777" w:rsidR="00982C0F" w:rsidRPr="0021739E" w:rsidRDefault="00982C0F" w:rsidP="00982C0F">
      <w:pPr>
        <w:jc w:val="both"/>
        <w:rPr>
          <w:rFonts w:ascii="Times New Roman" w:hAnsi="Times New Roman" w:cs="Times New Roman"/>
          <w:sz w:val="24"/>
          <w:szCs w:val="24"/>
        </w:rPr>
      </w:pPr>
      <w:r>
        <w:rPr>
          <w:rFonts w:ascii="Times New Roman" w:hAnsi="Times New Roman"/>
          <w:b/>
          <w:sz w:val="24"/>
          <w:highlight w:val="yellow"/>
        </w:rPr>
        <w:t>Habit:</w:t>
      </w:r>
      <w:r>
        <w:rPr>
          <w:rFonts w:ascii="Times New Roman" w:hAnsi="Times New Roman"/>
          <w:sz w:val="24"/>
          <w:highlight w:val="yellow"/>
        </w:rPr>
        <w:t xml:space="preserve"> Annual erect herb (up to 90-120 cm).</w:t>
      </w:r>
    </w:p>
    <w:p w14:paraId="2697E3D7" w14:textId="77777777" w:rsidR="00252A93" w:rsidRPr="0021739E" w:rsidRDefault="00843679" w:rsidP="00982C0F">
      <w:pPr>
        <w:jc w:val="both"/>
        <w:rPr>
          <w:rFonts w:ascii="Times New Roman" w:hAnsi="Times New Roman" w:cs="Times New Roman"/>
          <w:sz w:val="24"/>
          <w:szCs w:val="24"/>
        </w:rPr>
      </w:pPr>
      <w:r>
        <w:rPr>
          <w:rFonts w:ascii="Times New Roman" w:hAnsi="Times New Roman"/>
          <w:b/>
          <w:sz w:val="24"/>
          <w:highlight w:val="yellow"/>
        </w:rPr>
        <w:t>Habitat and Ecology:</w:t>
      </w:r>
      <w:r>
        <w:rPr>
          <w:rFonts w:ascii="Times New Roman" w:hAnsi="Times New Roman"/>
          <w:sz w:val="24"/>
          <w:highlight w:val="yellow"/>
        </w:rPr>
        <w:t xml:space="preserve"> The native range of this species is generally South Asia, i.e. from the Indian subcontinent to China and Malesia. It is a herb that grows primarily in the wet tropical biome under the shade of large trees in dense forest.</w:t>
      </w:r>
    </w:p>
    <w:p w14:paraId="2C0C856D" w14:textId="77777777" w:rsidR="00982C0F" w:rsidRPr="0021739E" w:rsidRDefault="00982C0F" w:rsidP="00982C0F">
      <w:pPr>
        <w:jc w:val="both"/>
        <w:rPr>
          <w:rFonts w:ascii="Times New Roman" w:hAnsi="Times New Roman" w:cs="Times New Roman"/>
        </w:rPr>
      </w:pPr>
      <w:r>
        <w:rPr>
          <w:rFonts w:ascii="Times New Roman" w:hAnsi="Times New Roman"/>
          <w:b/>
          <w:sz w:val="24"/>
          <w:highlight w:val="yellow"/>
        </w:rPr>
        <w:t>Flowering and Fruiting:</w:t>
      </w:r>
      <w:r>
        <w:rPr>
          <w:rFonts w:ascii="Times New Roman" w:hAnsi="Times New Roman"/>
          <w:sz w:val="24"/>
          <w:highlight w:val="yellow"/>
        </w:rPr>
        <w:t xml:space="preserve"> November-February.</w:t>
      </w:r>
    </w:p>
    <w:p w14:paraId="776763A9" w14:textId="77777777" w:rsidR="00982C0F" w:rsidRPr="0021739E" w:rsidRDefault="00982C0F" w:rsidP="00982C0F">
      <w:pPr>
        <w:jc w:val="both"/>
        <w:rPr>
          <w:rFonts w:ascii="Times New Roman" w:hAnsi="Times New Roman" w:cs="Times New Roman"/>
          <w:sz w:val="24"/>
          <w:szCs w:val="24"/>
        </w:rPr>
      </w:pPr>
      <w:r>
        <w:rPr>
          <w:rFonts w:ascii="Times New Roman" w:hAnsi="Times New Roman"/>
          <w:b/>
          <w:sz w:val="24"/>
          <w:highlight w:val="yellow"/>
        </w:rPr>
        <w:t>Specimen Examined:</w:t>
      </w:r>
      <w:r>
        <w:rPr>
          <w:rFonts w:ascii="Times New Roman" w:hAnsi="Times New Roman"/>
          <w:sz w:val="24"/>
          <w:highlight w:val="yellow"/>
        </w:rPr>
        <w:t xml:space="preserve"> INDIA, Odisha,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N 20°42.291′ E 86°05.167′, 143 m </w:t>
      </w:r>
      <w:proofErr w:type="spellStart"/>
      <w:r>
        <w:rPr>
          <w:rFonts w:ascii="Times New Roman" w:hAnsi="Times New Roman"/>
          <w:sz w:val="24"/>
          <w:highlight w:val="yellow"/>
        </w:rPr>
        <w:t>amsl</w:t>
      </w:r>
      <w:proofErr w:type="spellEnd"/>
      <w:r>
        <w:rPr>
          <w:rFonts w:ascii="Times New Roman" w:hAnsi="Times New Roman"/>
          <w:sz w:val="24"/>
          <w:highlight w:val="yellow"/>
        </w:rPr>
        <w:t>, Jena N.K. FMU EVS 1504.</w:t>
      </w:r>
    </w:p>
    <w:p w14:paraId="54674C05" w14:textId="77777777" w:rsidR="00982C0F" w:rsidRPr="0021739E" w:rsidRDefault="00982C0F" w:rsidP="00982C0F">
      <w:pPr>
        <w:rPr>
          <w:rFonts w:ascii="Times New Roman" w:hAnsi="Times New Roman" w:cs="Times New Roman"/>
          <w:sz w:val="24"/>
          <w:szCs w:val="24"/>
        </w:rPr>
      </w:pPr>
      <w:r>
        <w:rPr>
          <w:rFonts w:ascii="Times New Roman" w:hAnsi="Times New Roman"/>
          <w:b/>
          <w:sz w:val="24"/>
          <w:highlight w:val="yellow"/>
        </w:rPr>
        <w:t>Distribution:</w:t>
      </w:r>
      <w:r>
        <w:rPr>
          <w:rFonts w:ascii="Times New Roman" w:hAnsi="Times New Roman"/>
          <w:sz w:val="24"/>
          <w:highlight w:val="yellow"/>
        </w:rPr>
        <w:t xml:space="preserve"> Northern Circars, India, Sri Lanka (Saxena &amp;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1995); Eastern Ghats: </w:t>
      </w:r>
      <w:proofErr w:type="spellStart"/>
      <w:r>
        <w:rPr>
          <w:rFonts w:ascii="Times New Roman" w:hAnsi="Times New Roman"/>
          <w:sz w:val="24"/>
          <w:highlight w:val="yellow"/>
        </w:rPr>
        <w:t>Dindigul</w:t>
      </w:r>
      <w:proofErr w:type="spellEnd"/>
      <w:r>
        <w:rPr>
          <w:rFonts w:ascii="Times New Roman" w:hAnsi="Times New Roman"/>
          <w:sz w:val="24"/>
          <w:highlight w:val="yellow"/>
        </w:rPr>
        <w:t xml:space="preserve"> district, </w:t>
      </w:r>
      <w:proofErr w:type="spellStart"/>
      <w:r>
        <w:rPr>
          <w:rFonts w:ascii="Times New Roman" w:hAnsi="Times New Roman"/>
          <w:sz w:val="24"/>
          <w:highlight w:val="yellow"/>
        </w:rPr>
        <w:t>Karanthamalai</w:t>
      </w:r>
      <w:proofErr w:type="spellEnd"/>
      <w:r>
        <w:rPr>
          <w:rFonts w:ascii="Times New Roman" w:hAnsi="Times New Roman"/>
          <w:sz w:val="24"/>
          <w:highlight w:val="yellow"/>
        </w:rPr>
        <w:t xml:space="preserve"> (</w:t>
      </w:r>
      <w:proofErr w:type="spellStart"/>
      <w:r>
        <w:rPr>
          <w:rFonts w:ascii="Times New Roman" w:hAnsi="Times New Roman"/>
          <w:sz w:val="24"/>
          <w:highlight w:val="yellow"/>
        </w:rPr>
        <w:t>Dhatchanamoorthy</w:t>
      </w:r>
      <w:proofErr w:type="spellEnd"/>
      <w:r>
        <w:rPr>
          <w:rFonts w:ascii="Times New Roman" w:hAnsi="Times New Roman"/>
          <w:sz w:val="24"/>
          <w:highlight w:val="yellow"/>
        </w:rPr>
        <w:t xml:space="preserve"> et al., 2015);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w:t>
      </w:r>
      <w:proofErr w:type="spellStart"/>
      <w:r>
        <w:rPr>
          <w:rFonts w:ascii="Times New Roman" w:hAnsi="Times New Roman"/>
          <w:sz w:val="24"/>
          <w:highlight w:val="yellow"/>
        </w:rPr>
        <w:t>Jajpur</w:t>
      </w:r>
      <w:proofErr w:type="spellEnd"/>
      <w:r>
        <w:rPr>
          <w:rFonts w:ascii="Times New Roman" w:hAnsi="Times New Roman"/>
          <w:sz w:val="24"/>
          <w:highlight w:val="yellow"/>
        </w:rPr>
        <w:t>, Odisha (present collection).</w:t>
      </w:r>
    </w:p>
    <w:p w14:paraId="19DC3EF3" w14:textId="77777777" w:rsidR="00982C0F" w:rsidRPr="0021739E" w:rsidRDefault="00982C0F" w:rsidP="00982C0F">
      <w:pPr>
        <w:jc w:val="both"/>
        <w:rPr>
          <w:rFonts w:ascii="Times New Roman" w:hAnsi="Times New Roman" w:cs="Times New Roman"/>
          <w:bCs/>
          <w:sz w:val="24"/>
          <w:szCs w:val="24"/>
        </w:rPr>
      </w:pPr>
      <w:r>
        <w:rPr>
          <w:rFonts w:ascii="Times New Roman" w:hAnsi="Times New Roman"/>
          <w:sz w:val="24"/>
          <w:highlight w:val="yellow"/>
        </w:rPr>
        <w:t>Systematic Position (POWO, 2026)</w:t>
      </w:r>
    </w:p>
    <w:p w14:paraId="3167AFAB" w14:textId="77777777" w:rsidR="00982C0F" w:rsidRPr="0021739E" w:rsidRDefault="00982C0F" w:rsidP="00982C0F">
      <w:pPr>
        <w:jc w:val="both"/>
        <w:rPr>
          <w:rFonts w:ascii="Times New Roman" w:hAnsi="Times New Roman" w:cs="Times New Roman"/>
          <w:bCs/>
          <w:sz w:val="24"/>
          <w:szCs w:val="24"/>
        </w:rPr>
      </w:pPr>
      <w:r>
        <w:rPr>
          <w:rFonts w:ascii="Times New Roman" w:hAnsi="Times New Roman"/>
          <w:sz w:val="24"/>
          <w:highlight w:val="yellow"/>
        </w:rPr>
        <w:t>Kingdom - Plantae</w:t>
      </w:r>
    </w:p>
    <w:p w14:paraId="71CB0038" w14:textId="77777777" w:rsidR="00982C0F" w:rsidRPr="0021739E" w:rsidRDefault="00982C0F" w:rsidP="00982C0F">
      <w:pPr>
        <w:jc w:val="both"/>
        <w:rPr>
          <w:rFonts w:ascii="Times New Roman" w:hAnsi="Times New Roman" w:cs="Times New Roman"/>
          <w:bCs/>
          <w:sz w:val="24"/>
          <w:szCs w:val="24"/>
        </w:rPr>
      </w:pPr>
      <w:r>
        <w:rPr>
          <w:rFonts w:ascii="Times New Roman" w:hAnsi="Times New Roman"/>
          <w:sz w:val="24"/>
          <w:highlight w:val="yellow"/>
        </w:rPr>
        <w:t xml:space="preserve">Division - </w:t>
      </w:r>
      <w:proofErr w:type="spellStart"/>
      <w:r>
        <w:rPr>
          <w:rFonts w:ascii="Times New Roman" w:hAnsi="Times New Roman"/>
          <w:sz w:val="24"/>
          <w:highlight w:val="yellow"/>
        </w:rPr>
        <w:t>Streptophyta</w:t>
      </w:r>
      <w:proofErr w:type="spellEnd"/>
    </w:p>
    <w:p w14:paraId="13D46107" w14:textId="77777777" w:rsidR="00982C0F" w:rsidRPr="0021739E" w:rsidRDefault="00982C0F" w:rsidP="00982C0F">
      <w:pPr>
        <w:jc w:val="both"/>
        <w:rPr>
          <w:rFonts w:ascii="Times New Roman" w:hAnsi="Times New Roman" w:cs="Times New Roman"/>
          <w:bCs/>
          <w:sz w:val="24"/>
          <w:szCs w:val="24"/>
        </w:rPr>
      </w:pPr>
      <w:r>
        <w:rPr>
          <w:rFonts w:ascii="Times New Roman" w:hAnsi="Times New Roman"/>
          <w:sz w:val="24"/>
          <w:highlight w:val="yellow"/>
        </w:rPr>
        <w:t xml:space="preserve">Class - </w:t>
      </w:r>
      <w:proofErr w:type="spellStart"/>
      <w:r>
        <w:rPr>
          <w:rFonts w:ascii="Times New Roman" w:hAnsi="Times New Roman"/>
          <w:sz w:val="24"/>
          <w:highlight w:val="yellow"/>
        </w:rPr>
        <w:t>Equisetopsida</w:t>
      </w:r>
      <w:proofErr w:type="spellEnd"/>
    </w:p>
    <w:p w14:paraId="559B069C" w14:textId="77777777" w:rsidR="00982C0F" w:rsidRPr="0021739E" w:rsidRDefault="00982C0F" w:rsidP="00982C0F">
      <w:pPr>
        <w:jc w:val="both"/>
        <w:rPr>
          <w:rFonts w:ascii="Times New Roman" w:hAnsi="Times New Roman" w:cs="Times New Roman"/>
          <w:b/>
          <w:sz w:val="24"/>
          <w:szCs w:val="24"/>
        </w:rPr>
      </w:pPr>
      <w:r>
        <w:rPr>
          <w:rFonts w:ascii="Times New Roman" w:hAnsi="Times New Roman"/>
          <w:sz w:val="24"/>
          <w:highlight w:val="yellow"/>
        </w:rPr>
        <w:t xml:space="preserve">Order - </w:t>
      </w:r>
      <w:proofErr w:type="spellStart"/>
      <w:r>
        <w:rPr>
          <w:rFonts w:ascii="Times New Roman" w:hAnsi="Times New Roman"/>
          <w:sz w:val="24"/>
          <w:highlight w:val="yellow"/>
        </w:rPr>
        <w:t>Lamiales</w:t>
      </w:r>
      <w:proofErr w:type="spellEnd"/>
    </w:p>
    <w:p w14:paraId="375969EF" w14:textId="77777777" w:rsidR="00982C0F" w:rsidRPr="0021739E" w:rsidRDefault="00982C0F" w:rsidP="00982C0F">
      <w:pPr>
        <w:jc w:val="both"/>
        <w:rPr>
          <w:rFonts w:ascii="Times New Roman" w:hAnsi="Times New Roman" w:cs="Times New Roman"/>
          <w:bCs/>
          <w:sz w:val="24"/>
          <w:szCs w:val="24"/>
        </w:rPr>
      </w:pPr>
      <w:r>
        <w:rPr>
          <w:rFonts w:ascii="Times New Roman" w:hAnsi="Times New Roman"/>
          <w:sz w:val="24"/>
          <w:highlight w:val="yellow"/>
        </w:rPr>
        <w:t xml:space="preserve">Family - </w:t>
      </w:r>
      <w:proofErr w:type="spellStart"/>
      <w:r>
        <w:rPr>
          <w:rFonts w:ascii="Times New Roman" w:hAnsi="Times New Roman"/>
          <w:sz w:val="24"/>
          <w:highlight w:val="yellow"/>
        </w:rPr>
        <w:t>Acanthaceae</w:t>
      </w:r>
      <w:proofErr w:type="spellEnd"/>
    </w:p>
    <w:p w14:paraId="7C41D8CD" w14:textId="77777777" w:rsidR="00982C0F" w:rsidRPr="0021739E" w:rsidRDefault="00982C0F" w:rsidP="00982C0F">
      <w:pPr>
        <w:ind w:firstLine="720"/>
        <w:jc w:val="both"/>
        <w:rPr>
          <w:rFonts w:ascii="Times New Roman" w:hAnsi="Times New Roman" w:cs="Times New Roman"/>
          <w:bCs/>
          <w:i/>
          <w:iCs/>
          <w:sz w:val="24"/>
          <w:szCs w:val="24"/>
        </w:rPr>
      </w:pPr>
      <w:r>
        <w:rPr>
          <w:rFonts w:ascii="Times New Roman" w:hAnsi="Times New Roman"/>
          <w:sz w:val="24"/>
          <w:highlight w:val="yellow"/>
        </w:rPr>
        <w:t xml:space="preserve">Genus - </w:t>
      </w:r>
      <w:proofErr w:type="spellStart"/>
      <w:r>
        <w:rPr>
          <w:rFonts w:ascii="Times New Roman" w:hAnsi="Times New Roman"/>
          <w:i/>
          <w:sz w:val="24"/>
          <w:highlight w:val="yellow"/>
        </w:rPr>
        <w:t>Pseuderanthemum</w:t>
      </w:r>
      <w:proofErr w:type="spellEnd"/>
    </w:p>
    <w:p w14:paraId="05272EA8" w14:textId="77777777" w:rsidR="00982C0F" w:rsidRPr="0021739E" w:rsidRDefault="00982C0F" w:rsidP="00982C0F">
      <w:pPr>
        <w:ind w:firstLine="720"/>
        <w:jc w:val="both"/>
        <w:rPr>
          <w:rFonts w:ascii="Times New Roman" w:hAnsi="Times New Roman" w:cs="Times New Roman"/>
          <w:b/>
          <w:i/>
          <w:iCs/>
          <w:sz w:val="24"/>
          <w:szCs w:val="24"/>
        </w:rPr>
      </w:pPr>
      <w:r>
        <w:rPr>
          <w:rFonts w:ascii="Times New Roman" w:hAnsi="Times New Roman"/>
          <w:sz w:val="24"/>
          <w:highlight w:val="yellow"/>
        </w:rPr>
        <w:lastRenderedPageBreak/>
        <w:t xml:space="preserve">Species - </w:t>
      </w:r>
      <w:proofErr w:type="spellStart"/>
      <w:r>
        <w:rPr>
          <w:rFonts w:ascii="Times New Roman" w:hAnsi="Times New Roman"/>
          <w:i/>
          <w:sz w:val="24"/>
          <w:highlight w:val="yellow"/>
        </w:rPr>
        <w:t>latifolium</w:t>
      </w:r>
      <w:proofErr w:type="spellEnd"/>
    </w:p>
    <w:p w14:paraId="4B359203" w14:textId="77777777" w:rsidR="008B4A89" w:rsidRDefault="008B4A89" w:rsidP="00982C0F">
      <w:pPr>
        <w:jc w:val="center"/>
        <w:rPr>
          <w:rFonts w:ascii="Times New Roman" w:hAnsi="Times New Roman" w:cs="Times New Roman"/>
          <w:b/>
          <w:sz w:val="24"/>
          <w:szCs w:val="24"/>
        </w:rPr>
      </w:pPr>
    </w:p>
    <w:p w14:paraId="612F52A8" w14:textId="77777777" w:rsidR="008B4A89" w:rsidRDefault="008B4A89" w:rsidP="00982C0F">
      <w:pPr>
        <w:jc w:val="center"/>
        <w:rPr>
          <w:rFonts w:ascii="Times New Roman" w:hAnsi="Times New Roman" w:cs="Times New Roman"/>
          <w:b/>
          <w:sz w:val="24"/>
          <w:szCs w:val="24"/>
        </w:rPr>
      </w:pPr>
    </w:p>
    <w:p w14:paraId="6F82E180" w14:textId="77777777" w:rsidR="008B4A89" w:rsidRDefault="008B4A89" w:rsidP="00982C0F">
      <w:pPr>
        <w:jc w:val="center"/>
        <w:rPr>
          <w:rFonts w:ascii="Times New Roman" w:hAnsi="Times New Roman" w:cs="Times New Roman"/>
          <w:b/>
          <w:sz w:val="24"/>
          <w:szCs w:val="24"/>
        </w:rPr>
      </w:pPr>
    </w:p>
    <w:p w14:paraId="0B11EFFA" w14:textId="77777777" w:rsidR="008B4A89" w:rsidRDefault="008B4A89" w:rsidP="00982C0F">
      <w:pPr>
        <w:jc w:val="center"/>
        <w:rPr>
          <w:rFonts w:ascii="Times New Roman" w:hAnsi="Times New Roman" w:cs="Times New Roman"/>
          <w:b/>
          <w:sz w:val="24"/>
          <w:szCs w:val="24"/>
        </w:rPr>
      </w:pPr>
    </w:p>
    <w:p w14:paraId="4A3002B1" w14:textId="77777777" w:rsidR="008B4A89" w:rsidRDefault="008B4A89" w:rsidP="00982C0F">
      <w:pPr>
        <w:jc w:val="center"/>
        <w:rPr>
          <w:rFonts w:ascii="Times New Roman" w:hAnsi="Times New Roman" w:cs="Times New Roman"/>
          <w:b/>
          <w:sz w:val="24"/>
          <w:szCs w:val="24"/>
        </w:rPr>
      </w:pPr>
    </w:p>
    <w:p w14:paraId="2EE414F9" w14:textId="77777777" w:rsidR="008B4A89" w:rsidRDefault="008B4A89" w:rsidP="00982C0F">
      <w:pPr>
        <w:jc w:val="center"/>
        <w:rPr>
          <w:rFonts w:ascii="Times New Roman" w:hAnsi="Times New Roman" w:cs="Times New Roman"/>
          <w:b/>
          <w:sz w:val="24"/>
          <w:szCs w:val="24"/>
        </w:rPr>
      </w:pPr>
    </w:p>
    <w:p w14:paraId="7F0551AC" w14:textId="77777777" w:rsidR="008B4A89" w:rsidRDefault="008B4A89" w:rsidP="00982C0F">
      <w:pPr>
        <w:jc w:val="center"/>
        <w:rPr>
          <w:rFonts w:ascii="Times New Roman" w:hAnsi="Times New Roman" w:cs="Times New Roman"/>
          <w:b/>
          <w:sz w:val="24"/>
          <w:szCs w:val="24"/>
        </w:rPr>
      </w:pPr>
    </w:p>
    <w:p w14:paraId="0A1B1CB0" w14:textId="77777777" w:rsidR="00962797" w:rsidRPr="0021739E" w:rsidRDefault="008A4D6D" w:rsidP="00982C0F">
      <w:pPr>
        <w:jc w:val="center"/>
        <w:rPr>
          <w:rFonts w:ascii="Times New Roman" w:hAnsi="Times New Roman" w:cs="Times New Roman"/>
          <w:b/>
          <w:sz w:val="24"/>
          <w:szCs w:val="24"/>
        </w:rPr>
      </w:pPr>
      <w:r w:rsidRPr="0021739E">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6E98ED66" wp14:editId="3F87AF61">
                <wp:simplePos x="0" y="0"/>
                <wp:positionH relativeFrom="column">
                  <wp:posOffset>899160</wp:posOffset>
                </wp:positionH>
                <wp:positionV relativeFrom="paragraph">
                  <wp:posOffset>2156460</wp:posOffset>
                </wp:positionV>
                <wp:extent cx="1828800" cy="1828800"/>
                <wp:effectExtent l="0" t="0" r="0" b="8255"/>
                <wp:wrapNone/>
                <wp:docPr id="9284465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3266F4" w14:textId="77777777"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E98ED66" id="_x0000_t202" coordsize="21600,21600" o:spt="202" path="m,l,21600r21600,l21600,xe">
                <v:stroke joinstyle="miter"/>
                <v:path gradientshapeok="t" o:connecttype="rect"/>
              </v:shapetype>
              <v:shape id="Text Box 1" o:spid="_x0000_s1026" type="#_x0000_t202" style="position:absolute;left:0;text-align:left;margin-left:70.8pt;margin-top:169.8pt;width:2in;height:2in;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" filled="f" stroked="f">
                <v:textbox style="mso-fit-shape-to-text:t">
                  <w:txbxContent>
                    <w:p w14:paraId="0D3266F4" w14:textId="77777777"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3E5A5845" wp14:editId="6CFE6F73">
                <wp:simplePos x="0" y="0"/>
                <wp:positionH relativeFrom="column">
                  <wp:posOffset>2811780</wp:posOffset>
                </wp:positionH>
                <wp:positionV relativeFrom="paragraph">
                  <wp:posOffset>2135505</wp:posOffset>
                </wp:positionV>
                <wp:extent cx="1828800" cy="1828800"/>
                <wp:effectExtent l="0" t="0" r="0" b="0"/>
                <wp:wrapNone/>
                <wp:docPr id="14808014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D7F017" w14:textId="77777777"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5A5845" id="_x0000_s1027" type="#_x0000_t202" style="position:absolute;left:0;text-align:left;margin-left:221.4pt;margin-top:168.15pt;width:2in;height:2in;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" filled="f" stroked="f">
                <v:textbox style="mso-fit-shape-to-text:t">
                  <w:txbxContent>
                    <w:p w14:paraId="78D7F017" w14:textId="77777777"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F13557" w:rsidRPr="0021739E">
        <w:rPr>
          <w:rFonts w:ascii="Times New Roman" w:hAnsi="Times New Roman" w:cs="Times New Roman"/>
          <w:b/>
          <w:noProof/>
        </w:rPr>
        <w:drawing>
          <wp:inline distT="0" distB="0" distL="0" distR="0" wp14:anchorId="01511B35" wp14:editId="39A503AA">
            <wp:extent cx="2137707" cy="2858135"/>
            <wp:effectExtent l="0" t="0" r="0" b="0"/>
            <wp:docPr id="5707723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5381" cy="2935246"/>
                    </a:xfrm>
                    <a:prstGeom prst="rect">
                      <a:avLst/>
                    </a:prstGeom>
                    <a:noFill/>
                    <a:ln>
                      <a:noFill/>
                    </a:ln>
                  </pic:spPr>
                </pic:pic>
              </a:graphicData>
            </a:graphic>
          </wp:inline>
        </w:drawing>
      </w:r>
      <w:r w:rsidR="00962797" w:rsidRPr="0021739E">
        <w:rPr>
          <w:rFonts w:ascii="Times New Roman" w:hAnsi="Times New Roman" w:cs="Times New Roman"/>
          <w:b/>
          <w:noProof/>
        </w:rPr>
        <w:drawing>
          <wp:inline distT="0" distB="0" distL="0" distR="0" wp14:anchorId="35E9520A" wp14:editId="45EA4857">
            <wp:extent cx="2240748" cy="2875915"/>
            <wp:effectExtent l="0" t="0" r="7620" b="635"/>
            <wp:docPr id="1897417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0341" cy="2913897"/>
                    </a:xfrm>
                    <a:prstGeom prst="rect">
                      <a:avLst/>
                    </a:prstGeom>
                    <a:noFill/>
                    <a:ln>
                      <a:noFill/>
                    </a:ln>
                  </pic:spPr>
                </pic:pic>
              </a:graphicData>
            </a:graphic>
          </wp:inline>
        </w:drawing>
      </w:r>
    </w:p>
    <w:p w14:paraId="4D284050" w14:textId="77777777" w:rsidR="008E6F62" w:rsidRPr="0021739E" w:rsidRDefault="008A4D6D" w:rsidP="008A4D6D">
      <w:pPr>
        <w:pStyle w:val="ListParagraph"/>
        <w:spacing w:after="0" w:line="240" w:lineRule="auto"/>
        <w:jc w:val="center"/>
        <w:rPr>
          <w:rFonts w:ascii="Times New Roman" w:hAnsi="Times New Roman" w:cs="Times New Roman"/>
          <w:bCs/>
        </w:rPr>
      </w:pPr>
      <w:r>
        <w:rPr>
          <w:rFonts w:ascii="Times New Roman" w:hAnsi="Times New Roman"/>
          <w:sz w:val="24"/>
          <w:highlight w:val="yellow"/>
        </w:rPr>
        <w:t>Fig. 2. a. Plant in its natural habitat; b. plant with flowering.</w:t>
      </w:r>
    </w:p>
    <w:p w14:paraId="1C3815A1" w14:textId="77777777" w:rsidR="00F13557" w:rsidRPr="0021739E" w:rsidRDefault="00F13557" w:rsidP="00982C0F">
      <w:pPr>
        <w:spacing w:after="0" w:line="240" w:lineRule="auto"/>
        <w:jc w:val="both"/>
        <w:rPr>
          <w:rFonts w:ascii="Times New Roman" w:hAnsi="Times New Roman" w:cs="Times New Roman"/>
          <w:b/>
        </w:rPr>
      </w:pPr>
    </w:p>
    <w:p w14:paraId="2EA28FCA" w14:textId="77777777" w:rsidR="00632720" w:rsidRPr="0021739E" w:rsidRDefault="00B53F0F" w:rsidP="00982C0F">
      <w:pPr>
        <w:spacing w:after="0" w:line="240" w:lineRule="auto"/>
        <w:jc w:val="both"/>
        <w:rPr>
          <w:rFonts w:ascii="Times New Roman" w:hAnsi="Times New Roman" w:cs="Times New Roman"/>
          <w:b/>
        </w:rPr>
      </w:pPr>
      <w:r w:rsidRPr="0021739E">
        <w:rPr>
          <w:rFonts w:ascii="Times New Roman" w:hAnsi="Times New Roman" w:cs="Times New Roman"/>
          <w:noProof/>
        </w:rPr>
        <w:lastRenderedPageBreak/>
        <mc:AlternateContent>
          <mc:Choice Requires="wps">
            <w:drawing>
              <wp:anchor distT="0" distB="0" distL="114300" distR="114300" simplePos="0" relativeHeight="251698176" behindDoc="0" locked="0" layoutInCell="1" allowOverlap="1" wp14:anchorId="64E43C12" wp14:editId="3A786AE6">
                <wp:simplePos x="0" y="0"/>
                <wp:positionH relativeFrom="margin">
                  <wp:posOffset>5553137</wp:posOffset>
                </wp:positionH>
                <wp:positionV relativeFrom="paragraph">
                  <wp:posOffset>7254704</wp:posOffset>
                </wp:positionV>
                <wp:extent cx="1293542" cy="1828800"/>
                <wp:effectExtent l="0" t="0" r="0" b="635"/>
                <wp:wrapNone/>
                <wp:docPr id="71341927" name="Text Box 1"/>
                <wp:cNvGraphicFramePr/>
                <a:graphic xmlns:a="http://schemas.openxmlformats.org/drawingml/2006/main">
                  <a:graphicData uri="http://schemas.microsoft.com/office/word/2010/wordprocessingShape">
                    <wps:wsp>
                      <wps:cNvSpPr txBox="1"/>
                      <wps:spPr>
                        <a:xfrm>
                          <a:off x="0" y="0"/>
                          <a:ext cx="1293542" cy="1828800"/>
                        </a:xfrm>
                        <a:prstGeom prst="rect">
                          <a:avLst/>
                        </a:prstGeom>
                        <a:noFill/>
                        <a:ln>
                          <a:noFill/>
                        </a:ln>
                      </wps:spPr>
                      <wps:txbx>
                        <w:txbxContent>
                          <w:p w14:paraId="4069A6C3" w14:textId="77777777"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E43C12" id="_x0000_s1028" type="#_x0000_t202" style="position:absolute;left:0;text-align:left;margin-left:437.25pt;margin-top:571.25pt;width:101.85pt;height:2in;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" filled="f" stroked="f">
                <v:textbox style="mso-fit-shape-to-text:t">
                  <w:txbxContent>
                    <w:p w14:paraId="4069A6C3" w14:textId="77777777"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v:textbox>
                <w10:wrap anchorx="margin"/>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38F823E1" wp14:editId="44188883">
                <wp:simplePos x="0" y="0"/>
                <wp:positionH relativeFrom="column">
                  <wp:posOffset>4292352</wp:posOffset>
                </wp:positionH>
                <wp:positionV relativeFrom="paragraph">
                  <wp:posOffset>4673832</wp:posOffset>
                </wp:positionV>
                <wp:extent cx="1828800" cy="1828800"/>
                <wp:effectExtent l="0" t="0" r="0" b="0"/>
                <wp:wrapNone/>
                <wp:docPr id="115017956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1601FC"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F823E1" id="_x0000_s1029" type="#_x0000_t202" style="position:absolute;left:0;text-align:left;margin-left:338pt;margin-top:368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" filled="f" stroked="f">
                <v:textbox style="mso-fit-shape-to-text:t">
                  <w:txbxContent>
                    <w:p w14:paraId="221601FC"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6CFA2F2C" wp14:editId="415A4C22">
                <wp:simplePos x="0" y="0"/>
                <wp:positionH relativeFrom="column">
                  <wp:posOffset>2263698</wp:posOffset>
                </wp:positionH>
                <wp:positionV relativeFrom="paragraph">
                  <wp:posOffset>7192537</wp:posOffset>
                </wp:positionV>
                <wp:extent cx="1828800" cy="1828800"/>
                <wp:effectExtent l="0" t="0" r="0" b="0"/>
                <wp:wrapNone/>
                <wp:docPr id="13739098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99160" w14:textId="77777777"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FA2F2C" id="_x0000_s1030" type="#_x0000_t202" style="position:absolute;left:0;text-align:left;margin-left:178.25pt;margin-top:566.35pt;width:2in;height:2in;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" filled="f" stroked="f">
                <v:textbox style="mso-fit-shape-to-text:t">
                  <w:txbxContent>
                    <w:p w14:paraId="3BF99160" w14:textId="77777777"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4FCA27EA" wp14:editId="6CCF64B4">
                <wp:simplePos x="0" y="0"/>
                <wp:positionH relativeFrom="margin">
                  <wp:posOffset>97511</wp:posOffset>
                </wp:positionH>
                <wp:positionV relativeFrom="paragraph">
                  <wp:posOffset>7083425</wp:posOffset>
                </wp:positionV>
                <wp:extent cx="1828800" cy="1828800"/>
                <wp:effectExtent l="0" t="0" r="0" b="0"/>
                <wp:wrapNone/>
                <wp:docPr id="3295552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9B7025"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CA27EA" id="_x0000_s1031" type="#_x0000_t202" style="position:absolute;left:0;text-align:left;margin-left:7.7pt;margin-top:557.75pt;width:2in;height:2in;z-index:251694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" filled="f" stroked="f">
                <v:textbox style="mso-fit-shape-to-text:t">
                  <w:txbxContent>
                    <w:p w14:paraId="069B7025"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2CD222A2" wp14:editId="4848DC99">
                <wp:simplePos x="0" y="0"/>
                <wp:positionH relativeFrom="margin">
                  <wp:posOffset>2487930</wp:posOffset>
                </wp:positionH>
                <wp:positionV relativeFrom="paragraph">
                  <wp:posOffset>4494840</wp:posOffset>
                </wp:positionV>
                <wp:extent cx="1828800" cy="1828800"/>
                <wp:effectExtent l="0" t="0" r="0" b="1905"/>
                <wp:wrapNone/>
                <wp:docPr id="145796197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E4B1DA"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CD222A2" id="_x0000_s1032" type="#_x0000_t202" style="position:absolute;left:0;text-align:left;margin-left:195.9pt;margin-top:353.9pt;width:2in;height:2in;z-index:2516899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" filled="f" stroked="f">
                <v:textbox style="mso-fit-shape-to-text:t">
                  <w:txbxContent>
                    <w:p w14:paraId="28E4B1DA" w14:textId="77777777"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49C910D1" wp14:editId="202829AF">
                <wp:simplePos x="0" y="0"/>
                <wp:positionH relativeFrom="column">
                  <wp:posOffset>299999</wp:posOffset>
                </wp:positionH>
                <wp:positionV relativeFrom="paragraph">
                  <wp:posOffset>4225925</wp:posOffset>
                </wp:positionV>
                <wp:extent cx="1828800" cy="1828800"/>
                <wp:effectExtent l="0" t="0" r="0" b="6350"/>
                <wp:wrapNone/>
                <wp:docPr id="4112123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F72DF" w14:textId="77777777"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C910D1" id="_x0000_s1033" type="#_x0000_t202" style="position:absolute;left:0;text-align:left;margin-left:23.6pt;margin-top:332.75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" filled="f" stroked="f">
                <v:textbox style="mso-fit-shape-to-text:t">
                  <w:txbxContent>
                    <w:p w14:paraId="3DBF72DF" w14:textId="77777777"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E177DB9" wp14:editId="307B7EBF">
                <wp:simplePos x="0" y="0"/>
                <wp:positionH relativeFrom="margin">
                  <wp:posOffset>2249448</wp:posOffset>
                </wp:positionH>
                <wp:positionV relativeFrom="paragraph">
                  <wp:posOffset>2171189</wp:posOffset>
                </wp:positionV>
                <wp:extent cx="1828800" cy="1828800"/>
                <wp:effectExtent l="0" t="0" r="0" b="0"/>
                <wp:wrapNone/>
                <wp:docPr id="10814934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1B6105" w14:textId="77777777"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177DB9" id="_x0000_s1034" type="#_x0000_t202" style="position:absolute;left:0;text-align:left;margin-left:177.1pt;margin-top:170.95pt;width:2in;height:2in;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" filled="f" stroked="f">
                <v:textbox style="mso-fit-shape-to-text:t">
                  <w:txbxContent>
                    <w:p w14:paraId="3B1B6105" w14:textId="77777777"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375F028" wp14:editId="7F97BAAE">
                <wp:simplePos x="0" y="0"/>
                <wp:positionH relativeFrom="column">
                  <wp:posOffset>4013820</wp:posOffset>
                </wp:positionH>
                <wp:positionV relativeFrom="paragraph">
                  <wp:posOffset>2144349</wp:posOffset>
                </wp:positionV>
                <wp:extent cx="1828800" cy="1828800"/>
                <wp:effectExtent l="0" t="0" r="0" b="0"/>
                <wp:wrapNone/>
                <wp:docPr id="152388043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DA31D6" w14:textId="77777777"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75F028" id="_x0000_s1035" type="#_x0000_t202" style="position:absolute;left:0;text-align:left;margin-left:316.05pt;margin-top:168.85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DgIAACk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" filled="f" stroked="f">
                <v:textbox style="mso-fit-shape-to-text:t">
                  <w:txbxContent>
                    <w:p w14:paraId="72DA31D6" w14:textId="77777777"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CF0E8CB" wp14:editId="507BD33B">
                <wp:simplePos x="0" y="0"/>
                <wp:positionH relativeFrom="column">
                  <wp:posOffset>423498</wp:posOffset>
                </wp:positionH>
                <wp:positionV relativeFrom="paragraph">
                  <wp:posOffset>2104173</wp:posOffset>
                </wp:positionV>
                <wp:extent cx="1828800" cy="1828800"/>
                <wp:effectExtent l="0" t="0" r="0" b="0"/>
                <wp:wrapNone/>
                <wp:docPr id="3079226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5FFDFC" w14:textId="77777777"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F0E8CB" id="_x0000_s1036" type="#_x0000_t202" style="position:absolute;left:0;text-align:left;margin-left:33.35pt;margin-top:165.7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s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" filled="f" stroked="f">
                <v:textbox style="mso-fit-shape-to-text:t">
                  <w:txbxContent>
                    <w:p w14:paraId="7D5FFDFC" w14:textId="77777777"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05C7040" wp14:editId="531A765C">
                <wp:simplePos x="0" y="0"/>
                <wp:positionH relativeFrom="column">
                  <wp:posOffset>3880284</wp:posOffset>
                </wp:positionH>
                <wp:positionV relativeFrom="paragraph">
                  <wp:posOffset>7158835</wp:posOffset>
                </wp:positionV>
                <wp:extent cx="1828800" cy="1828800"/>
                <wp:effectExtent l="0" t="0" r="0" b="0"/>
                <wp:wrapNone/>
                <wp:docPr id="12844668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4B6C92"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5C7040" id="_x0000_s1037" type="#_x0000_t202" style="position:absolute;left:0;text-align:left;margin-left:305.55pt;margin-top:563.7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" filled="f" stroked="f">
                <v:textbox style="mso-fit-shape-to-text:t">
                  <w:txbxContent>
                    <w:p w14:paraId="174B6C92"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DE36613" wp14:editId="23D473AD">
                <wp:simplePos x="0" y="0"/>
                <wp:positionH relativeFrom="column">
                  <wp:posOffset>4614901</wp:posOffset>
                </wp:positionH>
                <wp:positionV relativeFrom="paragraph">
                  <wp:posOffset>7158990</wp:posOffset>
                </wp:positionV>
                <wp:extent cx="0" cy="401444"/>
                <wp:effectExtent l="0" t="0" r="38100" b="36830"/>
                <wp:wrapNone/>
                <wp:docPr id="1236166252" name="Straight Connector 9"/>
                <wp:cNvGraphicFramePr/>
                <a:graphic xmlns:a="http://schemas.openxmlformats.org/drawingml/2006/main">
                  <a:graphicData uri="http://schemas.microsoft.com/office/word/2010/wordprocessingShape">
                    <wps:wsp>
                      <wps:cNvCnPr/>
                      <wps:spPr>
                        <a:xfrm>
                          <a:off x="0" y="0"/>
                          <a:ext cx="0" cy="401444"/>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62BDD33F"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3.4pt,563.7pt" to="363.4pt,5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264460A" wp14:editId="7000DA74">
                <wp:simplePos x="0" y="0"/>
                <wp:positionH relativeFrom="margin">
                  <wp:posOffset>1630913</wp:posOffset>
                </wp:positionH>
                <wp:positionV relativeFrom="paragraph">
                  <wp:posOffset>6764810</wp:posOffset>
                </wp:positionV>
                <wp:extent cx="5908040" cy="7764145"/>
                <wp:effectExtent l="0" t="0" r="0" b="0"/>
                <wp:wrapNone/>
                <wp:docPr id="9157882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274E3619"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64460A" id="_x0000_s1038" type="#_x0000_t202" style="position:absolute;left:0;text-align:left;margin-left:128.4pt;margin-top:532.65pt;width:465.2pt;height:611.35pt;z-index:2516766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" filled="f" stroked="f">
                <v:textbox style="mso-fit-shape-to-text:t">
                  <w:txbxContent>
                    <w:p w14:paraId="274E3619"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3F211F9" wp14:editId="228A9E1B">
                <wp:simplePos x="0" y="0"/>
                <wp:positionH relativeFrom="column">
                  <wp:posOffset>1538867</wp:posOffset>
                </wp:positionH>
                <wp:positionV relativeFrom="paragraph">
                  <wp:posOffset>6579220</wp:posOffset>
                </wp:positionV>
                <wp:extent cx="11152" cy="835985"/>
                <wp:effectExtent l="0" t="0" r="27305" b="21590"/>
                <wp:wrapNone/>
                <wp:docPr id="1251444568" name="Straight Connector 8"/>
                <wp:cNvGraphicFramePr/>
                <a:graphic xmlns:a="http://schemas.openxmlformats.org/drawingml/2006/main">
                  <a:graphicData uri="http://schemas.microsoft.com/office/word/2010/wordprocessingShape">
                    <wps:wsp>
                      <wps:cNvCnPr/>
                      <wps:spPr>
                        <a:xfrm flipH="1">
                          <a:off x="0" y="0"/>
                          <a:ext cx="11152" cy="83598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line w14:anchorId="10BE8CFE" id="Straight Connector 8"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518.05pt" to="122.05pt,5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BC9F2C8" wp14:editId="3687F262">
                <wp:simplePos x="0" y="0"/>
                <wp:positionH relativeFrom="margin">
                  <wp:posOffset>4122420</wp:posOffset>
                </wp:positionH>
                <wp:positionV relativeFrom="paragraph">
                  <wp:posOffset>3967201</wp:posOffset>
                </wp:positionV>
                <wp:extent cx="5908040" cy="7764145"/>
                <wp:effectExtent l="0" t="0" r="0" b="7620"/>
                <wp:wrapNone/>
                <wp:docPr id="1818242501"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49B7BCCC"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C9F2C8" id="_x0000_s1039" type="#_x0000_t202" style="position:absolute;left:0;text-align:left;margin-left:324.6pt;margin-top:312.4pt;width:465.2pt;height:611.35pt;z-index:2516736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" filled="f" stroked="f">
                <v:textbox style="mso-fit-shape-to-text:t">
                  <w:txbxContent>
                    <w:p w14:paraId="49B7BCCC"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8C04F5E" wp14:editId="305A5513">
                <wp:simplePos x="0" y="0"/>
                <wp:positionH relativeFrom="column">
                  <wp:posOffset>4068724</wp:posOffset>
                </wp:positionH>
                <wp:positionV relativeFrom="paragraph">
                  <wp:posOffset>3757930</wp:posOffset>
                </wp:positionV>
                <wp:extent cx="10795" cy="735965"/>
                <wp:effectExtent l="0" t="0" r="27305" b="26035"/>
                <wp:wrapNone/>
                <wp:docPr id="1405602067" name="Straight Connector 7"/>
                <wp:cNvGraphicFramePr/>
                <a:graphic xmlns:a="http://schemas.openxmlformats.org/drawingml/2006/main">
                  <a:graphicData uri="http://schemas.microsoft.com/office/word/2010/wordprocessingShape">
                    <wps:wsp>
                      <wps:cNvCnPr/>
                      <wps:spPr>
                        <a:xfrm flipH="1">
                          <a:off x="0" y="0"/>
                          <a:ext cx="10795" cy="73596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43EA0737" id="Straight Connector 7"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20.35pt,295.9pt" to="321.2pt,3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7ABA27E" wp14:editId="5700592B">
                <wp:simplePos x="0" y="0"/>
                <wp:positionH relativeFrom="column">
                  <wp:posOffset>3410857</wp:posOffset>
                </wp:positionH>
                <wp:positionV relativeFrom="paragraph">
                  <wp:posOffset>3048000</wp:posOffset>
                </wp:positionV>
                <wp:extent cx="0" cy="469537"/>
                <wp:effectExtent l="0" t="0" r="38100" b="26035"/>
                <wp:wrapNone/>
                <wp:docPr id="1043127042" name="Straight Connector 6"/>
                <wp:cNvGraphicFramePr/>
                <a:graphic xmlns:a="http://schemas.openxmlformats.org/drawingml/2006/main">
                  <a:graphicData uri="http://schemas.microsoft.com/office/word/2010/wordprocessingShape">
                    <wps:wsp>
                      <wps:cNvCnPr/>
                      <wps:spPr>
                        <a:xfrm flipH="1">
                          <a:off x="0" y="0"/>
                          <a:ext cx="0" cy="469537"/>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DB87F"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5pt,240pt" to="268.55pt,2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EC180AF" wp14:editId="719408FC">
                <wp:simplePos x="0" y="0"/>
                <wp:positionH relativeFrom="column">
                  <wp:posOffset>3488055</wp:posOffset>
                </wp:positionH>
                <wp:positionV relativeFrom="paragraph">
                  <wp:posOffset>3084083</wp:posOffset>
                </wp:positionV>
                <wp:extent cx="5908040" cy="7764145"/>
                <wp:effectExtent l="0" t="0" r="0" b="7620"/>
                <wp:wrapNone/>
                <wp:docPr id="1989299075"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359A45F4"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C180AF" id="_x0000_s1040" type="#_x0000_t202" style="position:absolute;left:0;text-align:left;margin-left:274.65pt;margin-top:242.85pt;width:465.2pt;height:611.3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" filled="f" stroked="f">
                <v:textbox style="mso-fit-shape-to-text:t">
                  <w:txbxContent>
                    <w:p w14:paraId="359A45F4" w14:textId="77777777"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7D73AE9" wp14:editId="5F9C7C36">
                <wp:simplePos x="0" y="0"/>
                <wp:positionH relativeFrom="column">
                  <wp:posOffset>1504950</wp:posOffset>
                </wp:positionH>
                <wp:positionV relativeFrom="paragraph">
                  <wp:posOffset>4230893</wp:posOffset>
                </wp:positionV>
                <wp:extent cx="5908040" cy="7764145"/>
                <wp:effectExtent l="0" t="0" r="0" b="7620"/>
                <wp:wrapNone/>
                <wp:docPr id="165644563"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44B553D3"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D73AE9" id="_x0000_s1041" type="#_x0000_t202" style="position:absolute;left:0;text-align:left;margin-left:118.5pt;margin-top:333.15pt;width:465.2pt;height:611.3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" filled="f" stroked="f">
                <v:textbox style="mso-fit-shape-to-text:t">
                  <w:txbxContent>
                    <w:p w14:paraId="44B553D3"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C04B5AA" wp14:editId="38F23A5F">
                <wp:simplePos x="0" y="0"/>
                <wp:positionH relativeFrom="column">
                  <wp:posOffset>1444752</wp:posOffset>
                </wp:positionH>
                <wp:positionV relativeFrom="paragraph">
                  <wp:posOffset>4251960</wp:posOffset>
                </wp:positionV>
                <wp:extent cx="0" cy="355600"/>
                <wp:effectExtent l="0" t="0" r="38100" b="25400"/>
                <wp:wrapNone/>
                <wp:docPr id="1374901016" name="Straight Connector 5"/>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5F8E4"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334.8pt" to="113.75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40F8FA9" wp14:editId="3DA287B4">
                <wp:simplePos x="0" y="0"/>
                <wp:positionH relativeFrom="column">
                  <wp:posOffset>3133344</wp:posOffset>
                </wp:positionH>
                <wp:positionV relativeFrom="paragraph">
                  <wp:posOffset>1285875</wp:posOffset>
                </wp:positionV>
                <wp:extent cx="5908040" cy="7764145"/>
                <wp:effectExtent l="0" t="0" r="0" b="0"/>
                <wp:wrapNone/>
                <wp:docPr id="13103127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535A63D2"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0F8FA9" id="_x0000_s1042" type="#_x0000_t202" style="position:absolute;left:0;text-align:left;margin-left:246.7pt;margin-top:101.25pt;width:465.2pt;height:611.3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" filled="f" stroked="f">
                <v:textbox style="mso-fit-shape-to-text:t">
                  <w:txbxContent>
                    <w:p w14:paraId="535A63D2"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CC5F507" wp14:editId="67A72545">
                <wp:simplePos x="0" y="0"/>
                <wp:positionH relativeFrom="column">
                  <wp:posOffset>3904488</wp:posOffset>
                </wp:positionH>
                <wp:positionV relativeFrom="paragraph">
                  <wp:posOffset>1179576</wp:posOffset>
                </wp:positionV>
                <wp:extent cx="0" cy="621792"/>
                <wp:effectExtent l="0" t="0" r="38100" b="26035"/>
                <wp:wrapNone/>
                <wp:docPr id="1582001485" name="Straight Connector 4"/>
                <wp:cNvGraphicFramePr/>
                <a:graphic xmlns:a="http://schemas.openxmlformats.org/drawingml/2006/main">
                  <a:graphicData uri="http://schemas.microsoft.com/office/word/2010/wordprocessingShape">
                    <wps:wsp>
                      <wps:cNvCnPr/>
                      <wps:spPr>
                        <a:xfrm flipH="1">
                          <a:off x="0" y="0"/>
                          <a:ext cx="0" cy="621792"/>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D1BB3"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92.9pt" to="307.4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AF0836D" wp14:editId="434BCE7F">
                <wp:simplePos x="0" y="0"/>
                <wp:positionH relativeFrom="column">
                  <wp:posOffset>1386713</wp:posOffset>
                </wp:positionH>
                <wp:positionV relativeFrom="paragraph">
                  <wp:posOffset>1925447</wp:posOffset>
                </wp:positionV>
                <wp:extent cx="5908040" cy="7764145"/>
                <wp:effectExtent l="0" t="0" r="0" b="0"/>
                <wp:wrapNone/>
                <wp:docPr id="238735852"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1B68A601"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F0836D" id="_x0000_s1043" type="#_x0000_t202" style="position:absolute;left:0;text-align:left;margin-left:109.2pt;margin-top:151.6pt;width:465.2pt;height:611.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" filled="f" stroked="f">
                <v:textbox style="mso-fit-shape-to-text:t">
                  <w:txbxContent>
                    <w:p w14:paraId="1B68A601" w14:textId="77777777"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66D269AF" wp14:editId="4687EE66">
                <wp:simplePos x="0" y="0"/>
                <wp:positionH relativeFrom="column">
                  <wp:posOffset>1371600</wp:posOffset>
                </wp:positionH>
                <wp:positionV relativeFrom="paragraph">
                  <wp:posOffset>1755648</wp:posOffset>
                </wp:positionV>
                <wp:extent cx="0" cy="704088"/>
                <wp:effectExtent l="0" t="0" r="38100" b="20320"/>
                <wp:wrapNone/>
                <wp:docPr id="565916648" name="Straight Connector 3"/>
                <wp:cNvGraphicFramePr/>
                <a:graphic xmlns:a="http://schemas.openxmlformats.org/drawingml/2006/main">
                  <a:graphicData uri="http://schemas.microsoft.com/office/word/2010/wordprocessingShape">
                    <wps:wsp>
                      <wps:cNvCnPr/>
                      <wps:spPr>
                        <a:xfrm>
                          <a:off x="0" y="0"/>
                          <a:ext cx="0" cy="704088"/>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940847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8pt,138.25pt" to="108pt,1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" strokecolor="#a5a5a5 [3206]" strokeweight=".5pt">
                <v:stroke joinstyle="miter"/>
              </v:line>
            </w:pict>
          </mc:Fallback>
        </mc:AlternateContent>
      </w:r>
      <w:r w:rsidR="00632720" w:rsidRPr="0021739E">
        <w:rPr>
          <w:rFonts w:ascii="Times New Roman" w:hAnsi="Times New Roman" w:cs="Times New Roman"/>
          <w:b/>
          <w:noProof/>
        </w:rPr>
        <w:drawing>
          <wp:inline distT="0" distB="0" distL="0" distR="0" wp14:anchorId="13F079E9" wp14:editId="7E45FECA">
            <wp:extent cx="5920239" cy="7780052"/>
            <wp:effectExtent l="0" t="0" r="4445" b="0"/>
            <wp:docPr id="449752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0239" cy="7780052"/>
                    </a:xfrm>
                    <a:prstGeom prst="rect">
                      <a:avLst/>
                    </a:prstGeom>
                    <a:noFill/>
                    <a:ln>
                      <a:noFill/>
                    </a:ln>
                  </pic:spPr>
                </pic:pic>
              </a:graphicData>
            </a:graphic>
          </wp:inline>
        </w:drawing>
      </w:r>
    </w:p>
    <w:p w14:paraId="2D730B1B" w14:textId="77777777" w:rsidR="00F13557" w:rsidRPr="0021739E" w:rsidRDefault="00F13557" w:rsidP="00982C0F">
      <w:pPr>
        <w:spacing w:after="0" w:line="240" w:lineRule="auto"/>
        <w:jc w:val="both"/>
        <w:rPr>
          <w:rFonts w:ascii="Times New Roman" w:hAnsi="Times New Roman" w:cs="Times New Roman"/>
          <w:b/>
        </w:rPr>
      </w:pPr>
    </w:p>
    <w:p w14:paraId="317DD2AB" w14:textId="77777777" w:rsidR="00CC3D30" w:rsidRDefault="008A4D6D" w:rsidP="008A4D6D">
      <w:pPr>
        <w:jc w:val="both"/>
        <w:rPr>
          <w:rFonts w:ascii="Times New Roman" w:hAnsi="Times New Roman" w:cs="Times New Roman"/>
          <w:sz w:val="24"/>
          <w:szCs w:val="24"/>
        </w:rPr>
      </w:pPr>
      <w:r>
        <w:rPr>
          <w:rFonts w:ascii="Times New Roman" w:hAnsi="Times New Roman"/>
          <w:sz w:val="24"/>
          <w:highlight w:val="yellow"/>
        </w:rPr>
        <w:t xml:space="preserve">Fig. 3. a. Flower; b. buds; c. corolla; d. calyx with bracts; e. stamen; f. carpel; g. ovary; h. capsule with seeds; </w:t>
      </w:r>
      <w:proofErr w:type="spellStart"/>
      <w:r>
        <w:rPr>
          <w:rFonts w:ascii="Times New Roman" w:hAnsi="Times New Roman"/>
          <w:sz w:val="24"/>
          <w:highlight w:val="yellow"/>
        </w:rPr>
        <w:t>i</w:t>
      </w:r>
      <w:proofErr w:type="spellEnd"/>
      <w:r>
        <w:rPr>
          <w:rFonts w:ascii="Times New Roman" w:hAnsi="Times New Roman"/>
          <w:sz w:val="24"/>
          <w:highlight w:val="yellow"/>
        </w:rPr>
        <w:t>. seeds.</w:t>
      </w:r>
    </w:p>
    <w:p w14:paraId="4307A504" w14:textId="77777777" w:rsidR="00077364" w:rsidRDefault="00077364" w:rsidP="008A4D6D">
      <w:pPr>
        <w:jc w:val="both"/>
        <w:rPr>
          <w:rFonts w:ascii="Times New Roman" w:hAnsi="Times New Roman" w:cs="Times New Roman"/>
          <w:sz w:val="24"/>
          <w:szCs w:val="24"/>
        </w:rPr>
      </w:pPr>
    </w:p>
    <w:p w14:paraId="17525B74" w14:textId="77777777" w:rsidR="00077364" w:rsidRPr="00743BE8" w:rsidRDefault="00077364" w:rsidP="00AA2002">
      <w:pPr>
        <w:spacing w:line="360" w:lineRule="auto"/>
        <w:jc w:val="both"/>
        <w:rPr>
          <w:rFonts w:ascii="Times New Roman" w:hAnsi="Times New Roman" w:cs="Times New Roman"/>
          <w:bCs/>
        </w:rPr>
      </w:pPr>
      <w:r>
        <w:rPr>
          <w:rFonts w:ascii="Times New Roman" w:hAnsi="Times New Roman"/>
          <w:sz w:val="24"/>
          <w:highlight w:val="yellow"/>
        </w:rPr>
        <w:lastRenderedPageBreak/>
        <w:t xml:space="preserve">Threat Assessment and Conservation Status: Anthropogenic activities are mainly responsible for the survival of many species. Human population growth, per capita consumption, expanding urbanisation and agriculture are key factors in habitat loss and fragmentation (Forester &amp; </w:t>
      </w:r>
      <w:proofErr w:type="spellStart"/>
      <w:r>
        <w:rPr>
          <w:rFonts w:ascii="Times New Roman" w:hAnsi="Times New Roman"/>
          <w:sz w:val="24"/>
          <w:highlight w:val="yellow"/>
        </w:rPr>
        <w:t>Machlis</w:t>
      </w:r>
      <w:proofErr w:type="spellEnd"/>
      <w:r>
        <w:rPr>
          <w:rFonts w:ascii="Times New Roman" w:hAnsi="Times New Roman"/>
          <w:sz w:val="24"/>
          <w:highlight w:val="yellow"/>
        </w:rPr>
        <w:t xml:space="preserve">, 1996). There is also a limitation of data regarding the status of many species (Brooks et al., 2006). As a rapidly growing nation, India also harbours such factors, leading to serious biodiversity loss. Odisha, an eastern coastal state, is experiencing rapid industrialisation, encroachment by invasive species and habitat loss, which act as driving forces in endangering many important species. Hence, threat assessment of selected species can be a necessary step for conservation biologists to understand the status of important species and protect them from the verge of extinction.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is considered rare by some authors (</w:t>
      </w:r>
      <w:proofErr w:type="spellStart"/>
      <w:r>
        <w:rPr>
          <w:rFonts w:ascii="Times New Roman" w:hAnsi="Times New Roman"/>
          <w:sz w:val="24"/>
          <w:highlight w:val="yellow"/>
        </w:rPr>
        <w:t>Dhatchanamoorthy</w:t>
      </w:r>
      <w:proofErr w:type="spellEnd"/>
      <w:r>
        <w:rPr>
          <w:rFonts w:ascii="Times New Roman" w:hAnsi="Times New Roman"/>
          <w:sz w:val="24"/>
          <w:highlight w:val="yellow"/>
        </w:rPr>
        <w:t xml:space="preserve"> et al., 2015). However, its conservation status needs to be assessed.</w:t>
      </w:r>
    </w:p>
    <w:p w14:paraId="4D8B322E" w14:textId="77777777" w:rsidR="006A5974" w:rsidRDefault="007B75B9" w:rsidP="008B4A89">
      <w:pPr>
        <w:spacing w:line="360" w:lineRule="auto"/>
        <w:jc w:val="both"/>
        <w:rPr>
          <w:rFonts w:ascii="Times New Roman" w:hAnsi="Times New Roman" w:cs="Times New Roman"/>
          <w:b/>
          <w:sz w:val="24"/>
          <w:szCs w:val="24"/>
        </w:rPr>
      </w:pPr>
      <w:r>
        <w:rPr>
          <w:rFonts w:ascii="Times New Roman" w:hAnsi="Times New Roman"/>
          <w:b/>
          <w:sz w:val="24"/>
          <w:highlight w:val="yellow"/>
        </w:rPr>
        <w:t>Results and Discussion:</w:t>
      </w:r>
    </w:p>
    <w:p w14:paraId="7010DBA9" w14:textId="77777777" w:rsidR="00ED450F" w:rsidRPr="00F235AF" w:rsidRDefault="00B4110D" w:rsidP="008B4A89">
      <w:pPr>
        <w:spacing w:line="360" w:lineRule="auto"/>
        <w:jc w:val="both"/>
        <w:rPr>
          <w:rFonts w:ascii="Times New Roman" w:hAnsi="Times New Roman" w:cs="Times New Roman"/>
          <w:bCs/>
          <w:sz w:val="24"/>
          <w:szCs w:val="24"/>
        </w:rPr>
      </w:pPr>
      <w:r>
        <w:rPr>
          <w:rFonts w:ascii="Times New Roman" w:hAnsi="Times New Roman"/>
          <w:sz w:val="24"/>
          <w:highlight w:val="yellow"/>
        </w:rPr>
        <w:t xml:space="preserve">The exploration of vegetation and the study of distribution of members of the family </w:t>
      </w:r>
      <w:proofErr w:type="spellStart"/>
      <w:r>
        <w:rPr>
          <w:rFonts w:ascii="Times New Roman" w:hAnsi="Times New Roman"/>
          <w:sz w:val="24"/>
          <w:highlight w:val="yellow"/>
        </w:rPr>
        <w:t>Acanthaceae</w:t>
      </w:r>
      <w:proofErr w:type="spellEnd"/>
      <w:r>
        <w:rPr>
          <w:rFonts w:ascii="Times New Roman" w:hAnsi="Times New Roman"/>
          <w:sz w:val="24"/>
          <w:highlight w:val="yellow"/>
        </w:rPr>
        <w:t xml:space="preserve"> in the coastal districts of Odisha revealed many interesting rare species that have not been commonly recorded in the recent past.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was observed in a sacred hill of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Odisha, India, during this field survey. The species has reported phytochemical constituents that require further investigation for potential pharmaceutical applications. Its distribution also signifies the importance of extensive field studies for the exploration of taxa.</w:t>
      </w:r>
    </w:p>
    <w:p w14:paraId="51C7D123" w14:textId="77777777" w:rsidR="006A5974" w:rsidRDefault="006A5974" w:rsidP="006A5974">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t>A systematic conservation status was evaluated by following existing documents and herbaria. The distribution and occurrences of the species were studied from the herbaria of CAL, IMMT Herbarium, Bhubaneswar, Regional Plant Resource Centre (RPRC-Bhubaneswar), digital herbaria such as IVH-BSI and JCB Herbarium. Different plant information database systems, including GBIF, POWO and JSTOR (https://plants.jstor.org), were also consulted to understand the status, global distribution and recent occurrences for evaluation and threat assessment.</w:t>
      </w:r>
    </w:p>
    <w:p w14:paraId="79AF1789" w14:textId="77777777" w:rsidR="006A5974" w:rsidRPr="00760FAD" w:rsidRDefault="006A5974" w:rsidP="006A5974">
      <w:pPr>
        <w:jc w:val="both"/>
        <w:rPr>
          <w:rFonts w:ascii="Times New Roman" w:hAnsi="Times New Roman" w:cs="Times New Roman"/>
          <w:bCs/>
          <w:sz w:val="24"/>
          <w:szCs w:val="24"/>
        </w:rPr>
      </w:pPr>
      <w:r w:rsidRPr="00B61DA6">
        <w:rPr>
          <w:rFonts w:ascii="Times New Roman" w:hAnsi="Times New Roman"/>
          <w:noProof/>
          <w:sz w:val="24"/>
        </w:rPr>
        <w:lastRenderedPageBreak/>
        <w:drawing>
          <wp:inline distT="0" distB="0" distL="0" distR="0" wp14:anchorId="371BEA96" wp14:editId="113E2115">
            <wp:extent cx="5802086" cy="3151843"/>
            <wp:effectExtent l="76200" t="76200" r="141605" b="125095"/>
            <wp:docPr id="61890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05029" name=""/>
                    <pic:cNvPicPr/>
                  </pic:nvPicPr>
                  <pic:blipFill>
                    <a:blip r:embed="rId10"/>
                    <a:stretch>
                      <a:fillRect/>
                    </a:stretch>
                  </pic:blipFill>
                  <pic:spPr>
                    <a:xfrm>
                      <a:off x="0" y="0"/>
                      <a:ext cx="5843581" cy="31743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26CB38" w14:textId="77777777" w:rsidR="00C07DC0" w:rsidRDefault="006A5974" w:rsidP="00ED3174">
      <w:pPr>
        <w:jc w:val="center"/>
        <w:rPr>
          <w:rFonts w:ascii="Times New Roman" w:hAnsi="Times New Roman" w:cs="Times New Roman"/>
          <w:bCs/>
          <w:sz w:val="32"/>
          <w:szCs w:val="32"/>
          <w:vertAlign w:val="superscript"/>
        </w:rPr>
      </w:pPr>
      <w:r>
        <w:rPr>
          <w:rFonts w:ascii="Times New Roman" w:hAnsi="Times New Roman"/>
          <w:sz w:val="24"/>
          <w:highlight w:val="yellow"/>
        </w:rPr>
        <w:t>Fig. 4. Threat assessment and conservation status using the Geospatial Conservation Assessment Tool.</w:t>
      </w:r>
    </w:p>
    <w:p w14:paraId="644F0546" w14:textId="77777777" w:rsidR="007036D3" w:rsidRPr="00F87264" w:rsidRDefault="007036D3" w:rsidP="007036D3">
      <w:pPr>
        <w:rPr>
          <w:rFonts w:ascii="Times New Roman" w:hAnsi="Times New Roman" w:cs="Times New Roman"/>
          <w:bCs/>
          <w:sz w:val="32"/>
          <w:szCs w:val="32"/>
          <w:vertAlign w:val="superscript"/>
        </w:rPr>
      </w:pPr>
      <w:r>
        <w:rPr>
          <w:rFonts w:ascii="Times New Roman" w:hAnsi="Times New Roman"/>
          <w:sz w:val="24"/>
          <w:highlight w:val="yellow"/>
        </w:rPr>
        <w:t xml:space="preserve">Table 2. Threat assessment of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w:t>
      </w:r>
    </w:p>
    <w:tbl>
      <w:tblPr>
        <w:tblStyle w:val="TableGrid"/>
        <w:tblW w:w="7792" w:type="dxa"/>
        <w:jc w:val="center"/>
        <w:tblLook w:val="04A0" w:firstRow="1" w:lastRow="0" w:firstColumn="1" w:lastColumn="0" w:noHBand="0" w:noVBand="1"/>
      </w:tblPr>
      <w:tblGrid>
        <w:gridCol w:w="4428"/>
        <w:gridCol w:w="1804"/>
        <w:gridCol w:w="1560"/>
      </w:tblGrid>
      <w:tr w:rsidR="007036D3" w:rsidRPr="00A65B46" w14:paraId="4C811769" w14:textId="77777777" w:rsidTr="00CD4853">
        <w:trPr>
          <w:trHeight w:val="349"/>
          <w:jc w:val="center"/>
        </w:trPr>
        <w:tc>
          <w:tcPr>
            <w:tcW w:w="4428" w:type="dxa"/>
          </w:tcPr>
          <w:p w14:paraId="468A37C7" w14:textId="77777777" w:rsidR="007036D3" w:rsidRPr="00A65B46" w:rsidRDefault="007036D3" w:rsidP="00A4654F">
            <w:pPr>
              <w:jc w:val="center"/>
              <w:rPr>
                <w:rFonts w:ascii="Times New Roman" w:hAnsi="Times New Roman" w:cs="Times New Roman"/>
                <w:b/>
              </w:rPr>
            </w:pPr>
            <w:r w:rsidRPr="00A65B46">
              <w:rPr>
                <w:rFonts w:ascii="Times New Roman" w:hAnsi="Times New Roman" w:cs="Times New Roman"/>
                <w:b/>
              </w:rPr>
              <w:t>Name of the species</w:t>
            </w:r>
          </w:p>
        </w:tc>
        <w:tc>
          <w:tcPr>
            <w:tcW w:w="1804" w:type="dxa"/>
          </w:tcPr>
          <w:p w14:paraId="3F8AB5F8" w14:textId="77777777" w:rsidR="007036D3" w:rsidRPr="00A65B46" w:rsidRDefault="007036D3" w:rsidP="00A4654F">
            <w:pPr>
              <w:jc w:val="center"/>
              <w:rPr>
                <w:rFonts w:ascii="Times New Roman" w:hAnsi="Times New Roman" w:cs="Times New Roman"/>
                <w:b/>
              </w:rPr>
            </w:pPr>
            <w:r w:rsidRPr="00A65B46">
              <w:rPr>
                <w:rFonts w:ascii="Times New Roman" w:hAnsi="Times New Roman" w:cs="Times New Roman"/>
                <w:b/>
              </w:rPr>
              <w:t>B1-EOO</w:t>
            </w:r>
          </w:p>
          <w:p w14:paraId="4773BB6B" w14:textId="77777777" w:rsidR="007036D3" w:rsidRPr="00A65B46" w:rsidRDefault="007036D3" w:rsidP="00A4654F">
            <w:pPr>
              <w:jc w:val="center"/>
              <w:rPr>
                <w:rFonts w:ascii="Times New Roman" w:hAnsi="Times New Roman" w:cs="Times New Roman"/>
                <w:b/>
              </w:rPr>
            </w:pPr>
            <w:r w:rsidRPr="00A65B46">
              <w:rPr>
                <w:rFonts w:ascii="Times New Roman" w:hAnsi="Times New Roman" w:cs="Times New Roman"/>
                <w:b/>
              </w:rPr>
              <w:t>(km</w:t>
            </w:r>
            <w:r w:rsidRPr="00A65B46">
              <w:rPr>
                <w:rFonts w:ascii="Times New Roman" w:hAnsi="Times New Roman" w:cs="Times New Roman"/>
                <w:b/>
                <w:vertAlign w:val="superscript"/>
              </w:rPr>
              <w:t>2</w:t>
            </w:r>
            <w:r w:rsidRPr="00A65B46">
              <w:rPr>
                <w:rFonts w:ascii="Times New Roman" w:hAnsi="Times New Roman" w:cs="Times New Roman"/>
                <w:b/>
              </w:rPr>
              <w:t>)</w:t>
            </w:r>
          </w:p>
        </w:tc>
        <w:tc>
          <w:tcPr>
            <w:tcW w:w="1560" w:type="dxa"/>
          </w:tcPr>
          <w:p w14:paraId="3DE9C6EC" w14:textId="77777777" w:rsidR="007036D3" w:rsidRPr="00A65B46" w:rsidRDefault="007036D3" w:rsidP="00A4654F">
            <w:pPr>
              <w:jc w:val="center"/>
              <w:rPr>
                <w:rFonts w:ascii="Times New Roman" w:hAnsi="Times New Roman" w:cs="Times New Roman"/>
                <w:b/>
              </w:rPr>
            </w:pPr>
            <w:r w:rsidRPr="00A65B46">
              <w:rPr>
                <w:rFonts w:ascii="Times New Roman" w:hAnsi="Times New Roman" w:cs="Times New Roman"/>
                <w:b/>
              </w:rPr>
              <w:t>B2-AOO (km</w:t>
            </w:r>
            <w:r w:rsidRPr="00A65B46">
              <w:rPr>
                <w:rFonts w:ascii="Times New Roman" w:hAnsi="Times New Roman" w:cs="Times New Roman"/>
                <w:b/>
                <w:vertAlign w:val="superscript"/>
              </w:rPr>
              <w:t>2</w:t>
            </w:r>
            <w:r w:rsidRPr="00A65B46">
              <w:rPr>
                <w:rFonts w:ascii="Times New Roman" w:hAnsi="Times New Roman" w:cs="Times New Roman"/>
                <w:b/>
              </w:rPr>
              <w:t>)</w:t>
            </w:r>
          </w:p>
        </w:tc>
      </w:tr>
      <w:tr w:rsidR="007036D3" w:rsidRPr="00A65B46" w14:paraId="6B031FF8" w14:textId="77777777" w:rsidTr="00CD4853">
        <w:trPr>
          <w:trHeight w:val="277"/>
          <w:jc w:val="center"/>
        </w:trPr>
        <w:tc>
          <w:tcPr>
            <w:tcW w:w="4428" w:type="dxa"/>
            <w:vMerge w:val="restart"/>
          </w:tcPr>
          <w:p w14:paraId="0F6C0285" w14:textId="77777777" w:rsidR="007036D3" w:rsidRPr="00A65B46" w:rsidRDefault="007036D3" w:rsidP="00A4654F">
            <w:pPr>
              <w:jc w:val="both"/>
              <w:rPr>
                <w:rFonts w:ascii="Times New Roman" w:hAnsi="Times New Roman" w:cs="Times New Roman"/>
                <w:bCs/>
              </w:rPr>
            </w:pPr>
            <w:proofErr w:type="spellStart"/>
            <w:r>
              <w:rPr>
                <w:rFonts w:ascii="Times New Roman" w:hAnsi="Times New Roman"/>
                <w:i/>
                <w:sz w:val="24"/>
              </w:rPr>
              <w:t>Pseuderanthemum</w:t>
            </w:r>
            <w:proofErr w:type="spellEnd"/>
            <w:r>
              <w:rPr>
                <w:rFonts w:ascii="Times New Roman" w:hAnsi="Times New Roman"/>
                <w:i/>
                <w:sz w:val="24"/>
              </w:rPr>
              <w:t xml:space="preserve"> </w:t>
            </w:r>
            <w:proofErr w:type="spellStart"/>
            <w:r>
              <w:rPr>
                <w:rFonts w:ascii="Times New Roman" w:hAnsi="Times New Roman"/>
                <w:i/>
                <w:sz w:val="24"/>
              </w:rPr>
              <w:t>latifolium</w:t>
            </w:r>
            <w:proofErr w:type="spellEnd"/>
            <w:r>
              <w:rPr>
                <w:rFonts w:ascii="Times New Roman" w:hAnsi="Times New Roman"/>
                <w:sz w:val="24"/>
              </w:rPr>
              <w:t xml:space="preserve"> (Vahl.) B. Hansen</w:t>
            </w:r>
          </w:p>
        </w:tc>
        <w:tc>
          <w:tcPr>
            <w:tcW w:w="1804" w:type="dxa"/>
          </w:tcPr>
          <w:p w14:paraId="3DA966F5" w14:textId="77777777" w:rsidR="007036D3" w:rsidRPr="00A65B46" w:rsidRDefault="007036D3" w:rsidP="00A4654F">
            <w:pPr>
              <w:jc w:val="center"/>
              <w:rPr>
                <w:rFonts w:ascii="Times New Roman" w:hAnsi="Times New Roman" w:cs="Times New Roman"/>
                <w:bCs/>
              </w:rPr>
            </w:pPr>
            <w:r>
              <w:rPr>
                <w:rFonts w:ascii="Times New Roman" w:hAnsi="Times New Roman" w:cs="Times New Roman"/>
                <w:bCs/>
              </w:rPr>
              <w:t>55,097,853.217</w:t>
            </w:r>
          </w:p>
        </w:tc>
        <w:tc>
          <w:tcPr>
            <w:tcW w:w="1560" w:type="dxa"/>
          </w:tcPr>
          <w:p w14:paraId="26DF9926" w14:textId="77777777" w:rsidR="007036D3" w:rsidRPr="00A65B46" w:rsidRDefault="007036D3" w:rsidP="00A4654F">
            <w:pPr>
              <w:jc w:val="center"/>
              <w:rPr>
                <w:rFonts w:ascii="Times New Roman" w:hAnsi="Times New Roman" w:cs="Times New Roman"/>
                <w:bCs/>
              </w:rPr>
            </w:pPr>
            <w:r>
              <w:rPr>
                <w:rFonts w:ascii="Times New Roman" w:hAnsi="Times New Roman" w:cs="Times New Roman"/>
                <w:bCs/>
              </w:rPr>
              <w:t>3</w:t>
            </w:r>
            <w:r w:rsidR="00241CEC">
              <w:rPr>
                <w:rFonts w:ascii="Times New Roman" w:hAnsi="Times New Roman" w:cs="Times New Roman"/>
                <w:bCs/>
              </w:rPr>
              <w:t>3</w:t>
            </w:r>
            <w:r>
              <w:rPr>
                <w:rFonts w:ascii="Times New Roman" w:hAnsi="Times New Roman" w:cs="Times New Roman"/>
                <w:bCs/>
              </w:rPr>
              <w:t>6</w:t>
            </w:r>
            <w:r w:rsidRPr="00A65B46">
              <w:rPr>
                <w:rFonts w:ascii="Times New Roman" w:hAnsi="Times New Roman" w:cs="Times New Roman"/>
                <w:bCs/>
              </w:rPr>
              <w:t>.000</w:t>
            </w:r>
          </w:p>
        </w:tc>
      </w:tr>
      <w:tr w:rsidR="007036D3" w:rsidRPr="00A65B46" w14:paraId="033ECBEA" w14:textId="77777777" w:rsidTr="00CD4853">
        <w:trPr>
          <w:trHeight w:val="551"/>
          <w:jc w:val="center"/>
        </w:trPr>
        <w:tc>
          <w:tcPr>
            <w:tcW w:w="4428" w:type="dxa"/>
            <w:vMerge/>
          </w:tcPr>
          <w:p w14:paraId="71EE4CC6" w14:textId="77777777" w:rsidR="007036D3" w:rsidRPr="00A65B46" w:rsidRDefault="007036D3" w:rsidP="00A4654F">
            <w:pPr>
              <w:jc w:val="both"/>
              <w:rPr>
                <w:rFonts w:ascii="Times New Roman" w:hAnsi="Times New Roman" w:cs="Times New Roman"/>
                <w:bCs/>
                <w:i/>
                <w:iCs/>
              </w:rPr>
            </w:pPr>
          </w:p>
        </w:tc>
        <w:tc>
          <w:tcPr>
            <w:tcW w:w="1804" w:type="dxa"/>
          </w:tcPr>
          <w:p w14:paraId="5E04467B" w14:textId="77777777" w:rsidR="007036D3" w:rsidRDefault="007036D3" w:rsidP="00A4654F">
            <w:pPr>
              <w:jc w:val="center"/>
              <w:rPr>
                <w:rFonts w:ascii="Times New Roman" w:hAnsi="Times New Roman" w:cs="Times New Roman"/>
                <w:b/>
              </w:rPr>
            </w:pPr>
            <w:r w:rsidRPr="00A65B46">
              <w:rPr>
                <w:rFonts w:ascii="Times New Roman" w:hAnsi="Times New Roman" w:cs="Times New Roman"/>
                <w:b/>
              </w:rPr>
              <w:t>LC</w:t>
            </w:r>
          </w:p>
          <w:p w14:paraId="6510D4F1" w14:textId="77777777" w:rsidR="007036D3" w:rsidRPr="00A65684" w:rsidRDefault="007036D3" w:rsidP="00A4654F">
            <w:pPr>
              <w:jc w:val="center"/>
              <w:rPr>
                <w:rFonts w:ascii="Times New Roman" w:hAnsi="Times New Roman" w:cs="Times New Roman"/>
                <w:b/>
                <w:vertAlign w:val="superscript"/>
              </w:rPr>
            </w:pPr>
            <w:r>
              <w:rPr>
                <w:rFonts w:ascii="Times New Roman" w:hAnsi="Times New Roman" w:cs="Times New Roman"/>
                <w:b/>
              </w:rPr>
              <w:t>&lt; 5000 km</w:t>
            </w:r>
            <w:r>
              <w:rPr>
                <w:rFonts w:ascii="Times New Roman" w:hAnsi="Times New Roman" w:cs="Times New Roman"/>
                <w:b/>
                <w:vertAlign w:val="superscript"/>
              </w:rPr>
              <w:t>2</w:t>
            </w:r>
          </w:p>
          <w:p w14:paraId="51C60FD8" w14:textId="77777777" w:rsidR="007036D3" w:rsidRPr="00A65B46" w:rsidRDefault="007036D3" w:rsidP="00A4654F">
            <w:pPr>
              <w:jc w:val="center"/>
              <w:rPr>
                <w:rFonts w:ascii="Times New Roman" w:hAnsi="Times New Roman" w:cs="Times New Roman"/>
                <w:b/>
              </w:rPr>
            </w:pPr>
          </w:p>
        </w:tc>
        <w:tc>
          <w:tcPr>
            <w:tcW w:w="1560" w:type="dxa"/>
          </w:tcPr>
          <w:p w14:paraId="365AB9B2" w14:textId="77777777" w:rsidR="007036D3" w:rsidRPr="00ED3174" w:rsidRDefault="007036D3" w:rsidP="00A4654F">
            <w:pPr>
              <w:jc w:val="center"/>
              <w:rPr>
                <w:rFonts w:ascii="Times New Roman" w:hAnsi="Times New Roman" w:cs="Times New Roman"/>
                <w:b/>
              </w:rPr>
            </w:pPr>
            <w:r w:rsidRPr="00ED3174">
              <w:rPr>
                <w:rFonts w:ascii="Times New Roman" w:hAnsi="Times New Roman" w:cs="Times New Roman"/>
                <w:b/>
              </w:rPr>
              <w:t>EN</w:t>
            </w:r>
          </w:p>
          <w:p w14:paraId="5192AE8A" w14:textId="77777777" w:rsidR="007036D3" w:rsidRPr="0038570A" w:rsidRDefault="007036D3" w:rsidP="00A4654F">
            <w:pPr>
              <w:jc w:val="center"/>
              <w:rPr>
                <w:rFonts w:ascii="Times New Roman" w:hAnsi="Times New Roman" w:cs="Times New Roman"/>
                <w:b/>
              </w:rPr>
            </w:pPr>
            <w:r w:rsidRPr="00A65B46">
              <w:rPr>
                <w:rFonts w:ascii="Times New Roman" w:hAnsi="Times New Roman" w:cs="Times New Roman"/>
                <w:b/>
              </w:rPr>
              <w:t>&lt; 500 km</w:t>
            </w:r>
            <w:r w:rsidRPr="00A65B46">
              <w:rPr>
                <w:rFonts w:ascii="Times New Roman" w:hAnsi="Times New Roman" w:cs="Times New Roman"/>
                <w:b/>
                <w:vertAlign w:val="superscript"/>
              </w:rPr>
              <w:t>2</w:t>
            </w:r>
          </w:p>
        </w:tc>
      </w:tr>
    </w:tbl>
    <w:p w14:paraId="1B217314" w14:textId="77777777" w:rsidR="006A5974" w:rsidRPr="006A5974" w:rsidRDefault="006A5974" w:rsidP="008B4A89">
      <w:pPr>
        <w:spacing w:line="360" w:lineRule="auto"/>
        <w:jc w:val="both"/>
        <w:rPr>
          <w:rFonts w:ascii="Times New Roman" w:hAnsi="Times New Roman" w:cs="Times New Roman"/>
          <w:bCs/>
        </w:rPr>
      </w:pPr>
      <w:r>
        <w:rPr>
          <w:rFonts w:ascii="Times New Roman" w:hAnsi="Times New Roman"/>
          <w:sz w:val="24"/>
          <w:highlight w:val="yellow"/>
        </w:rPr>
        <w:t>Extent of Occurrence (EOO), Area of Occupancy (AOO), EN - Endangered, LC - Least Concern (criteria B1 EOO and B2 AOO) (Das &amp; Lahiri, 2022; IUCN Standards and Petitions Committee, 2019).</w:t>
      </w:r>
    </w:p>
    <w:p w14:paraId="6D487A0A" w14:textId="77777777" w:rsidR="009E558F" w:rsidRDefault="00077364" w:rsidP="009E558F">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t xml:space="preserve">During the field exploration in the study area (Fig. 1), only three to four individuals were observed in the region. This species was reported from some parts of the Northern Circars, a narrow strip of territory on the eastern coast of the Indian peninsula in Andhra Pradesh and Odisha, in Ganjam district about 30 years ago by Saxena and </w:t>
      </w:r>
      <w:proofErr w:type="spellStart"/>
      <w:r>
        <w:rPr>
          <w:rFonts w:ascii="Times New Roman" w:hAnsi="Times New Roman"/>
          <w:sz w:val="24"/>
          <w:highlight w:val="yellow"/>
        </w:rPr>
        <w:t>Brahmam</w:t>
      </w:r>
      <w:proofErr w:type="spellEnd"/>
      <w:r>
        <w:rPr>
          <w:rFonts w:ascii="Times New Roman" w:hAnsi="Times New Roman"/>
          <w:sz w:val="24"/>
          <w:highlight w:val="yellow"/>
        </w:rPr>
        <w:t xml:space="preserve">. No further report or relocation of this species has been recorded in the recent past. The population of this species is dwindling in its natural habitat. In the present study, the species was relocated in the study area (Fig. 1) in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inside a sacred hill forest of Odisha, India. Therefore, Criteria B1 and B2 were taken into consideration (IUCN Standards and Petitions Committee, 2019) for threat assessment of the species.</w:t>
      </w:r>
    </w:p>
    <w:p w14:paraId="107ED62F" w14:textId="77777777" w:rsidR="00CF5C3F" w:rsidRDefault="00CD66E5" w:rsidP="003B2134">
      <w:pPr>
        <w:spacing w:line="360" w:lineRule="auto"/>
        <w:ind w:firstLine="720"/>
        <w:jc w:val="both"/>
        <w:rPr>
          <w:rFonts w:ascii="Times New Roman" w:hAnsi="Times New Roman" w:cs="Times New Roman"/>
          <w:bCs/>
          <w:sz w:val="24"/>
          <w:szCs w:val="24"/>
        </w:rPr>
      </w:pPr>
      <w:r>
        <w:rPr>
          <w:rFonts w:ascii="Times New Roman" w:hAnsi="Times New Roman"/>
          <w:sz w:val="24"/>
          <w:highlight w:val="yellow"/>
        </w:rPr>
        <w:lastRenderedPageBreak/>
        <w:t xml:space="preserve">From the geographical coordinates searched through GBIF-Global Biodiversity Information Facility (139 GBIF points) and the present study (using two user points), the Extent of Occurrence (EOO) was found to be 55,097,853.217 km², which places it in the category of Least Concern (LC). However, the Area of Occupancy (AOO) was calculated by </w:t>
      </w:r>
      <w:proofErr w:type="spellStart"/>
      <w:r>
        <w:rPr>
          <w:rFonts w:ascii="Times New Roman" w:hAnsi="Times New Roman"/>
          <w:sz w:val="24"/>
          <w:highlight w:val="yellow"/>
        </w:rPr>
        <w:t>GeoCAT</w:t>
      </w:r>
      <w:proofErr w:type="spellEnd"/>
      <w:r>
        <w:rPr>
          <w:rFonts w:ascii="Times New Roman" w:hAnsi="Times New Roman"/>
          <w:sz w:val="24"/>
          <w:highlight w:val="yellow"/>
        </w:rPr>
        <w:t xml:space="preserve"> as 336 km². Again, as far as the </w:t>
      </w:r>
      <w:proofErr w:type="spellStart"/>
      <w:r>
        <w:rPr>
          <w:rFonts w:ascii="Times New Roman" w:hAnsi="Times New Roman"/>
          <w:sz w:val="24"/>
          <w:highlight w:val="yellow"/>
        </w:rPr>
        <w:t>subcriteria</w:t>
      </w:r>
      <w:proofErr w:type="spellEnd"/>
      <w:r>
        <w:rPr>
          <w:rFonts w:ascii="Times New Roman" w:hAnsi="Times New Roman"/>
          <w:sz w:val="24"/>
          <w:highlight w:val="yellow"/>
        </w:rPr>
        <w:t xml:space="preserve"> are concerned, it comes under b(ii), decline in area of occupancy, and c(iii), number of locations. Hence, the use of the Geospatial Conservation Assessment Tool reveals that the present status of the species is Endangered (EN) (Fig. 4). However, the species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is very rarely observed in the state of Odisha.</w:t>
      </w:r>
    </w:p>
    <w:p w14:paraId="6CEB88FC" w14:textId="77777777" w:rsidR="00A04862" w:rsidRDefault="00A04862" w:rsidP="008B4A89">
      <w:pPr>
        <w:spacing w:line="360" w:lineRule="auto"/>
        <w:jc w:val="both"/>
        <w:rPr>
          <w:rFonts w:ascii="Times New Roman" w:hAnsi="Times New Roman" w:cs="Times New Roman"/>
          <w:bCs/>
          <w:sz w:val="24"/>
          <w:szCs w:val="24"/>
        </w:rPr>
      </w:pPr>
      <w:r>
        <w:rPr>
          <w:rFonts w:ascii="Times New Roman" w:hAnsi="Times New Roman"/>
          <w:b/>
          <w:sz w:val="24"/>
          <w:highlight w:val="yellow"/>
        </w:rPr>
        <w:t>Conclusions:</w:t>
      </w:r>
      <w:r>
        <w:rPr>
          <w:rFonts w:ascii="Times New Roman" w:hAnsi="Times New Roman"/>
          <w:sz w:val="24"/>
          <w:highlight w:val="yellow"/>
        </w:rPr>
        <w:t xml:space="preserve"> The present study confirms the relocation of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latifolium</w:t>
      </w:r>
      <w:proofErr w:type="spellEnd"/>
      <w:r>
        <w:rPr>
          <w:rFonts w:ascii="Times New Roman" w:hAnsi="Times New Roman"/>
          <w:sz w:val="24"/>
          <w:highlight w:val="yellow"/>
        </w:rPr>
        <w:t xml:space="preserve"> (Vahl.) B. Hansen from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in </w:t>
      </w:r>
      <w:proofErr w:type="spellStart"/>
      <w:r>
        <w:rPr>
          <w:rFonts w:ascii="Times New Roman" w:hAnsi="Times New Roman"/>
          <w:sz w:val="24"/>
          <w:highlight w:val="yellow"/>
        </w:rPr>
        <w:t>Jajpur</w:t>
      </w:r>
      <w:proofErr w:type="spellEnd"/>
      <w:r>
        <w:rPr>
          <w:rFonts w:ascii="Times New Roman" w:hAnsi="Times New Roman"/>
          <w:sz w:val="24"/>
          <w:highlight w:val="yellow"/>
        </w:rPr>
        <w:t xml:space="preserve"> district, coastal Odisha, after about 30 years of its earlier documentation from the state. The record is important because the species has often been cited under the synonym </w:t>
      </w:r>
      <w:proofErr w:type="spellStart"/>
      <w:r>
        <w:rPr>
          <w:rFonts w:ascii="Times New Roman" w:hAnsi="Times New Roman"/>
          <w:i/>
          <w:sz w:val="24"/>
          <w:highlight w:val="yellow"/>
        </w:rPr>
        <w:t>Pseuderanthemum</w:t>
      </w:r>
      <w:proofErr w:type="spellEnd"/>
      <w:r>
        <w:rPr>
          <w:rFonts w:ascii="Times New Roman" w:hAnsi="Times New Roman"/>
          <w:i/>
          <w:sz w:val="24"/>
          <w:highlight w:val="yellow"/>
        </w:rPr>
        <w:t xml:space="preserve"> </w:t>
      </w:r>
      <w:proofErr w:type="spellStart"/>
      <w:r>
        <w:rPr>
          <w:rFonts w:ascii="Times New Roman" w:hAnsi="Times New Roman"/>
          <w:i/>
          <w:sz w:val="24"/>
          <w:highlight w:val="yellow"/>
        </w:rPr>
        <w:t>malabaricum</w:t>
      </w:r>
      <w:proofErr w:type="spellEnd"/>
      <w:r>
        <w:rPr>
          <w:rFonts w:ascii="Times New Roman" w:hAnsi="Times New Roman"/>
          <w:sz w:val="24"/>
          <w:highlight w:val="yellow"/>
        </w:rPr>
        <w:t xml:space="preserve">, and its correct identification is essential for floristic documentation, herbarium comparison and conservation planning. The study provides a consolidated taxonomic treatment, including diagnostic morphological characters, anatomical notes, habitat information, phenology, distribution and photographic evidence, to facilitate reliable recognition of the taxon in the field. The observation of only three to four individuals at the study site indicates the need for careful monitoring of the local population. The threat assessment based on </w:t>
      </w:r>
      <w:proofErr w:type="spellStart"/>
      <w:r>
        <w:rPr>
          <w:rFonts w:ascii="Times New Roman" w:hAnsi="Times New Roman"/>
          <w:sz w:val="24"/>
          <w:highlight w:val="yellow"/>
        </w:rPr>
        <w:t>GeoCAT</w:t>
      </w:r>
      <w:proofErr w:type="spellEnd"/>
      <w:r>
        <w:rPr>
          <w:rFonts w:ascii="Times New Roman" w:hAnsi="Times New Roman"/>
          <w:sz w:val="24"/>
          <w:highlight w:val="yellow"/>
        </w:rPr>
        <w:t xml:space="preserve"> shows a broad extent of occurrence but a restricted area of occupancy, resulting in different outcomes under Criterion B1 and Criterion B2. This highlights the importance of combining geospatial analysis with field observations while assessing rare and sporadically distributed taxa. Protection of shaded rock-crevice habitats within sacred hill forests, along with repeated surveys in coastal Odisha and adjoining regions, would help improve understanding of the species’ distribution, persistence and conservation requirements. Such information can support future evidence-based local conservation decisions.</w:t>
      </w:r>
    </w:p>
    <w:p w14:paraId="22F3296E" w14:textId="77777777" w:rsidR="003C02EC" w:rsidRDefault="00000000">
      <w:r>
        <w:rPr>
          <w:rFonts w:ascii="Times New Roman" w:hAnsi="Times New Roman"/>
          <w:b/>
          <w:sz w:val="24"/>
          <w:highlight w:val="yellow"/>
        </w:rPr>
        <w:t>Limitations:</w:t>
      </w:r>
      <w:r>
        <w:rPr>
          <w:rFonts w:ascii="Times New Roman" w:hAnsi="Times New Roman"/>
          <w:sz w:val="24"/>
          <w:highlight w:val="yellow"/>
        </w:rPr>
        <w:t xml:space="preserve"> The present study is based on field observations from a single confirmed locality in </w:t>
      </w:r>
      <w:proofErr w:type="spellStart"/>
      <w:r>
        <w:rPr>
          <w:rFonts w:ascii="Times New Roman" w:hAnsi="Times New Roman"/>
          <w:sz w:val="24"/>
          <w:highlight w:val="yellow"/>
        </w:rPr>
        <w:t>Mahavinayak</w:t>
      </w:r>
      <w:proofErr w:type="spellEnd"/>
      <w:r>
        <w:rPr>
          <w:rFonts w:ascii="Times New Roman" w:hAnsi="Times New Roman"/>
          <w:sz w:val="24"/>
          <w:highlight w:val="yellow"/>
        </w:rPr>
        <w:t xml:space="preserve"> Hill, where only three to four individuals were recorded. Therefore, the local population size, recruitment pattern and long-term survival trend could not be assessed in detail. The threat assessment relied on available GBIF records and two user points; consequently, the results may be influenced by uneven collection intensity, historical occurrence data and possible gaps in georeferenced records. The study did not include molecular analysis, population genetics or experimental ecological assessment, which may further support taxonomic confirmation and conservation evaluation. Pharmacological information was reviewed from earlier reports, but no new phytochemical or bioactivity </w:t>
      </w:r>
      <w:r>
        <w:rPr>
          <w:rFonts w:ascii="Times New Roman" w:hAnsi="Times New Roman"/>
          <w:sz w:val="24"/>
          <w:highlight w:val="yellow"/>
        </w:rPr>
        <w:lastRenderedPageBreak/>
        <w:t>experiments were conducted. Seasonal surveys were undertaken during the stated exploration period, yet additional observations across multiple years and habitats are required to confirm the full phenological range, local abundance and habitat specificity of the species in Odisha with greater confidence.</w:t>
      </w:r>
    </w:p>
    <w:p w14:paraId="2CD3EC8C" w14:textId="77777777" w:rsidR="00046796" w:rsidRPr="00005ED1" w:rsidRDefault="00046796" w:rsidP="00046796">
      <w:pPr>
        <w:pStyle w:val="NoSpacing"/>
        <w:rPr>
          <w:rFonts w:ascii="Arial" w:hAnsi="Arial" w:cs="Arial"/>
          <w:highlight w:val="yellow"/>
        </w:rPr>
      </w:pPr>
      <w:bookmarkStart w:id="0" w:name="_Hlk198031404"/>
      <w:r w:rsidRPr="00005ED1">
        <w:rPr>
          <w:rFonts w:ascii="Arial" w:hAnsi="Arial" w:cs="Arial"/>
          <w:highlight w:val="yellow"/>
        </w:rPr>
        <w:t>Disclaimer (Artificial intelligence)</w:t>
      </w:r>
    </w:p>
    <w:p w14:paraId="592688FB" w14:textId="77777777" w:rsidR="00046796" w:rsidRPr="00005ED1" w:rsidRDefault="00046796" w:rsidP="00046796">
      <w:pPr>
        <w:pStyle w:val="NoSpacing"/>
        <w:rPr>
          <w:rFonts w:ascii="Arial" w:hAnsi="Arial" w:cs="Arial"/>
          <w:highlight w:val="yellow"/>
        </w:rPr>
      </w:pPr>
    </w:p>
    <w:p w14:paraId="3661E205" w14:textId="77777777" w:rsidR="00046796" w:rsidRPr="00005ED1" w:rsidRDefault="00046796" w:rsidP="00046796">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p>
    <w:bookmarkEnd w:id="0"/>
    <w:p w14:paraId="57C7D403" w14:textId="77777777" w:rsidR="002E08E0" w:rsidRDefault="00CC3D30" w:rsidP="00982C0F">
      <w:pPr>
        <w:jc w:val="both"/>
        <w:rPr>
          <w:rFonts w:ascii="Times New Roman" w:hAnsi="Times New Roman" w:cs="Times New Roman"/>
          <w:b/>
          <w:bCs/>
          <w:sz w:val="24"/>
          <w:szCs w:val="24"/>
        </w:rPr>
      </w:pPr>
      <w:r w:rsidRPr="0021739E">
        <w:rPr>
          <w:rFonts w:ascii="Times New Roman" w:hAnsi="Times New Roman" w:cs="Times New Roman"/>
          <w:b/>
          <w:bCs/>
          <w:sz w:val="24"/>
          <w:szCs w:val="24"/>
        </w:rPr>
        <w:t>References</w:t>
      </w:r>
    </w:p>
    <w:p w14:paraId="300A5469"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Brooks, T. M., Mittermeier, R. A., da Fonseca, G. A. B., Gerlach, J., Hoffmann, M., Lamoreux, J. F., Mittermeier, C. G., Pilgrim, J. D., &amp; Rodrigues, A. S. L. (2006). Global biodiversity conservation priorities. </w:t>
      </w:r>
      <w:r w:rsidRPr="0026135C">
        <w:rPr>
          <w:rFonts w:ascii="Aptos" w:eastAsia="Aptos" w:hAnsi="Aptos" w:cs="Times New Roman"/>
          <w:i/>
          <w:iCs/>
        </w:rPr>
        <w:t>Science, 313</w:t>
      </w:r>
      <w:r w:rsidRPr="0026135C">
        <w:rPr>
          <w:rFonts w:ascii="Aptos" w:eastAsia="Aptos" w:hAnsi="Aptos" w:cs="Times New Roman"/>
        </w:rPr>
        <w:t xml:space="preserve">(5783), 58–61. </w:t>
      </w:r>
      <w:hyperlink r:id="rId11" w:tgtFrame="_new" w:history="1">
        <w:r w:rsidRPr="0026135C">
          <w:rPr>
            <w:rFonts w:ascii="Aptos" w:eastAsia="Aptos" w:hAnsi="Aptos" w:cs="Times New Roman"/>
            <w:color w:val="467886"/>
            <w:u w:val="single"/>
          </w:rPr>
          <w:t>https://doi.org/10.1126/science.1127609</w:t>
        </w:r>
      </w:hyperlink>
      <w:r w:rsidRPr="0026135C">
        <w:rPr>
          <w:rFonts w:ascii="Aptos" w:eastAsia="Aptos" w:hAnsi="Aptos" w:cs="Times New Roman"/>
        </w:rPr>
        <w:t xml:space="preserve"> </w:t>
      </w:r>
    </w:p>
    <w:p w14:paraId="175511E5" w14:textId="77777777" w:rsidR="0026135C" w:rsidRPr="0026135C" w:rsidRDefault="0026135C" w:rsidP="0026135C">
      <w:pPr>
        <w:numPr>
          <w:ilvl w:val="0"/>
          <w:numId w:val="16"/>
        </w:numPr>
        <w:contextualSpacing/>
        <w:jc w:val="both"/>
        <w:rPr>
          <w:rFonts w:ascii="Aptos" w:eastAsia="Aptos" w:hAnsi="Aptos" w:cs="Times New Roman"/>
        </w:rPr>
      </w:pPr>
      <w:proofErr w:type="spellStart"/>
      <w:r w:rsidRPr="0026135C">
        <w:rPr>
          <w:rFonts w:ascii="Aptos" w:eastAsia="Aptos" w:hAnsi="Aptos" w:cs="Times New Roman"/>
        </w:rPr>
        <w:t>Choopan</w:t>
      </w:r>
      <w:proofErr w:type="spellEnd"/>
      <w:r w:rsidRPr="0026135C">
        <w:rPr>
          <w:rFonts w:ascii="Aptos" w:eastAsia="Aptos" w:hAnsi="Aptos" w:cs="Times New Roman"/>
        </w:rPr>
        <w:t xml:space="preserve">, T., &amp; Grote, P. J. (2015). Cystoliths in the leaves of the genus </w:t>
      </w:r>
      <w:proofErr w:type="spellStart"/>
      <w:r w:rsidRPr="0026135C">
        <w:rPr>
          <w:rFonts w:ascii="Aptos" w:eastAsia="Aptos" w:hAnsi="Aptos" w:cs="Times New Roman"/>
          <w:i/>
          <w:iCs/>
        </w:rPr>
        <w:t>Pseuderanthemum</w:t>
      </w:r>
      <w:proofErr w:type="spellEnd"/>
      <w:r w:rsidRPr="0026135C">
        <w:rPr>
          <w:rFonts w:ascii="Aptos" w:eastAsia="Aptos" w:hAnsi="Aptos" w:cs="Times New Roman"/>
        </w:rPr>
        <w:t xml:space="preserve">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in Thailand. </w:t>
      </w:r>
      <w:r w:rsidRPr="0026135C">
        <w:rPr>
          <w:rFonts w:ascii="Aptos" w:eastAsia="Aptos" w:hAnsi="Aptos" w:cs="Times New Roman"/>
          <w:i/>
          <w:iCs/>
        </w:rPr>
        <w:t>NU International Journal of Science, 12</w:t>
      </w:r>
      <w:r w:rsidRPr="0026135C">
        <w:rPr>
          <w:rFonts w:ascii="Aptos" w:eastAsia="Aptos" w:hAnsi="Aptos" w:cs="Times New Roman"/>
        </w:rPr>
        <w:t xml:space="preserve">(2), 13–20. https://www.sci.nu.ac.th/sciencejournal/index.php/sci/article/view/276/pdf </w:t>
      </w:r>
    </w:p>
    <w:p w14:paraId="359C3830" w14:textId="77777777" w:rsidR="0026135C" w:rsidRPr="0026135C" w:rsidRDefault="0026135C" w:rsidP="0026135C">
      <w:pPr>
        <w:numPr>
          <w:ilvl w:val="0"/>
          <w:numId w:val="16"/>
        </w:numPr>
        <w:contextualSpacing/>
        <w:jc w:val="both"/>
        <w:rPr>
          <w:rFonts w:ascii="Aptos" w:eastAsia="Aptos" w:hAnsi="Aptos" w:cs="Times New Roman"/>
        </w:rPr>
      </w:pPr>
      <w:proofErr w:type="spellStart"/>
      <w:r w:rsidRPr="0026135C">
        <w:rPr>
          <w:rFonts w:ascii="Aptos" w:eastAsia="Aptos" w:hAnsi="Aptos" w:cs="Times New Roman"/>
        </w:rPr>
        <w:t>Choopan</w:t>
      </w:r>
      <w:proofErr w:type="spellEnd"/>
      <w:r w:rsidRPr="0026135C">
        <w:rPr>
          <w:rFonts w:ascii="Aptos" w:eastAsia="Aptos" w:hAnsi="Aptos" w:cs="Times New Roman"/>
        </w:rPr>
        <w:t xml:space="preserve">, T., Grote, P. J., </w:t>
      </w:r>
      <w:proofErr w:type="spellStart"/>
      <w:r w:rsidRPr="0026135C">
        <w:rPr>
          <w:rFonts w:ascii="Aptos" w:eastAsia="Aptos" w:hAnsi="Aptos" w:cs="Times New Roman"/>
        </w:rPr>
        <w:t>Chayamarit</w:t>
      </w:r>
      <w:proofErr w:type="spellEnd"/>
      <w:r w:rsidRPr="0026135C">
        <w:rPr>
          <w:rFonts w:ascii="Aptos" w:eastAsia="Aptos" w:hAnsi="Aptos" w:cs="Times New Roman"/>
        </w:rPr>
        <w:t xml:space="preserve">, K., &amp; Simpson, D. A. (2018). An annotated checklist of the genus </w:t>
      </w:r>
      <w:proofErr w:type="spellStart"/>
      <w:r w:rsidRPr="0026135C">
        <w:rPr>
          <w:rFonts w:ascii="Aptos" w:eastAsia="Aptos" w:hAnsi="Aptos" w:cs="Times New Roman"/>
          <w:i/>
          <w:iCs/>
        </w:rPr>
        <w:t>Pseuderanthemum</w:t>
      </w:r>
      <w:proofErr w:type="spellEnd"/>
      <w:r w:rsidRPr="0026135C">
        <w:rPr>
          <w:rFonts w:ascii="Aptos" w:eastAsia="Aptos" w:hAnsi="Aptos" w:cs="Times New Roman"/>
        </w:rPr>
        <w:t xml:space="preserve"> </w:t>
      </w:r>
      <w:proofErr w:type="spellStart"/>
      <w:r w:rsidRPr="0026135C">
        <w:rPr>
          <w:rFonts w:ascii="Aptos" w:eastAsia="Aptos" w:hAnsi="Aptos" w:cs="Times New Roman"/>
        </w:rPr>
        <w:t>Radlk</w:t>
      </w:r>
      <w:proofErr w:type="spellEnd"/>
      <w:r w:rsidRPr="0026135C">
        <w:rPr>
          <w:rFonts w:ascii="Aptos" w:eastAsia="Aptos" w:hAnsi="Aptos" w:cs="Times New Roman"/>
        </w:rPr>
        <w:t>.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in Thailand. </w:t>
      </w:r>
      <w:r w:rsidRPr="0026135C">
        <w:rPr>
          <w:rFonts w:ascii="Aptos" w:eastAsia="Aptos" w:hAnsi="Aptos" w:cs="Times New Roman"/>
          <w:i/>
          <w:iCs/>
        </w:rPr>
        <w:t>Thai Forest Bulletin (Botany), 46</w:t>
      </w:r>
      <w:r w:rsidRPr="0026135C">
        <w:rPr>
          <w:rFonts w:ascii="Aptos" w:eastAsia="Aptos" w:hAnsi="Aptos" w:cs="Times New Roman"/>
        </w:rPr>
        <w:t xml:space="preserve">(1), 90–111. </w:t>
      </w:r>
      <w:hyperlink r:id="rId12" w:tgtFrame="_new" w:history="1">
        <w:r w:rsidRPr="0026135C">
          <w:rPr>
            <w:rFonts w:ascii="Aptos" w:eastAsia="Aptos" w:hAnsi="Aptos" w:cs="Times New Roman"/>
            <w:color w:val="467886"/>
            <w:u w:val="single"/>
          </w:rPr>
          <w:t>https://doi.org/10.20531/tfb.2018.46.1.13</w:t>
        </w:r>
      </w:hyperlink>
      <w:r w:rsidRPr="0026135C">
        <w:rPr>
          <w:rFonts w:ascii="Aptos" w:eastAsia="Aptos" w:hAnsi="Aptos" w:cs="Times New Roman"/>
        </w:rPr>
        <w:t xml:space="preserve"> </w:t>
      </w:r>
    </w:p>
    <w:p w14:paraId="4524538B"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Das, M., &amp; Lahiri, S. (2022). Threat assessment of two Himalayan endemic alpine plant species and conservation implications. </w:t>
      </w:r>
      <w:r w:rsidRPr="0026135C">
        <w:rPr>
          <w:rFonts w:ascii="Aptos" w:eastAsia="Aptos" w:hAnsi="Aptos" w:cs="Times New Roman"/>
          <w:i/>
          <w:iCs/>
        </w:rPr>
        <w:t>International Journal of Bioresource Science, 9</w:t>
      </w:r>
      <w:r w:rsidRPr="0026135C">
        <w:rPr>
          <w:rFonts w:ascii="Aptos" w:eastAsia="Aptos" w:hAnsi="Aptos" w:cs="Times New Roman"/>
        </w:rPr>
        <w:t xml:space="preserve">(2), 139–144. </w:t>
      </w:r>
      <w:hyperlink r:id="rId13" w:tgtFrame="_new" w:history="1">
        <w:r w:rsidRPr="0026135C">
          <w:rPr>
            <w:rFonts w:ascii="Aptos" w:eastAsia="Aptos" w:hAnsi="Aptos" w:cs="Times New Roman"/>
            <w:color w:val="467886"/>
            <w:u w:val="single"/>
          </w:rPr>
          <w:t>https://doi.org/10.30954/2347-9655.02.2022.11</w:t>
        </w:r>
      </w:hyperlink>
      <w:r w:rsidRPr="0026135C">
        <w:rPr>
          <w:rFonts w:ascii="Aptos" w:eastAsia="Aptos" w:hAnsi="Aptos" w:cs="Times New Roman"/>
        </w:rPr>
        <w:t xml:space="preserve"> </w:t>
      </w:r>
    </w:p>
    <w:p w14:paraId="1DA5C7A0" w14:textId="77777777" w:rsidR="0026135C" w:rsidRPr="0026135C" w:rsidRDefault="0026135C" w:rsidP="0026135C">
      <w:pPr>
        <w:numPr>
          <w:ilvl w:val="0"/>
          <w:numId w:val="16"/>
        </w:numPr>
        <w:contextualSpacing/>
        <w:jc w:val="both"/>
        <w:rPr>
          <w:rFonts w:ascii="Aptos" w:eastAsia="Aptos" w:hAnsi="Aptos" w:cs="Times New Roman"/>
        </w:rPr>
      </w:pPr>
      <w:proofErr w:type="spellStart"/>
      <w:r w:rsidRPr="0026135C">
        <w:rPr>
          <w:rFonts w:ascii="Aptos" w:eastAsia="Aptos" w:hAnsi="Aptos" w:cs="Times New Roman"/>
        </w:rPr>
        <w:t>Dhatchanamoorthy</w:t>
      </w:r>
      <w:proofErr w:type="spellEnd"/>
      <w:r w:rsidRPr="0026135C">
        <w:rPr>
          <w:rFonts w:ascii="Aptos" w:eastAsia="Aptos" w:hAnsi="Aptos" w:cs="Times New Roman"/>
        </w:rPr>
        <w:t xml:space="preserve">, N., Arumugam, T., &amp; Raja, P. (2015). First report of </w:t>
      </w:r>
      <w:proofErr w:type="spellStart"/>
      <w:r w:rsidRPr="0026135C">
        <w:rPr>
          <w:rFonts w:ascii="Aptos" w:eastAsia="Aptos" w:hAnsi="Aptos" w:cs="Times New Roman"/>
          <w:i/>
          <w:iCs/>
        </w:rPr>
        <w:t>Pseuderanthemum</w:t>
      </w:r>
      <w:proofErr w:type="spellEnd"/>
      <w:r w:rsidRPr="0026135C">
        <w:rPr>
          <w:rFonts w:ascii="Aptos" w:eastAsia="Aptos" w:hAnsi="Aptos" w:cs="Times New Roman"/>
          <w:i/>
          <w:iCs/>
        </w:rPr>
        <w:t xml:space="preserve"> </w:t>
      </w:r>
      <w:proofErr w:type="spellStart"/>
      <w:r w:rsidRPr="0026135C">
        <w:rPr>
          <w:rFonts w:ascii="Aptos" w:eastAsia="Aptos" w:hAnsi="Aptos" w:cs="Times New Roman"/>
          <w:i/>
          <w:iCs/>
        </w:rPr>
        <w:t>malabaricum</w:t>
      </w:r>
      <w:proofErr w:type="spellEnd"/>
      <w:r w:rsidRPr="0026135C">
        <w:rPr>
          <w:rFonts w:ascii="Aptos" w:eastAsia="Aptos" w:hAnsi="Aptos" w:cs="Times New Roman"/>
        </w:rPr>
        <w:t xml:space="preserve">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Rare species of central and southern Eastern Ghats of Tamil Nadu, India. </w:t>
      </w:r>
      <w:r w:rsidRPr="0026135C">
        <w:rPr>
          <w:rFonts w:ascii="Aptos" w:eastAsia="Aptos" w:hAnsi="Aptos" w:cs="Times New Roman"/>
          <w:i/>
          <w:iCs/>
        </w:rPr>
        <w:t>Elixir Applied Botany, 84</w:t>
      </w:r>
      <w:r w:rsidRPr="0026135C">
        <w:rPr>
          <w:rFonts w:ascii="Aptos" w:eastAsia="Aptos" w:hAnsi="Aptos" w:cs="Times New Roman"/>
        </w:rPr>
        <w:t xml:space="preserve">, 33639–33640. </w:t>
      </w:r>
      <w:hyperlink r:id="rId14" w:tgtFrame="_new" w:history="1">
        <w:r w:rsidRPr="0026135C">
          <w:rPr>
            <w:rFonts w:ascii="Aptos" w:eastAsia="Aptos" w:hAnsi="Aptos" w:cs="Times New Roman"/>
            <w:color w:val="467886"/>
            <w:u w:val="single"/>
          </w:rPr>
          <w:t>https://www.elixirpublishers.com/articles/1678441575_201507035.pdf</w:t>
        </w:r>
      </w:hyperlink>
      <w:r w:rsidRPr="0026135C">
        <w:rPr>
          <w:rFonts w:ascii="Aptos" w:eastAsia="Aptos" w:hAnsi="Aptos" w:cs="Times New Roman"/>
        </w:rPr>
        <w:t xml:space="preserve"> </w:t>
      </w:r>
    </w:p>
    <w:p w14:paraId="7BE80D94"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Forester, D. J., &amp; </w:t>
      </w:r>
      <w:proofErr w:type="spellStart"/>
      <w:r w:rsidRPr="0026135C">
        <w:rPr>
          <w:rFonts w:ascii="Aptos" w:eastAsia="Aptos" w:hAnsi="Aptos" w:cs="Times New Roman"/>
        </w:rPr>
        <w:t>Machlis</w:t>
      </w:r>
      <w:proofErr w:type="spellEnd"/>
      <w:r w:rsidRPr="0026135C">
        <w:rPr>
          <w:rFonts w:ascii="Aptos" w:eastAsia="Aptos" w:hAnsi="Aptos" w:cs="Times New Roman"/>
        </w:rPr>
        <w:t xml:space="preserve">, G. E. (1996). </w:t>
      </w:r>
      <w:proofErr w:type="spellStart"/>
      <w:r w:rsidRPr="0026135C">
        <w:rPr>
          <w:rFonts w:ascii="Aptos" w:eastAsia="Aptos" w:hAnsi="Aptos" w:cs="Times New Roman"/>
        </w:rPr>
        <w:t>Modeling</w:t>
      </w:r>
      <w:proofErr w:type="spellEnd"/>
      <w:r w:rsidRPr="0026135C">
        <w:rPr>
          <w:rFonts w:ascii="Aptos" w:eastAsia="Aptos" w:hAnsi="Aptos" w:cs="Times New Roman"/>
        </w:rPr>
        <w:t xml:space="preserve"> human factors that affect the loss of biodiversity. </w:t>
      </w:r>
      <w:r w:rsidRPr="0026135C">
        <w:rPr>
          <w:rFonts w:ascii="Aptos" w:eastAsia="Aptos" w:hAnsi="Aptos" w:cs="Times New Roman"/>
          <w:i/>
          <w:iCs/>
        </w:rPr>
        <w:t>Conservation Biology, 10</w:t>
      </w:r>
      <w:r w:rsidRPr="0026135C">
        <w:rPr>
          <w:rFonts w:ascii="Aptos" w:eastAsia="Aptos" w:hAnsi="Aptos" w:cs="Times New Roman"/>
        </w:rPr>
        <w:t xml:space="preserve">(4), 1253–1263. </w:t>
      </w:r>
      <w:hyperlink r:id="rId15" w:tgtFrame="_new" w:history="1">
        <w:r w:rsidRPr="0026135C">
          <w:rPr>
            <w:rFonts w:ascii="Aptos" w:eastAsia="Aptos" w:hAnsi="Aptos" w:cs="Times New Roman"/>
            <w:color w:val="467886"/>
            <w:u w:val="single"/>
          </w:rPr>
          <w:t>https://doi.org/10.1046/j.1523-1739.1996.10041253.x</w:t>
        </w:r>
      </w:hyperlink>
      <w:r w:rsidRPr="0026135C">
        <w:rPr>
          <w:rFonts w:ascii="Aptos" w:eastAsia="Aptos" w:hAnsi="Aptos" w:cs="Times New Roman"/>
        </w:rPr>
        <w:t xml:space="preserve"> </w:t>
      </w:r>
    </w:p>
    <w:p w14:paraId="105DD969"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Gamble, J. S. (1924). </w:t>
      </w:r>
      <w:r w:rsidRPr="0026135C">
        <w:rPr>
          <w:rFonts w:ascii="Aptos" w:eastAsia="Aptos" w:hAnsi="Aptos" w:cs="Times New Roman"/>
          <w:i/>
          <w:iCs/>
        </w:rPr>
        <w:t>Flora of the Presidency of Madras</w:t>
      </w:r>
      <w:r w:rsidRPr="0026135C">
        <w:rPr>
          <w:rFonts w:ascii="Aptos" w:eastAsia="Aptos" w:hAnsi="Aptos" w:cs="Times New Roman"/>
        </w:rPr>
        <w:t xml:space="preserve">. West, Newman &amp; Adlard. </w:t>
      </w:r>
      <w:hyperlink r:id="rId16" w:tgtFrame="_new" w:history="1">
        <w:r w:rsidRPr="0026135C">
          <w:rPr>
            <w:rFonts w:ascii="Aptos" w:eastAsia="Aptos" w:hAnsi="Aptos" w:cs="Times New Roman"/>
            <w:color w:val="467886"/>
            <w:u w:val="single"/>
          </w:rPr>
          <w:t>https://www.biodiversitylibrary.org/bibliography/21628</w:t>
        </w:r>
      </w:hyperlink>
    </w:p>
    <w:p w14:paraId="7B6A4152"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Haines, H. H. (1921–1925). </w:t>
      </w:r>
      <w:r w:rsidRPr="0026135C">
        <w:rPr>
          <w:rFonts w:ascii="Aptos" w:eastAsia="Aptos" w:hAnsi="Aptos" w:cs="Times New Roman"/>
          <w:i/>
          <w:iCs/>
        </w:rPr>
        <w:t>The botany of Bihar and Orissa: An account of all the known indigenous plants of the province and of the most important or most commonly cultivated exotic ones</w:t>
      </w:r>
      <w:r w:rsidRPr="0026135C">
        <w:rPr>
          <w:rFonts w:ascii="Aptos" w:eastAsia="Aptos" w:hAnsi="Aptos" w:cs="Times New Roman"/>
        </w:rPr>
        <w:t xml:space="preserve">. Adlard &amp; Son. https://doi.org/10.5962/bhl.title.11031 </w:t>
      </w:r>
    </w:p>
    <w:p w14:paraId="3658DF20"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Hansen, B. (1989). Notes on SE Asian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1. </w:t>
      </w:r>
      <w:r w:rsidRPr="0026135C">
        <w:rPr>
          <w:rFonts w:ascii="Aptos" w:eastAsia="Aptos" w:hAnsi="Aptos" w:cs="Times New Roman"/>
          <w:i/>
          <w:iCs/>
        </w:rPr>
        <w:t>Nordic Journal of Botany, 9</w:t>
      </w:r>
      <w:r w:rsidRPr="0026135C">
        <w:rPr>
          <w:rFonts w:ascii="Aptos" w:eastAsia="Aptos" w:hAnsi="Aptos" w:cs="Times New Roman"/>
        </w:rPr>
        <w:t xml:space="preserve">(2), 209–215. </w:t>
      </w:r>
      <w:hyperlink r:id="rId17" w:tgtFrame="_new" w:history="1">
        <w:r w:rsidRPr="0026135C">
          <w:rPr>
            <w:rFonts w:ascii="Aptos" w:eastAsia="Aptos" w:hAnsi="Aptos" w:cs="Times New Roman"/>
            <w:color w:val="467886"/>
            <w:u w:val="single"/>
          </w:rPr>
          <w:t>https://doi.org/10.1111/j.1756-1051.1989.tb02117.x</w:t>
        </w:r>
      </w:hyperlink>
      <w:r w:rsidRPr="0026135C">
        <w:rPr>
          <w:rFonts w:ascii="Aptos" w:eastAsia="Aptos" w:hAnsi="Aptos" w:cs="Times New Roman"/>
        </w:rPr>
        <w:t xml:space="preserve"> </w:t>
      </w:r>
    </w:p>
    <w:p w14:paraId="0A749DAE"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Hema, G., &amp; </w:t>
      </w:r>
      <w:proofErr w:type="spellStart"/>
      <w:r w:rsidRPr="0026135C">
        <w:rPr>
          <w:rFonts w:ascii="Aptos" w:eastAsia="Aptos" w:hAnsi="Aptos" w:cs="Times New Roman"/>
        </w:rPr>
        <w:t>Keshamma</w:t>
      </w:r>
      <w:proofErr w:type="spellEnd"/>
      <w:r w:rsidRPr="0026135C">
        <w:rPr>
          <w:rFonts w:ascii="Aptos" w:eastAsia="Aptos" w:hAnsi="Aptos" w:cs="Times New Roman"/>
        </w:rPr>
        <w:t xml:space="preserve">, E. (2025). Anthelmintic activity of ethanolic leaf extract of </w:t>
      </w:r>
      <w:proofErr w:type="spellStart"/>
      <w:r w:rsidRPr="0026135C">
        <w:rPr>
          <w:rFonts w:ascii="Aptos" w:eastAsia="Aptos" w:hAnsi="Aptos" w:cs="Times New Roman"/>
          <w:i/>
          <w:iCs/>
        </w:rPr>
        <w:t>Pseuderanthemum</w:t>
      </w:r>
      <w:proofErr w:type="spellEnd"/>
      <w:r w:rsidRPr="0026135C">
        <w:rPr>
          <w:rFonts w:ascii="Aptos" w:eastAsia="Aptos" w:hAnsi="Aptos" w:cs="Times New Roman"/>
          <w:i/>
          <w:iCs/>
        </w:rPr>
        <w:t xml:space="preserve"> </w:t>
      </w:r>
      <w:proofErr w:type="spellStart"/>
      <w:r w:rsidRPr="0026135C">
        <w:rPr>
          <w:rFonts w:ascii="Aptos" w:eastAsia="Aptos" w:hAnsi="Aptos" w:cs="Times New Roman"/>
          <w:i/>
          <w:iCs/>
        </w:rPr>
        <w:t>latifolium</w:t>
      </w:r>
      <w:proofErr w:type="spellEnd"/>
      <w:r w:rsidRPr="0026135C">
        <w:rPr>
          <w:rFonts w:ascii="Aptos" w:eastAsia="Aptos" w:hAnsi="Aptos" w:cs="Times New Roman"/>
        </w:rPr>
        <w:t xml:space="preserve">: An in-vitro study. </w:t>
      </w:r>
      <w:proofErr w:type="spellStart"/>
      <w:r w:rsidRPr="0026135C">
        <w:rPr>
          <w:rFonts w:ascii="Aptos" w:eastAsia="Aptos" w:hAnsi="Aptos" w:cs="Times New Roman"/>
          <w:i/>
          <w:iCs/>
        </w:rPr>
        <w:t>Cuestiones</w:t>
      </w:r>
      <w:proofErr w:type="spellEnd"/>
      <w:r w:rsidRPr="0026135C">
        <w:rPr>
          <w:rFonts w:ascii="Aptos" w:eastAsia="Aptos" w:hAnsi="Aptos" w:cs="Times New Roman"/>
          <w:i/>
          <w:iCs/>
        </w:rPr>
        <w:t xml:space="preserve"> de </w:t>
      </w:r>
      <w:proofErr w:type="spellStart"/>
      <w:r w:rsidRPr="0026135C">
        <w:rPr>
          <w:rFonts w:ascii="Aptos" w:eastAsia="Aptos" w:hAnsi="Aptos" w:cs="Times New Roman"/>
          <w:i/>
          <w:iCs/>
        </w:rPr>
        <w:t>Fisioterapia</w:t>
      </w:r>
      <w:proofErr w:type="spellEnd"/>
      <w:r w:rsidRPr="0026135C">
        <w:rPr>
          <w:rFonts w:ascii="Aptos" w:eastAsia="Aptos" w:hAnsi="Aptos" w:cs="Times New Roman"/>
          <w:i/>
          <w:iCs/>
        </w:rPr>
        <w:t>, 54</w:t>
      </w:r>
      <w:r w:rsidRPr="0026135C">
        <w:rPr>
          <w:rFonts w:ascii="Aptos" w:eastAsia="Aptos" w:hAnsi="Aptos" w:cs="Times New Roman"/>
        </w:rPr>
        <w:t xml:space="preserve">(3), 1093–1104. </w:t>
      </w:r>
      <w:hyperlink r:id="rId18" w:history="1">
        <w:r w:rsidRPr="0026135C">
          <w:rPr>
            <w:rFonts w:ascii="Aptos" w:eastAsia="Aptos" w:hAnsi="Aptos" w:cs="Times New Roman"/>
            <w:color w:val="467886"/>
            <w:u w:val="single"/>
          </w:rPr>
          <w:t>https://doi.org/10.48047/g8bqrd07</w:t>
        </w:r>
      </w:hyperlink>
      <w:r w:rsidRPr="0026135C">
        <w:rPr>
          <w:rFonts w:ascii="Aptos" w:eastAsia="Aptos" w:hAnsi="Aptos" w:cs="Times New Roman"/>
        </w:rPr>
        <w:t xml:space="preserve"> </w:t>
      </w:r>
    </w:p>
    <w:p w14:paraId="36D1C187"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Hooker, J. D. (1872–1897). </w:t>
      </w:r>
      <w:r w:rsidRPr="0026135C">
        <w:rPr>
          <w:rFonts w:ascii="Aptos" w:eastAsia="Aptos" w:hAnsi="Aptos" w:cs="Times New Roman"/>
          <w:i/>
          <w:iCs/>
        </w:rPr>
        <w:t>The flora of British India</w:t>
      </w:r>
      <w:r w:rsidRPr="0026135C">
        <w:rPr>
          <w:rFonts w:ascii="Aptos" w:eastAsia="Aptos" w:hAnsi="Aptos" w:cs="Times New Roman"/>
        </w:rPr>
        <w:t xml:space="preserve"> (Vol. 4). L. Reeve &amp; Co. </w:t>
      </w:r>
      <w:hyperlink r:id="rId19" w:tgtFrame="_new" w:history="1">
        <w:r w:rsidRPr="0026135C">
          <w:rPr>
            <w:rFonts w:ascii="Aptos" w:eastAsia="Aptos" w:hAnsi="Aptos" w:cs="Times New Roman"/>
            <w:color w:val="467886"/>
            <w:u w:val="single"/>
          </w:rPr>
          <w:t>https://www.biodiversitylibrary.org/bibliography/678</w:t>
        </w:r>
      </w:hyperlink>
      <w:r w:rsidRPr="0026135C">
        <w:rPr>
          <w:rFonts w:ascii="Aptos" w:eastAsia="Aptos" w:hAnsi="Aptos" w:cs="Times New Roman"/>
        </w:rPr>
        <w:t xml:space="preserve"> </w:t>
      </w:r>
    </w:p>
    <w:p w14:paraId="27FA1D0E"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IUCN Standards and Petitions Committee. (2019). </w:t>
      </w:r>
      <w:r w:rsidRPr="0026135C">
        <w:rPr>
          <w:rFonts w:ascii="Aptos" w:eastAsia="Aptos" w:hAnsi="Aptos" w:cs="Times New Roman"/>
          <w:i/>
          <w:iCs/>
        </w:rPr>
        <w:t>Guidelines for using the IUCN Red List categories and criteria</w:t>
      </w:r>
      <w:r w:rsidRPr="0026135C">
        <w:rPr>
          <w:rFonts w:ascii="Aptos" w:eastAsia="Aptos" w:hAnsi="Aptos" w:cs="Times New Roman"/>
        </w:rPr>
        <w:t xml:space="preserve"> (Version 14). IUCN. </w:t>
      </w:r>
      <w:hyperlink r:id="rId20" w:tgtFrame="_new" w:history="1">
        <w:r w:rsidRPr="0026135C">
          <w:rPr>
            <w:rFonts w:ascii="Aptos" w:eastAsia="Aptos" w:hAnsi="Aptos" w:cs="Times New Roman"/>
            <w:color w:val="467886"/>
            <w:u w:val="single"/>
          </w:rPr>
          <w:t>https://www.iucnredlist.org/resources/redlistguidelines</w:t>
        </w:r>
      </w:hyperlink>
      <w:r w:rsidRPr="0026135C">
        <w:rPr>
          <w:rFonts w:ascii="Aptos" w:eastAsia="Aptos" w:hAnsi="Aptos" w:cs="Times New Roman"/>
        </w:rPr>
        <w:t xml:space="preserve"> </w:t>
      </w:r>
    </w:p>
    <w:p w14:paraId="413960BA"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lastRenderedPageBreak/>
        <w:t xml:space="preserve">Karthikeyan, S., </w:t>
      </w:r>
      <w:proofErr w:type="spellStart"/>
      <w:r w:rsidRPr="0026135C">
        <w:rPr>
          <w:rFonts w:ascii="Aptos" w:eastAsia="Aptos" w:hAnsi="Aptos" w:cs="Times New Roman"/>
        </w:rPr>
        <w:t>Sanjappa</w:t>
      </w:r>
      <w:proofErr w:type="spellEnd"/>
      <w:r w:rsidRPr="0026135C">
        <w:rPr>
          <w:rFonts w:ascii="Aptos" w:eastAsia="Aptos" w:hAnsi="Aptos" w:cs="Times New Roman"/>
        </w:rPr>
        <w:t xml:space="preserve">, M., &amp; Moorthy, S. (2009). </w:t>
      </w:r>
      <w:r w:rsidRPr="0026135C">
        <w:rPr>
          <w:rFonts w:ascii="Aptos" w:eastAsia="Aptos" w:hAnsi="Aptos" w:cs="Times New Roman"/>
          <w:i/>
          <w:iCs/>
        </w:rPr>
        <w:t>Flowering plants of India: Dicotyledons</w:t>
      </w:r>
      <w:r w:rsidRPr="0026135C">
        <w:rPr>
          <w:rFonts w:ascii="Aptos" w:eastAsia="Aptos" w:hAnsi="Aptos" w:cs="Times New Roman"/>
        </w:rPr>
        <w:t xml:space="preserve"> (Vol. 1, </w:t>
      </w:r>
      <w:proofErr w:type="spellStart"/>
      <w:r w:rsidRPr="0026135C">
        <w:rPr>
          <w:rFonts w:ascii="Aptos" w:eastAsia="Aptos" w:hAnsi="Aptos" w:cs="Times New Roman"/>
        </w:rPr>
        <w:t>Acanthaceae</w:t>
      </w:r>
      <w:proofErr w:type="spellEnd"/>
      <w:r w:rsidRPr="0026135C">
        <w:rPr>
          <w:rFonts w:ascii="Aptos" w:eastAsia="Aptos" w:hAnsi="Aptos" w:cs="Times New Roman"/>
        </w:rPr>
        <w:t>–</w:t>
      </w:r>
      <w:proofErr w:type="spellStart"/>
      <w:r w:rsidRPr="0026135C">
        <w:rPr>
          <w:rFonts w:ascii="Aptos" w:eastAsia="Aptos" w:hAnsi="Aptos" w:cs="Times New Roman"/>
        </w:rPr>
        <w:t>Avicenniaceae</w:t>
      </w:r>
      <w:proofErr w:type="spellEnd"/>
      <w:r w:rsidRPr="0026135C">
        <w:rPr>
          <w:rFonts w:ascii="Aptos" w:eastAsia="Aptos" w:hAnsi="Aptos" w:cs="Times New Roman"/>
        </w:rPr>
        <w:t xml:space="preserve">). Botanical Survey of India. </w:t>
      </w:r>
      <w:hyperlink r:id="rId21" w:tgtFrame="_new" w:history="1">
        <w:r w:rsidRPr="0026135C">
          <w:rPr>
            <w:rFonts w:ascii="Aptos" w:eastAsia="Aptos" w:hAnsi="Aptos" w:cs="Times New Roman"/>
            <w:color w:val="467886"/>
            <w:u w:val="single"/>
          </w:rPr>
          <w:t>https://www.ipni.org/p/20012499-1</w:t>
        </w:r>
      </w:hyperlink>
      <w:r w:rsidRPr="0026135C">
        <w:rPr>
          <w:rFonts w:ascii="Aptos" w:eastAsia="Aptos" w:hAnsi="Aptos" w:cs="Times New Roman"/>
        </w:rPr>
        <w:t xml:space="preserve"> </w:t>
      </w:r>
    </w:p>
    <w:p w14:paraId="514093B7"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Manzitto-Tripp, E. A., Darbyshire, I., Daniel, T. F., Kiel, C. A., &amp; McDade, L. A. (2022). Revised classification of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and worldwide dichotomous keys. </w:t>
      </w:r>
      <w:r w:rsidRPr="0026135C">
        <w:rPr>
          <w:rFonts w:ascii="Aptos" w:eastAsia="Aptos" w:hAnsi="Aptos" w:cs="Times New Roman"/>
          <w:i/>
          <w:iCs/>
        </w:rPr>
        <w:t>Taxon, 71</w:t>
      </w:r>
      <w:r w:rsidRPr="0026135C">
        <w:rPr>
          <w:rFonts w:ascii="Aptos" w:eastAsia="Aptos" w:hAnsi="Aptos" w:cs="Times New Roman"/>
        </w:rPr>
        <w:t xml:space="preserve">(1), 103–153. </w:t>
      </w:r>
      <w:hyperlink r:id="rId22" w:tgtFrame="_new" w:history="1">
        <w:r w:rsidRPr="0026135C">
          <w:rPr>
            <w:rFonts w:ascii="Aptos" w:eastAsia="Aptos" w:hAnsi="Aptos" w:cs="Times New Roman"/>
            <w:color w:val="467886"/>
            <w:u w:val="single"/>
          </w:rPr>
          <w:t>https://doi.org/10.1002/tax.12600</w:t>
        </w:r>
      </w:hyperlink>
      <w:r w:rsidRPr="0026135C">
        <w:rPr>
          <w:rFonts w:ascii="Aptos" w:eastAsia="Aptos" w:hAnsi="Aptos" w:cs="Times New Roman"/>
        </w:rPr>
        <w:t xml:space="preserve"> </w:t>
      </w:r>
    </w:p>
    <w:p w14:paraId="356FACA5"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Mooney, H. F. (1950). </w:t>
      </w:r>
      <w:r w:rsidRPr="0026135C">
        <w:rPr>
          <w:rFonts w:ascii="Aptos" w:eastAsia="Aptos" w:hAnsi="Aptos" w:cs="Times New Roman"/>
          <w:i/>
          <w:iCs/>
        </w:rPr>
        <w:t>Supplement to the botany of Bihar and Orissa</w:t>
      </w:r>
      <w:r w:rsidRPr="0026135C">
        <w:rPr>
          <w:rFonts w:ascii="Aptos" w:eastAsia="Aptos" w:hAnsi="Aptos" w:cs="Times New Roman"/>
        </w:rPr>
        <w:t xml:space="preserve">. Catholic Press. </w:t>
      </w:r>
      <w:hyperlink r:id="rId23" w:history="1">
        <w:r w:rsidRPr="0026135C">
          <w:rPr>
            <w:rFonts w:ascii="Aptos" w:eastAsia="Aptos" w:hAnsi="Aptos" w:cs="Times New Roman"/>
            <w:color w:val="467886"/>
            <w:u w:val="single"/>
          </w:rPr>
          <w:t>https://www.si.edu/object/supplement-botany-bihar-and-orissa-herbert-mooney-published-author-under-authority-government-orissa%3Asiris_sil_170302</w:t>
        </w:r>
      </w:hyperlink>
      <w:r w:rsidRPr="0026135C">
        <w:rPr>
          <w:rFonts w:ascii="Aptos" w:eastAsia="Aptos" w:hAnsi="Aptos" w:cs="Times New Roman"/>
        </w:rPr>
        <w:t xml:space="preserve">  </w:t>
      </w:r>
    </w:p>
    <w:p w14:paraId="183F15A1"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Nayak, S., Mandal, K., Priyadarshini, S., Mishra, D., Sahu, S. C., Kumar, M., Sarangi, K., Mallik, P. S., &amp; Dhal, N. K. (2024). </w:t>
      </w:r>
      <w:proofErr w:type="spellStart"/>
      <w:r w:rsidRPr="0026135C">
        <w:rPr>
          <w:rFonts w:ascii="Aptos" w:eastAsia="Aptos" w:hAnsi="Aptos" w:cs="Times New Roman"/>
        </w:rPr>
        <w:t>Phytodiversity</w:t>
      </w:r>
      <w:proofErr w:type="spellEnd"/>
      <w:r w:rsidRPr="0026135C">
        <w:rPr>
          <w:rFonts w:ascii="Aptos" w:eastAsia="Aptos" w:hAnsi="Aptos" w:cs="Times New Roman"/>
        </w:rPr>
        <w:t xml:space="preserve"> study of </w:t>
      </w:r>
      <w:proofErr w:type="spellStart"/>
      <w:r w:rsidRPr="0026135C">
        <w:rPr>
          <w:rFonts w:ascii="Aptos" w:eastAsia="Aptos" w:hAnsi="Aptos" w:cs="Times New Roman"/>
        </w:rPr>
        <w:t>Nayagarh</w:t>
      </w:r>
      <w:proofErr w:type="spellEnd"/>
      <w:r w:rsidRPr="0026135C">
        <w:rPr>
          <w:rFonts w:ascii="Aptos" w:eastAsia="Aptos" w:hAnsi="Aptos" w:cs="Times New Roman"/>
        </w:rPr>
        <w:t xml:space="preserve"> Forest Division, Odisha. </w:t>
      </w:r>
      <w:r w:rsidRPr="0026135C">
        <w:rPr>
          <w:rFonts w:ascii="Aptos" w:eastAsia="Aptos" w:hAnsi="Aptos" w:cs="Times New Roman"/>
          <w:i/>
          <w:iCs/>
        </w:rPr>
        <w:t>Asian Journal of Conservation Biology, 13</w:t>
      </w:r>
      <w:r w:rsidRPr="0026135C">
        <w:rPr>
          <w:rFonts w:ascii="Aptos" w:eastAsia="Aptos" w:hAnsi="Aptos" w:cs="Times New Roman"/>
        </w:rPr>
        <w:t xml:space="preserve">(2), 215–231. </w:t>
      </w:r>
      <w:hyperlink r:id="rId24" w:tgtFrame="_new" w:history="1">
        <w:r w:rsidRPr="0026135C">
          <w:rPr>
            <w:rFonts w:ascii="Aptos" w:eastAsia="Aptos" w:hAnsi="Aptos" w:cs="Times New Roman"/>
            <w:color w:val="467886"/>
            <w:u w:val="single"/>
          </w:rPr>
          <w:t>https://doi.org/10.53562/ajcb.79572</w:t>
        </w:r>
      </w:hyperlink>
      <w:r w:rsidRPr="0026135C">
        <w:rPr>
          <w:rFonts w:ascii="Aptos" w:eastAsia="Aptos" w:hAnsi="Aptos" w:cs="Times New Roman"/>
        </w:rPr>
        <w:t xml:space="preserve"> </w:t>
      </w:r>
    </w:p>
    <w:p w14:paraId="472D733E"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Olmstead, R. G., Albach, D., Beardsley, P., Bedigian, D., Bremer, B., Cantino, P., Chau, J., Clark, J. L., Drew, B., Garnock-Jones, P., Grose, S., Harley, R., Ihlenfeldt, H. D., Li, B., Lohmann, L., Mathews, S., McDade, L., Müller, K., Norman, E., O’Leary, N., </w:t>
      </w:r>
      <w:proofErr w:type="spellStart"/>
      <w:r w:rsidRPr="0026135C">
        <w:rPr>
          <w:rFonts w:ascii="Aptos" w:eastAsia="Aptos" w:hAnsi="Aptos" w:cs="Times New Roman"/>
        </w:rPr>
        <w:t>Oxelman</w:t>
      </w:r>
      <w:proofErr w:type="spellEnd"/>
      <w:r w:rsidRPr="0026135C">
        <w:rPr>
          <w:rFonts w:ascii="Aptos" w:eastAsia="Aptos" w:hAnsi="Aptos" w:cs="Times New Roman"/>
        </w:rPr>
        <w:t xml:space="preserve">, B., Reveal, J., Scotland, R., Smith, J., Tank, D., Tripp, E., Wagstaff, S., &amp; Wallander, E. (2016). </w:t>
      </w:r>
      <w:r w:rsidRPr="0026135C">
        <w:rPr>
          <w:rFonts w:ascii="Aptos" w:eastAsia="Aptos" w:hAnsi="Aptos" w:cs="Times New Roman"/>
          <w:i/>
          <w:iCs/>
        </w:rPr>
        <w:t xml:space="preserve">A synoptical classification of the </w:t>
      </w:r>
      <w:proofErr w:type="spellStart"/>
      <w:r w:rsidRPr="0026135C">
        <w:rPr>
          <w:rFonts w:ascii="Aptos" w:eastAsia="Aptos" w:hAnsi="Aptos" w:cs="Times New Roman"/>
          <w:i/>
          <w:iCs/>
        </w:rPr>
        <w:t>Lamiales</w:t>
      </w:r>
      <w:proofErr w:type="spellEnd"/>
      <w:r w:rsidRPr="0026135C">
        <w:rPr>
          <w:rFonts w:ascii="Aptos" w:eastAsia="Aptos" w:hAnsi="Aptos" w:cs="Times New Roman"/>
        </w:rPr>
        <w:t xml:space="preserve"> (Version 2.6.2). </w:t>
      </w:r>
      <w:hyperlink r:id="rId25" w:tgtFrame="_new" w:history="1">
        <w:r w:rsidRPr="0026135C">
          <w:rPr>
            <w:rFonts w:ascii="Aptos" w:eastAsia="Aptos" w:hAnsi="Aptos" w:cs="Times New Roman"/>
            <w:color w:val="467886"/>
            <w:u w:val="single"/>
          </w:rPr>
          <w:t>https://www.ncbi.nlm.nih.gov/Taxonomy/Browser/wwwtax.cgi?id=4136&amp;lvl=0</w:t>
        </w:r>
      </w:hyperlink>
      <w:r w:rsidRPr="0026135C">
        <w:rPr>
          <w:rFonts w:ascii="Aptos" w:eastAsia="Aptos" w:hAnsi="Aptos" w:cs="Times New Roman"/>
        </w:rPr>
        <w:t xml:space="preserve"> </w:t>
      </w:r>
    </w:p>
    <w:p w14:paraId="35AADC61"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Pal, B., Tudu, S., &amp; Sahu, S. C. (2022). Floral diversity of </w:t>
      </w:r>
      <w:proofErr w:type="spellStart"/>
      <w:r w:rsidRPr="0026135C">
        <w:rPr>
          <w:rFonts w:ascii="Aptos" w:eastAsia="Aptos" w:hAnsi="Aptos" w:cs="Times New Roman"/>
        </w:rPr>
        <w:t>Panchalingeshwar</w:t>
      </w:r>
      <w:proofErr w:type="spellEnd"/>
      <w:r w:rsidRPr="0026135C">
        <w:rPr>
          <w:rFonts w:ascii="Aptos" w:eastAsia="Aptos" w:hAnsi="Aptos" w:cs="Times New Roman"/>
        </w:rPr>
        <w:t xml:space="preserve">: A sacred hill of Odisha, India. </w:t>
      </w:r>
      <w:r w:rsidRPr="0026135C">
        <w:rPr>
          <w:rFonts w:ascii="Aptos" w:eastAsia="Aptos" w:hAnsi="Aptos" w:cs="Times New Roman"/>
          <w:i/>
          <w:iCs/>
        </w:rPr>
        <w:t>Nelumbo, 64</w:t>
      </w:r>
      <w:r w:rsidRPr="0026135C">
        <w:rPr>
          <w:rFonts w:ascii="Aptos" w:eastAsia="Aptos" w:hAnsi="Aptos" w:cs="Times New Roman"/>
        </w:rPr>
        <w:t xml:space="preserve">(2), 119–135. </w:t>
      </w:r>
      <w:hyperlink r:id="rId26" w:tgtFrame="_new" w:history="1">
        <w:r w:rsidRPr="0026135C">
          <w:rPr>
            <w:rFonts w:ascii="Aptos" w:eastAsia="Aptos" w:hAnsi="Aptos" w:cs="Times New Roman"/>
            <w:color w:val="467886"/>
            <w:u w:val="single"/>
          </w:rPr>
          <w:t>https://doi.org/10.20324/nelumbo/v64/2022/169609</w:t>
        </w:r>
      </w:hyperlink>
      <w:r w:rsidRPr="0026135C">
        <w:rPr>
          <w:rFonts w:ascii="Aptos" w:eastAsia="Aptos" w:hAnsi="Aptos" w:cs="Times New Roman"/>
        </w:rPr>
        <w:t xml:space="preserve"> </w:t>
      </w:r>
    </w:p>
    <w:p w14:paraId="76D53A52"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POWO. (2026). </w:t>
      </w:r>
      <w:r w:rsidRPr="0026135C">
        <w:rPr>
          <w:rFonts w:ascii="Aptos" w:eastAsia="Aptos" w:hAnsi="Aptos" w:cs="Times New Roman"/>
          <w:i/>
          <w:iCs/>
        </w:rPr>
        <w:t>Plants of the World Online</w:t>
      </w:r>
      <w:r w:rsidRPr="0026135C">
        <w:rPr>
          <w:rFonts w:ascii="Aptos" w:eastAsia="Aptos" w:hAnsi="Aptos" w:cs="Times New Roman"/>
        </w:rPr>
        <w:t xml:space="preserve">. Royal Botanic Gardens, Kew. Retrieved April 10, 2026, from </w:t>
      </w:r>
      <w:hyperlink r:id="rId27" w:tgtFrame="_new" w:history="1">
        <w:r w:rsidRPr="0026135C">
          <w:rPr>
            <w:rFonts w:ascii="Aptos" w:eastAsia="Aptos" w:hAnsi="Aptos" w:cs="Times New Roman"/>
            <w:color w:val="467886"/>
            <w:u w:val="single"/>
          </w:rPr>
          <w:t>https://powo.science.kew.org/</w:t>
        </w:r>
      </w:hyperlink>
      <w:r w:rsidRPr="0026135C">
        <w:rPr>
          <w:rFonts w:ascii="Aptos" w:eastAsia="Aptos" w:hAnsi="Aptos" w:cs="Times New Roman"/>
        </w:rPr>
        <w:t xml:space="preserve"> </w:t>
      </w:r>
    </w:p>
    <w:p w14:paraId="6D2B47C2"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Sahoo, R. C., Sahu, D., &amp; Misra, M. K. (2014). Angiosperm diversity of sandy coast of Balasore District, Odisha, India. </w:t>
      </w:r>
      <w:r w:rsidRPr="0026135C">
        <w:rPr>
          <w:rFonts w:ascii="Aptos" w:eastAsia="Aptos" w:hAnsi="Aptos" w:cs="Times New Roman"/>
          <w:i/>
          <w:iCs/>
        </w:rPr>
        <w:t>Nelumbo, 56</w:t>
      </w:r>
      <w:r w:rsidRPr="0026135C">
        <w:rPr>
          <w:rFonts w:ascii="Aptos" w:eastAsia="Aptos" w:hAnsi="Aptos" w:cs="Times New Roman"/>
        </w:rPr>
        <w:t xml:space="preserve">, 89–123. </w:t>
      </w:r>
      <w:hyperlink r:id="rId28" w:tgtFrame="_new" w:history="1">
        <w:r w:rsidRPr="0026135C">
          <w:rPr>
            <w:rFonts w:ascii="Aptos" w:eastAsia="Aptos" w:hAnsi="Aptos" w:cs="Times New Roman"/>
            <w:color w:val="467886"/>
            <w:u w:val="single"/>
          </w:rPr>
          <w:t>https://doi.org/10.20324/nelumbo/v56/2014/86676</w:t>
        </w:r>
      </w:hyperlink>
      <w:r w:rsidRPr="0026135C">
        <w:rPr>
          <w:rFonts w:ascii="Aptos" w:eastAsia="Aptos" w:hAnsi="Aptos" w:cs="Times New Roman"/>
        </w:rPr>
        <w:t xml:space="preserve"> </w:t>
      </w:r>
    </w:p>
    <w:p w14:paraId="306CD3F1" w14:textId="7A1AE331"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Sahu, S. C., &amp; Dhal, N. K. (2012). Floristic diversity of </w:t>
      </w:r>
      <w:proofErr w:type="spellStart"/>
      <w:r w:rsidRPr="0026135C">
        <w:rPr>
          <w:rFonts w:ascii="Aptos" w:eastAsia="Aptos" w:hAnsi="Aptos" w:cs="Times New Roman"/>
        </w:rPr>
        <w:t>Mandargiri</w:t>
      </w:r>
      <w:proofErr w:type="spellEnd"/>
      <w:r w:rsidRPr="0026135C">
        <w:rPr>
          <w:rFonts w:ascii="Aptos" w:eastAsia="Aptos" w:hAnsi="Aptos" w:cs="Times New Roman"/>
        </w:rPr>
        <w:t xml:space="preserve"> hills, Angul, Odisha: An overview. </w:t>
      </w:r>
      <w:r w:rsidRPr="0026135C">
        <w:rPr>
          <w:rFonts w:ascii="Aptos" w:eastAsia="Aptos" w:hAnsi="Aptos" w:cs="Times New Roman"/>
          <w:i/>
          <w:iCs/>
        </w:rPr>
        <w:t>Journal of Economic and Taxonomic Botany, 36</w:t>
      </w:r>
      <w:r w:rsidRPr="0026135C">
        <w:rPr>
          <w:rFonts w:ascii="Aptos" w:eastAsia="Aptos" w:hAnsi="Aptos" w:cs="Times New Roman"/>
        </w:rPr>
        <w:t xml:space="preserve">(3), 554–562. </w:t>
      </w:r>
    </w:p>
    <w:p w14:paraId="5A0B7EC5"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Saxena, H. O., &amp; </w:t>
      </w:r>
      <w:proofErr w:type="spellStart"/>
      <w:r w:rsidRPr="0026135C">
        <w:rPr>
          <w:rFonts w:ascii="Aptos" w:eastAsia="Aptos" w:hAnsi="Aptos" w:cs="Times New Roman"/>
        </w:rPr>
        <w:t>Brahmam</w:t>
      </w:r>
      <w:proofErr w:type="spellEnd"/>
      <w:r w:rsidRPr="0026135C">
        <w:rPr>
          <w:rFonts w:ascii="Aptos" w:eastAsia="Aptos" w:hAnsi="Aptos" w:cs="Times New Roman"/>
        </w:rPr>
        <w:t xml:space="preserve">, M. (1995). </w:t>
      </w:r>
      <w:r w:rsidRPr="0026135C">
        <w:rPr>
          <w:rFonts w:ascii="Aptos" w:eastAsia="Aptos" w:hAnsi="Aptos" w:cs="Times New Roman"/>
          <w:i/>
          <w:iCs/>
        </w:rPr>
        <w:t>Flora of Orissa</w:t>
      </w:r>
      <w:r w:rsidRPr="0026135C">
        <w:rPr>
          <w:rFonts w:ascii="Aptos" w:eastAsia="Aptos" w:hAnsi="Aptos" w:cs="Times New Roman"/>
        </w:rPr>
        <w:t xml:space="preserve"> (Vol. 3). Orissa Forest Development Corporation. https://collections.si.edu/search/detail/edanmdm%3Asiris_sil_626635 </w:t>
      </w:r>
    </w:p>
    <w:p w14:paraId="060B2A94"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Scotland, R. W., &amp; Vollesen, K. (2000). Classification of </w:t>
      </w:r>
      <w:proofErr w:type="spellStart"/>
      <w:r w:rsidRPr="0026135C">
        <w:rPr>
          <w:rFonts w:ascii="Aptos" w:eastAsia="Aptos" w:hAnsi="Aptos" w:cs="Times New Roman"/>
        </w:rPr>
        <w:t>Acanthaceae</w:t>
      </w:r>
      <w:proofErr w:type="spellEnd"/>
      <w:r w:rsidRPr="0026135C">
        <w:rPr>
          <w:rFonts w:ascii="Aptos" w:eastAsia="Aptos" w:hAnsi="Aptos" w:cs="Times New Roman"/>
        </w:rPr>
        <w:t xml:space="preserve">. </w:t>
      </w:r>
      <w:r w:rsidRPr="0026135C">
        <w:rPr>
          <w:rFonts w:ascii="Aptos" w:eastAsia="Aptos" w:hAnsi="Aptos" w:cs="Times New Roman"/>
          <w:i/>
          <w:iCs/>
        </w:rPr>
        <w:t>Kew Bulletin, 55</w:t>
      </w:r>
      <w:r w:rsidRPr="0026135C">
        <w:rPr>
          <w:rFonts w:ascii="Aptos" w:eastAsia="Aptos" w:hAnsi="Aptos" w:cs="Times New Roman"/>
        </w:rPr>
        <w:t xml:space="preserve">(3), 513–589. </w:t>
      </w:r>
      <w:hyperlink r:id="rId29" w:tgtFrame="_new" w:history="1">
        <w:r w:rsidRPr="0026135C">
          <w:rPr>
            <w:rFonts w:ascii="Aptos" w:eastAsia="Aptos" w:hAnsi="Aptos" w:cs="Times New Roman"/>
            <w:color w:val="467886"/>
            <w:u w:val="single"/>
          </w:rPr>
          <w:t>https://doi.org/10.2307/4118776</w:t>
        </w:r>
      </w:hyperlink>
      <w:r w:rsidRPr="0026135C">
        <w:rPr>
          <w:rFonts w:ascii="Aptos" w:eastAsia="Aptos" w:hAnsi="Aptos" w:cs="Times New Roman"/>
        </w:rPr>
        <w:t xml:space="preserve"> </w:t>
      </w:r>
    </w:p>
    <w:p w14:paraId="756D2F87" w14:textId="77777777" w:rsidR="0026135C" w:rsidRPr="0026135C" w:rsidRDefault="0026135C" w:rsidP="0026135C">
      <w:pPr>
        <w:numPr>
          <w:ilvl w:val="0"/>
          <w:numId w:val="16"/>
        </w:numPr>
        <w:contextualSpacing/>
        <w:jc w:val="both"/>
        <w:rPr>
          <w:rFonts w:ascii="Aptos" w:eastAsia="Aptos" w:hAnsi="Aptos" w:cs="Times New Roman"/>
        </w:rPr>
      </w:pPr>
      <w:r w:rsidRPr="0026135C">
        <w:rPr>
          <w:rFonts w:ascii="Aptos" w:eastAsia="Aptos" w:hAnsi="Aptos" w:cs="Times New Roman"/>
        </w:rPr>
        <w:t xml:space="preserve">Sujana, K., Surendra, A. V., Kishore, K. V., Reehana, S. K., &amp; </w:t>
      </w:r>
      <w:proofErr w:type="spellStart"/>
      <w:r w:rsidRPr="0026135C">
        <w:rPr>
          <w:rFonts w:ascii="Aptos" w:eastAsia="Aptos" w:hAnsi="Aptos" w:cs="Times New Roman"/>
        </w:rPr>
        <w:t>Himakalyani</w:t>
      </w:r>
      <w:proofErr w:type="spellEnd"/>
      <w:r w:rsidRPr="0026135C">
        <w:rPr>
          <w:rFonts w:ascii="Aptos" w:eastAsia="Aptos" w:hAnsi="Aptos" w:cs="Times New Roman"/>
        </w:rPr>
        <w:t xml:space="preserve">, C. B. (2023). Phytochemical analysis and characterization of ethanolic extract of </w:t>
      </w:r>
      <w:proofErr w:type="spellStart"/>
      <w:r w:rsidRPr="0026135C">
        <w:rPr>
          <w:rFonts w:ascii="Aptos" w:eastAsia="Aptos" w:hAnsi="Aptos" w:cs="Times New Roman"/>
          <w:i/>
          <w:iCs/>
        </w:rPr>
        <w:t>Pseuderanthemum</w:t>
      </w:r>
      <w:proofErr w:type="spellEnd"/>
      <w:r w:rsidRPr="0026135C">
        <w:rPr>
          <w:rFonts w:ascii="Aptos" w:eastAsia="Aptos" w:hAnsi="Aptos" w:cs="Times New Roman"/>
          <w:i/>
          <w:iCs/>
        </w:rPr>
        <w:t xml:space="preserve"> </w:t>
      </w:r>
      <w:proofErr w:type="spellStart"/>
      <w:r w:rsidRPr="0026135C">
        <w:rPr>
          <w:rFonts w:ascii="Aptos" w:eastAsia="Aptos" w:hAnsi="Aptos" w:cs="Times New Roman"/>
          <w:i/>
          <w:iCs/>
        </w:rPr>
        <w:t>malabaricum</w:t>
      </w:r>
      <w:proofErr w:type="spellEnd"/>
      <w:r w:rsidRPr="0026135C">
        <w:rPr>
          <w:rFonts w:ascii="Aptos" w:eastAsia="Aptos" w:hAnsi="Aptos" w:cs="Times New Roman"/>
        </w:rPr>
        <w:t xml:space="preserve"> whole plant. In M. </w:t>
      </w:r>
      <w:proofErr w:type="spellStart"/>
      <w:r w:rsidRPr="0026135C">
        <w:rPr>
          <w:rFonts w:ascii="Aptos" w:eastAsia="Aptos" w:hAnsi="Aptos" w:cs="Times New Roman"/>
        </w:rPr>
        <w:t>Murahari</w:t>
      </w:r>
      <w:proofErr w:type="spellEnd"/>
      <w:r w:rsidRPr="0026135C">
        <w:rPr>
          <w:rFonts w:ascii="Aptos" w:eastAsia="Aptos" w:hAnsi="Aptos" w:cs="Times New Roman"/>
        </w:rPr>
        <w:t xml:space="preserve">, B. N. Nalluri, &amp; G. Chakravarthi (Eds.), </w:t>
      </w:r>
      <w:r w:rsidRPr="0026135C">
        <w:rPr>
          <w:rFonts w:ascii="Aptos" w:eastAsia="Aptos" w:hAnsi="Aptos" w:cs="Times New Roman"/>
          <w:i/>
          <w:iCs/>
        </w:rPr>
        <w:t>Current trends in drug discovery, development and delivery (CTD4-2022)</w:t>
      </w:r>
      <w:r w:rsidRPr="0026135C">
        <w:rPr>
          <w:rFonts w:ascii="Aptos" w:eastAsia="Aptos" w:hAnsi="Aptos" w:cs="Times New Roman"/>
        </w:rPr>
        <w:t xml:space="preserve"> (Vol. 358, pp. 735–748). Royal Society of Chemistry. </w:t>
      </w:r>
      <w:hyperlink r:id="rId30" w:tgtFrame="_new" w:history="1">
        <w:r w:rsidRPr="0026135C">
          <w:rPr>
            <w:rFonts w:ascii="Aptos" w:eastAsia="Aptos" w:hAnsi="Aptos" w:cs="Times New Roman"/>
            <w:color w:val="467886"/>
            <w:u w:val="single"/>
          </w:rPr>
          <w:t>https://doi.org/10.1039/9781837671090-00735</w:t>
        </w:r>
      </w:hyperlink>
    </w:p>
    <w:p w14:paraId="5525682A" w14:textId="2C27BD48" w:rsidR="003C02EC" w:rsidRDefault="003C02EC" w:rsidP="0026135C">
      <w:pPr>
        <w:spacing w:after="0"/>
      </w:pPr>
    </w:p>
    <w:sectPr w:rsidR="003C02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E1"/>
    <w:multiLevelType w:val="hybridMultilevel"/>
    <w:tmpl w:val="F9664A88"/>
    <w:lvl w:ilvl="0" w:tplc="8FF08082">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C3F786C"/>
    <w:multiLevelType w:val="multilevel"/>
    <w:tmpl w:val="58B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96663"/>
    <w:multiLevelType w:val="hybridMultilevel"/>
    <w:tmpl w:val="E2E2962E"/>
    <w:lvl w:ilvl="0" w:tplc="D0340742">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1F5E4C"/>
    <w:multiLevelType w:val="hybridMultilevel"/>
    <w:tmpl w:val="B7A81532"/>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1F6356B7"/>
    <w:multiLevelType w:val="hybridMultilevel"/>
    <w:tmpl w:val="F9BEA7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FCF785A"/>
    <w:multiLevelType w:val="hybridMultilevel"/>
    <w:tmpl w:val="2E42072A"/>
    <w:lvl w:ilvl="0" w:tplc="ADE6E4E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CC4124E"/>
    <w:multiLevelType w:val="multilevel"/>
    <w:tmpl w:val="C63EC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471226"/>
    <w:multiLevelType w:val="hybridMultilevel"/>
    <w:tmpl w:val="FB243B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8E310E5"/>
    <w:multiLevelType w:val="hybridMultilevel"/>
    <w:tmpl w:val="9AAE7324"/>
    <w:lvl w:ilvl="0" w:tplc="40090019">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9" w15:restartNumberingAfterBreak="0">
    <w:nsid w:val="3BF57629"/>
    <w:multiLevelType w:val="hybridMultilevel"/>
    <w:tmpl w:val="BE02E34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87C7735"/>
    <w:multiLevelType w:val="hybridMultilevel"/>
    <w:tmpl w:val="180A87BC"/>
    <w:lvl w:ilvl="0" w:tplc="D8106C96">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0FF6FFF"/>
    <w:multiLevelType w:val="hybridMultilevel"/>
    <w:tmpl w:val="7EE21D5C"/>
    <w:lvl w:ilvl="0" w:tplc="C7BCF336">
      <w:start w:val="1"/>
      <w:numFmt w:val="decimal"/>
      <w:lvlText w:val="%1."/>
      <w:lvlJc w:val="left"/>
      <w:pPr>
        <w:ind w:left="360" w:hanging="360"/>
      </w:pPr>
      <w:rPr>
        <w:rFonts w:ascii="Times New Roman" w:eastAsiaTheme="minorHAnsi" w:hAnsi="Times New Roman" w:cs="Times New Roman"/>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71F4661A"/>
    <w:multiLevelType w:val="multilevel"/>
    <w:tmpl w:val="7108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2706CA"/>
    <w:multiLevelType w:val="hybridMultilevel"/>
    <w:tmpl w:val="65C0F4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BBE0B87"/>
    <w:multiLevelType w:val="hybridMultilevel"/>
    <w:tmpl w:val="5B1CBF94"/>
    <w:lvl w:ilvl="0" w:tplc="B1824DD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E303D02"/>
    <w:multiLevelType w:val="hybridMultilevel"/>
    <w:tmpl w:val="1DCC684C"/>
    <w:lvl w:ilvl="0" w:tplc="CE5E848A">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8387723">
    <w:abstractNumId w:val="5"/>
  </w:num>
  <w:num w:numId="2" w16cid:durableId="1094479548">
    <w:abstractNumId w:val="9"/>
  </w:num>
  <w:num w:numId="3" w16cid:durableId="466775736">
    <w:abstractNumId w:val="15"/>
  </w:num>
  <w:num w:numId="4" w16cid:durableId="822433907">
    <w:abstractNumId w:val="4"/>
  </w:num>
  <w:num w:numId="5" w16cid:durableId="453984008">
    <w:abstractNumId w:val="11"/>
  </w:num>
  <w:num w:numId="6" w16cid:durableId="265239496">
    <w:abstractNumId w:val="1"/>
  </w:num>
  <w:num w:numId="7" w16cid:durableId="2061054894">
    <w:abstractNumId w:val="12"/>
  </w:num>
  <w:num w:numId="8" w16cid:durableId="2034577109">
    <w:abstractNumId w:val="6"/>
  </w:num>
  <w:num w:numId="9" w16cid:durableId="1629824348">
    <w:abstractNumId w:val="2"/>
  </w:num>
  <w:num w:numId="10" w16cid:durableId="1422798112">
    <w:abstractNumId w:val="10"/>
  </w:num>
  <w:num w:numId="11" w16cid:durableId="909460806">
    <w:abstractNumId w:val="8"/>
  </w:num>
  <w:num w:numId="12" w16cid:durableId="1176774530">
    <w:abstractNumId w:val="14"/>
  </w:num>
  <w:num w:numId="13" w16cid:durableId="776406574">
    <w:abstractNumId w:val="0"/>
  </w:num>
  <w:num w:numId="14" w16cid:durableId="2110655447">
    <w:abstractNumId w:val="3"/>
  </w:num>
  <w:num w:numId="15" w16cid:durableId="2024698379">
    <w:abstractNumId w:val="13"/>
  </w:num>
  <w:num w:numId="16" w16cid:durableId="248077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92"/>
    <w:rsid w:val="0001095C"/>
    <w:rsid w:val="000143B3"/>
    <w:rsid w:val="00014B6F"/>
    <w:rsid w:val="00017B36"/>
    <w:rsid w:val="0003111A"/>
    <w:rsid w:val="00041379"/>
    <w:rsid w:val="00043EDE"/>
    <w:rsid w:val="00046796"/>
    <w:rsid w:val="0005025F"/>
    <w:rsid w:val="0005403D"/>
    <w:rsid w:val="00054597"/>
    <w:rsid w:val="00077364"/>
    <w:rsid w:val="000935A2"/>
    <w:rsid w:val="00094993"/>
    <w:rsid w:val="000977DA"/>
    <w:rsid w:val="000B333A"/>
    <w:rsid w:val="000C3149"/>
    <w:rsid w:val="000C7712"/>
    <w:rsid w:val="000D4E90"/>
    <w:rsid w:val="00103870"/>
    <w:rsid w:val="001060D6"/>
    <w:rsid w:val="00112D9A"/>
    <w:rsid w:val="001136C8"/>
    <w:rsid w:val="0011585A"/>
    <w:rsid w:val="00120C8F"/>
    <w:rsid w:val="00121CD8"/>
    <w:rsid w:val="00126B6A"/>
    <w:rsid w:val="00133E17"/>
    <w:rsid w:val="001348CC"/>
    <w:rsid w:val="00145B2F"/>
    <w:rsid w:val="00162C42"/>
    <w:rsid w:val="0017182A"/>
    <w:rsid w:val="00176954"/>
    <w:rsid w:val="00181C8C"/>
    <w:rsid w:val="001830D6"/>
    <w:rsid w:val="00191FA6"/>
    <w:rsid w:val="001A4008"/>
    <w:rsid w:val="001A4861"/>
    <w:rsid w:val="001B3901"/>
    <w:rsid w:val="001D4131"/>
    <w:rsid w:val="001D6623"/>
    <w:rsid w:val="001E5047"/>
    <w:rsid w:val="001F7F82"/>
    <w:rsid w:val="0021739E"/>
    <w:rsid w:val="00220F6E"/>
    <w:rsid w:val="002224C1"/>
    <w:rsid w:val="0022661A"/>
    <w:rsid w:val="00226B8E"/>
    <w:rsid w:val="002279FB"/>
    <w:rsid w:val="00230E17"/>
    <w:rsid w:val="00241CEC"/>
    <w:rsid w:val="00244EDC"/>
    <w:rsid w:val="002467A0"/>
    <w:rsid w:val="0024725E"/>
    <w:rsid w:val="00252A93"/>
    <w:rsid w:val="0026135C"/>
    <w:rsid w:val="002748B2"/>
    <w:rsid w:val="00274B35"/>
    <w:rsid w:val="002960AA"/>
    <w:rsid w:val="002A4D09"/>
    <w:rsid w:val="002A5E0E"/>
    <w:rsid w:val="002B1BB2"/>
    <w:rsid w:val="002C1391"/>
    <w:rsid w:val="002C26EE"/>
    <w:rsid w:val="002C58DD"/>
    <w:rsid w:val="002E08E0"/>
    <w:rsid w:val="002F2923"/>
    <w:rsid w:val="002F38D6"/>
    <w:rsid w:val="00315024"/>
    <w:rsid w:val="003368A6"/>
    <w:rsid w:val="00351517"/>
    <w:rsid w:val="00356551"/>
    <w:rsid w:val="003641AB"/>
    <w:rsid w:val="00372E7F"/>
    <w:rsid w:val="00376C22"/>
    <w:rsid w:val="0038570A"/>
    <w:rsid w:val="003B2134"/>
    <w:rsid w:val="003B415F"/>
    <w:rsid w:val="003B429D"/>
    <w:rsid w:val="003B452C"/>
    <w:rsid w:val="003C02EC"/>
    <w:rsid w:val="003C382E"/>
    <w:rsid w:val="003E14D7"/>
    <w:rsid w:val="003E4D82"/>
    <w:rsid w:val="003F50CC"/>
    <w:rsid w:val="003F7D5A"/>
    <w:rsid w:val="00406DED"/>
    <w:rsid w:val="0041525E"/>
    <w:rsid w:val="00426958"/>
    <w:rsid w:val="004310A4"/>
    <w:rsid w:val="00432D42"/>
    <w:rsid w:val="004341BF"/>
    <w:rsid w:val="00435D24"/>
    <w:rsid w:val="00444220"/>
    <w:rsid w:val="00461FD5"/>
    <w:rsid w:val="004620C3"/>
    <w:rsid w:val="00463A86"/>
    <w:rsid w:val="00470509"/>
    <w:rsid w:val="00473F42"/>
    <w:rsid w:val="004772AE"/>
    <w:rsid w:val="00483074"/>
    <w:rsid w:val="00486F86"/>
    <w:rsid w:val="00490981"/>
    <w:rsid w:val="00493F76"/>
    <w:rsid w:val="00496441"/>
    <w:rsid w:val="004A24AA"/>
    <w:rsid w:val="004B7155"/>
    <w:rsid w:val="004C2DEF"/>
    <w:rsid w:val="004C319B"/>
    <w:rsid w:val="004D4034"/>
    <w:rsid w:val="004D50EA"/>
    <w:rsid w:val="004E66DC"/>
    <w:rsid w:val="004F2542"/>
    <w:rsid w:val="00517D41"/>
    <w:rsid w:val="0052602E"/>
    <w:rsid w:val="00546562"/>
    <w:rsid w:val="00546AA4"/>
    <w:rsid w:val="005521BA"/>
    <w:rsid w:val="00554FBE"/>
    <w:rsid w:val="00560E04"/>
    <w:rsid w:val="005760FE"/>
    <w:rsid w:val="005764C2"/>
    <w:rsid w:val="00592073"/>
    <w:rsid w:val="00593AC5"/>
    <w:rsid w:val="005A1FA7"/>
    <w:rsid w:val="005A4E4E"/>
    <w:rsid w:val="005C415A"/>
    <w:rsid w:val="005C5CD7"/>
    <w:rsid w:val="005C61C6"/>
    <w:rsid w:val="005D7FA1"/>
    <w:rsid w:val="00610E7F"/>
    <w:rsid w:val="00611458"/>
    <w:rsid w:val="00612D2F"/>
    <w:rsid w:val="006171EF"/>
    <w:rsid w:val="00617390"/>
    <w:rsid w:val="0062087B"/>
    <w:rsid w:val="00632720"/>
    <w:rsid w:val="00662FDA"/>
    <w:rsid w:val="006641DF"/>
    <w:rsid w:val="0067577D"/>
    <w:rsid w:val="006768B3"/>
    <w:rsid w:val="00684EB4"/>
    <w:rsid w:val="006A1B2E"/>
    <w:rsid w:val="006A2B0F"/>
    <w:rsid w:val="006A5974"/>
    <w:rsid w:val="006B23B7"/>
    <w:rsid w:val="006C4971"/>
    <w:rsid w:val="006D17AB"/>
    <w:rsid w:val="006D2F25"/>
    <w:rsid w:val="006E13F5"/>
    <w:rsid w:val="006E33CF"/>
    <w:rsid w:val="006E3708"/>
    <w:rsid w:val="006E393E"/>
    <w:rsid w:val="006F667B"/>
    <w:rsid w:val="007036D3"/>
    <w:rsid w:val="00706B4F"/>
    <w:rsid w:val="00715CD3"/>
    <w:rsid w:val="00725A44"/>
    <w:rsid w:val="00735B31"/>
    <w:rsid w:val="00743BE8"/>
    <w:rsid w:val="00760FAD"/>
    <w:rsid w:val="00763BC2"/>
    <w:rsid w:val="007672FA"/>
    <w:rsid w:val="00771669"/>
    <w:rsid w:val="00790F73"/>
    <w:rsid w:val="00792457"/>
    <w:rsid w:val="00793052"/>
    <w:rsid w:val="007A1883"/>
    <w:rsid w:val="007B6989"/>
    <w:rsid w:val="007B71BB"/>
    <w:rsid w:val="007B75B9"/>
    <w:rsid w:val="007C6F10"/>
    <w:rsid w:val="007E122A"/>
    <w:rsid w:val="00803D57"/>
    <w:rsid w:val="008347A9"/>
    <w:rsid w:val="00843170"/>
    <w:rsid w:val="00843490"/>
    <w:rsid w:val="00843679"/>
    <w:rsid w:val="00846566"/>
    <w:rsid w:val="00855DFB"/>
    <w:rsid w:val="0086014A"/>
    <w:rsid w:val="00863778"/>
    <w:rsid w:val="00866C7C"/>
    <w:rsid w:val="008723A9"/>
    <w:rsid w:val="0087735F"/>
    <w:rsid w:val="0088421E"/>
    <w:rsid w:val="00886344"/>
    <w:rsid w:val="00887701"/>
    <w:rsid w:val="00895663"/>
    <w:rsid w:val="008A1F50"/>
    <w:rsid w:val="008A4AFB"/>
    <w:rsid w:val="008A4D6D"/>
    <w:rsid w:val="008B4A89"/>
    <w:rsid w:val="008B5DD8"/>
    <w:rsid w:val="008D0F1E"/>
    <w:rsid w:val="008D1E95"/>
    <w:rsid w:val="008D5912"/>
    <w:rsid w:val="008E6F62"/>
    <w:rsid w:val="008F311B"/>
    <w:rsid w:val="008F4A31"/>
    <w:rsid w:val="00912F11"/>
    <w:rsid w:val="009203F8"/>
    <w:rsid w:val="00924368"/>
    <w:rsid w:val="0092769B"/>
    <w:rsid w:val="00932BB8"/>
    <w:rsid w:val="00934192"/>
    <w:rsid w:val="00950373"/>
    <w:rsid w:val="00952E8F"/>
    <w:rsid w:val="009550E9"/>
    <w:rsid w:val="00957938"/>
    <w:rsid w:val="00957B70"/>
    <w:rsid w:val="00962797"/>
    <w:rsid w:val="00962ABF"/>
    <w:rsid w:val="00982C0F"/>
    <w:rsid w:val="00992D65"/>
    <w:rsid w:val="009967D3"/>
    <w:rsid w:val="009A6CAB"/>
    <w:rsid w:val="009B1C97"/>
    <w:rsid w:val="009C270C"/>
    <w:rsid w:val="009C51FE"/>
    <w:rsid w:val="009D0F20"/>
    <w:rsid w:val="009E03F1"/>
    <w:rsid w:val="009E2751"/>
    <w:rsid w:val="009E558F"/>
    <w:rsid w:val="009F0FA4"/>
    <w:rsid w:val="00A04383"/>
    <w:rsid w:val="00A04862"/>
    <w:rsid w:val="00A062BC"/>
    <w:rsid w:val="00A132E4"/>
    <w:rsid w:val="00A30ADA"/>
    <w:rsid w:val="00A450CE"/>
    <w:rsid w:val="00A52F53"/>
    <w:rsid w:val="00A53652"/>
    <w:rsid w:val="00A600E2"/>
    <w:rsid w:val="00A62B48"/>
    <w:rsid w:val="00A65684"/>
    <w:rsid w:val="00A65B46"/>
    <w:rsid w:val="00A65E2B"/>
    <w:rsid w:val="00A73294"/>
    <w:rsid w:val="00A7613D"/>
    <w:rsid w:val="00A801E2"/>
    <w:rsid w:val="00A85A7B"/>
    <w:rsid w:val="00A86915"/>
    <w:rsid w:val="00AA2002"/>
    <w:rsid w:val="00AA3905"/>
    <w:rsid w:val="00AA5DE6"/>
    <w:rsid w:val="00AA6713"/>
    <w:rsid w:val="00AB3CEB"/>
    <w:rsid w:val="00AB4032"/>
    <w:rsid w:val="00AC1D9A"/>
    <w:rsid w:val="00AC226D"/>
    <w:rsid w:val="00AC3EF0"/>
    <w:rsid w:val="00AC5E0C"/>
    <w:rsid w:val="00AD2CF0"/>
    <w:rsid w:val="00AE4B78"/>
    <w:rsid w:val="00AE5CA0"/>
    <w:rsid w:val="00AF3439"/>
    <w:rsid w:val="00AF69EA"/>
    <w:rsid w:val="00B002C1"/>
    <w:rsid w:val="00B0160F"/>
    <w:rsid w:val="00B03305"/>
    <w:rsid w:val="00B13F99"/>
    <w:rsid w:val="00B204FF"/>
    <w:rsid w:val="00B26273"/>
    <w:rsid w:val="00B27FC8"/>
    <w:rsid w:val="00B403F0"/>
    <w:rsid w:val="00B4110D"/>
    <w:rsid w:val="00B47E90"/>
    <w:rsid w:val="00B5048E"/>
    <w:rsid w:val="00B52C17"/>
    <w:rsid w:val="00B53F0F"/>
    <w:rsid w:val="00B61DA6"/>
    <w:rsid w:val="00B6322C"/>
    <w:rsid w:val="00B7624A"/>
    <w:rsid w:val="00B803F4"/>
    <w:rsid w:val="00B83086"/>
    <w:rsid w:val="00B85BE2"/>
    <w:rsid w:val="00B86A56"/>
    <w:rsid w:val="00B90E0E"/>
    <w:rsid w:val="00B90FB1"/>
    <w:rsid w:val="00B93DCB"/>
    <w:rsid w:val="00BA539B"/>
    <w:rsid w:val="00BA7C13"/>
    <w:rsid w:val="00BB3269"/>
    <w:rsid w:val="00BB7A79"/>
    <w:rsid w:val="00BC329B"/>
    <w:rsid w:val="00BD7B0D"/>
    <w:rsid w:val="00BE61AE"/>
    <w:rsid w:val="00BF1AED"/>
    <w:rsid w:val="00BF2DC1"/>
    <w:rsid w:val="00BF2E7E"/>
    <w:rsid w:val="00BF457D"/>
    <w:rsid w:val="00BF7318"/>
    <w:rsid w:val="00C0253C"/>
    <w:rsid w:val="00C03B47"/>
    <w:rsid w:val="00C06469"/>
    <w:rsid w:val="00C07DC0"/>
    <w:rsid w:val="00C10B11"/>
    <w:rsid w:val="00C221AF"/>
    <w:rsid w:val="00C57F27"/>
    <w:rsid w:val="00C8182A"/>
    <w:rsid w:val="00C835B7"/>
    <w:rsid w:val="00CA0A19"/>
    <w:rsid w:val="00CA44AC"/>
    <w:rsid w:val="00CA59A3"/>
    <w:rsid w:val="00CC13DD"/>
    <w:rsid w:val="00CC1D3E"/>
    <w:rsid w:val="00CC3D30"/>
    <w:rsid w:val="00CD4853"/>
    <w:rsid w:val="00CD66E5"/>
    <w:rsid w:val="00CE2903"/>
    <w:rsid w:val="00CF5C3F"/>
    <w:rsid w:val="00D018BA"/>
    <w:rsid w:val="00D02CAC"/>
    <w:rsid w:val="00D2271C"/>
    <w:rsid w:val="00D23571"/>
    <w:rsid w:val="00D302C1"/>
    <w:rsid w:val="00D34860"/>
    <w:rsid w:val="00D35A4D"/>
    <w:rsid w:val="00D600E9"/>
    <w:rsid w:val="00D67035"/>
    <w:rsid w:val="00D72FCF"/>
    <w:rsid w:val="00D73EDE"/>
    <w:rsid w:val="00D767FD"/>
    <w:rsid w:val="00D7728B"/>
    <w:rsid w:val="00D83DB2"/>
    <w:rsid w:val="00DB6B49"/>
    <w:rsid w:val="00DB7D9B"/>
    <w:rsid w:val="00DC29D2"/>
    <w:rsid w:val="00DE0644"/>
    <w:rsid w:val="00DE261A"/>
    <w:rsid w:val="00DE555A"/>
    <w:rsid w:val="00DF0A72"/>
    <w:rsid w:val="00E02704"/>
    <w:rsid w:val="00E0438A"/>
    <w:rsid w:val="00E132E1"/>
    <w:rsid w:val="00E15DE8"/>
    <w:rsid w:val="00E21B61"/>
    <w:rsid w:val="00E30288"/>
    <w:rsid w:val="00E36B42"/>
    <w:rsid w:val="00E36EE8"/>
    <w:rsid w:val="00E50D92"/>
    <w:rsid w:val="00E524EA"/>
    <w:rsid w:val="00E63F1D"/>
    <w:rsid w:val="00E670E8"/>
    <w:rsid w:val="00E74D99"/>
    <w:rsid w:val="00E772C2"/>
    <w:rsid w:val="00E810FA"/>
    <w:rsid w:val="00E8440C"/>
    <w:rsid w:val="00E902E6"/>
    <w:rsid w:val="00E9081A"/>
    <w:rsid w:val="00E95276"/>
    <w:rsid w:val="00E96F4F"/>
    <w:rsid w:val="00EA3403"/>
    <w:rsid w:val="00EC32B0"/>
    <w:rsid w:val="00ED3174"/>
    <w:rsid w:val="00ED450F"/>
    <w:rsid w:val="00ED5F9F"/>
    <w:rsid w:val="00EE3578"/>
    <w:rsid w:val="00EF3D47"/>
    <w:rsid w:val="00F00C47"/>
    <w:rsid w:val="00F04056"/>
    <w:rsid w:val="00F054B4"/>
    <w:rsid w:val="00F05E43"/>
    <w:rsid w:val="00F13557"/>
    <w:rsid w:val="00F1402C"/>
    <w:rsid w:val="00F21BB5"/>
    <w:rsid w:val="00F235AF"/>
    <w:rsid w:val="00F41A51"/>
    <w:rsid w:val="00F460FB"/>
    <w:rsid w:val="00F540B8"/>
    <w:rsid w:val="00F84D9B"/>
    <w:rsid w:val="00F87264"/>
    <w:rsid w:val="00FA0FBE"/>
    <w:rsid w:val="00FA7ADE"/>
    <w:rsid w:val="00FB184A"/>
    <w:rsid w:val="00FB6DE5"/>
    <w:rsid w:val="00FC45E4"/>
    <w:rsid w:val="00FD2DB4"/>
    <w:rsid w:val="00FD4A5B"/>
    <w:rsid w:val="00FE3657"/>
    <w:rsid w:val="00FF39CD"/>
    <w:rsid w:val="00FF74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EF8F"/>
  <w15:chartTrackingRefBased/>
  <w15:docId w15:val="{43185C9F-B28F-4A1C-9CDA-070B245C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557"/>
  </w:style>
  <w:style w:type="paragraph" w:styleId="Heading1">
    <w:name w:val="heading 1"/>
    <w:basedOn w:val="Normal"/>
    <w:next w:val="Normal"/>
    <w:link w:val="Heading1Char"/>
    <w:uiPriority w:val="9"/>
    <w:qFormat/>
    <w:rsid w:val="0093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1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1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1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192"/>
    <w:rPr>
      <w:rFonts w:eastAsiaTheme="majorEastAsia" w:cstheme="majorBidi"/>
      <w:color w:val="272727" w:themeColor="text1" w:themeTint="D8"/>
    </w:rPr>
  </w:style>
  <w:style w:type="paragraph" w:styleId="Title">
    <w:name w:val="Title"/>
    <w:basedOn w:val="Normal"/>
    <w:next w:val="Normal"/>
    <w:link w:val="TitleChar"/>
    <w:uiPriority w:val="10"/>
    <w:qFormat/>
    <w:rsid w:val="0093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192"/>
    <w:pPr>
      <w:spacing w:before="160"/>
      <w:jc w:val="center"/>
    </w:pPr>
    <w:rPr>
      <w:i/>
      <w:iCs/>
      <w:color w:val="404040" w:themeColor="text1" w:themeTint="BF"/>
    </w:rPr>
  </w:style>
  <w:style w:type="character" w:customStyle="1" w:styleId="QuoteChar">
    <w:name w:val="Quote Char"/>
    <w:basedOn w:val="DefaultParagraphFont"/>
    <w:link w:val="Quote"/>
    <w:uiPriority w:val="29"/>
    <w:rsid w:val="00934192"/>
    <w:rPr>
      <w:i/>
      <w:iCs/>
      <w:color w:val="404040" w:themeColor="text1" w:themeTint="BF"/>
    </w:rPr>
  </w:style>
  <w:style w:type="paragraph" w:styleId="ListParagraph">
    <w:name w:val="List Paragraph"/>
    <w:basedOn w:val="Normal"/>
    <w:uiPriority w:val="34"/>
    <w:qFormat/>
    <w:rsid w:val="00934192"/>
    <w:pPr>
      <w:ind w:left="720"/>
      <w:contextualSpacing/>
    </w:pPr>
  </w:style>
  <w:style w:type="character" w:styleId="IntenseEmphasis">
    <w:name w:val="Intense Emphasis"/>
    <w:basedOn w:val="DefaultParagraphFont"/>
    <w:uiPriority w:val="21"/>
    <w:qFormat/>
    <w:rsid w:val="00934192"/>
    <w:rPr>
      <w:i/>
      <w:iCs/>
      <w:color w:val="2F5496" w:themeColor="accent1" w:themeShade="BF"/>
    </w:rPr>
  </w:style>
  <w:style w:type="paragraph" w:styleId="IntenseQuote">
    <w:name w:val="Intense Quote"/>
    <w:basedOn w:val="Normal"/>
    <w:next w:val="Normal"/>
    <w:link w:val="IntenseQuoteChar"/>
    <w:uiPriority w:val="30"/>
    <w:qFormat/>
    <w:rsid w:val="0093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192"/>
    <w:rPr>
      <w:i/>
      <w:iCs/>
      <w:color w:val="2F5496" w:themeColor="accent1" w:themeShade="BF"/>
    </w:rPr>
  </w:style>
  <w:style w:type="character" w:styleId="IntenseReference">
    <w:name w:val="Intense Reference"/>
    <w:basedOn w:val="DefaultParagraphFont"/>
    <w:uiPriority w:val="32"/>
    <w:qFormat/>
    <w:rsid w:val="00934192"/>
    <w:rPr>
      <w:b/>
      <w:bCs/>
      <w:smallCaps/>
      <w:color w:val="2F5496" w:themeColor="accent1" w:themeShade="BF"/>
      <w:spacing w:val="5"/>
    </w:rPr>
  </w:style>
  <w:style w:type="paragraph" w:styleId="NormalWeb">
    <w:name w:val="Normal (Web)"/>
    <w:basedOn w:val="Normal"/>
    <w:uiPriority w:val="99"/>
    <w:semiHidden/>
    <w:unhideWhenUsed/>
    <w:rsid w:val="00962797"/>
    <w:rPr>
      <w:rFonts w:ascii="Times New Roman" w:hAnsi="Times New Roman" w:cs="Times New Roman"/>
      <w:sz w:val="24"/>
      <w:szCs w:val="24"/>
    </w:rPr>
  </w:style>
  <w:style w:type="paragraph" w:customStyle="1" w:styleId="Default">
    <w:name w:val="Default"/>
    <w:rsid w:val="00E50D9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6014A"/>
    <w:rPr>
      <w:color w:val="0563C1" w:themeColor="hyperlink"/>
      <w:u w:val="single"/>
    </w:rPr>
  </w:style>
  <w:style w:type="character" w:styleId="UnresolvedMention">
    <w:name w:val="Unresolved Mention"/>
    <w:basedOn w:val="DefaultParagraphFont"/>
    <w:uiPriority w:val="99"/>
    <w:semiHidden/>
    <w:unhideWhenUsed/>
    <w:rsid w:val="0086014A"/>
    <w:rPr>
      <w:color w:val="605E5C"/>
      <w:shd w:val="clear" w:color="auto" w:fill="E1DFDD"/>
    </w:rPr>
  </w:style>
  <w:style w:type="table" w:styleId="TableGrid">
    <w:name w:val="Table Grid"/>
    <w:basedOn w:val="TableNormal"/>
    <w:uiPriority w:val="39"/>
    <w:rsid w:val="00E9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4679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oi.org/10.30954/2347-9655.02.2022.11" TargetMode="External"/><Relationship Id="rId18" Type="http://schemas.openxmlformats.org/officeDocument/2006/relationships/hyperlink" Target="https://doi.org/10.48047/g8bqrd07" TargetMode="External"/><Relationship Id="rId26" Type="http://schemas.openxmlformats.org/officeDocument/2006/relationships/hyperlink" Target="https://doi.org/10.20324/nelumbo/v64/2022/169609" TargetMode="External"/><Relationship Id="rId3" Type="http://schemas.openxmlformats.org/officeDocument/2006/relationships/styles" Target="styles.xml"/><Relationship Id="rId21" Type="http://schemas.openxmlformats.org/officeDocument/2006/relationships/hyperlink" Target="https://www.ipni.org/p/20012499-1?utm_source=chatgpt.com" TargetMode="External"/><Relationship Id="rId7" Type="http://schemas.openxmlformats.org/officeDocument/2006/relationships/image" Target="media/image2.jpeg"/><Relationship Id="rId12" Type="http://schemas.openxmlformats.org/officeDocument/2006/relationships/hyperlink" Target="https://doi.org/10.20531/tfb.2018.46.1.13" TargetMode="External"/><Relationship Id="rId17" Type="http://schemas.openxmlformats.org/officeDocument/2006/relationships/hyperlink" Target="https://doi.org/10.1111/j.1756-1051.1989.tb02117.x" TargetMode="External"/><Relationship Id="rId25" Type="http://schemas.openxmlformats.org/officeDocument/2006/relationships/hyperlink" Target="https://www.ncbi.nlm.nih.gov/Taxonomy/Browser/wwwtax.cgi?id=4136&amp;lvl=0&amp;utm_source=chatgpt.com" TargetMode="External"/><Relationship Id="rId2" Type="http://schemas.openxmlformats.org/officeDocument/2006/relationships/numbering" Target="numbering.xml"/><Relationship Id="rId16" Type="http://schemas.openxmlformats.org/officeDocument/2006/relationships/hyperlink" Target="https://www.biodiversitylibrary.org/bibliography/21628?utm_source=chatgpt.com" TargetMode="External"/><Relationship Id="rId20" Type="http://schemas.openxmlformats.org/officeDocument/2006/relationships/hyperlink" Target="https://www.iucnredlist.org/resources/redlistguidelines?utm_source=chatgpt.com" TargetMode="External"/><Relationship Id="rId29" Type="http://schemas.openxmlformats.org/officeDocument/2006/relationships/hyperlink" Target="https://doi.org/10.2307/411877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126/science.1127609" TargetMode="External"/><Relationship Id="rId24" Type="http://schemas.openxmlformats.org/officeDocument/2006/relationships/hyperlink" Target="https://doi.org/10.53562/ajcb.7957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46/j.1523-1739.1996.10041253.x" TargetMode="External"/><Relationship Id="rId23" Type="http://schemas.openxmlformats.org/officeDocument/2006/relationships/hyperlink" Target="https://www.si.edu/object/supplement-botany-bihar-and-orissa-herbert-mooney-published-author-under-authority-government-orissa%3Asiris_sil_170302" TargetMode="External"/><Relationship Id="rId28" Type="http://schemas.openxmlformats.org/officeDocument/2006/relationships/hyperlink" Target="https://doi.org/10.20324/nelumbo/v56/2014/86676" TargetMode="External"/><Relationship Id="rId10" Type="http://schemas.openxmlformats.org/officeDocument/2006/relationships/image" Target="media/image5.png"/><Relationship Id="rId19" Type="http://schemas.openxmlformats.org/officeDocument/2006/relationships/hyperlink" Target="https://www.biodiversitylibrary.org/bibliography/678?utm_source=chatgpt.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elixirpublishers.com/articles/1678441575_201507035.pdf?utm_source=chatgpt.com" TargetMode="External"/><Relationship Id="rId22" Type="http://schemas.openxmlformats.org/officeDocument/2006/relationships/hyperlink" Target="https://doi.org/10.1002/tax.12600" TargetMode="External"/><Relationship Id="rId27" Type="http://schemas.openxmlformats.org/officeDocument/2006/relationships/hyperlink" Target="https://powo.science.kew.org/?utm_source=chatgpt.com" TargetMode="External"/><Relationship Id="rId30" Type="http://schemas.openxmlformats.org/officeDocument/2006/relationships/hyperlink" Target="https://doi.org/10.1039/9781837671090-00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6FE9-DB0E-4BC8-969F-4718F93C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12</Pages>
  <Words>3765</Words>
  <Characters>21462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Nabin kishore Jena</dc:creator>
  <cp:keywords/>
  <dc:description/>
  <cp:lastModifiedBy>SDI 1178</cp:lastModifiedBy>
  <cp:revision>293</cp:revision>
  <dcterms:created xsi:type="dcterms:W3CDTF">2026-03-26T16:18:00Z</dcterms:created>
  <dcterms:modified xsi:type="dcterms:W3CDTF">2026-06-18T06:40:00Z</dcterms:modified>
</cp:coreProperties>
</file>