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BD55A" w14:textId="77777777" w:rsidR="009467A3" w:rsidRDefault="00000000">
      <w:pPr>
        <w:spacing w:after="0" w:line="360" w:lineRule="auto"/>
        <w:jc w:val="center"/>
        <w:rPr>
          <w:rFonts w:ascii="Times New Roman" w:hAnsi="Times New Roman"/>
          <w:i/>
          <w:color w:val="000000"/>
          <w:sz w:val="24"/>
          <w:szCs w:val="24"/>
        </w:rPr>
      </w:pPr>
      <w:r>
        <w:rPr>
          <w:highlight w:val="yellow"/>
        </w:rPr>
        <w:t xml:space="preserve">Integrated GC–MS </w:t>
      </w:r>
      <w:proofErr w:type="spellStart"/>
      <w:r>
        <w:rPr>
          <w:highlight w:val="yellow"/>
        </w:rPr>
        <w:t>characterisation</w:t>
      </w:r>
      <w:proofErr w:type="spellEnd"/>
      <w:r>
        <w:rPr>
          <w:highlight w:val="yellow"/>
        </w:rPr>
        <w:t xml:space="preserve">, molecular docking, and ADMET evaluation of bioactive compounds from the methanolic extract of </w:t>
      </w:r>
      <w:proofErr w:type="spellStart"/>
      <w:r>
        <w:rPr>
          <w:i/>
          <w:highlight w:val="yellow"/>
        </w:rPr>
        <w:t>Barleria</w:t>
      </w:r>
      <w:proofErr w:type="spellEnd"/>
      <w:r>
        <w:rPr>
          <w:i/>
          <w:highlight w:val="yellow"/>
        </w:rPr>
        <w:t xml:space="preserve"> </w:t>
      </w:r>
      <w:proofErr w:type="spellStart"/>
      <w:r>
        <w:rPr>
          <w:i/>
          <w:highlight w:val="yellow"/>
        </w:rPr>
        <w:t>longiflora</w:t>
      </w:r>
      <w:proofErr w:type="spellEnd"/>
      <w:r>
        <w:rPr>
          <w:i/>
          <w:highlight w:val="yellow"/>
        </w:rPr>
        <w:t xml:space="preserve"> </w:t>
      </w:r>
      <w:proofErr w:type="spellStart"/>
      <w:r>
        <w:rPr>
          <w:i/>
          <w:highlight w:val="yellow"/>
        </w:rPr>
        <w:t>L.f.</w:t>
      </w:r>
      <w:proofErr w:type="spellEnd"/>
    </w:p>
    <w:p w14:paraId="3C34ABC5" w14:textId="77777777" w:rsidR="009467A3" w:rsidRDefault="009467A3">
      <w:pPr>
        <w:rPr>
          <w:rFonts w:ascii="Times New Roman" w:hAnsi="Times New Roman"/>
          <w:i/>
          <w:color w:val="000000"/>
          <w:sz w:val="24"/>
          <w:szCs w:val="24"/>
        </w:rPr>
      </w:pPr>
    </w:p>
    <w:p w14:paraId="4BAE88BF" w14:textId="77777777" w:rsidR="009467A3" w:rsidRDefault="00000000">
      <w:pPr>
        <w:spacing w:line="360" w:lineRule="auto"/>
        <w:jc w:val="both"/>
        <w:rPr>
          <w:rFonts w:ascii="Times New Roman" w:hAnsi="Times New Roman"/>
          <w:sz w:val="24"/>
          <w:szCs w:val="24"/>
        </w:rPr>
      </w:pPr>
      <w:r>
        <w:rPr>
          <w:rFonts w:ascii="Times New Roman" w:hAnsi="Times New Roman"/>
          <w:b/>
          <w:bCs/>
          <w:sz w:val="24"/>
          <w:szCs w:val="24"/>
        </w:rPr>
        <w:t>Abstract</w:t>
      </w:r>
    </w:p>
    <w:p w14:paraId="01C0DB9C" w14:textId="77777777" w:rsidR="009467A3" w:rsidRDefault="00000000">
      <w:pPr>
        <w:spacing w:line="360" w:lineRule="auto"/>
        <w:jc w:val="both"/>
      </w:pPr>
      <w:r>
        <w:rPr>
          <w:highlight w:val="yellow"/>
        </w:rPr>
        <w:t xml:space="preserve">Plants are important sources of structurally diverse bioactive compounds with potential relevance to drug discovery. </w:t>
      </w:r>
      <w:proofErr w:type="spellStart"/>
      <w:r>
        <w:rPr>
          <w:i/>
          <w:highlight w:val="yellow"/>
        </w:rPr>
        <w:t>Barleria</w:t>
      </w:r>
      <w:proofErr w:type="spellEnd"/>
      <w:r>
        <w:rPr>
          <w:i/>
          <w:highlight w:val="yellow"/>
        </w:rPr>
        <w:t xml:space="preserve"> </w:t>
      </w:r>
      <w:proofErr w:type="spellStart"/>
      <w:r>
        <w:rPr>
          <w:i/>
          <w:highlight w:val="yellow"/>
        </w:rPr>
        <w:t>longiflora</w:t>
      </w:r>
      <w:proofErr w:type="spellEnd"/>
      <w:r>
        <w:rPr>
          <w:i/>
          <w:highlight w:val="yellow"/>
        </w:rPr>
        <w:t xml:space="preserve"> </w:t>
      </w:r>
      <w:proofErr w:type="spellStart"/>
      <w:r>
        <w:rPr>
          <w:i/>
          <w:highlight w:val="yellow"/>
        </w:rPr>
        <w:t>L.f.</w:t>
      </w:r>
      <w:proofErr w:type="spellEnd"/>
      <w:r>
        <w:rPr>
          <w:highlight w:val="yellow"/>
        </w:rPr>
        <w:t xml:space="preserve">, a member of the family </w:t>
      </w:r>
      <w:proofErr w:type="spellStart"/>
      <w:r>
        <w:rPr>
          <w:highlight w:val="yellow"/>
        </w:rPr>
        <w:t>Acanthaceae</w:t>
      </w:r>
      <w:proofErr w:type="spellEnd"/>
      <w:r>
        <w:rPr>
          <w:highlight w:val="yellow"/>
        </w:rPr>
        <w:t xml:space="preserve">, has reported traditional medicinal uses, but its phytochemical profile and predicted pharmacological potential remain insufficiently </w:t>
      </w:r>
      <w:proofErr w:type="spellStart"/>
      <w:r>
        <w:rPr>
          <w:highlight w:val="yellow"/>
        </w:rPr>
        <w:t>characterised</w:t>
      </w:r>
      <w:proofErr w:type="spellEnd"/>
      <w:r>
        <w:rPr>
          <w:highlight w:val="yellow"/>
        </w:rPr>
        <w:t xml:space="preserve">. This study evaluated the methanolic extract of </w:t>
      </w:r>
      <w:r>
        <w:rPr>
          <w:i/>
          <w:highlight w:val="yellow"/>
        </w:rPr>
        <w:t xml:space="preserve">B. </w:t>
      </w:r>
      <w:proofErr w:type="spellStart"/>
      <w:r>
        <w:rPr>
          <w:i/>
          <w:highlight w:val="yellow"/>
        </w:rPr>
        <w:t>longiflora</w:t>
      </w:r>
      <w:proofErr w:type="spellEnd"/>
      <w:r>
        <w:rPr>
          <w:highlight w:val="yellow"/>
        </w:rPr>
        <w:t xml:space="preserve"> through preliminary phytochemical screening, gas chromatography-mass spectrometry (GC-MS), molecular docking and in silico ADMET analysis. Qualitative phytochemical screening indicated the presence of tannins, alkaloids, carbohydrates, glycosides and steroids, whereas flavonoids, proteins, saponins, triterpenoids and starch were not detected. GC-MS analysis identified three major compounds: oleic acid, stearic acid and palmitic acid, with peak areas of 76.15%, 22.44% and 1.41%, respectively, and retention times of 6.465, 8.242 and 11.977 min. The identified compounds were docked against selected target proteins, namely Aldose Reductase Enzyme (2FZD), the extracellular domain of human HER2 (1N8Z), Cyclooxygenase protein (6COX) and Sterol Carrier Protein-2 (1PZ4), using </w:t>
      </w:r>
      <w:proofErr w:type="spellStart"/>
      <w:r>
        <w:rPr>
          <w:highlight w:val="yellow"/>
        </w:rPr>
        <w:t>AutoDock</w:t>
      </w:r>
      <w:proofErr w:type="spellEnd"/>
      <w:r>
        <w:rPr>
          <w:highlight w:val="yellow"/>
        </w:rPr>
        <w:t xml:space="preserve"> Vina. Among the evaluated targets, Aldose Reductase showed comparatively stronger predicted binding interactions, with binding affinities of -5.6 kcal/mol for oleic acid, -7.3 kcal/mol for stearic acid and -6.1 kcal/mol for palmitic acid. ADMET prediction indicated molecular weights below 500 g/mol, high intestinal absorption and a bioavailability score of 0.85 for all three compounds. Palmitic acid was predicted to cross the blood-brain barrier, whereas oleic acid and stearic acid were not. Overall, the findings indicate that </w:t>
      </w:r>
      <w:r>
        <w:rPr>
          <w:i/>
          <w:highlight w:val="yellow"/>
        </w:rPr>
        <w:t xml:space="preserve">B. </w:t>
      </w:r>
      <w:proofErr w:type="spellStart"/>
      <w:r>
        <w:rPr>
          <w:i/>
          <w:highlight w:val="yellow"/>
        </w:rPr>
        <w:t>longiflora</w:t>
      </w:r>
      <w:proofErr w:type="spellEnd"/>
      <w:r>
        <w:rPr>
          <w:highlight w:val="yellow"/>
        </w:rPr>
        <w:t xml:space="preserve"> contains bioactive fatty acids with predicted drug-like properties and ligand-protein interaction potential, supporting further experimental validation in future studies.</w:t>
      </w:r>
    </w:p>
    <w:p w14:paraId="5EB5A971" w14:textId="77777777" w:rsidR="009467A3" w:rsidRDefault="00000000">
      <w:pPr>
        <w:spacing w:after="0" w:line="360" w:lineRule="auto"/>
        <w:jc w:val="both"/>
        <w:rPr>
          <w:rFonts w:ascii="Times New Roman" w:hAnsi="Times New Roman"/>
          <w:iCs/>
          <w:color w:val="000000"/>
          <w:sz w:val="24"/>
          <w:szCs w:val="24"/>
          <w:lang w:val="en-IN"/>
        </w:rPr>
      </w:pPr>
      <w:r>
        <w:rPr>
          <w:highlight w:val="yellow"/>
        </w:rPr>
        <w:t xml:space="preserve">Keywords: </w:t>
      </w:r>
      <w:proofErr w:type="spellStart"/>
      <w:r>
        <w:rPr>
          <w:i/>
          <w:highlight w:val="yellow"/>
        </w:rPr>
        <w:t>Barleria</w:t>
      </w:r>
      <w:proofErr w:type="spellEnd"/>
      <w:r>
        <w:rPr>
          <w:i/>
          <w:highlight w:val="yellow"/>
        </w:rPr>
        <w:t xml:space="preserve"> </w:t>
      </w:r>
      <w:proofErr w:type="spellStart"/>
      <w:r>
        <w:rPr>
          <w:i/>
          <w:highlight w:val="yellow"/>
        </w:rPr>
        <w:t>longiflora</w:t>
      </w:r>
      <w:proofErr w:type="spellEnd"/>
      <w:r>
        <w:rPr>
          <w:i/>
          <w:highlight w:val="yellow"/>
        </w:rPr>
        <w:t xml:space="preserve"> </w:t>
      </w:r>
      <w:proofErr w:type="spellStart"/>
      <w:r>
        <w:rPr>
          <w:i/>
          <w:highlight w:val="yellow"/>
        </w:rPr>
        <w:t>L.f.</w:t>
      </w:r>
      <w:proofErr w:type="spellEnd"/>
      <w:r>
        <w:rPr>
          <w:highlight w:val="yellow"/>
        </w:rPr>
        <w:t>; GC-MS; methanolic extract; phytochemical screening; molecular docking; ADMET prediction; oleic acid; stearic acid; palmitic acid; aldose reductase; pharmacokinetic properties</w:t>
      </w:r>
    </w:p>
    <w:p w14:paraId="7A322F9D" w14:textId="77777777" w:rsidR="009467A3" w:rsidRDefault="009467A3">
      <w:pPr>
        <w:spacing w:after="0" w:line="360" w:lineRule="auto"/>
        <w:jc w:val="both"/>
        <w:rPr>
          <w:rFonts w:ascii="Times New Roman" w:hAnsi="Times New Roman"/>
          <w:b/>
          <w:iCs/>
          <w:color w:val="000000"/>
          <w:sz w:val="24"/>
          <w:szCs w:val="24"/>
          <w:lang w:val="en-IN"/>
        </w:rPr>
      </w:pPr>
    </w:p>
    <w:p w14:paraId="72598987" w14:textId="77777777" w:rsidR="009467A3" w:rsidRDefault="00000000">
      <w:pPr>
        <w:numPr>
          <w:ilvl w:val="0"/>
          <w:numId w:val="2"/>
        </w:numPr>
        <w:spacing w:after="0" w:line="360" w:lineRule="auto"/>
        <w:ind w:left="270"/>
        <w:jc w:val="both"/>
        <w:rPr>
          <w:rFonts w:ascii="Times New Roman" w:hAnsi="Times New Roman"/>
          <w:b/>
          <w:color w:val="000000"/>
          <w:sz w:val="24"/>
          <w:szCs w:val="24"/>
        </w:rPr>
      </w:pPr>
      <w:r>
        <w:rPr>
          <w:rFonts w:ascii="Times New Roman" w:hAnsi="Times New Roman"/>
          <w:b/>
          <w:color w:val="000000"/>
          <w:sz w:val="24"/>
          <w:szCs w:val="24"/>
        </w:rPr>
        <w:t>Introduction</w:t>
      </w:r>
    </w:p>
    <w:p w14:paraId="6FFDE4AB" w14:textId="5826283F" w:rsidR="009467A3" w:rsidRDefault="00000000">
      <w:pPr>
        <w:pStyle w:val="NormalWeb"/>
        <w:spacing w:before="0" w:after="0" w:line="360" w:lineRule="auto"/>
        <w:jc w:val="both"/>
      </w:pPr>
      <w:r>
        <w:rPr>
          <w:highlight w:val="yellow"/>
        </w:rPr>
        <w:t xml:space="preserve">Human interactions with herbs and medicinal plants date back to the earliest </w:t>
      </w:r>
      <w:proofErr w:type="spellStart"/>
      <w:r>
        <w:rPr>
          <w:highlight w:val="yellow"/>
        </w:rPr>
        <w:t>civilisations</w:t>
      </w:r>
      <w:proofErr w:type="spellEnd"/>
      <w:r>
        <w:rPr>
          <w:highlight w:val="yellow"/>
        </w:rPr>
        <w:t xml:space="preserve">. Throughout history, plants have served as an invaluable natural resource, providing a wide range of bioactive compounds that form the basis of both traditional remedies and many modern pharmaceuticals (Khan et al., 2016; Rashid et al., 2022). Medicinal plants are </w:t>
      </w:r>
      <w:r>
        <w:rPr>
          <w:highlight w:val="yellow"/>
        </w:rPr>
        <w:lastRenderedPageBreak/>
        <w:t>valuable sources of bioactive compounds with applications in pharmaceuticals, food additives, agrochemicals and industrial products. As a result, pharmaceutical companies are increasingly investing in the development of cost-effective plant-based medicines derived from natural extracts (Yuvasri et al., 2026</w:t>
      </w:r>
      <w:r w:rsidR="00F63B15">
        <w:rPr>
          <w:highlight w:val="yellow"/>
        </w:rPr>
        <w:t xml:space="preserve">; </w:t>
      </w:r>
      <w:r w:rsidR="00F63B15" w:rsidRPr="00F63B15">
        <w:t>Bray</w:t>
      </w:r>
      <w:r w:rsidR="00F63B15">
        <w:t xml:space="preserve"> et al., 2018</w:t>
      </w:r>
      <w:r>
        <w:rPr>
          <w:highlight w:val="yellow"/>
        </w:rPr>
        <w:t>).</w:t>
      </w:r>
    </w:p>
    <w:p w14:paraId="7A3A7239" w14:textId="77777777" w:rsidR="009467A3" w:rsidRDefault="00000000">
      <w:pPr>
        <w:pStyle w:val="NormalWeb"/>
        <w:spacing w:before="0" w:after="0" w:line="360" w:lineRule="auto"/>
        <w:jc w:val="both"/>
      </w:pPr>
      <w:r>
        <w:rPr>
          <w:highlight w:val="yellow"/>
        </w:rPr>
        <w:t>Medicinal plants are rich in lipids, phytochemicals, pharmaceutical compounds and fragrances, making them valuable in industries such as food, medicine and cosmetics. Traditional plant-based medicines are a key component of healthcare systems in countries such as India, particularly in underdeveloped regions. The presence of phytochemicals is a major factor in their therapeutic efficacy (Velmurugan &amp; Anand, 2017). Medicinal plants are widely used for primary healthcare in developing nations and remain popular in developed countries because of growing interest in natural remedies. Documenting traditional knowledge of medicinal plants has contributed significantly to drug discovery and provides valuable information for biodiversity conservation, taxonomy, pharmacology and natural resource management (Rashid et al., 2024).</w:t>
      </w:r>
    </w:p>
    <w:p w14:paraId="2F3CE986" w14:textId="7B33C0F4" w:rsidR="009467A3" w:rsidRDefault="00000000">
      <w:pPr>
        <w:pStyle w:val="NormalWeb"/>
        <w:spacing w:before="0" w:after="0" w:line="360" w:lineRule="auto"/>
        <w:jc w:val="both"/>
        <w:rPr>
          <w:color w:val="000000"/>
        </w:rPr>
      </w:pPr>
      <w:r>
        <w:rPr>
          <w:highlight w:val="yellow"/>
        </w:rPr>
        <w:t>In the rural northeastern region of India, traditional remedies are widely used because of the diverse plant life and the socioeconomic conditions of its inhabitants (</w:t>
      </w:r>
      <w:proofErr w:type="spellStart"/>
      <w:r>
        <w:rPr>
          <w:highlight w:val="yellow"/>
        </w:rPr>
        <w:t>Ningombam</w:t>
      </w:r>
      <w:proofErr w:type="spellEnd"/>
      <w:r>
        <w:rPr>
          <w:highlight w:val="yellow"/>
        </w:rPr>
        <w:t xml:space="preserve"> &amp; Singh, 2014). Medicinal plants occupy an important place in traditional healthcare systems, such as Siddha, Ayurveda and Unani, because of their wide range of therapeutic properties. Recent experimental studies using animal models have further supported the effectiveness of these traditional remedies, highlighting their potential as natural sources of medicines with minimal adverse effects (</w:t>
      </w:r>
      <w:r w:rsidR="00B711D7" w:rsidRPr="00B711D7">
        <w:t>Sheeba &amp; Asha, 2009</w:t>
      </w:r>
      <w:r>
        <w:rPr>
          <w:highlight w:val="yellow"/>
        </w:rPr>
        <w:t xml:space="preserve">; Murugan et al., 2022). Medicinal plants in this region are rich sources of bioactive compounds with diverse biological properties. Local treatments primarily involve crude extracts containing various phytochemicals, which are used to address a wide range of diseases (Sahoo &amp; </w:t>
      </w:r>
      <w:proofErr w:type="spellStart"/>
      <w:r>
        <w:rPr>
          <w:highlight w:val="yellow"/>
        </w:rPr>
        <w:t>Manchikanti</w:t>
      </w:r>
      <w:proofErr w:type="spellEnd"/>
      <w:r>
        <w:rPr>
          <w:highlight w:val="yellow"/>
        </w:rPr>
        <w:t>, 2013). Traditional medicinal plants play a significant role in healthcare because of their ability to alleviate various disorders linked to microbial infections and oxidative stress (</w:t>
      </w:r>
      <w:r w:rsidR="00B711D7" w:rsidRPr="00B711D7">
        <w:t>Kumar</w:t>
      </w:r>
      <w:r>
        <w:rPr>
          <w:highlight w:val="yellow"/>
        </w:rPr>
        <w:t xml:space="preserve"> et al., 20</w:t>
      </w:r>
      <w:r w:rsidR="00B711D7">
        <w:rPr>
          <w:highlight w:val="yellow"/>
        </w:rPr>
        <w:t>22</w:t>
      </w:r>
      <w:r>
        <w:rPr>
          <w:highlight w:val="yellow"/>
        </w:rPr>
        <w:t>). Documentation of the ethnomedicinal uses of plants contributes significantly to several scientific disciplines, including ecology, pharmacology, taxonomy, watershed management and wildlife conservation, while preserving traditional knowledge systems (Rashid et al., 2024).</w:t>
      </w:r>
    </w:p>
    <w:p w14:paraId="4ED7740C" w14:textId="77777777" w:rsidR="009467A3" w:rsidRDefault="00000000">
      <w:pPr>
        <w:pStyle w:val="NormalWeb"/>
        <w:spacing w:before="0" w:after="0" w:line="360" w:lineRule="auto"/>
        <w:jc w:val="both"/>
        <w:rPr>
          <w:color w:val="000000"/>
        </w:rPr>
      </w:pPr>
      <w:proofErr w:type="spellStart"/>
      <w:r>
        <w:rPr>
          <w:i/>
          <w:highlight w:val="yellow"/>
        </w:rPr>
        <w:t>Barleria</w:t>
      </w:r>
      <w:proofErr w:type="spellEnd"/>
      <w:r>
        <w:rPr>
          <w:i/>
          <w:highlight w:val="yellow"/>
        </w:rPr>
        <w:t xml:space="preserve"> </w:t>
      </w:r>
      <w:proofErr w:type="spellStart"/>
      <w:r>
        <w:rPr>
          <w:i/>
          <w:highlight w:val="yellow"/>
        </w:rPr>
        <w:t>longiflora</w:t>
      </w:r>
      <w:proofErr w:type="spellEnd"/>
      <w:r>
        <w:rPr>
          <w:i/>
          <w:highlight w:val="yellow"/>
        </w:rPr>
        <w:t xml:space="preserve"> </w:t>
      </w:r>
      <w:proofErr w:type="spellStart"/>
      <w:r>
        <w:rPr>
          <w:i/>
          <w:highlight w:val="yellow"/>
        </w:rPr>
        <w:t>L.f.</w:t>
      </w:r>
      <w:proofErr w:type="spellEnd"/>
      <w:r>
        <w:rPr>
          <w:highlight w:val="yellow"/>
        </w:rPr>
        <w:t>, a plant native to peninsular India (Narayanasamy &amp; Natesan, 2020), has been traditionally used to treat conditions such as kidney stones, cough, dropsy and inflammation (</w:t>
      </w:r>
      <w:proofErr w:type="spellStart"/>
      <w:r>
        <w:rPr>
          <w:highlight w:val="yellow"/>
        </w:rPr>
        <w:t>Cittrarasu</w:t>
      </w:r>
      <w:proofErr w:type="spellEnd"/>
      <w:r>
        <w:rPr>
          <w:highlight w:val="yellow"/>
        </w:rPr>
        <w:t xml:space="preserve"> et al., 2019). Dried whole-plant powder taken with water is used to treat poisonous bites (</w:t>
      </w:r>
      <w:proofErr w:type="spellStart"/>
      <w:r>
        <w:rPr>
          <w:highlight w:val="yellow"/>
        </w:rPr>
        <w:t>Chennaiyan</w:t>
      </w:r>
      <w:proofErr w:type="spellEnd"/>
      <w:r>
        <w:rPr>
          <w:highlight w:val="yellow"/>
        </w:rPr>
        <w:t xml:space="preserve"> et al., 2016). Several species in the genus </w:t>
      </w:r>
      <w:proofErr w:type="spellStart"/>
      <w:r>
        <w:rPr>
          <w:highlight w:val="yellow"/>
        </w:rPr>
        <w:t>Barleria</w:t>
      </w:r>
      <w:proofErr w:type="spellEnd"/>
      <w:r>
        <w:rPr>
          <w:highlight w:val="yellow"/>
        </w:rPr>
        <w:t xml:space="preserve"> are extensively used in folk medicine and have been confirmed to contain various bioactive </w:t>
      </w:r>
      <w:r>
        <w:rPr>
          <w:highlight w:val="yellow"/>
        </w:rPr>
        <w:lastRenderedPageBreak/>
        <w:t xml:space="preserve">compounds with therapeutic properties, including analgesic, anti-inflammatory, anticancer, antidiabetic, </w:t>
      </w:r>
      <w:proofErr w:type="spellStart"/>
      <w:r>
        <w:rPr>
          <w:highlight w:val="yellow"/>
        </w:rPr>
        <w:t>antitumour</w:t>
      </w:r>
      <w:proofErr w:type="spellEnd"/>
      <w:r>
        <w:rPr>
          <w:highlight w:val="yellow"/>
        </w:rPr>
        <w:t>, anti-amoebic, antibacterial and antiviral activities (</w:t>
      </w:r>
      <w:proofErr w:type="spellStart"/>
      <w:r>
        <w:rPr>
          <w:highlight w:val="yellow"/>
        </w:rPr>
        <w:t>Gnanadhas</w:t>
      </w:r>
      <w:proofErr w:type="spellEnd"/>
      <w:r>
        <w:rPr>
          <w:highlight w:val="yellow"/>
        </w:rPr>
        <w:t xml:space="preserve"> et al., 2025). Although many plant species are rich in secondary metabolites, only a few have been thoroughly investigated and </w:t>
      </w:r>
      <w:proofErr w:type="spellStart"/>
      <w:r>
        <w:rPr>
          <w:highlight w:val="yellow"/>
        </w:rPr>
        <w:t>recognised</w:t>
      </w:r>
      <w:proofErr w:type="spellEnd"/>
      <w:r>
        <w:rPr>
          <w:highlight w:val="yellow"/>
        </w:rPr>
        <w:t xml:space="preserve"> as significant sources of bioactive compounds. The development of effective screening methods for new chemical compounds and quality control is critical (</w:t>
      </w:r>
      <w:proofErr w:type="spellStart"/>
      <w:r>
        <w:rPr>
          <w:highlight w:val="yellow"/>
        </w:rPr>
        <w:t>Malongane</w:t>
      </w:r>
      <w:proofErr w:type="spellEnd"/>
      <w:r>
        <w:rPr>
          <w:highlight w:val="yellow"/>
        </w:rPr>
        <w:t xml:space="preserve"> et al., 2017). Research on these bioactive compounds has led to the development of powerful new medicines (Yadav et al., 2017). GC-MS is a standard technique for identifying various compounds in plants (</w:t>
      </w:r>
      <w:proofErr w:type="spellStart"/>
      <w:r>
        <w:rPr>
          <w:highlight w:val="yellow"/>
        </w:rPr>
        <w:t>Satapute</w:t>
      </w:r>
      <w:proofErr w:type="spellEnd"/>
      <w:r>
        <w:rPr>
          <w:highlight w:val="yellow"/>
        </w:rPr>
        <w:t xml:space="preserve"> et al., 2019). According to Razack et al. (2015), GC-MS is a reliable method for identifying numerous substances in plant extracts. In addition, recent advances in computing have introduced sophisticated tools for drug discovery, enabling the screening of potential drugs derived from bioactive plant compounds (Sliwoski et al., 2014).</w:t>
      </w:r>
    </w:p>
    <w:p w14:paraId="3A8BDD4E" w14:textId="77777777" w:rsidR="009467A3" w:rsidRDefault="00000000">
      <w:pPr>
        <w:pStyle w:val="NormalWeb"/>
        <w:spacing w:before="0" w:after="0" w:line="360" w:lineRule="auto"/>
        <w:jc w:val="both"/>
        <w:rPr>
          <w:color w:val="000000"/>
        </w:rPr>
      </w:pPr>
      <w:r>
        <w:rPr>
          <w:highlight w:val="yellow"/>
        </w:rPr>
        <w:t xml:space="preserve">Diabetes mellitus (DM), a common metabolic disorder, is </w:t>
      </w:r>
      <w:proofErr w:type="spellStart"/>
      <w:r>
        <w:rPr>
          <w:highlight w:val="yellow"/>
        </w:rPr>
        <w:t>characterised</w:t>
      </w:r>
      <w:proofErr w:type="spellEnd"/>
      <w:r>
        <w:rPr>
          <w:highlight w:val="yellow"/>
        </w:rPr>
        <w:t xml:space="preserve"> by high blood sugar levels due to insufficient insulin production, improper insulin </w:t>
      </w:r>
      <w:proofErr w:type="spellStart"/>
      <w:r>
        <w:rPr>
          <w:highlight w:val="yellow"/>
        </w:rPr>
        <w:t>utilisation</w:t>
      </w:r>
      <w:proofErr w:type="spellEnd"/>
      <w:r>
        <w:rPr>
          <w:highlight w:val="yellow"/>
        </w:rPr>
        <w:t xml:space="preserve"> or both (Grover et al., 2021). Breast cancer, the most common cancer worldwide, is another significant health concern. According to the World Health Organization (WHO), approximately 2.1 million women develop breast cancer every year, with around 627,000 deaths attributed to the disease in 2018, accounting for 15% of cancer deaths among women. Furthermore, mosquitoes, as major vectors for disease transmission, pose a substantial threat to human populations, particularly in tropical regions (Georges et al., 2008). With rising global temperatures, the risk of mosquito-borne diseases is expected to increase in warmer, densely populated areas (Colón-González et al., 2021). Inflammation plays a critical role in the immune response, acting as the body's first </w:t>
      </w:r>
      <w:proofErr w:type="spellStart"/>
      <w:r>
        <w:rPr>
          <w:highlight w:val="yellow"/>
        </w:rPr>
        <w:t>defence</w:t>
      </w:r>
      <w:proofErr w:type="spellEnd"/>
      <w:r>
        <w:rPr>
          <w:highlight w:val="yellow"/>
        </w:rPr>
        <w:t xml:space="preserve"> against disease. However, the intensity and duration of inflammation are crucial. Chronic inflammation resulting from a prolonged or inadequate response is linked to the development of various cancers (Schottenfeld &amp; Beebe-Dimmer, 2006).</w:t>
      </w:r>
    </w:p>
    <w:p w14:paraId="22B5D739" w14:textId="77777777" w:rsidR="009467A3" w:rsidRDefault="00000000">
      <w:pPr>
        <w:pStyle w:val="NormalWeb"/>
        <w:spacing w:before="0" w:after="0" w:line="360" w:lineRule="auto"/>
        <w:jc w:val="both"/>
      </w:pPr>
      <w:r>
        <w:rPr>
          <w:highlight w:val="yellow"/>
        </w:rPr>
        <w:t>Computational prediction models are vital for predicting drug properties, including effects, absorption and toxicity, and contribute to pharmaceutical and technological advancements (Loza-Mejía et al., 2018). Molecular docking is a cost-effective method that is particularly useful for providing essential insights into drug-protein interactions and for assessing the predicted binding of drugs to target sites on proteins (</w:t>
      </w:r>
      <w:proofErr w:type="spellStart"/>
      <w:r>
        <w:rPr>
          <w:highlight w:val="yellow"/>
        </w:rPr>
        <w:t>Megantara</w:t>
      </w:r>
      <w:proofErr w:type="spellEnd"/>
      <w:r>
        <w:rPr>
          <w:highlight w:val="yellow"/>
        </w:rPr>
        <w:t xml:space="preserve"> et al., 2022). Although </w:t>
      </w:r>
      <w:r>
        <w:rPr>
          <w:i/>
          <w:highlight w:val="yellow"/>
        </w:rPr>
        <w:t xml:space="preserve">B. </w:t>
      </w:r>
      <w:proofErr w:type="spellStart"/>
      <w:r>
        <w:rPr>
          <w:i/>
          <w:highlight w:val="yellow"/>
        </w:rPr>
        <w:t>longiflora</w:t>
      </w:r>
      <w:proofErr w:type="spellEnd"/>
      <w:r>
        <w:rPr>
          <w:highlight w:val="yellow"/>
        </w:rPr>
        <w:t xml:space="preserve"> has reported ethnomedicinal uses and related </w:t>
      </w:r>
      <w:proofErr w:type="spellStart"/>
      <w:r>
        <w:rPr>
          <w:highlight w:val="yellow"/>
        </w:rPr>
        <w:t>Barleria</w:t>
      </w:r>
      <w:proofErr w:type="spellEnd"/>
      <w:r>
        <w:rPr>
          <w:highlight w:val="yellow"/>
        </w:rPr>
        <w:t xml:space="preserve"> species have been associated with diverse biological activities, the phytochemical composition of its methanolic extract and the predicted interaction profile of its major constituents against selected proteins remain </w:t>
      </w:r>
      <w:r>
        <w:rPr>
          <w:highlight w:val="yellow"/>
        </w:rPr>
        <w:lastRenderedPageBreak/>
        <w:t xml:space="preserve">insufficiently </w:t>
      </w:r>
      <w:proofErr w:type="spellStart"/>
      <w:r>
        <w:rPr>
          <w:highlight w:val="yellow"/>
        </w:rPr>
        <w:t>characterised</w:t>
      </w:r>
      <w:proofErr w:type="spellEnd"/>
      <w:r>
        <w:rPr>
          <w:highlight w:val="yellow"/>
        </w:rPr>
        <w:t xml:space="preserve">. In particular, evidence integrating GC-MS-based identification, molecular docking and ADMET prediction for this species is limited. Therefore, this study aimed to identify bioactive compounds from the methanolic extract of </w:t>
      </w:r>
      <w:r>
        <w:rPr>
          <w:i/>
          <w:highlight w:val="yellow"/>
        </w:rPr>
        <w:t xml:space="preserve">B. </w:t>
      </w:r>
      <w:proofErr w:type="spellStart"/>
      <w:r>
        <w:rPr>
          <w:i/>
          <w:highlight w:val="yellow"/>
        </w:rPr>
        <w:t>longiflora</w:t>
      </w:r>
      <w:proofErr w:type="spellEnd"/>
      <w:r>
        <w:rPr>
          <w:highlight w:val="yellow"/>
        </w:rPr>
        <w:t xml:space="preserve"> and to assess, through in silico approaches, their predicted interactions with selected target proteins associated with cancer, inflammation, diabetes and vector-related biological processes. The findings from in silico studies are intended to serve as a roadmap for further formulation development and experimental testing in physical laboratories.</w:t>
      </w:r>
    </w:p>
    <w:p w14:paraId="350E7009" w14:textId="77777777" w:rsidR="009467A3" w:rsidRDefault="00000000">
      <w:pPr>
        <w:autoSpaceDE w:val="0"/>
        <w:spacing w:after="0" w:line="360" w:lineRule="auto"/>
        <w:jc w:val="both"/>
      </w:pPr>
      <w:r>
        <w:rPr>
          <w:rFonts w:ascii="Times New Roman" w:hAnsi="Times New Roman"/>
          <w:b/>
          <w:color w:val="000000"/>
          <w:sz w:val="24"/>
          <w:szCs w:val="24"/>
        </w:rPr>
        <w:t xml:space="preserve">2. Materials and Methods </w:t>
      </w:r>
    </w:p>
    <w:p w14:paraId="05ECEA4E" w14:textId="77777777" w:rsidR="009467A3" w:rsidRDefault="00000000">
      <w:pPr>
        <w:autoSpaceDE w:val="0"/>
        <w:spacing w:after="0" w:line="360" w:lineRule="auto"/>
        <w:jc w:val="both"/>
        <w:rPr>
          <w:rFonts w:ascii="Times New Roman" w:hAnsi="Times New Roman"/>
          <w:b/>
          <w:color w:val="000000"/>
          <w:sz w:val="24"/>
          <w:szCs w:val="24"/>
        </w:rPr>
      </w:pPr>
      <w:r>
        <w:rPr>
          <w:rFonts w:ascii="Times New Roman" w:hAnsi="Times New Roman"/>
          <w:b/>
          <w:color w:val="000000"/>
          <w:sz w:val="24"/>
          <w:szCs w:val="24"/>
        </w:rPr>
        <w:t>2.1. Plant Collection and Extract Preparation</w:t>
      </w:r>
    </w:p>
    <w:p w14:paraId="6CE56E6D" w14:textId="5154E7C2" w:rsidR="009467A3" w:rsidRDefault="00000000">
      <w:pPr>
        <w:spacing w:line="360" w:lineRule="auto"/>
        <w:jc w:val="both"/>
        <w:rPr>
          <w:rFonts w:ascii="Times New Roman" w:hAnsi="Times New Roman"/>
          <w:color w:val="FF0000"/>
          <w:sz w:val="24"/>
          <w:szCs w:val="24"/>
        </w:rPr>
      </w:pPr>
      <w:r>
        <w:rPr>
          <w:highlight w:val="yellow"/>
        </w:rPr>
        <w:t xml:space="preserve">Fresh leaves of </w:t>
      </w:r>
      <w:proofErr w:type="spellStart"/>
      <w:r>
        <w:rPr>
          <w:i/>
          <w:highlight w:val="yellow"/>
        </w:rPr>
        <w:t>Barleria</w:t>
      </w:r>
      <w:proofErr w:type="spellEnd"/>
      <w:r>
        <w:rPr>
          <w:i/>
          <w:highlight w:val="yellow"/>
        </w:rPr>
        <w:t xml:space="preserve"> </w:t>
      </w:r>
      <w:proofErr w:type="spellStart"/>
      <w:r>
        <w:rPr>
          <w:i/>
          <w:highlight w:val="yellow"/>
        </w:rPr>
        <w:t>longiflora</w:t>
      </w:r>
      <w:proofErr w:type="spellEnd"/>
      <w:r>
        <w:rPr>
          <w:i/>
          <w:highlight w:val="yellow"/>
        </w:rPr>
        <w:t xml:space="preserve"> </w:t>
      </w:r>
      <w:proofErr w:type="spellStart"/>
      <w:r>
        <w:rPr>
          <w:i/>
          <w:highlight w:val="yellow"/>
        </w:rPr>
        <w:t>L.f.</w:t>
      </w:r>
      <w:proofErr w:type="spellEnd"/>
      <w:r>
        <w:rPr>
          <w:highlight w:val="yellow"/>
        </w:rPr>
        <w:t xml:space="preserve"> were selected for the present study and collected from the </w:t>
      </w:r>
      <w:proofErr w:type="spellStart"/>
      <w:r>
        <w:rPr>
          <w:highlight w:val="yellow"/>
        </w:rPr>
        <w:t>Narthamalai</w:t>
      </w:r>
      <w:proofErr w:type="spellEnd"/>
      <w:r>
        <w:rPr>
          <w:highlight w:val="yellow"/>
        </w:rPr>
        <w:t xml:space="preserve"> Hills, Pudukkottai District, Tamil Nadu, India, during December 2024. Taxonomic identification and authentication of the plant material were carried out by the Department of Botany, Annai </w:t>
      </w:r>
      <w:proofErr w:type="spellStart"/>
      <w:r>
        <w:rPr>
          <w:highlight w:val="yellow"/>
        </w:rPr>
        <w:t>Vailankanni</w:t>
      </w:r>
      <w:proofErr w:type="spellEnd"/>
      <w:r>
        <w:rPr>
          <w:highlight w:val="yellow"/>
        </w:rPr>
        <w:t xml:space="preserve"> Arts and Science College, Thanjavur, Tamil Nadu, India. The collected leaves were thoroughly washed under running tap water to remove adhering dust and soil particles, followed by rinsing with distilled water. The cleaned samples were spread on blotting paper and shade-dried at room temperature. After complete drying, the plant material was finely powdered using a tissue blender. Approximately 30 g of the powdered sample was subjected to Soxhlet extraction with methanol for 8 h to obtain the methanolic leaf extract, following the method described by Iniya </w:t>
      </w:r>
      <w:r w:rsidR="00F63B15" w:rsidRPr="00F63B15">
        <w:t>Udhaya</w:t>
      </w:r>
      <w:r w:rsidR="00F63B15" w:rsidRPr="00F63B15">
        <w:rPr>
          <w:highlight w:val="yellow"/>
        </w:rPr>
        <w:t xml:space="preserve"> </w:t>
      </w:r>
      <w:r>
        <w:rPr>
          <w:highlight w:val="yellow"/>
        </w:rPr>
        <w:t>et al. (2017).</w:t>
      </w:r>
    </w:p>
    <w:p w14:paraId="38CA3F5D" w14:textId="77777777" w:rsidR="009467A3" w:rsidRDefault="00000000">
      <w:pPr>
        <w:autoSpaceDE w:val="0"/>
        <w:spacing w:after="0" w:line="360" w:lineRule="auto"/>
        <w:jc w:val="both"/>
        <w:rPr>
          <w:rFonts w:ascii="Times New Roman" w:hAnsi="Times New Roman"/>
          <w:b/>
          <w:i/>
          <w:color w:val="000000"/>
          <w:sz w:val="24"/>
          <w:szCs w:val="24"/>
        </w:rPr>
      </w:pPr>
      <w:r>
        <w:rPr>
          <w:highlight w:val="yellow"/>
        </w:rPr>
        <w:t>2.2. Preliminary Phytochemical Analysis</w:t>
      </w:r>
    </w:p>
    <w:p w14:paraId="41ED9EB0" w14:textId="77777777" w:rsidR="009467A3" w:rsidRDefault="009467A3">
      <w:pPr>
        <w:autoSpaceDE w:val="0"/>
        <w:spacing w:after="0" w:line="360" w:lineRule="auto"/>
        <w:jc w:val="both"/>
        <w:rPr>
          <w:rFonts w:ascii="Times New Roman" w:hAnsi="Times New Roman"/>
          <w:b/>
          <w:i/>
          <w:color w:val="000000"/>
          <w:sz w:val="24"/>
          <w:szCs w:val="24"/>
        </w:rPr>
      </w:pPr>
    </w:p>
    <w:p w14:paraId="53ED9FDA" w14:textId="77777777" w:rsidR="009467A3" w:rsidRDefault="00000000">
      <w:pPr>
        <w:autoSpaceDE w:val="0"/>
        <w:spacing w:after="0" w:line="360" w:lineRule="auto"/>
        <w:jc w:val="both"/>
        <w:rPr>
          <w:rFonts w:ascii="Times New Roman" w:hAnsi="Times New Roman"/>
          <w:b/>
          <w:i/>
          <w:color w:val="000000"/>
          <w:sz w:val="24"/>
          <w:szCs w:val="24"/>
        </w:rPr>
      </w:pPr>
      <w:r>
        <w:rPr>
          <w:highlight w:val="yellow"/>
        </w:rPr>
        <w:t xml:space="preserve">A standard qualitative phytochemical screening method was used to </w:t>
      </w:r>
      <w:proofErr w:type="spellStart"/>
      <w:r>
        <w:rPr>
          <w:highlight w:val="yellow"/>
        </w:rPr>
        <w:t>analyse</w:t>
      </w:r>
      <w:proofErr w:type="spellEnd"/>
      <w:r>
        <w:rPr>
          <w:highlight w:val="yellow"/>
        </w:rPr>
        <w:t xml:space="preserve"> the chemical constituents present in the methanolic extract of </w:t>
      </w:r>
      <w:r>
        <w:rPr>
          <w:i/>
          <w:highlight w:val="yellow"/>
        </w:rPr>
        <w:t xml:space="preserve">B. </w:t>
      </w:r>
      <w:proofErr w:type="spellStart"/>
      <w:r>
        <w:rPr>
          <w:i/>
          <w:highlight w:val="yellow"/>
        </w:rPr>
        <w:t>longiflora</w:t>
      </w:r>
      <w:proofErr w:type="spellEnd"/>
      <w:r>
        <w:rPr>
          <w:highlight w:val="yellow"/>
        </w:rPr>
        <w:t xml:space="preserve"> (Lee &amp; Kim, 2019).</w:t>
      </w:r>
    </w:p>
    <w:p w14:paraId="5E1A46D5" w14:textId="77777777" w:rsidR="009467A3" w:rsidRDefault="009467A3">
      <w:pPr>
        <w:autoSpaceDE w:val="0"/>
        <w:spacing w:after="0" w:line="360" w:lineRule="auto"/>
        <w:jc w:val="both"/>
        <w:rPr>
          <w:rFonts w:ascii="Times New Roman" w:hAnsi="Times New Roman"/>
          <w:b/>
          <w:i/>
          <w:color w:val="000000"/>
          <w:sz w:val="24"/>
          <w:szCs w:val="24"/>
        </w:rPr>
      </w:pPr>
    </w:p>
    <w:p w14:paraId="311C5503" w14:textId="77777777" w:rsidR="009467A3" w:rsidRDefault="00000000">
      <w:pPr>
        <w:autoSpaceDE w:val="0"/>
        <w:spacing w:after="0" w:line="360" w:lineRule="auto"/>
        <w:jc w:val="both"/>
        <w:rPr>
          <w:rFonts w:ascii="Times New Roman" w:hAnsi="Times New Roman"/>
          <w:b/>
          <w:color w:val="000000"/>
          <w:sz w:val="24"/>
          <w:szCs w:val="24"/>
          <w:lang w:val="en-IN"/>
        </w:rPr>
      </w:pPr>
      <w:r>
        <w:rPr>
          <w:highlight w:val="yellow"/>
        </w:rPr>
        <w:t>2.3. GC-MS Analysis</w:t>
      </w:r>
    </w:p>
    <w:p w14:paraId="26F622B1" w14:textId="77777777" w:rsidR="009467A3" w:rsidRDefault="00000000">
      <w:pPr>
        <w:spacing w:line="360" w:lineRule="auto"/>
        <w:jc w:val="both"/>
      </w:pPr>
      <w:r>
        <w:rPr>
          <w:highlight w:val="yellow"/>
        </w:rPr>
        <w:t xml:space="preserve">Phytoconstituents in the methanolic extract of </w:t>
      </w:r>
      <w:r>
        <w:rPr>
          <w:i/>
          <w:highlight w:val="yellow"/>
        </w:rPr>
        <w:t xml:space="preserve">B. </w:t>
      </w:r>
      <w:proofErr w:type="spellStart"/>
      <w:r>
        <w:rPr>
          <w:i/>
          <w:highlight w:val="yellow"/>
        </w:rPr>
        <w:t>longiflora</w:t>
      </w:r>
      <w:proofErr w:type="spellEnd"/>
      <w:r>
        <w:rPr>
          <w:highlight w:val="yellow"/>
        </w:rPr>
        <w:t xml:space="preserve"> were identified using a </w:t>
      </w:r>
      <w:proofErr w:type="spellStart"/>
      <w:r>
        <w:rPr>
          <w:highlight w:val="yellow"/>
        </w:rPr>
        <w:t>Thermo</w:t>
      </w:r>
      <w:proofErr w:type="spellEnd"/>
      <w:r>
        <w:rPr>
          <w:highlight w:val="yellow"/>
        </w:rPr>
        <w:t xml:space="preserve"> Scientific GC-MS instrument. After the extract was dissolved in a solvent, the mixture was filtered. A DB 35-MS capillary standard non-polar column was used for chromatography. Helium was used as the carrier gas. The sample was injected in split mode. The transfer line temperature was maintained at 280 °C, while the injector temperature was fixed at 240 °C. After 2 min at 50 °C, the column temperature was raised to 260 °C at a rate of 5 °C per min and maintained for 10 min. The sample was scanned by the device in the mass spectral range of 42-350 m/z. The National Institute of Standards and Technology (NIST) library was used to evaluate the obtained GC-MS compound peaks.</w:t>
      </w:r>
    </w:p>
    <w:p w14:paraId="4B9DA888" w14:textId="77777777" w:rsidR="009467A3" w:rsidRDefault="00000000">
      <w:pPr>
        <w:pStyle w:val="NormalWeb"/>
        <w:spacing w:before="0" w:after="0" w:line="360" w:lineRule="auto"/>
        <w:jc w:val="both"/>
      </w:pPr>
      <w:r>
        <w:rPr>
          <w:b/>
          <w:color w:val="000000"/>
        </w:rPr>
        <w:lastRenderedPageBreak/>
        <w:t>2.4. Molecular Docking Studies</w:t>
      </w:r>
    </w:p>
    <w:p w14:paraId="7A574723" w14:textId="77777777" w:rsidR="009467A3" w:rsidRDefault="00000000">
      <w:pPr>
        <w:pStyle w:val="NormalWeb"/>
        <w:spacing w:before="0" w:after="0" w:line="360" w:lineRule="auto"/>
        <w:jc w:val="both"/>
        <w:rPr>
          <w:color w:val="000000"/>
          <w:lang w:val="en-IN"/>
        </w:rPr>
      </w:pPr>
      <w:r>
        <w:rPr>
          <w:highlight w:val="yellow"/>
        </w:rPr>
        <w:t xml:space="preserve">The predicted interaction potential of the identified bioactive compounds was evaluated against selected target proteins associated with cancer, inflammation, diabetes and vector-related biological processes. Ligand structures were obtained from PubChem and converted into suitable formats using Open Babel. Energy </w:t>
      </w:r>
      <w:proofErr w:type="spellStart"/>
      <w:r>
        <w:rPr>
          <w:highlight w:val="yellow"/>
        </w:rPr>
        <w:t>minimisation</w:t>
      </w:r>
      <w:proofErr w:type="spellEnd"/>
      <w:r>
        <w:rPr>
          <w:highlight w:val="yellow"/>
        </w:rPr>
        <w:t xml:space="preserve"> was performed before docking analysis. Structure-based molecular docking was performed with target proteins, including Aldose Reductase Enzyme (2FZD), the crystal structure of the extracellular domain of human HER2 (1N8Z), Cyclooxygenase (6COX) protein and Sterol Carrier Protein-2 (1PZ4) (Tiwari et al., 2011). Protein structures were prepared by removing water molecules and heteroatoms, adding polar hydrogen atoms and assigning charges using </w:t>
      </w:r>
      <w:proofErr w:type="spellStart"/>
      <w:r>
        <w:rPr>
          <w:highlight w:val="yellow"/>
        </w:rPr>
        <w:t>AutoDock</w:t>
      </w:r>
      <w:proofErr w:type="spellEnd"/>
      <w:r>
        <w:rPr>
          <w:highlight w:val="yellow"/>
        </w:rPr>
        <w:t xml:space="preserve"> Tools. Docking was performed using </w:t>
      </w:r>
      <w:proofErr w:type="spellStart"/>
      <w:r>
        <w:rPr>
          <w:highlight w:val="yellow"/>
        </w:rPr>
        <w:t>AutoDock</w:t>
      </w:r>
      <w:proofErr w:type="spellEnd"/>
      <w:r>
        <w:rPr>
          <w:highlight w:val="yellow"/>
        </w:rPr>
        <w:t xml:space="preserve"> Vina. As the present study was based on blind docking, validation methods such as redocking, RMSD calculation or comparison with reference inhibitors were not performed. Therefore, the docking results should be considered preliminary predictions that require further validation through experimental and additional computational studies. The results were </w:t>
      </w:r>
      <w:proofErr w:type="spellStart"/>
      <w:r>
        <w:rPr>
          <w:highlight w:val="yellow"/>
        </w:rPr>
        <w:t>analysed</w:t>
      </w:r>
      <w:proofErr w:type="spellEnd"/>
      <w:r>
        <w:rPr>
          <w:highlight w:val="yellow"/>
        </w:rPr>
        <w:t xml:space="preserve"> and </w:t>
      </w:r>
      <w:proofErr w:type="spellStart"/>
      <w:r>
        <w:rPr>
          <w:highlight w:val="yellow"/>
        </w:rPr>
        <w:t>visualised</w:t>
      </w:r>
      <w:proofErr w:type="spellEnd"/>
      <w:r>
        <w:rPr>
          <w:highlight w:val="yellow"/>
        </w:rPr>
        <w:t xml:space="preserve"> using tools such as </w:t>
      </w:r>
      <w:proofErr w:type="spellStart"/>
      <w:r>
        <w:rPr>
          <w:highlight w:val="yellow"/>
        </w:rPr>
        <w:t>Biovia</w:t>
      </w:r>
      <w:proofErr w:type="spellEnd"/>
      <w:r>
        <w:rPr>
          <w:highlight w:val="yellow"/>
        </w:rPr>
        <w:t xml:space="preserve"> Discovery Studio (Anita &amp; Selvaraj, 2022).</w:t>
      </w:r>
    </w:p>
    <w:p w14:paraId="015112D6" w14:textId="77777777" w:rsidR="009467A3" w:rsidRDefault="009467A3">
      <w:pPr>
        <w:pStyle w:val="NormalWeb"/>
        <w:spacing w:before="0" w:after="0" w:line="360" w:lineRule="auto"/>
        <w:ind w:firstLine="284"/>
        <w:jc w:val="both"/>
        <w:rPr>
          <w:color w:val="000000"/>
          <w:lang w:val="en-IN"/>
        </w:rPr>
      </w:pPr>
    </w:p>
    <w:p w14:paraId="1E4C5ECE" w14:textId="77777777" w:rsidR="009467A3" w:rsidRDefault="00000000">
      <w:pPr>
        <w:pStyle w:val="NormalWeb"/>
        <w:spacing w:before="0" w:after="0" w:line="360" w:lineRule="auto"/>
        <w:jc w:val="both"/>
        <w:rPr>
          <w:i/>
          <w:color w:val="000000"/>
        </w:rPr>
      </w:pPr>
      <w:r>
        <w:rPr>
          <w:highlight w:val="yellow"/>
        </w:rPr>
        <w:t xml:space="preserve">2.5. ADMET Prediction of Bioactive Compounds from </w:t>
      </w:r>
      <w:r>
        <w:rPr>
          <w:i/>
          <w:highlight w:val="yellow"/>
        </w:rPr>
        <w:t xml:space="preserve">B. </w:t>
      </w:r>
      <w:proofErr w:type="spellStart"/>
      <w:r>
        <w:rPr>
          <w:i/>
          <w:highlight w:val="yellow"/>
        </w:rPr>
        <w:t>longiflora</w:t>
      </w:r>
      <w:proofErr w:type="spellEnd"/>
    </w:p>
    <w:p w14:paraId="72DDCE1D" w14:textId="77777777" w:rsidR="009467A3" w:rsidRDefault="00000000">
      <w:pPr>
        <w:pStyle w:val="NormalWeb"/>
        <w:spacing w:before="0" w:after="0" w:line="360" w:lineRule="auto"/>
        <w:jc w:val="both"/>
        <w:rPr>
          <w:i/>
          <w:color w:val="000000"/>
        </w:rPr>
      </w:pPr>
      <w:r>
        <w:rPr>
          <w:highlight w:val="yellow"/>
        </w:rPr>
        <w:t xml:space="preserve">The pharmacokinetic (PK) profile of a drug or ligand describes its absorption, distribution, metabolism and excretion (ADME) throughout the body. In essence, PK tracks the movement of a drug from entry into the body to its elimination. Computational tools such as </w:t>
      </w:r>
      <w:proofErr w:type="spellStart"/>
      <w:r>
        <w:rPr>
          <w:highlight w:val="yellow"/>
        </w:rPr>
        <w:t>SwissADME</w:t>
      </w:r>
      <w:proofErr w:type="spellEnd"/>
      <w:r>
        <w:rPr>
          <w:highlight w:val="yellow"/>
        </w:rPr>
        <w:t xml:space="preserve"> (http://www.swissadme.ch/index.php) can predict a drug's PK profile (Muthukrishnan et al., 2025).</w:t>
      </w:r>
    </w:p>
    <w:p w14:paraId="42392C9A" w14:textId="77777777" w:rsidR="009467A3" w:rsidRDefault="009467A3">
      <w:pPr>
        <w:autoSpaceDE w:val="0"/>
        <w:spacing w:after="0" w:line="360" w:lineRule="auto"/>
        <w:jc w:val="both"/>
        <w:rPr>
          <w:rFonts w:ascii="Times New Roman" w:hAnsi="Times New Roman"/>
          <w:b/>
          <w:i/>
          <w:color w:val="000000"/>
          <w:sz w:val="24"/>
          <w:szCs w:val="24"/>
        </w:rPr>
      </w:pPr>
    </w:p>
    <w:p w14:paraId="2670EE22" w14:textId="77777777" w:rsidR="009467A3" w:rsidRDefault="00000000">
      <w:pPr>
        <w:autoSpaceDE w:val="0"/>
        <w:spacing w:after="0" w:line="360" w:lineRule="auto"/>
        <w:jc w:val="both"/>
        <w:rPr>
          <w:rFonts w:ascii="Times New Roman" w:hAnsi="Times New Roman"/>
          <w:b/>
          <w:color w:val="000000"/>
          <w:sz w:val="24"/>
          <w:szCs w:val="24"/>
        </w:rPr>
      </w:pPr>
      <w:r>
        <w:rPr>
          <w:rFonts w:ascii="Times New Roman" w:hAnsi="Times New Roman"/>
          <w:b/>
          <w:color w:val="000000"/>
          <w:sz w:val="24"/>
          <w:szCs w:val="24"/>
        </w:rPr>
        <w:t>3. Results</w:t>
      </w:r>
    </w:p>
    <w:p w14:paraId="556C4E31" w14:textId="77777777" w:rsidR="009467A3" w:rsidRDefault="00000000">
      <w:pPr>
        <w:spacing w:after="0" w:line="360" w:lineRule="auto"/>
        <w:jc w:val="both"/>
        <w:rPr>
          <w:rFonts w:ascii="Times New Roman" w:hAnsi="Times New Roman"/>
          <w:b/>
          <w:bCs/>
          <w:color w:val="000000"/>
          <w:sz w:val="24"/>
          <w:szCs w:val="24"/>
        </w:rPr>
      </w:pPr>
      <w:bookmarkStart w:id="0" w:name="_Hlk131322753"/>
      <w:r>
        <w:rPr>
          <w:rFonts w:ascii="Times New Roman" w:hAnsi="Times New Roman"/>
          <w:b/>
          <w:bCs/>
          <w:color w:val="000000"/>
          <w:sz w:val="24"/>
          <w:szCs w:val="24"/>
        </w:rPr>
        <w:t xml:space="preserve">3.1. Phytochemical </w:t>
      </w:r>
      <w:bookmarkEnd w:id="0"/>
      <w:r>
        <w:rPr>
          <w:rFonts w:ascii="Times New Roman" w:hAnsi="Times New Roman"/>
          <w:b/>
          <w:bCs/>
          <w:color w:val="000000"/>
          <w:sz w:val="24"/>
          <w:szCs w:val="24"/>
        </w:rPr>
        <w:t>Screening</w:t>
      </w:r>
    </w:p>
    <w:p w14:paraId="37007E59" w14:textId="77777777" w:rsidR="009467A3" w:rsidRDefault="00000000">
      <w:pPr>
        <w:spacing w:after="0" w:line="360" w:lineRule="auto"/>
        <w:jc w:val="both"/>
        <w:rPr>
          <w:rFonts w:ascii="Times New Roman" w:hAnsi="Times New Roman"/>
          <w:color w:val="000000"/>
          <w:sz w:val="24"/>
          <w:szCs w:val="24"/>
        </w:rPr>
      </w:pPr>
      <w:r>
        <w:rPr>
          <w:highlight w:val="yellow"/>
        </w:rPr>
        <w:t xml:space="preserve">Phytochemical analysis of the methanol extract of </w:t>
      </w:r>
      <w:r>
        <w:rPr>
          <w:i/>
          <w:highlight w:val="yellow"/>
        </w:rPr>
        <w:t xml:space="preserve">B. </w:t>
      </w:r>
      <w:proofErr w:type="spellStart"/>
      <w:r>
        <w:rPr>
          <w:i/>
          <w:highlight w:val="yellow"/>
        </w:rPr>
        <w:t>longiflora</w:t>
      </w:r>
      <w:proofErr w:type="spellEnd"/>
      <w:r>
        <w:rPr>
          <w:highlight w:val="yellow"/>
        </w:rPr>
        <w:t xml:space="preserve"> aerial parts identified several phytochemicals, including tannins, alkaloids, carbohydrates, glycosides and steroids (Table 1).</w:t>
      </w:r>
    </w:p>
    <w:p w14:paraId="28FC004A" w14:textId="77777777" w:rsidR="009467A3" w:rsidRDefault="009467A3">
      <w:pPr>
        <w:spacing w:after="0" w:line="360" w:lineRule="auto"/>
        <w:jc w:val="center"/>
        <w:rPr>
          <w:rFonts w:ascii="Times New Roman" w:hAnsi="Times New Roman"/>
          <w:b/>
          <w:bCs/>
          <w:color w:val="000000"/>
          <w:sz w:val="24"/>
          <w:szCs w:val="24"/>
        </w:rPr>
      </w:pPr>
    </w:p>
    <w:p w14:paraId="66A3D632" w14:textId="77777777" w:rsidR="009467A3" w:rsidRDefault="00000000">
      <w:pPr>
        <w:spacing w:after="0" w:line="360" w:lineRule="auto"/>
        <w:jc w:val="both"/>
        <w:rPr>
          <w:rFonts w:ascii="Times New Roman" w:hAnsi="Times New Roman"/>
          <w:color w:val="000000"/>
          <w:sz w:val="24"/>
          <w:szCs w:val="24"/>
        </w:rPr>
      </w:pPr>
      <w:r>
        <w:rPr>
          <w:highlight w:val="yellow"/>
        </w:rPr>
        <w:t xml:space="preserve">3.2. GC-MS Analysis of </w:t>
      </w:r>
      <w:r>
        <w:rPr>
          <w:i/>
          <w:highlight w:val="yellow"/>
        </w:rPr>
        <w:t xml:space="preserve">B. </w:t>
      </w:r>
      <w:proofErr w:type="spellStart"/>
      <w:r>
        <w:rPr>
          <w:i/>
          <w:highlight w:val="yellow"/>
        </w:rPr>
        <w:t>longiflora</w:t>
      </w:r>
      <w:proofErr w:type="spellEnd"/>
    </w:p>
    <w:p w14:paraId="365D28A9" w14:textId="77777777" w:rsidR="009467A3" w:rsidRDefault="00000000">
      <w:pPr>
        <w:spacing w:after="0" w:line="360" w:lineRule="auto"/>
        <w:jc w:val="both"/>
      </w:pPr>
      <w:r>
        <w:rPr>
          <w:highlight w:val="yellow"/>
        </w:rPr>
        <w:t xml:space="preserve">GC-MS analysis of the methanol extract of </w:t>
      </w:r>
      <w:r>
        <w:rPr>
          <w:i/>
          <w:highlight w:val="yellow"/>
        </w:rPr>
        <w:t xml:space="preserve">B. </w:t>
      </w:r>
      <w:proofErr w:type="spellStart"/>
      <w:r>
        <w:rPr>
          <w:i/>
          <w:highlight w:val="yellow"/>
        </w:rPr>
        <w:t>longiflora</w:t>
      </w:r>
      <w:proofErr w:type="spellEnd"/>
      <w:r>
        <w:rPr>
          <w:highlight w:val="yellow"/>
        </w:rPr>
        <w:t xml:space="preserve"> identified oleic acid, stearic acid and palmitic acid, with retention times of 6.465, 8.242 and 11.977 min, respectively (Table 2 and Figure 1).</w:t>
      </w:r>
    </w:p>
    <w:p w14:paraId="2EEDB5D6" w14:textId="77777777" w:rsidR="009467A3" w:rsidRDefault="009467A3">
      <w:pPr>
        <w:spacing w:after="0" w:line="360" w:lineRule="auto"/>
        <w:jc w:val="both"/>
        <w:rPr>
          <w:rFonts w:ascii="Times New Roman" w:hAnsi="Times New Roman"/>
          <w:b/>
          <w:bCs/>
          <w:color w:val="000000"/>
          <w:sz w:val="24"/>
          <w:szCs w:val="24"/>
        </w:rPr>
      </w:pPr>
    </w:p>
    <w:p w14:paraId="70658F6E" w14:textId="77777777" w:rsidR="009467A3" w:rsidRDefault="00000000">
      <w:pPr>
        <w:spacing w:after="0" w:line="360" w:lineRule="auto"/>
        <w:jc w:val="both"/>
        <w:rPr>
          <w:rFonts w:ascii="Times New Roman" w:hAnsi="Times New Roman"/>
          <w:b/>
          <w:bCs/>
          <w:i/>
          <w:color w:val="000000"/>
          <w:sz w:val="24"/>
          <w:szCs w:val="24"/>
        </w:rPr>
      </w:pPr>
      <w:r>
        <w:rPr>
          <w:highlight w:val="yellow"/>
        </w:rPr>
        <w:t xml:space="preserve">3.3. ADMET Prediction of Bioactive Compounds from </w:t>
      </w:r>
      <w:r>
        <w:rPr>
          <w:i/>
          <w:highlight w:val="yellow"/>
        </w:rPr>
        <w:t xml:space="preserve">B. </w:t>
      </w:r>
      <w:proofErr w:type="spellStart"/>
      <w:r>
        <w:rPr>
          <w:i/>
          <w:highlight w:val="yellow"/>
        </w:rPr>
        <w:t>longiflora</w:t>
      </w:r>
      <w:proofErr w:type="spellEnd"/>
    </w:p>
    <w:p w14:paraId="033C741D" w14:textId="77777777" w:rsidR="009467A3" w:rsidRDefault="00000000">
      <w:pPr>
        <w:spacing w:after="0" w:line="360" w:lineRule="auto"/>
        <w:jc w:val="both"/>
      </w:pPr>
      <w:r>
        <w:rPr>
          <w:highlight w:val="yellow"/>
        </w:rPr>
        <w:lastRenderedPageBreak/>
        <w:t xml:space="preserve">The ADMET properties of phytocompounds from the methanolic extract of </w:t>
      </w:r>
      <w:r>
        <w:rPr>
          <w:i/>
          <w:highlight w:val="yellow"/>
        </w:rPr>
        <w:t xml:space="preserve">B. </w:t>
      </w:r>
      <w:proofErr w:type="spellStart"/>
      <w:r>
        <w:rPr>
          <w:i/>
          <w:highlight w:val="yellow"/>
        </w:rPr>
        <w:t>longiflora</w:t>
      </w:r>
      <w:proofErr w:type="spellEnd"/>
      <w:r>
        <w:rPr>
          <w:highlight w:val="yellow"/>
        </w:rPr>
        <w:t xml:space="preserve"> were evaluated. The identified compounds displayed molecular weights below 500 g/mol. The three compounds had Log P values ranging from 4.19 to 4.67. Their TPSA value was within the limit of 37.30 Å, while the Log S values ranged from -5.02 to -5.73. The Fraction Csp3 values ranged from 0.83 to 0.94, and the number of rotatable bonds per compound ranged from 14 to 16. The most effectively interacting phytocompounds were found to largely adhere to Lipinski's rule of five (LRO5), with only one exception. Among the </w:t>
      </w:r>
      <w:proofErr w:type="spellStart"/>
      <w:r>
        <w:rPr>
          <w:highlight w:val="yellow"/>
        </w:rPr>
        <w:t>analysed</w:t>
      </w:r>
      <w:proofErr w:type="spellEnd"/>
      <w:r>
        <w:rPr>
          <w:highlight w:val="yellow"/>
        </w:rPr>
        <w:t xml:space="preserve"> phytocompounds, palmitic acid could cross the blood-brain barrier (BBB), whereas oleic acid and stearic acid could not. All compounds demonstrated high intestinal absorption. A bioavailability score of 0.85 was documented for oleic acid, stearic acid and palmitic acid.</w:t>
      </w:r>
    </w:p>
    <w:p w14:paraId="413F2778" w14:textId="77777777" w:rsidR="009467A3" w:rsidRDefault="00000000">
      <w:pPr>
        <w:spacing w:after="0" w:line="360" w:lineRule="auto"/>
        <w:jc w:val="both"/>
      </w:pPr>
      <w:r>
        <w:rPr>
          <w:highlight w:val="yellow"/>
        </w:rPr>
        <w:t xml:space="preserve">Regarding enzyme inhibition, oleic acid and palmitic acid each inhibited two CYP450 enzymes, specifically CYP1A2 and CYP2C9. Meanwhile, stearic acid inhibited only one CYP450 enzyme, CYP1A2. The phytocompounds with negative log </w:t>
      </w:r>
      <w:proofErr w:type="spellStart"/>
      <w:r>
        <w:rPr>
          <w:highlight w:val="yellow"/>
        </w:rPr>
        <w:t>Kp</w:t>
      </w:r>
      <w:proofErr w:type="spellEnd"/>
      <w:r>
        <w:rPr>
          <w:highlight w:val="yellow"/>
        </w:rPr>
        <w:t xml:space="preserve"> values demonstrated lower skin permeability. All the </w:t>
      </w:r>
      <w:proofErr w:type="spellStart"/>
      <w:r>
        <w:rPr>
          <w:highlight w:val="yellow"/>
        </w:rPr>
        <w:t>analysed</w:t>
      </w:r>
      <w:proofErr w:type="spellEnd"/>
      <w:r>
        <w:rPr>
          <w:highlight w:val="yellow"/>
        </w:rPr>
        <w:t xml:space="preserve"> compounds shared this feature uniformly. Properties related to cytochrome enzyme inhibition and skin permeation are presented in Table 3.</w:t>
      </w:r>
    </w:p>
    <w:p w14:paraId="2EDA0382" w14:textId="77777777" w:rsidR="009467A3" w:rsidRDefault="009467A3">
      <w:pPr>
        <w:spacing w:after="0" w:line="360" w:lineRule="auto"/>
        <w:ind w:right="-540"/>
        <w:jc w:val="center"/>
        <w:rPr>
          <w:rFonts w:ascii="Times New Roman" w:hAnsi="Times New Roman"/>
          <w:b/>
          <w:bCs/>
          <w:color w:val="000000"/>
          <w:sz w:val="24"/>
          <w:szCs w:val="24"/>
        </w:rPr>
      </w:pPr>
    </w:p>
    <w:p w14:paraId="7CC565B1" w14:textId="77777777" w:rsidR="009467A3" w:rsidRDefault="00000000">
      <w:pPr>
        <w:spacing w:after="0" w:line="360" w:lineRule="auto"/>
        <w:jc w:val="both"/>
      </w:pPr>
      <w:r>
        <w:rPr>
          <w:highlight w:val="yellow"/>
        </w:rPr>
        <w:t>3.4. Molecular Docking</w:t>
      </w:r>
    </w:p>
    <w:p w14:paraId="3BDB44D7" w14:textId="77777777" w:rsidR="009467A3" w:rsidRDefault="00000000">
      <w:pPr>
        <w:spacing w:after="0" w:line="360" w:lineRule="auto"/>
        <w:jc w:val="both"/>
        <w:rPr>
          <w:rFonts w:ascii="Times New Roman" w:hAnsi="Times New Roman"/>
          <w:bCs/>
          <w:color w:val="000000"/>
          <w:sz w:val="24"/>
          <w:szCs w:val="24"/>
        </w:rPr>
      </w:pPr>
      <w:r>
        <w:rPr>
          <w:highlight w:val="yellow"/>
        </w:rPr>
        <w:t xml:space="preserve">The 3D structures of phytocompounds identified from the GC-MS analysis of the </w:t>
      </w:r>
      <w:r>
        <w:rPr>
          <w:i/>
          <w:highlight w:val="yellow"/>
        </w:rPr>
        <w:t xml:space="preserve">B. </w:t>
      </w:r>
      <w:proofErr w:type="spellStart"/>
      <w:r>
        <w:rPr>
          <w:i/>
          <w:highlight w:val="yellow"/>
        </w:rPr>
        <w:t>longiflora</w:t>
      </w:r>
      <w:proofErr w:type="spellEnd"/>
      <w:r>
        <w:rPr>
          <w:highlight w:val="yellow"/>
        </w:rPr>
        <w:t xml:space="preserve"> methanol extract (Figure 2) were docked against target proteins, including Aldose Reductase, the HER2 extracellular domain, Cyclooxygenase and Sterol Carrier Protein-2 (Figure 3).</w:t>
      </w:r>
    </w:p>
    <w:p w14:paraId="65ECCA97" w14:textId="77777777" w:rsidR="009467A3" w:rsidRDefault="00000000">
      <w:pPr>
        <w:spacing w:after="0" w:line="360" w:lineRule="auto"/>
        <w:jc w:val="both"/>
      </w:pPr>
      <w:r>
        <w:rPr>
          <w:highlight w:val="yellow"/>
        </w:rPr>
        <w:t xml:space="preserve">The docking results, including binding energy and hydrogen bond count, are detailed in Table 4. Compared with other target proteins, this study demonstrated promising results for bioactive compounds from </w:t>
      </w:r>
      <w:r>
        <w:rPr>
          <w:i/>
          <w:highlight w:val="yellow"/>
        </w:rPr>
        <w:t xml:space="preserve">B. </w:t>
      </w:r>
      <w:proofErr w:type="spellStart"/>
      <w:r>
        <w:rPr>
          <w:i/>
          <w:highlight w:val="yellow"/>
        </w:rPr>
        <w:t>longiflora</w:t>
      </w:r>
      <w:proofErr w:type="spellEnd"/>
      <w:r>
        <w:rPr>
          <w:highlight w:val="yellow"/>
        </w:rPr>
        <w:t xml:space="preserve">, specifically against the Aldose Reductase Enzyme (Table 5). The 2D and 3D structures are illustrated in Figure 4. Notably, the phytocompound stearic acid exhibited a </w:t>
      </w:r>
      <w:proofErr w:type="spellStart"/>
      <w:r>
        <w:rPr>
          <w:highlight w:val="yellow"/>
        </w:rPr>
        <w:t>favourable</w:t>
      </w:r>
      <w:proofErr w:type="spellEnd"/>
      <w:r>
        <w:rPr>
          <w:highlight w:val="yellow"/>
        </w:rPr>
        <w:t xml:space="preserve"> binding affinity (BA) of -7.3 kcal/mol, with four hydrogen bond (HB) interactions involving THR19, TRP20, TYR48 and ALA43 (Figure 4b). Similarly, palmitic acid displayed a binding affinity of -6.1 kcal/mol against the Aldose Reductase Enzyme (2FZD), forming hydrogen bond interactions with amino acid residues in the binding pocket, with an HB interaction involving the TYR48 amino acid (Figure 4c). In contrast, oleic acid exhibited the lowest BA (-5.6 kcal/mol), with three HB interactions involving TRP219, TRP295 and ARG296 of the Aldose Reductase Enzyme (2FZD) (Figure 4a).</w:t>
      </w:r>
    </w:p>
    <w:p w14:paraId="4824DE91" w14:textId="77777777" w:rsidR="009467A3" w:rsidRDefault="00000000">
      <w:pPr>
        <w:spacing w:after="0" w:line="360" w:lineRule="auto"/>
        <w:jc w:val="both"/>
      </w:pPr>
      <w:r>
        <w:rPr>
          <w:highlight w:val="yellow"/>
        </w:rPr>
        <w:t xml:space="preserve">The interaction of all ligands with the HER2 protein (Table 6) is depicted in Figure 5. Oleic acid exhibited a </w:t>
      </w:r>
      <w:proofErr w:type="spellStart"/>
      <w:r>
        <w:rPr>
          <w:highlight w:val="yellow"/>
        </w:rPr>
        <w:t>favourable</w:t>
      </w:r>
      <w:proofErr w:type="spellEnd"/>
      <w:r>
        <w:rPr>
          <w:highlight w:val="yellow"/>
        </w:rPr>
        <w:t xml:space="preserve"> BA (-5.3 kcal/mol), with two HB interactions involving ALA43 and GLY111 (Figure 5a). Likewise, stearic acid demonstrated a binding affinity of -4.8 kcal/mol against the HER2 protein, forming hydrogen bond interactions with VAL3 and THR5 (Figure 5b). Palmitic acid showed a </w:t>
      </w:r>
      <w:r>
        <w:rPr>
          <w:highlight w:val="yellow"/>
        </w:rPr>
        <w:lastRenderedPageBreak/>
        <w:t>binding affinity of -4.7 kcal/mol with the HER2 protein, forming hydrogen bond interactions with GLY41, LYS42 and TYR95 (Figure 5c).</w:t>
      </w:r>
    </w:p>
    <w:p w14:paraId="497B471A" w14:textId="77777777" w:rsidR="009467A3" w:rsidRDefault="00000000">
      <w:pPr>
        <w:spacing w:after="0" w:line="360" w:lineRule="auto"/>
        <w:jc w:val="both"/>
      </w:pPr>
      <w:r>
        <w:rPr>
          <w:highlight w:val="yellow"/>
        </w:rPr>
        <w:t xml:space="preserve">In the context of the Cyclooxygenase (6COX) protein (Table 7), the 2D and 3D interactions are depicted in Figure 6. The phytocompound palmitic acid demonstrated a </w:t>
      </w:r>
      <w:proofErr w:type="spellStart"/>
      <w:r>
        <w:rPr>
          <w:highlight w:val="yellow"/>
        </w:rPr>
        <w:t>favourable</w:t>
      </w:r>
      <w:proofErr w:type="spellEnd"/>
      <w:r>
        <w:rPr>
          <w:highlight w:val="yellow"/>
        </w:rPr>
        <w:t xml:space="preserve"> binding affinity (-5.4 kcal/mol), with an HB interaction involving VAL523 (Figure 6c). Moreover, oleic acid exhibited a BA of -5.3 kcal/mol against the 6COX protein, with HB interactions involving GLY225 and ASN375 (Figure 6a). In addition, stearic acid showed a BA of -5.3 kcal/mol, with two HB interactions involving GLN192 and SER353 (Figure 6b).</w:t>
      </w:r>
    </w:p>
    <w:p w14:paraId="196395E7" w14:textId="77777777" w:rsidR="009467A3" w:rsidRDefault="009467A3">
      <w:pPr>
        <w:spacing w:after="0" w:line="360" w:lineRule="auto"/>
        <w:rPr>
          <w:rFonts w:ascii="Times New Roman" w:hAnsi="Times New Roman"/>
          <w:b/>
          <w:bCs/>
          <w:i/>
          <w:color w:val="000000"/>
          <w:sz w:val="24"/>
          <w:szCs w:val="24"/>
        </w:rPr>
      </w:pPr>
    </w:p>
    <w:p w14:paraId="1C7A7026" w14:textId="77777777" w:rsidR="009467A3" w:rsidRDefault="00000000">
      <w:pPr>
        <w:spacing w:after="0" w:line="360" w:lineRule="auto"/>
        <w:jc w:val="both"/>
      </w:pPr>
      <w:r>
        <w:rPr>
          <w:highlight w:val="yellow"/>
        </w:rPr>
        <w:t xml:space="preserve">Finally, the interaction of all ligands with Sterol Carrier Protein-2 (Table 8) is illustrated in Figure 7. Oleic acid showed a </w:t>
      </w:r>
      <w:proofErr w:type="spellStart"/>
      <w:r>
        <w:rPr>
          <w:highlight w:val="yellow"/>
        </w:rPr>
        <w:t>favourable</w:t>
      </w:r>
      <w:proofErr w:type="spellEnd"/>
      <w:r>
        <w:rPr>
          <w:highlight w:val="yellow"/>
        </w:rPr>
        <w:t xml:space="preserve"> BA (-3.5 kcal/mol), with two HB interactions involving ALA13 and GLU17 (Figure 7a). Likewise, palmitic acid showed a BA of -3.3 kcal/mol (Figure 7c). Moreover, stearic acid demonstrated a BA of -3.2 kcal/mol (Figure 7b).</w:t>
      </w:r>
    </w:p>
    <w:p w14:paraId="202D223F" w14:textId="77777777" w:rsidR="009467A3" w:rsidRDefault="00000000">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Discussion</w:t>
      </w:r>
    </w:p>
    <w:p w14:paraId="7E878674" w14:textId="77777777" w:rsidR="009467A3" w:rsidRDefault="00000000">
      <w:pPr>
        <w:spacing w:after="0" w:line="360" w:lineRule="auto"/>
        <w:jc w:val="both"/>
        <w:rPr>
          <w:rFonts w:ascii="Times New Roman" w:hAnsi="Times New Roman"/>
          <w:color w:val="000000"/>
          <w:sz w:val="24"/>
          <w:szCs w:val="24"/>
        </w:rPr>
      </w:pPr>
      <w:r>
        <w:rPr>
          <w:highlight w:val="yellow"/>
        </w:rPr>
        <w:t xml:space="preserve">The significance of computational chemistry in drug development lies in its use of virtual screening to streamline processes and lower costs. Among the valuable techniques, molecular docking assists in discovering new ligands for target proteins, thereby supporting structure-based drug design (Balachandran et al., 2024). With the increasing prevalence of new diseases and drug resistance, plant-based products are gaining attention as potential sources of promising agents (Kitchen et al., 2004). Throughout history, plants have been widely used for medicinal purposes, with various parts and whole plants employed to treat different diseases. We investigated the aerial parts of the </w:t>
      </w:r>
      <w:r>
        <w:rPr>
          <w:i/>
          <w:highlight w:val="yellow"/>
        </w:rPr>
        <w:t xml:space="preserve">B. </w:t>
      </w:r>
      <w:proofErr w:type="spellStart"/>
      <w:r>
        <w:rPr>
          <w:i/>
          <w:highlight w:val="yellow"/>
        </w:rPr>
        <w:t>longiflora</w:t>
      </w:r>
      <w:proofErr w:type="spellEnd"/>
      <w:r>
        <w:rPr>
          <w:highlight w:val="yellow"/>
        </w:rPr>
        <w:t xml:space="preserve"> methanol extract using phytochemical screening and in silico docking, exploring the possible molecular interactions of identified compounds with selected target proteins. The findings indicate predicted binding of selected bioactive compounds to their respective receptors, highlighting molecular docking as a useful tool for inhibitor discovery. </w:t>
      </w:r>
      <w:r>
        <w:rPr>
          <w:i/>
          <w:highlight w:val="yellow"/>
        </w:rPr>
        <w:t xml:space="preserve">B. </w:t>
      </w:r>
      <w:proofErr w:type="spellStart"/>
      <w:r>
        <w:rPr>
          <w:i/>
          <w:highlight w:val="yellow"/>
        </w:rPr>
        <w:t>longiflora</w:t>
      </w:r>
      <w:proofErr w:type="spellEnd"/>
      <w:r>
        <w:rPr>
          <w:highlight w:val="yellow"/>
        </w:rPr>
        <w:t xml:space="preserve"> is known for its potential analgesic, </w:t>
      </w:r>
      <w:proofErr w:type="spellStart"/>
      <w:r>
        <w:rPr>
          <w:highlight w:val="yellow"/>
        </w:rPr>
        <w:t>antitumour</w:t>
      </w:r>
      <w:proofErr w:type="spellEnd"/>
      <w:r>
        <w:rPr>
          <w:highlight w:val="yellow"/>
        </w:rPr>
        <w:t xml:space="preserve">, </w:t>
      </w:r>
      <w:proofErr w:type="spellStart"/>
      <w:r>
        <w:rPr>
          <w:highlight w:val="yellow"/>
        </w:rPr>
        <w:t>antihyperglycaemic</w:t>
      </w:r>
      <w:proofErr w:type="spellEnd"/>
      <w:r>
        <w:rPr>
          <w:highlight w:val="yellow"/>
        </w:rPr>
        <w:t xml:space="preserve">, </w:t>
      </w:r>
      <w:proofErr w:type="spellStart"/>
      <w:r>
        <w:rPr>
          <w:highlight w:val="yellow"/>
        </w:rPr>
        <w:t>antiamoebic</w:t>
      </w:r>
      <w:proofErr w:type="spellEnd"/>
      <w:r>
        <w:rPr>
          <w:highlight w:val="yellow"/>
        </w:rPr>
        <w:t xml:space="preserve">, anti-inflammatory, antidiabetic, antimicrobial, hepatoprotective and nephroprotective effects (Piscopo &amp; Ellul, 2020). The screening of </w:t>
      </w:r>
      <w:r>
        <w:rPr>
          <w:i/>
          <w:highlight w:val="yellow"/>
        </w:rPr>
        <w:t xml:space="preserve">B. </w:t>
      </w:r>
      <w:proofErr w:type="spellStart"/>
      <w:r>
        <w:rPr>
          <w:i/>
          <w:highlight w:val="yellow"/>
        </w:rPr>
        <w:t>longiflora</w:t>
      </w:r>
      <w:proofErr w:type="spellEnd"/>
      <w:r>
        <w:rPr>
          <w:highlight w:val="yellow"/>
        </w:rPr>
        <w:t xml:space="preserve"> revealed the presence of tannins, alkaloids, carbohydrates, glycosides and steroids, consistent with findings from previous research (Chung et al., 2011).</w:t>
      </w:r>
    </w:p>
    <w:p w14:paraId="303DF97E" w14:textId="77777777" w:rsidR="009467A3" w:rsidRDefault="00000000">
      <w:pPr>
        <w:spacing w:after="0" w:line="360" w:lineRule="auto"/>
        <w:jc w:val="both"/>
      </w:pPr>
      <w:r>
        <w:rPr>
          <w:highlight w:val="yellow"/>
        </w:rPr>
        <w:t xml:space="preserve">In our study, GC-MS analysis of the methanol extract of </w:t>
      </w:r>
      <w:r>
        <w:rPr>
          <w:i/>
          <w:highlight w:val="yellow"/>
        </w:rPr>
        <w:t xml:space="preserve">B. </w:t>
      </w:r>
      <w:proofErr w:type="spellStart"/>
      <w:r>
        <w:rPr>
          <w:i/>
          <w:highlight w:val="yellow"/>
        </w:rPr>
        <w:t>longiflora</w:t>
      </w:r>
      <w:proofErr w:type="spellEnd"/>
      <w:r>
        <w:rPr>
          <w:highlight w:val="yellow"/>
        </w:rPr>
        <w:t xml:space="preserve"> revealed the presence of three bioactive compounds: oleic acid, stearic acid and palmitic acid. These compounds exhibited peak areas of 76.15%, 22.44% and 1.41%, respectively. Moreover, according to Baskaran et al. (2016), GC-MS analyses of the ethanolic extract of </w:t>
      </w:r>
      <w:r>
        <w:rPr>
          <w:i/>
          <w:highlight w:val="yellow"/>
        </w:rPr>
        <w:t xml:space="preserve">B. </w:t>
      </w:r>
      <w:proofErr w:type="spellStart"/>
      <w:r>
        <w:rPr>
          <w:i/>
          <w:highlight w:val="yellow"/>
        </w:rPr>
        <w:t>longiflora</w:t>
      </w:r>
      <w:proofErr w:type="spellEnd"/>
      <w:r>
        <w:rPr>
          <w:highlight w:val="yellow"/>
        </w:rPr>
        <w:t xml:space="preserve"> leaves identified 23 different phytocompounds. </w:t>
      </w:r>
      <w:r>
        <w:rPr>
          <w:highlight w:val="yellow"/>
        </w:rPr>
        <w:lastRenderedPageBreak/>
        <w:t xml:space="preserve">Furthermore, the ethanolic stem extract of </w:t>
      </w:r>
      <w:r>
        <w:rPr>
          <w:i/>
          <w:highlight w:val="yellow"/>
        </w:rPr>
        <w:t xml:space="preserve">B. </w:t>
      </w:r>
      <w:proofErr w:type="spellStart"/>
      <w:r>
        <w:rPr>
          <w:i/>
          <w:highlight w:val="yellow"/>
        </w:rPr>
        <w:t>longiflora</w:t>
      </w:r>
      <w:proofErr w:type="spellEnd"/>
      <w:r>
        <w:rPr>
          <w:highlight w:val="yellow"/>
        </w:rPr>
        <w:t xml:space="preserve"> contained 16 phytocompounds, while the root extract contained 25 other bioactive compounds.</w:t>
      </w:r>
    </w:p>
    <w:p w14:paraId="5499193C" w14:textId="77777777" w:rsidR="009467A3" w:rsidRDefault="00000000">
      <w:pPr>
        <w:spacing w:after="0" w:line="360" w:lineRule="auto"/>
        <w:jc w:val="both"/>
        <w:rPr>
          <w:rFonts w:ascii="Times New Roman" w:hAnsi="Times New Roman"/>
          <w:color w:val="000000"/>
          <w:sz w:val="24"/>
          <w:szCs w:val="24"/>
        </w:rPr>
      </w:pPr>
      <w:r>
        <w:rPr>
          <w:highlight w:val="yellow"/>
        </w:rPr>
        <w:t xml:space="preserve">Molecular docking studies were performed to investigate the interactions between identified phytocompounds from </w:t>
      </w:r>
      <w:r>
        <w:rPr>
          <w:i/>
          <w:highlight w:val="yellow"/>
        </w:rPr>
        <w:t xml:space="preserve">B. </w:t>
      </w:r>
      <w:proofErr w:type="spellStart"/>
      <w:r>
        <w:rPr>
          <w:i/>
          <w:highlight w:val="yellow"/>
        </w:rPr>
        <w:t>longiflora</w:t>
      </w:r>
      <w:proofErr w:type="spellEnd"/>
      <w:r>
        <w:rPr>
          <w:highlight w:val="yellow"/>
        </w:rPr>
        <w:t xml:space="preserve"> and various target proteins. Our study aimed to identify phytochemicals that may bind to these target proteins with high affinity. We identified compounds that conform to LRO5, suggesting </w:t>
      </w:r>
      <w:proofErr w:type="spellStart"/>
      <w:r>
        <w:rPr>
          <w:highlight w:val="yellow"/>
        </w:rPr>
        <w:t>favourable</w:t>
      </w:r>
      <w:proofErr w:type="spellEnd"/>
      <w:r>
        <w:rPr>
          <w:highlight w:val="yellow"/>
        </w:rPr>
        <w:t xml:space="preserve"> drug-like characteristics. The investigation explored BA, HB roles and ligand-amino acid interactions. In addition, the binding affinities of all ligands were quantified in kcal/mol (Baskaran et al., 2016). The study's examination of residual interactions precisely identified the amino acid binding sites of the protein-ligand complex. All bioactive compounds exhibited promising binding affinities with the Aldose Reductase Enzyme. For instance, oleic acid, stearic acid and palmitic acid demonstrated BA values of -5.6, -7.3 and -6.1 kcal/mol, respectively. The presence of an HB suggests that these ligands had an optimal BA with the target protein, as detailed by </w:t>
      </w:r>
      <w:proofErr w:type="spellStart"/>
      <w:r>
        <w:rPr>
          <w:highlight w:val="yellow"/>
        </w:rPr>
        <w:t>Kılınç</w:t>
      </w:r>
      <w:proofErr w:type="spellEnd"/>
      <w:r>
        <w:rPr>
          <w:highlight w:val="yellow"/>
        </w:rPr>
        <w:t xml:space="preserve"> (2021).</w:t>
      </w:r>
    </w:p>
    <w:p w14:paraId="1069F10F" w14:textId="77777777" w:rsidR="009467A3" w:rsidRDefault="00000000">
      <w:pPr>
        <w:spacing w:after="0" w:line="360" w:lineRule="auto"/>
        <w:jc w:val="both"/>
      </w:pPr>
      <w:r>
        <w:rPr>
          <w:highlight w:val="yellow"/>
        </w:rPr>
        <w:t xml:space="preserve">Moreover, Cyclooxygenase 2 showed significant binding affinities with the bioactive </w:t>
      </w:r>
      <w:proofErr w:type="gramStart"/>
      <w:r>
        <w:rPr>
          <w:highlight w:val="yellow"/>
        </w:rPr>
        <w:t>compounds</w:t>
      </w:r>
      <w:proofErr w:type="gramEnd"/>
      <w:r>
        <w:rPr>
          <w:highlight w:val="yellow"/>
        </w:rPr>
        <w:t xml:space="preserve"> oleic acid, stearic acid and palmitic acid, with values of -5.3, -5.3 and -5.4 kcal/mol, respectively. These results align with the findings of previous research conducted by </w:t>
      </w:r>
      <w:proofErr w:type="spellStart"/>
      <w:r>
        <w:rPr>
          <w:highlight w:val="yellow"/>
        </w:rPr>
        <w:t>Sohilait</w:t>
      </w:r>
      <w:proofErr w:type="spellEnd"/>
      <w:r>
        <w:rPr>
          <w:highlight w:val="yellow"/>
        </w:rPr>
        <w:t xml:space="preserve"> et al. (2017). All ligands, when interacting with the HER2 protein, produced binding affinities of -5.3, -4.8 and -4.7 kcal/mol, respectively. These observations support the findings of earlier research by Muthukrishnan et al. (2024). Lastly, Sterol Carrier Protein-2, another target protein, also demonstrated binding affinities with bioactive compounds such as oleic acid, stearic acid and palmitic acid, with binding affinities of -3.5, -3.2 and -3.3 kcal/mol, respectively. These findings align with earlier research carried out by Anita and Selvaraj (2022). Our study investigated the bioactive compounds present in </w:t>
      </w:r>
      <w:r>
        <w:rPr>
          <w:i/>
          <w:highlight w:val="yellow"/>
        </w:rPr>
        <w:t xml:space="preserve">B. </w:t>
      </w:r>
      <w:proofErr w:type="spellStart"/>
      <w:r>
        <w:rPr>
          <w:i/>
          <w:highlight w:val="yellow"/>
        </w:rPr>
        <w:t>longiflora</w:t>
      </w:r>
      <w:proofErr w:type="spellEnd"/>
      <w:r>
        <w:rPr>
          <w:highlight w:val="yellow"/>
        </w:rPr>
        <w:t xml:space="preserve"> that interact with various types of target proteins. Ultimately, we found that these compounds exhibited the highest BA for the Aldose Reductase Enzyme compared with the other target proteins.</w:t>
      </w:r>
    </w:p>
    <w:p w14:paraId="4B519342" w14:textId="77777777" w:rsidR="009467A3" w:rsidRDefault="00000000">
      <w:pPr>
        <w:spacing w:after="0" w:line="360" w:lineRule="auto"/>
        <w:jc w:val="both"/>
        <w:rPr>
          <w:rFonts w:ascii="Times New Roman" w:hAnsi="Times New Roman"/>
          <w:color w:val="000000"/>
          <w:sz w:val="24"/>
          <w:szCs w:val="24"/>
        </w:rPr>
      </w:pPr>
      <w:r>
        <w:rPr>
          <w:highlight w:val="yellow"/>
        </w:rPr>
        <w:t xml:space="preserve">Physicochemical properties play a crucial role in determining the drug-likeness of compounds (Hodgson, 2001). Compounds with molecular weights below 500 g/mol are particularly </w:t>
      </w:r>
      <w:proofErr w:type="spellStart"/>
      <w:r>
        <w:rPr>
          <w:highlight w:val="yellow"/>
        </w:rPr>
        <w:t>favourable</w:t>
      </w:r>
      <w:proofErr w:type="spellEnd"/>
      <w:r>
        <w:rPr>
          <w:highlight w:val="yellow"/>
        </w:rPr>
        <w:t xml:space="preserve"> because they demonstrate enhanced absorption, diffusion and transport potential. The lipophilic nature of a compound significantly influences its solubility, selectivity and permeability, all of which are vital factors for drug-like compounds. The ideal XlogP3 value for identifying prospective lead compounds is thought to be between -0.7 and +5.0. Deviation from this range is undesirable. Increased metabolic turnover, limited solubility, insufficient intestinal absorption and the possibility of harm to critical organs can all result from a compound's elevated lipophilicity (Arnott &amp; Planey, 2012).</w:t>
      </w:r>
    </w:p>
    <w:p w14:paraId="138B1768" w14:textId="77777777" w:rsidR="009467A3" w:rsidRDefault="00000000">
      <w:pPr>
        <w:spacing w:after="0" w:line="360" w:lineRule="auto"/>
        <w:jc w:val="both"/>
        <w:rPr>
          <w:rFonts w:ascii="Times New Roman" w:hAnsi="Times New Roman"/>
          <w:color w:val="000000"/>
          <w:sz w:val="24"/>
          <w:szCs w:val="24"/>
        </w:rPr>
      </w:pPr>
      <w:r>
        <w:rPr>
          <w:highlight w:val="yellow"/>
        </w:rPr>
        <w:lastRenderedPageBreak/>
        <w:t xml:space="preserve">The polarity of the compounds fell within the permissible drug-likeness range of 20-130 Å, and their solubility did not exceed 6. The aqueous solubility of a compound is directly determined by its molecular structure and weight. To achieve efficient sp3 </w:t>
      </w:r>
      <w:proofErr w:type="spellStart"/>
      <w:r>
        <w:rPr>
          <w:highlight w:val="yellow"/>
        </w:rPr>
        <w:t>hybridisation</w:t>
      </w:r>
      <w:proofErr w:type="spellEnd"/>
      <w:r>
        <w:rPr>
          <w:highlight w:val="yellow"/>
        </w:rPr>
        <w:t xml:space="preserve">, the fraction of carbons should not fall below 0.25, and all examined compounds displayed values higher than 0.25. The flexibility of a compound relies on the presence of rotatable bonds, which should be limited to a maximum of nine. The study demonstrated that all examined compounds had more than nine rotatable bonds. The compounds were described based on LRO5 properties and molecular characteristics. This rule is beneficial in drug design. The study shows that the </w:t>
      </w:r>
      <w:proofErr w:type="spellStart"/>
      <w:r>
        <w:rPr>
          <w:highlight w:val="yellow"/>
        </w:rPr>
        <w:t>analysed</w:t>
      </w:r>
      <w:proofErr w:type="spellEnd"/>
      <w:r>
        <w:rPr>
          <w:highlight w:val="yellow"/>
        </w:rPr>
        <w:t xml:space="preserve"> phytocompounds adhere to Lipinski's criteria, with a solitary violation. LRO5 was used as a filtering tool to identify promising drug candidates (Lipinski et al., 2012).</w:t>
      </w:r>
    </w:p>
    <w:p w14:paraId="5A0DAEBF" w14:textId="77777777" w:rsidR="009467A3" w:rsidRDefault="00000000">
      <w:pPr>
        <w:spacing w:after="0" w:line="360" w:lineRule="auto"/>
        <w:jc w:val="both"/>
      </w:pPr>
      <w:r>
        <w:rPr>
          <w:highlight w:val="yellow"/>
        </w:rPr>
        <w:t xml:space="preserve">The methanol extract derived from </w:t>
      </w:r>
      <w:r>
        <w:rPr>
          <w:i/>
          <w:highlight w:val="yellow"/>
        </w:rPr>
        <w:t xml:space="preserve">B. </w:t>
      </w:r>
      <w:proofErr w:type="spellStart"/>
      <w:r>
        <w:rPr>
          <w:i/>
          <w:highlight w:val="yellow"/>
        </w:rPr>
        <w:t>longiflora</w:t>
      </w:r>
      <w:proofErr w:type="spellEnd"/>
      <w:r>
        <w:rPr>
          <w:highlight w:val="yellow"/>
        </w:rPr>
        <w:t xml:space="preserve"> was found to contain components with significant potential for gastrointestinal absorption. According to Pires et al. (2018), it has been suggested that these chemicals exhibit permeability when delivered orally, allowing them to pass through the gastrointestinal tract. The BBB is a physiological barrier that separates the brain from the bloodstream and consists of a layer of microvascular endothelial cells. The ability to traverse the BBB is paramount for chemicals intended to interact with the central nervous system.</w:t>
      </w:r>
    </w:p>
    <w:p w14:paraId="59F5B78B" w14:textId="77777777" w:rsidR="009467A3" w:rsidRDefault="00000000">
      <w:pPr>
        <w:spacing w:after="0" w:line="360" w:lineRule="auto"/>
        <w:jc w:val="both"/>
        <w:rPr>
          <w:rFonts w:ascii="Times New Roman" w:hAnsi="Times New Roman"/>
          <w:color w:val="000000"/>
          <w:sz w:val="24"/>
          <w:szCs w:val="24"/>
        </w:rPr>
      </w:pPr>
      <w:r>
        <w:rPr>
          <w:highlight w:val="yellow"/>
        </w:rPr>
        <w:t>Regarding the phytocompounds under investigation, it was observed that oleic acid and stearic acid did not exhibit any propensity to traverse the BBB. This finding suggests a reduced likelihood of deleterious consequences within the central nervous system. P-glycoproteins (P-</w:t>
      </w:r>
      <w:proofErr w:type="spellStart"/>
      <w:r>
        <w:rPr>
          <w:highlight w:val="yellow"/>
        </w:rPr>
        <w:t>gp</w:t>
      </w:r>
      <w:proofErr w:type="spellEnd"/>
      <w:r>
        <w:rPr>
          <w:highlight w:val="yellow"/>
        </w:rPr>
        <w:t xml:space="preserve">) are transporter proteins in cell membranes that affect drug absorption and elimination (El-Kattan &amp; Varma, 2012). The predicted bioavailability score for all compounds was 0.85 according to </w:t>
      </w:r>
      <w:proofErr w:type="spellStart"/>
      <w:r>
        <w:rPr>
          <w:highlight w:val="yellow"/>
        </w:rPr>
        <w:t>SwissADME</w:t>
      </w:r>
      <w:proofErr w:type="spellEnd"/>
      <w:r>
        <w:rPr>
          <w:highlight w:val="yellow"/>
        </w:rPr>
        <w:t xml:space="preserve"> analysis, signifying conformity to LRO5 and suggesting a 55% probability of being bioavailable. Bioavailability is vital in drug design, indicating how much of an oral dose enters the bloodstream. Gastrointestinal absorption mainly determines a drug's bioavailability. For good oral bioavailability and absorption, a drug should possess </w:t>
      </w:r>
      <w:proofErr w:type="spellStart"/>
      <w:r>
        <w:rPr>
          <w:highlight w:val="yellow"/>
        </w:rPr>
        <w:t>favourable</w:t>
      </w:r>
      <w:proofErr w:type="spellEnd"/>
      <w:r>
        <w:rPr>
          <w:highlight w:val="yellow"/>
        </w:rPr>
        <w:t xml:space="preserve"> aqueous solubility (Veber et al., 2002).</w:t>
      </w:r>
    </w:p>
    <w:p w14:paraId="428F2763" w14:textId="77777777" w:rsidR="009467A3" w:rsidRDefault="00000000">
      <w:pPr>
        <w:spacing w:after="0" w:line="360" w:lineRule="auto"/>
        <w:jc w:val="both"/>
        <w:rPr>
          <w:rFonts w:ascii="Times New Roman" w:hAnsi="Times New Roman"/>
          <w:bCs/>
          <w:color w:val="000000"/>
          <w:sz w:val="24"/>
          <w:szCs w:val="24"/>
        </w:rPr>
      </w:pPr>
      <w:r>
        <w:rPr>
          <w:highlight w:val="yellow"/>
        </w:rPr>
        <w:t>The vital role of the cytochrome P450 monooxygenase enzyme in drug metabolism and elimination within biological systems is well established. Current research identifies approximately 80% of molecules as substrates for five isoforms (Stegemann et al., 2007). When compounds do not inhibit these enzymes, they are likely to transform and become orally bioavailable, thereby preventing expected adverse reactions. However, caution is warranted, as inhibiting these CYP isomers with the same compounds can disrupt metabolism, accumulate toxins and result in poor bioavailability (</w:t>
      </w:r>
      <w:proofErr w:type="spellStart"/>
      <w:r>
        <w:rPr>
          <w:highlight w:val="yellow"/>
        </w:rPr>
        <w:t>Srimai</w:t>
      </w:r>
      <w:proofErr w:type="spellEnd"/>
      <w:r>
        <w:rPr>
          <w:highlight w:val="yellow"/>
        </w:rPr>
        <w:t xml:space="preserve"> et al., 2013). The skin's selective barrier regulates compound penetration, which is crucial for assessing substances requiring transdermal administration. The log </w:t>
      </w:r>
      <w:proofErr w:type="spellStart"/>
      <w:r>
        <w:rPr>
          <w:highlight w:val="yellow"/>
        </w:rPr>
        <w:t>Kp</w:t>
      </w:r>
      <w:proofErr w:type="spellEnd"/>
      <w:r>
        <w:rPr>
          <w:highlight w:val="yellow"/>
        </w:rPr>
        <w:t xml:space="preserve"> value, with a more negative value indicating lower permeability, is used to evaluate skin permeability. In this study, all </w:t>
      </w:r>
      <w:r>
        <w:rPr>
          <w:highlight w:val="yellow"/>
        </w:rPr>
        <w:lastRenderedPageBreak/>
        <w:t xml:space="preserve">compounds demonstrated negative log </w:t>
      </w:r>
      <w:proofErr w:type="spellStart"/>
      <w:r>
        <w:rPr>
          <w:highlight w:val="yellow"/>
        </w:rPr>
        <w:t>Kp</w:t>
      </w:r>
      <w:proofErr w:type="spellEnd"/>
      <w:r>
        <w:rPr>
          <w:highlight w:val="yellow"/>
        </w:rPr>
        <w:t xml:space="preserve"> values, suggesting impermeability through the skin (</w:t>
      </w:r>
      <w:proofErr w:type="spellStart"/>
      <w:r>
        <w:rPr>
          <w:highlight w:val="yellow"/>
        </w:rPr>
        <w:t>Raies</w:t>
      </w:r>
      <w:proofErr w:type="spellEnd"/>
      <w:r>
        <w:rPr>
          <w:highlight w:val="yellow"/>
        </w:rPr>
        <w:t xml:space="preserve"> &amp; Bajic, 2016).</w:t>
      </w:r>
    </w:p>
    <w:p w14:paraId="08E6DD48" w14:textId="77777777" w:rsidR="009467A3" w:rsidRDefault="009467A3">
      <w:pPr>
        <w:autoSpaceDE w:val="0"/>
        <w:spacing w:after="0" w:line="360" w:lineRule="auto"/>
        <w:jc w:val="both"/>
        <w:rPr>
          <w:rFonts w:ascii="Times New Roman" w:hAnsi="Times New Roman"/>
          <w:b/>
          <w:bCs/>
          <w:color w:val="000000"/>
          <w:sz w:val="24"/>
          <w:szCs w:val="24"/>
        </w:rPr>
      </w:pPr>
    </w:p>
    <w:p w14:paraId="1BC3BE3E" w14:textId="77777777" w:rsidR="009467A3" w:rsidRDefault="00000000">
      <w:r>
        <w:rPr>
          <w:highlight w:val="yellow"/>
        </w:rPr>
        <w:t>5. Conclusions</w:t>
      </w:r>
    </w:p>
    <w:p w14:paraId="3F661502" w14:textId="77777777" w:rsidR="009467A3" w:rsidRDefault="00000000">
      <w:pPr>
        <w:spacing w:line="360" w:lineRule="auto"/>
        <w:jc w:val="both"/>
      </w:pPr>
      <w:r>
        <w:rPr>
          <w:highlight w:val="yellow"/>
        </w:rPr>
        <w:t xml:space="preserve">The present study examined the phytochemical constituents, GC-MS profile, molecular docking interactions and in silico ADMET properties of the methanolic extract of </w:t>
      </w:r>
      <w:proofErr w:type="spellStart"/>
      <w:r>
        <w:rPr>
          <w:i/>
          <w:highlight w:val="yellow"/>
        </w:rPr>
        <w:t>Barleria</w:t>
      </w:r>
      <w:proofErr w:type="spellEnd"/>
      <w:r>
        <w:rPr>
          <w:i/>
          <w:highlight w:val="yellow"/>
        </w:rPr>
        <w:t xml:space="preserve"> </w:t>
      </w:r>
      <w:proofErr w:type="spellStart"/>
      <w:r>
        <w:rPr>
          <w:i/>
          <w:highlight w:val="yellow"/>
        </w:rPr>
        <w:t>longiflora</w:t>
      </w:r>
      <w:proofErr w:type="spellEnd"/>
      <w:r>
        <w:rPr>
          <w:i/>
          <w:highlight w:val="yellow"/>
        </w:rPr>
        <w:t xml:space="preserve"> </w:t>
      </w:r>
      <w:proofErr w:type="spellStart"/>
      <w:r>
        <w:rPr>
          <w:i/>
          <w:highlight w:val="yellow"/>
        </w:rPr>
        <w:t>L.f.</w:t>
      </w:r>
      <w:proofErr w:type="spellEnd"/>
      <w:r>
        <w:rPr>
          <w:highlight w:val="yellow"/>
        </w:rPr>
        <w:t xml:space="preserve"> Preliminary phytochemical screening confirmed the presence of tannins, alkaloids, carbohydrates, glycosides and steroids. GC-MS analysis identified oleic acid, stearic acid and palmitic acid as the major detected compounds, with peak areas of 76.15%, 22.44% and 1.41%, respectively. Molecular docking suggested that these compounds interacted with all selected target proteins, with comparatively stronger predicted binding against Aldose Reductase Enzyme. Among the ligands, stearic acid showed the most </w:t>
      </w:r>
      <w:proofErr w:type="spellStart"/>
      <w:r>
        <w:rPr>
          <w:highlight w:val="yellow"/>
        </w:rPr>
        <w:t>favourable</w:t>
      </w:r>
      <w:proofErr w:type="spellEnd"/>
      <w:r>
        <w:rPr>
          <w:highlight w:val="yellow"/>
        </w:rPr>
        <w:t xml:space="preserve"> binding affinity with Aldose Reductase, followed by palmitic acid and oleic acid. ADMET prediction indicated that the identified compounds had molecular weights below 500 g/mol, high intestinal absorption and a bioavailability score of 0.85, while palmitic acid alone was predicted to cross the blood-brain barrier. These results provide preliminary computational evidence that the identified fatty acids may contribute to the bioactive potential of </w:t>
      </w:r>
      <w:r>
        <w:rPr>
          <w:i/>
          <w:highlight w:val="yellow"/>
        </w:rPr>
        <w:t xml:space="preserve">B. </w:t>
      </w:r>
      <w:proofErr w:type="spellStart"/>
      <w:r>
        <w:rPr>
          <w:i/>
          <w:highlight w:val="yellow"/>
        </w:rPr>
        <w:t>longiflora</w:t>
      </w:r>
      <w:proofErr w:type="spellEnd"/>
      <w:r>
        <w:rPr>
          <w:highlight w:val="yellow"/>
        </w:rPr>
        <w:t>. However, the findings should be interpreted cautiously because they are based on phytochemical identification and in silico prediction. Compound isolation, in vitro assays, toxicity studies and in vivo validation are required to confirm biological activity, safety and therapeutic relevance with greater confidence.</w:t>
      </w:r>
    </w:p>
    <w:p w14:paraId="4A40C851" w14:textId="77777777" w:rsidR="009467A3" w:rsidRDefault="00000000">
      <w:pPr>
        <w:spacing w:line="360" w:lineRule="auto"/>
        <w:jc w:val="both"/>
        <w:rPr>
          <w:rFonts w:ascii="Times New Roman" w:hAnsi="Times New Roman"/>
        </w:rPr>
      </w:pPr>
      <w:r>
        <w:rPr>
          <w:highlight w:val="yellow"/>
        </w:rPr>
        <w:t>6. Limitations</w:t>
      </w:r>
    </w:p>
    <w:p w14:paraId="3251960E" w14:textId="77777777" w:rsidR="009467A3" w:rsidRDefault="00000000">
      <w:pPr>
        <w:spacing w:line="360" w:lineRule="auto"/>
        <w:jc w:val="both"/>
      </w:pPr>
      <w:r>
        <w:rPr>
          <w:highlight w:val="yellow"/>
        </w:rPr>
        <w:t xml:space="preserve">This study has several limitations. The investigation relied on phytochemical screening, GC-MS identification, molecular docking and computational ADMET prediction, without experimental validation of the predicted biological activities. Docking results provide only an estimate of ligand-protein interaction and cannot confirm pharmacological efficacy, toxicity, bioavailability or mechanism of action in biological systems. Only three compounds detected in the methanolic extract of </w:t>
      </w:r>
      <w:proofErr w:type="spellStart"/>
      <w:r>
        <w:rPr>
          <w:highlight w:val="yellow"/>
        </w:rPr>
        <w:t>Barleria</w:t>
      </w:r>
      <w:proofErr w:type="spellEnd"/>
      <w:r>
        <w:rPr>
          <w:highlight w:val="yellow"/>
        </w:rPr>
        <w:t xml:space="preserve"> </w:t>
      </w:r>
      <w:proofErr w:type="spellStart"/>
      <w:r>
        <w:rPr>
          <w:highlight w:val="yellow"/>
        </w:rPr>
        <w:t>longiflora</w:t>
      </w:r>
      <w:proofErr w:type="spellEnd"/>
      <w:r>
        <w:rPr>
          <w:highlight w:val="yellow"/>
        </w:rPr>
        <w:t xml:space="preserve"> were evaluated, and these compounds may not represent the complete chemical diversity of the plant extract. The study did not include in vitro enzyme inhibition, anticancer, anti-inflammatory, antidiabetic or larvicidal assays to support the computational findings. Docking scores may also vary according to ligand preparation, receptor preparation, grid parameters and scoring functions. Therefore, the present findings should be considered preliminary and hypothesis-generating. Further studies involving compound isolation, quantitative validation, </w:t>
      </w:r>
      <w:r>
        <w:rPr>
          <w:highlight w:val="yellow"/>
        </w:rPr>
        <w:lastRenderedPageBreak/>
        <w:t>biological assays, toxicity evaluation and in vivo confirmation are required to establish the relevance of the identified compounds more confidently.</w:t>
      </w:r>
    </w:p>
    <w:p w14:paraId="7EF66DA0" w14:textId="77777777" w:rsidR="009467A3" w:rsidRDefault="009467A3">
      <w:pPr>
        <w:spacing w:after="0" w:line="360" w:lineRule="auto"/>
        <w:jc w:val="both"/>
        <w:rPr>
          <w:rFonts w:ascii="Times New Roman" w:hAnsi="Times New Roman"/>
          <w:color w:val="000000"/>
          <w:sz w:val="24"/>
          <w:szCs w:val="24"/>
        </w:rPr>
      </w:pPr>
    </w:p>
    <w:p w14:paraId="4ED88B76" w14:textId="77777777" w:rsidR="009467A3" w:rsidRDefault="00000000">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Conflict of Interest  </w:t>
      </w:r>
    </w:p>
    <w:p w14:paraId="646AFCEA" w14:textId="77777777" w:rsidR="009467A3" w:rsidRDefault="00000000">
      <w:pPr>
        <w:spacing w:after="0" w:line="360" w:lineRule="auto"/>
        <w:ind w:firstLine="720"/>
        <w:jc w:val="both"/>
        <w:rPr>
          <w:rFonts w:ascii="Times New Roman" w:hAnsi="Times New Roman"/>
          <w:color w:val="000000"/>
          <w:sz w:val="24"/>
          <w:szCs w:val="24"/>
        </w:rPr>
      </w:pPr>
      <w:r>
        <w:rPr>
          <w:rFonts w:ascii="Times New Roman" w:hAnsi="Times New Roman"/>
          <w:color w:val="000000"/>
          <w:sz w:val="24"/>
          <w:szCs w:val="24"/>
        </w:rPr>
        <w:t>The authors declare no conflict of interest.</w:t>
      </w:r>
    </w:p>
    <w:p w14:paraId="77758F0C" w14:textId="77777777" w:rsidR="009467A3" w:rsidRDefault="009467A3">
      <w:pPr>
        <w:pStyle w:val="NormalWeb"/>
        <w:spacing w:before="0" w:after="0" w:line="360" w:lineRule="auto"/>
        <w:jc w:val="both"/>
        <w:rPr>
          <w:b/>
          <w:color w:val="000000"/>
        </w:rPr>
      </w:pPr>
    </w:p>
    <w:p w14:paraId="73FDAABB" w14:textId="77777777" w:rsidR="009467A3" w:rsidRDefault="009467A3">
      <w:pPr>
        <w:pStyle w:val="NormalWeb"/>
        <w:spacing w:before="0" w:after="0" w:line="360" w:lineRule="auto"/>
        <w:jc w:val="both"/>
        <w:rPr>
          <w:b/>
          <w:color w:val="000000"/>
        </w:rPr>
      </w:pPr>
    </w:p>
    <w:p w14:paraId="658BAD03" w14:textId="77777777" w:rsidR="009467A3" w:rsidRDefault="009467A3">
      <w:pPr>
        <w:rPr>
          <w:rFonts w:eastAsia="Calibri"/>
          <w:b/>
          <w:color w:val="000000"/>
          <w:kern w:val="2"/>
          <w:highlight w:val="yellow"/>
        </w:rPr>
      </w:pPr>
    </w:p>
    <w:p w14:paraId="3A792747" w14:textId="77777777" w:rsidR="009467A3" w:rsidRDefault="00000000">
      <w:pPr>
        <w:pStyle w:val="NoSpacing"/>
        <w:rPr>
          <w:rFonts w:ascii="Arial" w:hAnsi="Arial" w:cs="Arial"/>
          <w:highlight w:val="yellow"/>
        </w:rPr>
      </w:pPr>
      <w:r>
        <w:rPr>
          <w:rFonts w:ascii="Arial" w:hAnsi="Arial" w:cs="Arial"/>
          <w:highlight w:val="yellow"/>
        </w:rPr>
        <w:t>Disclaimer (Artificial intelligence)</w:t>
      </w:r>
    </w:p>
    <w:p w14:paraId="54E4AACE" w14:textId="77777777" w:rsidR="009467A3" w:rsidRDefault="009467A3">
      <w:pPr>
        <w:pStyle w:val="NoSpacing"/>
        <w:rPr>
          <w:rFonts w:ascii="Arial" w:hAnsi="Arial" w:cs="Arial"/>
          <w:highlight w:val="yellow"/>
        </w:rPr>
      </w:pPr>
    </w:p>
    <w:p w14:paraId="63797CC5" w14:textId="77777777" w:rsidR="009467A3" w:rsidRDefault="00000000">
      <w:pPr>
        <w:pStyle w:val="NoSpacing"/>
        <w:rPr>
          <w:rFonts w:ascii="Arial" w:hAnsi="Arial" w:cs="Arial"/>
          <w:highlight w:val="yellow"/>
        </w:rPr>
      </w:pPr>
      <w:bookmarkStart w:id="1" w:name="_Hlk218868534"/>
      <w:r>
        <w:rPr>
          <w:rFonts w:ascii="Arial" w:hAnsi="Arial" w:cs="Arial"/>
          <w:highlight w:val="yellow"/>
        </w:rPr>
        <w:t xml:space="preserve">Author(s) hereby </w:t>
      </w:r>
      <w:proofErr w:type="gramStart"/>
      <w:r>
        <w:rPr>
          <w:rFonts w:ascii="Arial" w:hAnsi="Arial" w:cs="Arial"/>
          <w:highlight w:val="yellow"/>
        </w:rPr>
        <w:t>declare</w:t>
      </w:r>
      <w:proofErr w:type="gramEnd"/>
      <w:r>
        <w:rPr>
          <w:rFonts w:ascii="Arial" w:hAnsi="Arial" w:cs="Arial"/>
          <w:highlight w:val="yellow"/>
        </w:rPr>
        <w:t xml:space="preserve"> that NO generative AI technologies such as Large Language Models (ChatGPT, COPILOT, etc.) and text-to-image generators have been used during the writing or editing of this manuscript. </w:t>
      </w:r>
      <w:bookmarkEnd w:id="1"/>
    </w:p>
    <w:p w14:paraId="46B48CE6" w14:textId="77777777" w:rsidR="009467A3" w:rsidRDefault="009467A3">
      <w:pPr>
        <w:pStyle w:val="NoSpacing"/>
        <w:rPr>
          <w:rFonts w:ascii="Arial" w:hAnsi="Arial" w:cs="Arial"/>
          <w:highlight w:val="yellow"/>
        </w:rPr>
      </w:pPr>
      <w:bookmarkStart w:id="2" w:name="_Hlk229240739"/>
      <w:bookmarkStart w:id="3" w:name="_Hlk221624953"/>
      <w:bookmarkEnd w:id="2"/>
      <w:bookmarkEnd w:id="3"/>
    </w:p>
    <w:p w14:paraId="178E2CA6" w14:textId="77777777" w:rsidR="009467A3" w:rsidRDefault="009467A3">
      <w:pPr>
        <w:pStyle w:val="NoSpacing"/>
        <w:rPr>
          <w:rFonts w:ascii="Arial" w:hAnsi="Arial" w:cs="Arial"/>
          <w:highlight w:val="yellow"/>
        </w:rPr>
      </w:pPr>
      <w:bookmarkStart w:id="4" w:name="_Hlk226454370"/>
      <w:bookmarkEnd w:id="4"/>
    </w:p>
    <w:p w14:paraId="44538EA8" w14:textId="77777777" w:rsidR="009467A3" w:rsidRDefault="00000000">
      <w:pPr>
        <w:tabs>
          <w:tab w:val="left" w:pos="1320"/>
        </w:tabs>
        <w:rPr>
          <w:rFonts w:ascii="Arial" w:hAnsi="Arial" w:cs="Arial"/>
          <w:sz w:val="20"/>
          <w:szCs w:val="20"/>
        </w:rPr>
      </w:pPr>
      <w:r>
        <w:rPr>
          <w:rFonts w:ascii="Arial" w:hAnsi="Arial" w:cs="Arial"/>
          <w:sz w:val="20"/>
          <w:szCs w:val="20"/>
        </w:rPr>
        <w:tab/>
      </w:r>
    </w:p>
    <w:p w14:paraId="54949F44" w14:textId="77777777" w:rsidR="009467A3" w:rsidRDefault="009467A3">
      <w:pPr>
        <w:pStyle w:val="NormalWeb"/>
        <w:spacing w:before="0" w:after="0" w:line="360" w:lineRule="auto"/>
        <w:jc w:val="both"/>
        <w:rPr>
          <w:rFonts w:ascii="Arial" w:hAnsi="Arial" w:cs="Arial"/>
          <w:b/>
          <w:color w:val="000000"/>
          <w:sz w:val="20"/>
          <w:szCs w:val="20"/>
        </w:rPr>
      </w:pPr>
      <w:bookmarkStart w:id="5" w:name="_Hlk226813079"/>
      <w:bookmarkEnd w:id="5"/>
    </w:p>
    <w:p w14:paraId="64AEE48B" w14:textId="77777777" w:rsidR="009467A3" w:rsidRDefault="00000000">
      <w:pPr>
        <w:pStyle w:val="NormalWeb"/>
        <w:spacing w:before="0" w:after="0" w:line="360" w:lineRule="auto"/>
        <w:jc w:val="both"/>
        <w:rPr>
          <w:b/>
        </w:rPr>
      </w:pPr>
      <w:r>
        <w:rPr>
          <w:b/>
        </w:rPr>
        <w:t>REFERENCES</w:t>
      </w:r>
    </w:p>
    <w:p w14:paraId="67D3EA66" w14:textId="77777777" w:rsidR="00B711D7" w:rsidRDefault="00B711D7">
      <w:pPr>
        <w:pStyle w:val="NormalWeb"/>
        <w:spacing w:before="0" w:after="0" w:line="360" w:lineRule="auto"/>
        <w:jc w:val="both"/>
        <w:rPr>
          <w:b/>
        </w:rPr>
      </w:pPr>
    </w:p>
    <w:p w14:paraId="24047B58" w14:textId="77777777" w:rsidR="00B711D7" w:rsidRPr="00B711D7" w:rsidRDefault="00B711D7" w:rsidP="00B711D7">
      <w:pPr>
        <w:suppressAutoHyphens w:val="0"/>
        <w:spacing w:after="0" w:line="240" w:lineRule="auto"/>
        <w:ind w:left="547" w:hanging="547"/>
        <w:jc w:val="both"/>
        <w:rPr>
          <w:rFonts w:eastAsia="Calibri"/>
          <w:kern w:val="2"/>
          <w:lang w:eastAsia="en-US"/>
        </w:rPr>
      </w:pPr>
    </w:p>
    <w:p w14:paraId="5AFC9A16"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Anita, A., &amp; Selvaraj, D. (2022). In silico molecular docking study of plant-based compounds from </w:t>
      </w:r>
      <w:r w:rsidRPr="00B711D7">
        <w:rPr>
          <w:rFonts w:ascii="Times New Roman" w:hAnsi="Times New Roman"/>
          <w:i/>
          <w:iCs/>
          <w:sz w:val="24"/>
          <w:szCs w:val="24"/>
          <w:lang w:eastAsia="en-US"/>
        </w:rPr>
        <w:t>Lantana camara</w:t>
      </w:r>
      <w:r w:rsidRPr="00B711D7">
        <w:rPr>
          <w:rFonts w:ascii="Times New Roman" w:hAnsi="Times New Roman"/>
          <w:sz w:val="24"/>
          <w:szCs w:val="24"/>
          <w:lang w:eastAsia="en-US"/>
        </w:rPr>
        <w:t xml:space="preserve"> L. against </w:t>
      </w:r>
      <w:r w:rsidRPr="00B711D7">
        <w:rPr>
          <w:rFonts w:ascii="Times New Roman" w:hAnsi="Times New Roman"/>
          <w:i/>
          <w:iCs/>
          <w:sz w:val="24"/>
          <w:szCs w:val="24"/>
          <w:lang w:eastAsia="en-US"/>
        </w:rPr>
        <w:t>Aedes aegypti</w:t>
      </w:r>
      <w:r w:rsidRPr="00B711D7">
        <w:rPr>
          <w:rFonts w:ascii="Times New Roman" w:hAnsi="Times New Roman"/>
          <w:sz w:val="24"/>
          <w:szCs w:val="24"/>
          <w:lang w:eastAsia="en-US"/>
        </w:rPr>
        <w:t xml:space="preserve"> L. protein. </w:t>
      </w:r>
      <w:r w:rsidRPr="00B711D7">
        <w:rPr>
          <w:rFonts w:ascii="Times New Roman" w:hAnsi="Times New Roman"/>
          <w:i/>
          <w:iCs/>
          <w:sz w:val="24"/>
          <w:szCs w:val="24"/>
          <w:lang w:eastAsia="en-US"/>
        </w:rPr>
        <w:t>International Journal of Mosquito Research, 9</w:t>
      </w:r>
      <w:r w:rsidRPr="00B711D7">
        <w:rPr>
          <w:rFonts w:ascii="Times New Roman" w:hAnsi="Times New Roman"/>
          <w:sz w:val="24"/>
          <w:szCs w:val="24"/>
          <w:lang w:eastAsia="en-US"/>
        </w:rPr>
        <w:t xml:space="preserve">, 97–106. </w:t>
      </w:r>
    </w:p>
    <w:p w14:paraId="27B023E5"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Arnott, J. A., &amp; Planey, S. L. (2012). The influence of lipophilicity in drug discovery and design. </w:t>
      </w:r>
      <w:r w:rsidRPr="00B711D7">
        <w:rPr>
          <w:rFonts w:ascii="Times New Roman" w:hAnsi="Times New Roman"/>
          <w:i/>
          <w:iCs/>
          <w:sz w:val="24"/>
          <w:szCs w:val="24"/>
          <w:lang w:eastAsia="en-US"/>
        </w:rPr>
        <w:t>Expert Opinion on Drug Discovery, 7</w:t>
      </w:r>
      <w:r w:rsidRPr="00B711D7">
        <w:rPr>
          <w:rFonts w:ascii="Times New Roman" w:hAnsi="Times New Roman"/>
          <w:sz w:val="24"/>
          <w:szCs w:val="24"/>
          <w:lang w:eastAsia="en-US"/>
        </w:rPr>
        <w:t xml:space="preserve">(10), 863–875. </w:t>
      </w:r>
      <w:hyperlink r:id="rId7" w:history="1">
        <w:r w:rsidRPr="00B711D7">
          <w:rPr>
            <w:rFonts w:ascii="Times New Roman" w:hAnsi="Times New Roman"/>
            <w:color w:val="0000FF"/>
            <w:sz w:val="24"/>
            <w:szCs w:val="24"/>
            <w:u w:val="single"/>
            <w:lang w:eastAsia="en-US"/>
          </w:rPr>
          <w:t>https://doi.org/10.1517/17460441.2012.714363</w:t>
        </w:r>
      </w:hyperlink>
    </w:p>
    <w:p w14:paraId="2B5DE33B"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Balachandran, P., Muthukrishnan, S., Kasi, G., Raman, C., Pandiyan, J., &amp; Balakrishnan, S. E. (2024). Unveiling the phytochemical profile and in silico studies on bioactive compounds from </w:t>
      </w:r>
      <w:proofErr w:type="spellStart"/>
      <w:r w:rsidRPr="00B711D7">
        <w:rPr>
          <w:rFonts w:ascii="Times New Roman" w:hAnsi="Times New Roman"/>
          <w:i/>
          <w:iCs/>
          <w:sz w:val="24"/>
          <w:szCs w:val="24"/>
          <w:lang w:eastAsia="en-US"/>
        </w:rPr>
        <w:t>Falconeria</w:t>
      </w:r>
      <w:proofErr w:type="spellEnd"/>
      <w:r w:rsidRPr="00B711D7">
        <w:rPr>
          <w:rFonts w:ascii="Times New Roman" w:hAnsi="Times New Roman"/>
          <w:i/>
          <w:iCs/>
          <w:sz w:val="24"/>
          <w:szCs w:val="24"/>
          <w:lang w:eastAsia="en-US"/>
        </w:rPr>
        <w:t xml:space="preserve"> insignis</w:t>
      </w:r>
      <w:r w:rsidRPr="00B711D7">
        <w:rPr>
          <w:rFonts w:ascii="Times New Roman" w:hAnsi="Times New Roman"/>
          <w:sz w:val="24"/>
          <w:szCs w:val="24"/>
          <w:lang w:eastAsia="en-US"/>
        </w:rPr>
        <w:t xml:space="preserve"> Royle against various target proteins: A computational approach. </w:t>
      </w:r>
      <w:r w:rsidRPr="00B711D7">
        <w:rPr>
          <w:rFonts w:ascii="Times New Roman" w:hAnsi="Times New Roman"/>
          <w:i/>
          <w:iCs/>
          <w:sz w:val="24"/>
          <w:szCs w:val="24"/>
          <w:lang w:eastAsia="en-US"/>
        </w:rPr>
        <w:t>Journal of Natural Remedies, 24</w:t>
      </w:r>
      <w:r w:rsidRPr="00B711D7">
        <w:rPr>
          <w:rFonts w:ascii="Times New Roman" w:hAnsi="Times New Roman"/>
          <w:sz w:val="24"/>
          <w:szCs w:val="24"/>
          <w:lang w:eastAsia="en-US"/>
        </w:rPr>
        <w:t xml:space="preserve">(8), 1717–1729. </w:t>
      </w:r>
      <w:hyperlink r:id="rId8" w:history="1">
        <w:r w:rsidRPr="00B711D7">
          <w:rPr>
            <w:rFonts w:ascii="Times New Roman" w:hAnsi="Times New Roman"/>
            <w:color w:val="0000FF"/>
            <w:sz w:val="24"/>
            <w:szCs w:val="24"/>
            <w:u w:val="single"/>
            <w:lang w:eastAsia="en-US"/>
          </w:rPr>
          <w:t>https://doi.org/10.18311/jnr/2024/36369</w:t>
        </w:r>
      </w:hyperlink>
    </w:p>
    <w:p w14:paraId="4BE31C82"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Baskaran, A., Karthikeyan, V., &amp; Rajasekaran, C. S. (2016). Gas chromatography–mass spectrometry (GC-MS) analysis of ethanolic extracts of </w:t>
      </w:r>
      <w:proofErr w:type="spellStart"/>
      <w:r w:rsidRPr="00B711D7">
        <w:rPr>
          <w:rFonts w:ascii="Times New Roman" w:hAnsi="Times New Roman"/>
          <w:i/>
          <w:iCs/>
          <w:sz w:val="24"/>
          <w:szCs w:val="24"/>
          <w:lang w:eastAsia="en-US"/>
        </w:rPr>
        <w:t>Barleria</w:t>
      </w:r>
      <w:proofErr w:type="spellEnd"/>
      <w:r w:rsidRPr="00B711D7">
        <w:rPr>
          <w:rFonts w:ascii="Times New Roman" w:hAnsi="Times New Roman"/>
          <w:i/>
          <w:iCs/>
          <w:sz w:val="24"/>
          <w:szCs w:val="24"/>
          <w:lang w:eastAsia="en-US"/>
        </w:rPr>
        <w:t xml:space="preserve"> </w:t>
      </w:r>
      <w:proofErr w:type="spellStart"/>
      <w:r w:rsidRPr="00B711D7">
        <w:rPr>
          <w:rFonts w:ascii="Times New Roman" w:hAnsi="Times New Roman"/>
          <w:i/>
          <w:iCs/>
          <w:sz w:val="24"/>
          <w:szCs w:val="24"/>
          <w:lang w:eastAsia="en-US"/>
        </w:rPr>
        <w:t>longiflora</w:t>
      </w:r>
      <w:proofErr w:type="spellEnd"/>
      <w:r w:rsidRPr="00B711D7">
        <w:rPr>
          <w:rFonts w:ascii="Times New Roman" w:hAnsi="Times New Roman"/>
          <w:sz w:val="24"/>
          <w:szCs w:val="24"/>
          <w:lang w:eastAsia="en-US"/>
        </w:rPr>
        <w:t xml:space="preserve"> </w:t>
      </w:r>
      <w:proofErr w:type="spellStart"/>
      <w:r w:rsidRPr="00B711D7">
        <w:rPr>
          <w:rFonts w:ascii="Times New Roman" w:hAnsi="Times New Roman"/>
          <w:sz w:val="24"/>
          <w:szCs w:val="24"/>
          <w:lang w:eastAsia="en-US"/>
        </w:rPr>
        <w:t>L.f.</w:t>
      </w:r>
      <w:proofErr w:type="spellEnd"/>
      <w:r w:rsidRPr="00B711D7">
        <w:rPr>
          <w:rFonts w:ascii="Times New Roman" w:hAnsi="Times New Roman"/>
          <w:sz w:val="24"/>
          <w:szCs w:val="24"/>
          <w:lang w:eastAsia="en-US"/>
        </w:rPr>
        <w:t xml:space="preserve"> </w:t>
      </w:r>
      <w:r w:rsidRPr="00B711D7">
        <w:rPr>
          <w:rFonts w:ascii="Times New Roman" w:hAnsi="Times New Roman"/>
          <w:i/>
          <w:iCs/>
          <w:sz w:val="24"/>
          <w:szCs w:val="24"/>
          <w:lang w:eastAsia="en-US"/>
        </w:rPr>
        <w:t>World Journal of Pharmacy and Pharmaceutical Sciences, 5</w:t>
      </w:r>
      <w:r w:rsidRPr="00B711D7">
        <w:rPr>
          <w:rFonts w:ascii="Times New Roman" w:hAnsi="Times New Roman"/>
          <w:sz w:val="24"/>
          <w:szCs w:val="24"/>
          <w:lang w:eastAsia="en-US"/>
        </w:rPr>
        <w:t xml:space="preserve">(4), 1233–1246. </w:t>
      </w:r>
      <w:hyperlink r:id="rId9" w:tgtFrame="_new" w:history="1">
        <w:r w:rsidRPr="00B711D7">
          <w:rPr>
            <w:rFonts w:ascii="Times New Roman" w:hAnsi="Times New Roman"/>
            <w:color w:val="0000FF"/>
            <w:sz w:val="24"/>
            <w:szCs w:val="24"/>
            <w:u w:val="single"/>
            <w:lang w:eastAsia="en-US"/>
          </w:rPr>
          <w:t>https://www.wjpps.com/wjpps_controller/abstract_id/4896</w:t>
        </w:r>
      </w:hyperlink>
    </w:p>
    <w:p w14:paraId="62C98B67"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Bray, F., </w:t>
      </w:r>
      <w:proofErr w:type="spellStart"/>
      <w:r w:rsidRPr="00B711D7">
        <w:rPr>
          <w:rFonts w:ascii="Times New Roman" w:hAnsi="Times New Roman"/>
          <w:sz w:val="24"/>
          <w:szCs w:val="24"/>
          <w:lang w:eastAsia="en-US"/>
        </w:rPr>
        <w:t>Ferlay</w:t>
      </w:r>
      <w:proofErr w:type="spellEnd"/>
      <w:r w:rsidRPr="00B711D7">
        <w:rPr>
          <w:rFonts w:ascii="Times New Roman" w:hAnsi="Times New Roman"/>
          <w:sz w:val="24"/>
          <w:szCs w:val="24"/>
          <w:lang w:eastAsia="en-US"/>
        </w:rPr>
        <w:t xml:space="preserve">, J., </w:t>
      </w:r>
      <w:proofErr w:type="spellStart"/>
      <w:r w:rsidRPr="00B711D7">
        <w:rPr>
          <w:rFonts w:ascii="Times New Roman" w:hAnsi="Times New Roman"/>
          <w:sz w:val="24"/>
          <w:szCs w:val="24"/>
          <w:lang w:eastAsia="en-US"/>
        </w:rPr>
        <w:t>Soerjomataram</w:t>
      </w:r>
      <w:proofErr w:type="spellEnd"/>
      <w:r w:rsidRPr="00B711D7">
        <w:rPr>
          <w:rFonts w:ascii="Times New Roman" w:hAnsi="Times New Roman"/>
          <w:sz w:val="24"/>
          <w:szCs w:val="24"/>
          <w:lang w:eastAsia="en-US"/>
        </w:rPr>
        <w:t xml:space="preserve">, I., Siegel, R. L., Torre, L. A., &amp; Jemal, A. (2018). Global cancer statistics 2018: GLOBOCAN estimates of incidence and mortality worldwide for 36 cancers in 185 countries. </w:t>
      </w:r>
      <w:r w:rsidRPr="00B711D7">
        <w:rPr>
          <w:rFonts w:ascii="Times New Roman" w:hAnsi="Times New Roman"/>
          <w:i/>
          <w:iCs/>
          <w:sz w:val="24"/>
          <w:szCs w:val="24"/>
          <w:lang w:eastAsia="en-US"/>
        </w:rPr>
        <w:t>CA: A Cancer Journal for Clinicians, 68</w:t>
      </w:r>
      <w:r w:rsidRPr="00B711D7">
        <w:rPr>
          <w:rFonts w:ascii="Times New Roman" w:hAnsi="Times New Roman"/>
          <w:sz w:val="24"/>
          <w:szCs w:val="24"/>
          <w:lang w:eastAsia="en-US"/>
        </w:rPr>
        <w:t xml:space="preserve">(6), 394–424. </w:t>
      </w:r>
      <w:hyperlink r:id="rId10" w:tgtFrame="_new" w:history="1">
        <w:r w:rsidRPr="00B711D7">
          <w:rPr>
            <w:rFonts w:ascii="Times New Roman" w:hAnsi="Times New Roman"/>
            <w:color w:val="0000FF"/>
            <w:sz w:val="24"/>
            <w:szCs w:val="24"/>
            <w:u w:val="single"/>
            <w:lang w:eastAsia="en-US"/>
          </w:rPr>
          <w:t>https://doi.org/10.3322/caac.21492</w:t>
        </w:r>
      </w:hyperlink>
    </w:p>
    <w:p w14:paraId="68F5E900"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Chennaiyan</w:t>
      </w:r>
      <w:proofErr w:type="spellEnd"/>
      <w:r w:rsidRPr="00B711D7">
        <w:rPr>
          <w:rFonts w:ascii="Times New Roman" w:hAnsi="Times New Roman"/>
          <w:sz w:val="24"/>
          <w:szCs w:val="24"/>
          <w:lang w:eastAsia="en-US"/>
        </w:rPr>
        <w:t xml:space="preserve">, V., Sivakami, R., &amp; </w:t>
      </w:r>
      <w:proofErr w:type="spellStart"/>
      <w:r w:rsidRPr="00B711D7">
        <w:rPr>
          <w:rFonts w:ascii="Times New Roman" w:hAnsi="Times New Roman"/>
          <w:sz w:val="24"/>
          <w:szCs w:val="24"/>
          <w:lang w:eastAsia="en-US"/>
        </w:rPr>
        <w:t>Jeyasankar</w:t>
      </w:r>
      <w:proofErr w:type="spellEnd"/>
      <w:r w:rsidRPr="00B711D7">
        <w:rPr>
          <w:rFonts w:ascii="Times New Roman" w:hAnsi="Times New Roman"/>
          <w:sz w:val="24"/>
          <w:szCs w:val="24"/>
          <w:lang w:eastAsia="en-US"/>
        </w:rPr>
        <w:t xml:space="preserve">, A. (2016). Evaluating ecofriendly botanicals of </w:t>
      </w:r>
      <w:proofErr w:type="spellStart"/>
      <w:r w:rsidRPr="00B711D7">
        <w:rPr>
          <w:rFonts w:ascii="Times New Roman" w:hAnsi="Times New Roman"/>
          <w:i/>
          <w:iCs/>
          <w:sz w:val="24"/>
          <w:szCs w:val="24"/>
          <w:lang w:eastAsia="en-US"/>
        </w:rPr>
        <w:t>Barleria</w:t>
      </w:r>
      <w:proofErr w:type="spellEnd"/>
      <w:r w:rsidRPr="00B711D7">
        <w:rPr>
          <w:rFonts w:ascii="Times New Roman" w:hAnsi="Times New Roman"/>
          <w:i/>
          <w:iCs/>
          <w:sz w:val="24"/>
          <w:szCs w:val="24"/>
          <w:lang w:eastAsia="en-US"/>
        </w:rPr>
        <w:t xml:space="preserve"> </w:t>
      </w:r>
      <w:proofErr w:type="spellStart"/>
      <w:r w:rsidRPr="00B711D7">
        <w:rPr>
          <w:rFonts w:ascii="Times New Roman" w:hAnsi="Times New Roman"/>
          <w:i/>
          <w:iCs/>
          <w:sz w:val="24"/>
          <w:szCs w:val="24"/>
          <w:lang w:eastAsia="en-US"/>
        </w:rPr>
        <w:t>longiflora</w:t>
      </w:r>
      <w:proofErr w:type="spellEnd"/>
      <w:r w:rsidRPr="00B711D7">
        <w:rPr>
          <w:rFonts w:ascii="Times New Roman" w:hAnsi="Times New Roman"/>
          <w:sz w:val="24"/>
          <w:szCs w:val="24"/>
          <w:lang w:eastAsia="en-US"/>
        </w:rPr>
        <w:t xml:space="preserve"> Linn. f. (</w:t>
      </w:r>
      <w:proofErr w:type="spellStart"/>
      <w:r w:rsidRPr="00B711D7">
        <w:rPr>
          <w:rFonts w:ascii="Times New Roman" w:hAnsi="Times New Roman"/>
          <w:sz w:val="24"/>
          <w:szCs w:val="24"/>
          <w:lang w:eastAsia="en-US"/>
        </w:rPr>
        <w:t>Acanthaceae</w:t>
      </w:r>
      <w:proofErr w:type="spellEnd"/>
      <w:r w:rsidRPr="00B711D7">
        <w:rPr>
          <w:rFonts w:ascii="Times New Roman" w:hAnsi="Times New Roman"/>
          <w:sz w:val="24"/>
          <w:szCs w:val="24"/>
          <w:lang w:eastAsia="en-US"/>
        </w:rPr>
        <w:t xml:space="preserve">) against armyworm </w:t>
      </w:r>
      <w:r w:rsidRPr="00B711D7">
        <w:rPr>
          <w:rFonts w:ascii="Times New Roman" w:hAnsi="Times New Roman"/>
          <w:i/>
          <w:iCs/>
          <w:sz w:val="24"/>
          <w:szCs w:val="24"/>
          <w:lang w:eastAsia="en-US"/>
        </w:rPr>
        <w:t xml:space="preserve">Spodoptera </w:t>
      </w:r>
      <w:proofErr w:type="spellStart"/>
      <w:r w:rsidRPr="00B711D7">
        <w:rPr>
          <w:rFonts w:ascii="Times New Roman" w:hAnsi="Times New Roman"/>
          <w:i/>
          <w:iCs/>
          <w:sz w:val="24"/>
          <w:szCs w:val="24"/>
          <w:lang w:eastAsia="en-US"/>
        </w:rPr>
        <w:t>litura</w:t>
      </w:r>
      <w:proofErr w:type="spellEnd"/>
      <w:r w:rsidRPr="00B711D7">
        <w:rPr>
          <w:rFonts w:ascii="Times New Roman" w:hAnsi="Times New Roman"/>
          <w:sz w:val="24"/>
          <w:szCs w:val="24"/>
          <w:lang w:eastAsia="en-US"/>
        </w:rPr>
        <w:t xml:space="preserve"> Fab. and cotton bollworm </w:t>
      </w:r>
      <w:r w:rsidRPr="00B711D7">
        <w:rPr>
          <w:rFonts w:ascii="Times New Roman" w:hAnsi="Times New Roman"/>
          <w:i/>
          <w:iCs/>
          <w:sz w:val="24"/>
          <w:szCs w:val="24"/>
          <w:lang w:eastAsia="en-US"/>
        </w:rPr>
        <w:t>Helicoverpa armigera</w:t>
      </w:r>
      <w:r w:rsidRPr="00B711D7">
        <w:rPr>
          <w:rFonts w:ascii="Times New Roman" w:hAnsi="Times New Roman"/>
          <w:sz w:val="24"/>
          <w:szCs w:val="24"/>
          <w:lang w:eastAsia="en-US"/>
        </w:rPr>
        <w:t xml:space="preserve"> Hübner (Lepidoptera: </w:t>
      </w:r>
      <w:proofErr w:type="spellStart"/>
      <w:r w:rsidRPr="00B711D7">
        <w:rPr>
          <w:rFonts w:ascii="Times New Roman" w:hAnsi="Times New Roman"/>
          <w:sz w:val="24"/>
          <w:szCs w:val="24"/>
          <w:lang w:eastAsia="en-US"/>
        </w:rPr>
        <w:t>Noctuidae</w:t>
      </w:r>
      <w:proofErr w:type="spellEnd"/>
      <w:r w:rsidRPr="00B711D7">
        <w:rPr>
          <w:rFonts w:ascii="Times New Roman" w:hAnsi="Times New Roman"/>
          <w:sz w:val="24"/>
          <w:szCs w:val="24"/>
          <w:lang w:eastAsia="en-US"/>
        </w:rPr>
        <w:t xml:space="preserve">). </w:t>
      </w:r>
      <w:r w:rsidRPr="00B711D7">
        <w:rPr>
          <w:rFonts w:ascii="Times New Roman" w:hAnsi="Times New Roman"/>
          <w:i/>
          <w:iCs/>
          <w:sz w:val="24"/>
          <w:szCs w:val="24"/>
          <w:lang w:eastAsia="en-US"/>
        </w:rPr>
        <w:t>Annual Research &amp; Review in Biology, 10</w:t>
      </w:r>
      <w:r w:rsidRPr="00B711D7">
        <w:rPr>
          <w:rFonts w:ascii="Times New Roman" w:hAnsi="Times New Roman"/>
          <w:sz w:val="24"/>
          <w:szCs w:val="24"/>
          <w:lang w:eastAsia="en-US"/>
        </w:rPr>
        <w:t xml:space="preserve">(3), 1–9. </w:t>
      </w:r>
      <w:hyperlink r:id="rId11" w:history="1">
        <w:r w:rsidRPr="00B711D7">
          <w:rPr>
            <w:rFonts w:ascii="Times New Roman" w:hAnsi="Times New Roman"/>
            <w:color w:val="0000FF"/>
            <w:sz w:val="24"/>
            <w:szCs w:val="24"/>
            <w:u w:val="single"/>
            <w:lang w:eastAsia="en-US"/>
          </w:rPr>
          <w:t>https://doi.org/10.9734/ARRB/2016/23691</w:t>
        </w:r>
      </w:hyperlink>
    </w:p>
    <w:p w14:paraId="3CF88522"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lastRenderedPageBreak/>
        <w:t xml:space="preserve">Chung, P. Y., Navaratnam, P., &amp; Chung, L. Y. (2011). Synergistic antimicrobial activity between pentacyclic triterpenoids and antibiotics against </w:t>
      </w:r>
      <w:r w:rsidRPr="00B711D7">
        <w:rPr>
          <w:rFonts w:ascii="Times New Roman" w:hAnsi="Times New Roman"/>
          <w:i/>
          <w:iCs/>
          <w:sz w:val="24"/>
          <w:szCs w:val="24"/>
          <w:lang w:eastAsia="en-US"/>
        </w:rPr>
        <w:t>Staphylococcus aureus</w:t>
      </w:r>
      <w:r w:rsidRPr="00B711D7">
        <w:rPr>
          <w:rFonts w:ascii="Times New Roman" w:hAnsi="Times New Roman"/>
          <w:sz w:val="24"/>
          <w:szCs w:val="24"/>
          <w:lang w:eastAsia="en-US"/>
        </w:rPr>
        <w:t xml:space="preserve"> strains. </w:t>
      </w:r>
      <w:r w:rsidRPr="00B711D7">
        <w:rPr>
          <w:rFonts w:ascii="Times New Roman" w:hAnsi="Times New Roman"/>
          <w:i/>
          <w:iCs/>
          <w:sz w:val="24"/>
          <w:szCs w:val="24"/>
          <w:lang w:eastAsia="en-US"/>
        </w:rPr>
        <w:t>Annals of Clinical Microbiology and Antimicrobials, 10</w:t>
      </w:r>
      <w:r w:rsidRPr="00B711D7">
        <w:rPr>
          <w:rFonts w:ascii="Times New Roman" w:hAnsi="Times New Roman"/>
          <w:sz w:val="24"/>
          <w:szCs w:val="24"/>
          <w:lang w:eastAsia="en-US"/>
        </w:rPr>
        <w:t xml:space="preserve">, Article 25. </w:t>
      </w:r>
      <w:hyperlink r:id="rId12" w:history="1">
        <w:r w:rsidRPr="00B711D7">
          <w:rPr>
            <w:rFonts w:ascii="Times New Roman" w:hAnsi="Times New Roman"/>
            <w:color w:val="0000FF"/>
            <w:sz w:val="24"/>
            <w:szCs w:val="24"/>
            <w:u w:val="single"/>
            <w:lang w:eastAsia="en-US"/>
          </w:rPr>
          <w:t>https://doi.org/10.1186/1476-0711-10-25</w:t>
        </w:r>
      </w:hyperlink>
    </w:p>
    <w:p w14:paraId="251844EA"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Cittrarasu</w:t>
      </w:r>
      <w:proofErr w:type="spellEnd"/>
      <w:r w:rsidRPr="00B711D7">
        <w:rPr>
          <w:rFonts w:ascii="Times New Roman" w:hAnsi="Times New Roman"/>
          <w:sz w:val="24"/>
          <w:szCs w:val="24"/>
          <w:lang w:eastAsia="en-US"/>
        </w:rPr>
        <w:t xml:space="preserve">, V., Balasubramanian, B., </w:t>
      </w:r>
      <w:proofErr w:type="spellStart"/>
      <w:r w:rsidRPr="00B711D7">
        <w:rPr>
          <w:rFonts w:ascii="Times New Roman" w:hAnsi="Times New Roman"/>
          <w:sz w:val="24"/>
          <w:szCs w:val="24"/>
          <w:lang w:eastAsia="en-US"/>
        </w:rPr>
        <w:t>Kaliannan</w:t>
      </w:r>
      <w:proofErr w:type="spellEnd"/>
      <w:r w:rsidRPr="00B711D7">
        <w:rPr>
          <w:rFonts w:ascii="Times New Roman" w:hAnsi="Times New Roman"/>
          <w:sz w:val="24"/>
          <w:szCs w:val="24"/>
          <w:lang w:eastAsia="en-US"/>
        </w:rPr>
        <w:t xml:space="preserve">, D., Park, S., </w:t>
      </w:r>
      <w:proofErr w:type="spellStart"/>
      <w:r w:rsidRPr="00B711D7">
        <w:rPr>
          <w:rFonts w:ascii="Times New Roman" w:hAnsi="Times New Roman"/>
          <w:sz w:val="24"/>
          <w:szCs w:val="24"/>
          <w:lang w:eastAsia="en-US"/>
        </w:rPr>
        <w:t>Maluventhan</w:t>
      </w:r>
      <w:proofErr w:type="spellEnd"/>
      <w:r w:rsidRPr="00B711D7">
        <w:rPr>
          <w:rFonts w:ascii="Times New Roman" w:hAnsi="Times New Roman"/>
          <w:sz w:val="24"/>
          <w:szCs w:val="24"/>
          <w:lang w:eastAsia="en-US"/>
        </w:rPr>
        <w:t xml:space="preserve">, V., Kaul, T., &amp; Arumugam, M. (2019). Biologically mediated Ag nanoparticles from </w:t>
      </w:r>
      <w:proofErr w:type="spellStart"/>
      <w:r w:rsidRPr="00B711D7">
        <w:rPr>
          <w:rFonts w:ascii="Times New Roman" w:hAnsi="Times New Roman"/>
          <w:i/>
          <w:iCs/>
          <w:sz w:val="24"/>
          <w:szCs w:val="24"/>
          <w:lang w:eastAsia="en-US"/>
        </w:rPr>
        <w:t>Barleria</w:t>
      </w:r>
      <w:proofErr w:type="spellEnd"/>
      <w:r w:rsidRPr="00B711D7">
        <w:rPr>
          <w:rFonts w:ascii="Times New Roman" w:hAnsi="Times New Roman"/>
          <w:i/>
          <w:iCs/>
          <w:sz w:val="24"/>
          <w:szCs w:val="24"/>
          <w:lang w:eastAsia="en-US"/>
        </w:rPr>
        <w:t xml:space="preserve"> </w:t>
      </w:r>
      <w:proofErr w:type="spellStart"/>
      <w:r w:rsidRPr="00B711D7">
        <w:rPr>
          <w:rFonts w:ascii="Times New Roman" w:hAnsi="Times New Roman"/>
          <w:i/>
          <w:iCs/>
          <w:sz w:val="24"/>
          <w:szCs w:val="24"/>
          <w:lang w:eastAsia="en-US"/>
        </w:rPr>
        <w:t>longiflora</w:t>
      </w:r>
      <w:proofErr w:type="spellEnd"/>
      <w:r w:rsidRPr="00B711D7">
        <w:rPr>
          <w:rFonts w:ascii="Times New Roman" w:hAnsi="Times New Roman"/>
          <w:sz w:val="24"/>
          <w:szCs w:val="24"/>
          <w:lang w:eastAsia="en-US"/>
        </w:rPr>
        <w:t xml:space="preserve"> for antimicrobial activity and photocatalytic degradation of methylene blue. </w:t>
      </w:r>
      <w:r w:rsidRPr="00B711D7">
        <w:rPr>
          <w:rFonts w:ascii="Times New Roman" w:hAnsi="Times New Roman"/>
          <w:i/>
          <w:iCs/>
          <w:sz w:val="24"/>
          <w:szCs w:val="24"/>
          <w:lang w:eastAsia="en-US"/>
        </w:rPr>
        <w:t>Artificial Cells, Nanomedicine, and Biotechnology, 47</w:t>
      </w:r>
      <w:r w:rsidRPr="00B711D7">
        <w:rPr>
          <w:rFonts w:ascii="Times New Roman" w:hAnsi="Times New Roman"/>
          <w:sz w:val="24"/>
          <w:szCs w:val="24"/>
          <w:lang w:eastAsia="en-US"/>
        </w:rPr>
        <w:t xml:space="preserve">(1), 2424–2430. </w:t>
      </w:r>
      <w:hyperlink r:id="rId13" w:history="1">
        <w:r w:rsidRPr="00B711D7">
          <w:rPr>
            <w:rFonts w:ascii="Times New Roman" w:hAnsi="Times New Roman"/>
            <w:color w:val="0000FF"/>
            <w:sz w:val="24"/>
            <w:szCs w:val="24"/>
            <w:u w:val="single"/>
            <w:lang w:eastAsia="en-US"/>
          </w:rPr>
          <w:t>https://doi.org/10.1080/21691401.2019.1626407</w:t>
        </w:r>
      </w:hyperlink>
    </w:p>
    <w:p w14:paraId="2F189D80"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Colón-González, F. J., </w:t>
      </w:r>
      <w:proofErr w:type="spellStart"/>
      <w:r w:rsidRPr="00B711D7">
        <w:rPr>
          <w:rFonts w:ascii="Times New Roman" w:hAnsi="Times New Roman"/>
          <w:sz w:val="24"/>
          <w:szCs w:val="24"/>
          <w:lang w:eastAsia="en-US"/>
        </w:rPr>
        <w:t>Sewe</w:t>
      </w:r>
      <w:proofErr w:type="spellEnd"/>
      <w:r w:rsidRPr="00B711D7">
        <w:rPr>
          <w:rFonts w:ascii="Times New Roman" w:hAnsi="Times New Roman"/>
          <w:sz w:val="24"/>
          <w:szCs w:val="24"/>
          <w:lang w:eastAsia="en-US"/>
        </w:rPr>
        <w:t xml:space="preserve">, M. O., Tompkins, A. M., Sjödin, H., Casallas, A., </w:t>
      </w:r>
      <w:proofErr w:type="spellStart"/>
      <w:r w:rsidRPr="00B711D7">
        <w:rPr>
          <w:rFonts w:ascii="Times New Roman" w:hAnsi="Times New Roman"/>
          <w:sz w:val="24"/>
          <w:szCs w:val="24"/>
          <w:lang w:eastAsia="en-US"/>
        </w:rPr>
        <w:t>Rocklöv</w:t>
      </w:r>
      <w:proofErr w:type="spellEnd"/>
      <w:r w:rsidRPr="00B711D7">
        <w:rPr>
          <w:rFonts w:ascii="Times New Roman" w:hAnsi="Times New Roman"/>
          <w:sz w:val="24"/>
          <w:szCs w:val="24"/>
          <w:lang w:eastAsia="en-US"/>
        </w:rPr>
        <w:t xml:space="preserve">, J., </w:t>
      </w:r>
      <w:proofErr w:type="spellStart"/>
      <w:r w:rsidRPr="00B711D7">
        <w:rPr>
          <w:rFonts w:ascii="Times New Roman" w:hAnsi="Times New Roman"/>
          <w:sz w:val="24"/>
          <w:szCs w:val="24"/>
          <w:lang w:eastAsia="en-US"/>
        </w:rPr>
        <w:t>Caminade</w:t>
      </w:r>
      <w:proofErr w:type="spellEnd"/>
      <w:r w:rsidRPr="00B711D7">
        <w:rPr>
          <w:rFonts w:ascii="Times New Roman" w:hAnsi="Times New Roman"/>
          <w:sz w:val="24"/>
          <w:szCs w:val="24"/>
          <w:lang w:eastAsia="en-US"/>
        </w:rPr>
        <w:t xml:space="preserve">, C., &amp; Lowe, R. (2021). Projecting the risk of mosquito-borne diseases in a warmer and more populated world: A multi-model, multi-scenario intercomparison modelling study. </w:t>
      </w:r>
      <w:r w:rsidRPr="00B711D7">
        <w:rPr>
          <w:rFonts w:ascii="Times New Roman" w:hAnsi="Times New Roman"/>
          <w:i/>
          <w:iCs/>
          <w:sz w:val="24"/>
          <w:szCs w:val="24"/>
          <w:lang w:eastAsia="en-US"/>
        </w:rPr>
        <w:t>The Lancet Planetary Health, 5</w:t>
      </w:r>
      <w:r w:rsidRPr="00B711D7">
        <w:rPr>
          <w:rFonts w:ascii="Times New Roman" w:hAnsi="Times New Roman"/>
          <w:sz w:val="24"/>
          <w:szCs w:val="24"/>
          <w:lang w:eastAsia="en-US"/>
        </w:rPr>
        <w:t xml:space="preserve">(7), e404–e414. </w:t>
      </w:r>
      <w:hyperlink r:id="rId14" w:history="1">
        <w:r w:rsidRPr="00B711D7">
          <w:rPr>
            <w:rFonts w:ascii="Times New Roman" w:hAnsi="Times New Roman"/>
            <w:color w:val="0000FF"/>
            <w:sz w:val="24"/>
            <w:szCs w:val="24"/>
            <w:u w:val="single"/>
            <w:lang w:eastAsia="en-US"/>
          </w:rPr>
          <w:t>https://doi.org/10.1016/S2542-5196(21)00132-7</w:t>
        </w:r>
      </w:hyperlink>
    </w:p>
    <w:p w14:paraId="5E5EFED5"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val="nl-BE" w:eastAsia="en-US"/>
        </w:rPr>
        <w:t xml:space="preserve">El-Kattan, A., &amp; Varma, M. (2012). </w:t>
      </w:r>
      <w:r w:rsidRPr="00B711D7">
        <w:rPr>
          <w:rFonts w:ascii="Times New Roman" w:hAnsi="Times New Roman"/>
          <w:sz w:val="24"/>
          <w:szCs w:val="24"/>
          <w:lang w:eastAsia="en-US"/>
        </w:rPr>
        <w:t xml:space="preserve">Oral absorption, intestinal metabolism and human oral bioavailability. In </w:t>
      </w:r>
      <w:r w:rsidRPr="00B711D7">
        <w:rPr>
          <w:rFonts w:ascii="Times New Roman" w:hAnsi="Times New Roman"/>
          <w:i/>
          <w:iCs/>
          <w:sz w:val="24"/>
          <w:szCs w:val="24"/>
          <w:lang w:eastAsia="en-US"/>
        </w:rPr>
        <w:t>Topics on drug metabolism</w:t>
      </w:r>
      <w:r w:rsidRPr="00B711D7">
        <w:rPr>
          <w:rFonts w:ascii="Times New Roman" w:hAnsi="Times New Roman"/>
          <w:sz w:val="24"/>
          <w:szCs w:val="24"/>
          <w:lang w:eastAsia="en-US"/>
        </w:rPr>
        <w:t xml:space="preserve"> (pp. 1–34). </w:t>
      </w:r>
      <w:proofErr w:type="spellStart"/>
      <w:r w:rsidRPr="00B711D7">
        <w:rPr>
          <w:rFonts w:ascii="Times New Roman" w:hAnsi="Times New Roman"/>
          <w:sz w:val="24"/>
          <w:szCs w:val="24"/>
          <w:lang w:eastAsia="en-US"/>
        </w:rPr>
        <w:t>InTech</w:t>
      </w:r>
      <w:proofErr w:type="spellEnd"/>
      <w:r w:rsidRPr="00B711D7">
        <w:rPr>
          <w:rFonts w:ascii="Times New Roman" w:hAnsi="Times New Roman"/>
          <w:sz w:val="24"/>
          <w:szCs w:val="24"/>
          <w:lang w:eastAsia="en-US"/>
        </w:rPr>
        <w:t xml:space="preserve">. </w:t>
      </w:r>
      <w:hyperlink r:id="rId15" w:history="1">
        <w:r w:rsidRPr="00B711D7">
          <w:rPr>
            <w:rFonts w:ascii="Times New Roman" w:hAnsi="Times New Roman"/>
            <w:color w:val="0000FF"/>
            <w:sz w:val="24"/>
            <w:szCs w:val="24"/>
            <w:u w:val="single"/>
            <w:lang w:eastAsia="en-US"/>
          </w:rPr>
          <w:t>https://doi.org/10.5772/31087</w:t>
        </w:r>
      </w:hyperlink>
    </w:p>
    <w:p w14:paraId="7D630838"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Georges, K., Jayaprakasam, B., </w:t>
      </w:r>
      <w:proofErr w:type="spellStart"/>
      <w:r w:rsidRPr="00B711D7">
        <w:rPr>
          <w:rFonts w:ascii="Times New Roman" w:hAnsi="Times New Roman"/>
          <w:sz w:val="24"/>
          <w:szCs w:val="24"/>
          <w:lang w:eastAsia="en-US"/>
        </w:rPr>
        <w:t>Dalavoy</w:t>
      </w:r>
      <w:proofErr w:type="spellEnd"/>
      <w:r w:rsidRPr="00B711D7">
        <w:rPr>
          <w:rFonts w:ascii="Times New Roman" w:hAnsi="Times New Roman"/>
          <w:sz w:val="24"/>
          <w:szCs w:val="24"/>
          <w:lang w:eastAsia="en-US"/>
        </w:rPr>
        <w:t xml:space="preserve">, S. S., &amp; Nair, M. G. (2008). Pest-managing activities of plant extracts and anthraquinones from </w:t>
      </w:r>
      <w:r w:rsidRPr="00B711D7">
        <w:rPr>
          <w:rFonts w:ascii="Times New Roman" w:hAnsi="Times New Roman"/>
          <w:i/>
          <w:iCs/>
          <w:sz w:val="24"/>
          <w:szCs w:val="24"/>
          <w:lang w:eastAsia="en-US"/>
        </w:rPr>
        <w:t>Cassia nigricans</w:t>
      </w:r>
      <w:r w:rsidRPr="00B711D7">
        <w:rPr>
          <w:rFonts w:ascii="Times New Roman" w:hAnsi="Times New Roman"/>
          <w:sz w:val="24"/>
          <w:szCs w:val="24"/>
          <w:lang w:eastAsia="en-US"/>
        </w:rPr>
        <w:t xml:space="preserve"> from Burkina Faso. </w:t>
      </w:r>
      <w:r w:rsidRPr="00B711D7">
        <w:rPr>
          <w:rFonts w:ascii="Times New Roman" w:hAnsi="Times New Roman"/>
          <w:i/>
          <w:iCs/>
          <w:sz w:val="24"/>
          <w:szCs w:val="24"/>
          <w:lang w:eastAsia="en-US"/>
        </w:rPr>
        <w:t>Bioresource Technology, 99</w:t>
      </w:r>
      <w:r w:rsidRPr="00B711D7">
        <w:rPr>
          <w:rFonts w:ascii="Times New Roman" w:hAnsi="Times New Roman"/>
          <w:sz w:val="24"/>
          <w:szCs w:val="24"/>
          <w:lang w:eastAsia="en-US"/>
        </w:rPr>
        <w:t>(6), 2037–2045. https://doi.org/10.1016/j.biortech.2007.02.049</w:t>
      </w:r>
    </w:p>
    <w:p w14:paraId="5B3F3A30"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Gnanadhas</w:t>
      </w:r>
      <w:proofErr w:type="spellEnd"/>
      <w:r w:rsidRPr="00B711D7">
        <w:rPr>
          <w:rFonts w:ascii="Times New Roman" w:hAnsi="Times New Roman"/>
          <w:sz w:val="24"/>
          <w:szCs w:val="24"/>
          <w:lang w:eastAsia="en-US"/>
        </w:rPr>
        <w:t xml:space="preserve">, F., Ramanathan, T., &amp; Selvakumar, P. (2025). </w:t>
      </w:r>
      <w:proofErr w:type="spellStart"/>
      <w:r w:rsidRPr="00B711D7">
        <w:rPr>
          <w:rFonts w:ascii="Times New Roman" w:hAnsi="Times New Roman"/>
          <w:i/>
          <w:iCs/>
          <w:sz w:val="24"/>
          <w:szCs w:val="24"/>
          <w:lang w:eastAsia="en-US"/>
        </w:rPr>
        <w:t>Barleria</w:t>
      </w:r>
      <w:proofErr w:type="spellEnd"/>
      <w:r w:rsidRPr="00B711D7">
        <w:rPr>
          <w:rFonts w:ascii="Times New Roman" w:hAnsi="Times New Roman"/>
          <w:i/>
          <w:iCs/>
          <w:sz w:val="24"/>
          <w:szCs w:val="24"/>
          <w:lang w:eastAsia="en-US"/>
        </w:rPr>
        <w:t xml:space="preserve"> </w:t>
      </w:r>
      <w:proofErr w:type="spellStart"/>
      <w:r w:rsidRPr="00B711D7">
        <w:rPr>
          <w:rFonts w:ascii="Times New Roman" w:hAnsi="Times New Roman"/>
          <w:i/>
          <w:iCs/>
          <w:sz w:val="24"/>
          <w:szCs w:val="24"/>
          <w:lang w:eastAsia="en-US"/>
        </w:rPr>
        <w:t>longiflora</w:t>
      </w:r>
      <w:proofErr w:type="spellEnd"/>
      <w:r w:rsidRPr="00B711D7">
        <w:rPr>
          <w:rFonts w:ascii="Times New Roman" w:hAnsi="Times New Roman"/>
          <w:sz w:val="24"/>
          <w:szCs w:val="24"/>
          <w:lang w:eastAsia="en-US"/>
        </w:rPr>
        <w:t xml:space="preserve"> </w:t>
      </w:r>
      <w:proofErr w:type="spellStart"/>
      <w:r w:rsidRPr="00B711D7">
        <w:rPr>
          <w:rFonts w:ascii="Times New Roman" w:hAnsi="Times New Roman"/>
          <w:sz w:val="24"/>
          <w:szCs w:val="24"/>
          <w:lang w:eastAsia="en-US"/>
        </w:rPr>
        <w:t>L.f.</w:t>
      </w:r>
      <w:proofErr w:type="spellEnd"/>
      <w:r w:rsidRPr="00B711D7">
        <w:rPr>
          <w:rFonts w:ascii="Times New Roman" w:hAnsi="Times New Roman"/>
          <w:sz w:val="24"/>
          <w:szCs w:val="24"/>
          <w:lang w:eastAsia="en-US"/>
        </w:rPr>
        <w:t xml:space="preserve">—A promising source for therapeutics. In </w:t>
      </w:r>
      <w:r w:rsidRPr="00B711D7">
        <w:rPr>
          <w:rFonts w:ascii="Times New Roman" w:hAnsi="Times New Roman"/>
          <w:i/>
          <w:iCs/>
          <w:sz w:val="24"/>
          <w:szCs w:val="24"/>
          <w:lang w:eastAsia="en-US"/>
        </w:rPr>
        <w:t>Therapeutic plants: Recent advances in the use of herbs as alternative medications</w:t>
      </w:r>
      <w:r w:rsidRPr="00B711D7">
        <w:rPr>
          <w:rFonts w:ascii="Times New Roman" w:hAnsi="Times New Roman"/>
          <w:sz w:val="24"/>
          <w:szCs w:val="24"/>
          <w:lang w:eastAsia="en-US"/>
        </w:rPr>
        <w:t xml:space="preserve"> (pp. 229–243). Bentham Science Publishers. </w:t>
      </w:r>
      <w:hyperlink r:id="rId16" w:history="1">
        <w:r w:rsidRPr="00B711D7">
          <w:rPr>
            <w:rFonts w:ascii="Times New Roman" w:hAnsi="Times New Roman"/>
            <w:color w:val="0000FF"/>
            <w:sz w:val="24"/>
            <w:szCs w:val="24"/>
            <w:u w:val="single"/>
            <w:lang w:eastAsia="en-US"/>
          </w:rPr>
          <w:t>https://doi.org/10.2174/9789815322910125010014</w:t>
        </w:r>
      </w:hyperlink>
    </w:p>
    <w:p w14:paraId="23A8285E"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Grover, A., Sharma, K., Gautam, S., Gautam, S., Gulati, M., &amp; Singh, S. K. (2021). Diabetes and its complications: Therapies available, anticipated and aspired. </w:t>
      </w:r>
      <w:r w:rsidRPr="00B711D7">
        <w:rPr>
          <w:rFonts w:ascii="Times New Roman" w:hAnsi="Times New Roman"/>
          <w:i/>
          <w:iCs/>
          <w:sz w:val="24"/>
          <w:szCs w:val="24"/>
          <w:lang w:eastAsia="en-US"/>
        </w:rPr>
        <w:t>Current Diabetes Reviews, 17</w:t>
      </w:r>
      <w:r w:rsidRPr="00B711D7">
        <w:rPr>
          <w:rFonts w:ascii="Times New Roman" w:hAnsi="Times New Roman"/>
          <w:sz w:val="24"/>
          <w:szCs w:val="24"/>
          <w:lang w:eastAsia="en-US"/>
        </w:rPr>
        <w:t xml:space="preserve">(4), 397–420. </w:t>
      </w:r>
      <w:hyperlink r:id="rId17" w:history="1">
        <w:r w:rsidRPr="00B711D7">
          <w:rPr>
            <w:rFonts w:ascii="Times New Roman" w:hAnsi="Times New Roman"/>
            <w:color w:val="0000FF"/>
            <w:sz w:val="24"/>
            <w:szCs w:val="24"/>
            <w:u w:val="single"/>
            <w:lang w:eastAsia="en-US"/>
          </w:rPr>
          <w:t>https://doi.org/10.2174/1573399816666201103142957</w:t>
        </w:r>
      </w:hyperlink>
    </w:p>
    <w:p w14:paraId="05216B54"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Hodgson, J. (2001). ADMET—Turning chemicals into drugs. </w:t>
      </w:r>
      <w:r w:rsidRPr="00B711D7">
        <w:rPr>
          <w:rFonts w:ascii="Times New Roman" w:hAnsi="Times New Roman"/>
          <w:i/>
          <w:iCs/>
          <w:sz w:val="24"/>
          <w:szCs w:val="24"/>
          <w:lang w:eastAsia="en-US"/>
        </w:rPr>
        <w:t>Nature Biotechnology, 19</w:t>
      </w:r>
      <w:r w:rsidRPr="00B711D7">
        <w:rPr>
          <w:rFonts w:ascii="Times New Roman" w:hAnsi="Times New Roman"/>
          <w:sz w:val="24"/>
          <w:szCs w:val="24"/>
          <w:lang w:eastAsia="en-US"/>
        </w:rPr>
        <w:t xml:space="preserve">(8), 722–726. </w:t>
      </w:r>
      <w:hyperlink r:id="rId18" w:history="1">
        <w:r w:rsidRPr="00B711D7">
          <w:rPr>
            <w:rFonts w:ascii="Times New Roman" w:hAnsi="Times New Roman"/>
            <w:color w:val="0000FF"/>
            <w:sz w:val="24"/>
            <w:szCs w:val="24"/>
            <w:u w:val="single"/>
            <w:lang w:eastAsia="en-US"/>
          </w:rPr>
          <w:t>https://doi.org/10.1038/90761</w:t>
        </w:r>
      </w:hyperlink>
    </w:p>
    <w:p w14:paraId="6E1F2C70"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Iniya Udhaya, C., &amp; John Peter Paul, J. (2017). Screening of anti-oxidant activity of methanolic extract of </w:t>
      </w:r>
      <w:proofErr w:type="spellStart"/>
      <w:r w:rsidRPr="00B711D7">
        <w:rPr>
          <w:rFonts w:ascii="Times New Roman" w:hAnsi="Times New Roman"/>
          <w:i/>
          <w:iCs/>
          <w:sz w:val="24"/>
          <w:szCs w:val="24"/>
          <w:lang w:eastAsia="en-US"/>
        </w:rPr>
        <w:t>Gracilaria</w:t>
      </w:r>
      <w:proofErr w:type="spellEnd"/>
      <w:r w:rsidRPr="00B711D7">
        <w:rPr>
          <w:rFonts w:ascii="Times New Roman" w:hAnsi="Times New Roman"/>
          <w:i/>
          <w:iCs/>
          <w:sz w:val="24"/>
          <w:szCs w:val="24"/>
          <w:lang w:eastAsia="en-US"/>
        </w:rPr>
        <w:t xml:space="preserve"> </w:t>
      </w:r>
      <w:proofErr w:type="spellStart"/>
      <w:r w:rsidRPr="00B711D7">
        <w:rPr>
          <w:rFonts w:ascii="Times New Roman" w:hAnsi="Times New Roman"/>
          <w:i/>
          <w:iCs/>
          <w:sz w:val="24"/>
          <w:szCs w:val="24"/>
          <w:lang w:eastAsia="en-US"/>
        </w:rPr>
        <w:t>fergusonii</w:t>
      </w:r>
      <w:proofErr w:type="spellEnd"/>
      <w:r w:rsidRPr="00B711D7">
        <w:rPr>
          <w:rFonts w:ascii="Times New Roman" w:hAnsi="Times New Roman"/>
          <w:sz w:val="24"/>
          <w:szCs w:val="24"/>
          <w:lang w:eastAsia="en-US"/>
        </w:rPr>
        <w:t xml:space="preserve"> J. Ag. (red seaweed) in Hare Island, </w:t>
      </w:r>
      <w:proofErr w:type="spellStart"/>
      <w:r w:rsidRPr="00B711D7">
        <w:rPr>
          <w:rFonts w:ascii="Times New Roman" w:hAnsi="Times New Roman"/>
          <w:sz w:val="24"/>
          <w:szCs w:val="24"/>
          <w:lang w:eastAsia="en-US"/>
        </w:rPr>
        <w:t>Thoothukudi</w:t>
      </w:r>
      <w:proofErr w:type="spellEnd"/>
      <w:r w:rsidRPr="00B711D7">
        <w:rPr>
          <w:rFonts w:ascii="Times New Roman" w:hAnsi="Times New Roman"/>
          <w:sz w:val="24"/>
          <w:szCs w:val="24"/>
          <w:lang w:eastAsia="en-US"/>
        </w:rPr>
        <w:t xml:space="preserve">, Tamil Nadu, India. </w:t>
      </w:r>
      <w:r w:rsidRPr="00B711D7">
        <w:rPr>
          <w:rFonts w:ascii="Times New Roman" w:hAnsi="Times New Roman"/>
          <w:i/>
          <w:iCs/>
          <w:sz w:val="24"/>
          <w:szCs w:val="24"/>
          <w:lang w:eastAsia="en-US"/>
        </w:rPr>
        <w:t>Indo American Journal of Pharmaceutical Sciences, 4</w:t>
      </w:r>
      <w:r w:rsidRPr="00B711D7">
        <w:rPr>
          <w:rFonts w:ascii="Times New Roman" w:hAnsi="Times New Roman"/>
          <w:sz w:val="24"/>
          <w:szCs w:val="24"/>
          <w:lang w:eastAsia="en-US"/>
        </w:rPr>
        <w:t xml:space="preserve">(9), 2724–2727. </w:t>
      </w:r>
      <w:hyperlink r:id="rId19" w:tgtFrame="_new" w:history="1">
        <w:r w:rsidRPr="00B711D7">
          <w:rPr>
            <w:rFonts w:ascii="Times New Roman" w:hAnsi="Times New Roman"/>
            <w:color w:val="0000FF"/>
            <w:sz w:val="24"/>
            <w:szCs w:val="24"/>
            <w:u w:val="single"/>
            <w:lang w:eastAsia="en-US"/>
          </w:rPr>
          <w:t>https://doi.org/10.5281/zenodo.886262</w:t>
        </w:r>
      </w:hyperlink>
    </w:p>
    <w:p w14:paraId="3CF8A3FF"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Khan, I., Najeebullah, Ali, S. M., &amp; Shinwari, Z. K. (2016). Phytopharmacological and ethnomedicinal uses of the genus </w:t>
      </w:r>
      <w:r w:rsidRPr="00B711D7">
        <w:rPr>
          <w:rFonts w:ascii="Times New Roman" w:hAnsi="Times New Roman"/>
          <w:i/>
          <w:iCs/>
          <w:sz w:val="24"/>
          <w:szCs w:val="24"/>
          <w:lang w:eastAsia="en-US"/>
        </w:rPr>
        <w:t>Berberis</w:t>
      </w:r>
      <w:r w:rsidRPr="00B711D7">
        <w:rPr>
          <w:rFonts w:ascii="Times New Roman" w:hAnsi="Times New Roman"/>
          <w:sz w:val="24"/>
          <w:szCs w:val="24"/>
          <w:lang w:eastAsia="en-US"/>
        </w:rPr>
        <w:t xml:space="preserve"> (</w:t>
      </w:r>
      <w:proofErr w:type="spellStart"/>
      <w:r w:rsidRPr="00B711D7">
        <w:rPr>
          <w:rFonts w:ascii="Times New Roman" w:hAnsi="Times New Roman"/>
          <w:sz w:val="24"/>
          <w:szCs w:val="24"/>
          <w:lang w:eastAsia="en-US"/>
        </w:rPr>
        <w:t>Berberidaceae</w:t>
      </w:r>
      <w:proofErr w:type="spellEnd"/>
      <w:r w:rsidRPr="00B711D7">
        <w:rPr>
          <w:rFonts w:ascii="Times New Roman" w:hAnsi="Times New Roman"/>
          <w:sz w:val="24"/>
          <w:szCs w:val="24"/>
          <w:lang w:eastAsia="en-US"/>
        </w:rPr>
        <w:t xml:space="preserve">): A review. </w:t>
      </w:r>
      <w:r w:rsidRPr="00B711D7">
        <w:rPr>
          <w:rFonts w:ascii="Times New Roman" w:hAnsi="Times New Roman"/>
          <w:i/>
          <w:iCs/>
          <w:sz w:val="24"/>
          <w:szCs w:val="24"/>
          <w:lang w:eastAsia="en-US"/>
        </w:rPr>
        <w:t>Tropical Journal of Pharmaceutical Research, 15</w:t>
      </w:r>
      <w:r w:rsidRPr="00B711D7">
        <w:rPr>
          <w:rFonts w:ascii="Times New Roman" w:hAnsi="Times New Roman"/>
          <w:sz w:val="24"/>
          <w:szCs w:val="24"/>
          <w:lang w:eastAsia="en-US"/>
        </w:rPr>
        <w:t xml:space="preserve">(9), 2047–2057. </w:t>
      </w:r>
      <w:hyperlink r:id="rId20" w:history="1">
        <w:r w:rsidRPr="00B711D7">
          <w:rPr>
            <w:rFonts w:ascii="Times New Roman" w:hAnsi="Times New Roman"/>
            <w:color w:val="0000FF"/>
            <w:sz w:val="24"/>
            <w:szCs w:val="24"/>
            <w:u w:val="single"/>
            <w:lang w:eastAsia="en-US"/>
          </w:rPr>
          <w:t>https://doi.org/10.4314/tjpr.v15i9.30</w:t>
        </w:r>
      </w:hyperlink>
    </w:p>
    <w:p w14:paraId="29B84947"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Kılınç</w:t>
      </w:r>
      <w:proofErr w:type="spellEnd"/>
      <w:r w:rsidRPr="00B711D7">
        <w:rPr>
          <w:rFonts w:ascii="Times New Roman" w:hAnsi="Times New Roman"/>
          <w:sz w:val="24"/>
          <w:szCs w:val="24"/>
          <w:lang w:eastAsia="en-US"/>
        </w:rPr>
        <w:t xml:space="preserve">, N. (2021). Inhibition profiles and molecular docking studies of antiproliferative agents against aldose reductase enzyme. </w:t>
      </w:r>
      <w:r w:rsidRPr="00B711D7">
        <w:rPr>
          <w:rFonts w:ascii="Times New Roman" w:hAnsi="Times New Roman"/>
          <w:i/>
          <w:iCs/>
          <w:sz w:val="24"/>
          <w:szCs w:val="24"/>
          <w:lang w:eastAsia="en-US"/>
        </w:rPr>
        <w:t>International Journal of Chemistry and Technology, 5</w:t>
      </w:r>
      <w:r w:rsidRPr="00B711D7">
        <w:rPr>
          <w:rFonts w:ascii="Times New Roman" w:hAnsi="Times New Roman"/>
          <w:sz w:val="24"/>
          <w:szCs w:val="24"/>
          <w:lang w:eastAsia="en-US"/>
        </w:rPr>
        <w:t xml:space="preserve">(1), 77–82. </w:t>
      </w:r>
      <w:hyperlink r:id="rId21" w:history="1">
        <w:r w:rsidRPr="00B711D7">
          <w:rPr>
            <w:rFonts w:ascii="Times New Roman" w:hAnsi="Times New Roman"/>
            <w:color w:val="0000FF"/>
            <w:sz w:val="24"/>
            <w:szCs w:val="24"/>
            <w:u w:val="single"/>
            <w:lang w:eastAsia="en-US"/>
          </w:rPr>
          <w:t>https://doi.org/10.32571/ijct.944049</w:t>
        </w:r>
      </w:hyperlink>
    </w:p>
    <w:p w14:paraId="1DDFE1E4"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Kitchen, D. B., </w:t>
      </w:r>
      <w:proofErr w:type="spellStart"/>
      <w:r w:rsidRPr="00B711D7">
        <w:rPr>
          <w:rFonts w:ascii="Times New Roman" w:hAnsi="Times New Roman"/>
          <w:sz w:val="24"/>
          <w:szCs w:val="24"/>
          <w:lang w:eastAsia="en-US"/>
        </w:rPr>
        <w:t>Decornez</w:t>
      </w:r>
      <w:proofErr w:type="spellEnd"/>
      <w:r w:rsidRPr="00B711D7">
        <w:rPr>
          <w:rFonts w:ascii="Times New Roman" w:hAnsi="Times New Roman"/>
          <w:sz w:val="24"/>
          <w:szCs w:val="24"/>
          <w:lang w:eastAsia="en-US"/>
        </w:rPr>
        <w:t xml:space="preserve">, H., Furr, J. R., &amp; </w:t>
      </w:r>
      <w:proofErr w:type="spellStart"/>
      <w:r w:rsidRPr="00B711D7">
        <w:rPr>
          <w:rFonts w:ascii="Times New Roman" w:hAnsi="Times New Roman"/>
          <w:sz w:val="24"/>
          <w:szCs w:val="24"/>
          <w:lang w:eastAsia="en-US"/>
        </w:rPr>
        <w:t>Bajorath</w:t>
      </w:r>
      <w:proofErr w:type="spellEnd"/>
      <w:r w:rsidRPr="00B711D7">
        <w:rPr>
          <w:rFonts w:ascii="Times New Roman" w:hAnsi="Times New Roman"/>
          <w:sz w:val="24"/>
          <w:szCs w:val="24"/>
          <w:lang w:eastAsia="en-US"/>
        </w:rPr>
        <w:t xml:space="preserve">, J. (2004). Docking and scoring in virtual screening for drug discovery: Methods and applications. </w:t>
      </w:r>
      <w:r w:rsidRPr="00B711D7">
        <w:rPr>
          <w:rFonts w:ascii="Times New Roman" w:hAnsi="Times New Roman"/>
          <w:i/>
          <w:iCs/>
          <w:sz w:val="24"/>
          <w:szCs w:val="24"/>
          <w:lang w:eastAsia="en-US"/>
        </w:rPr>
        <w:t>Nature Reviews Drug Discovery, 3</w:t>
      </w:r>
      <w:r w:rsidRPr="00B711D7">
        <w:rPr>
          <w:rFonts w:ascii="Times New Roman" w:hAnsi="Times New Roman"/>
          <w:sz w:val="24"/>
          <w:szCs w:val="24"/>
          <w:lang w:eastAsia="en-US"/>
        </w:rPr>
        <w:t xml:space="preserve">(11), 935–949. </w:t>
      </w:r>
      <w:hyperlink r:id="rId22" w:history="1">
        <w:r w:rsidRPr="00B711D7">
          <w:rPr>
            <w:rFonts w:ascii="Times New Roman" w:hAnsi="Times New Roman"/>
            <w:color w:val="0000FF"/>
            <w:sz w:val="24"/>
            <w:szCs w:val="24"/>
            <w:u w:val="single"/>
            <w:lang w:eastAsia="en-US"/>
          </w:rPr>
          <w:t>https://doi.org/10.1038/nrd1549</w:t>
        </w:r>
      </w:hyperlink>
    </w:p>
    <w:p w14:paraId="30E9AB0A"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b/>
          <w:bCs/>
          <w:sz w:val="24"/>
          <w:szCs w:val="24"/>
          <w:lang w:eastAsia="en-US"/>
        </w:rPr>
        <w:t xml:space="preserve">Kumar, R. S., Ponmozhi, M., Viswanathan, P., &amp; Nalini, N. (2002). Activity of Cassia auriculata leaf extract in rats with alcoholic liver injury. Journal of Nutritional Biochemistry, 13(11), 665–670. </w:t>
      </w:r>
      <w:hyperlink r:id="rId23" w:history="1">
        <w:r w:rsidRPr="00B711D7">
          <w:rPr>
            <w:rFonts w:ascii="Times New Roman" w:hAnsi="Times New Roman"/>
            <w:color w:val="0000FF"/>
            <w:sz w:val="24"/>
            <w:szCs w:val="24"/>
            <w:u w:val="single"/>
            <w:lang w:eastAsia="en-US"/>
          </w:rPr>
          <w:t>https://doi.org/10.1016/S0955-2863(02)00234-1</w:t>
        </w:r>
      </w:hyperlink>
    </w:p>
    <w:p w14:paraId="0F5375DA"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Lee, K., &amp; Kim, D. (2019). In silico molecular binding prediction for human drug targets using deep neural multi-task learning. </w:t>
      </w:r>
      <w:r w:rsidRPr="00B711D7">
        <w:rPr>
          <w:rFonts w:ascii="Times New Roman" w:hAnsi="Times New Roman"/>
          <w:i/>
          <w:iCs/>
          <w:sz w:val="24"/>
          <w:szCs w:val="24"/>
          <w:lang w:eastAsia="en-US"/>
        </w:rPr>
        <w:t>Genes, 10</w:t>
      </w:r>
      <w:r w:rsidRPr="00B711D7">
        <w:rPr>
          <w:rFonts w:ascii="Times New Roman" w:hAnsi="Times New Roman"/>
          <w:sz w:val="24"/>
          <w:szCs w:val="24"/>
          <w:lang w:eastAsia="en-US"/>
        </w:rPr>
        <w:t xml:space="preserve">(11), Article 906. </w:t>
      </w:r>
      <w:hyperlink r:id="rId24" w:history="1">
        <w:r w:rsidRPr="00B711D7">
          <w:rPr>
            <w:rFonts w:ascii="Times New Roman" w:hAnsi="Times New Roman"/>
            <w:color w:val="0000FF"/>
            <w:sz w:val="24"/>
            <w:szCs w:val="24"/>
            <w:u w:val="single"/>
            <w:lang w:eastAsia="en-US"/>
          </w:rPr>
          <w:t>https://doi.org/10.3390/genes10110906</w:t>
        </w:r>
      </w:hyperlink>
    </w:p>
    <w:p w14:paraId="0FDCF029"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lastRenderedPageBreak/>
        <w:t xml:space="preserve">Lipinski, C. A., Lombardo, F., Dominy, B. W., &amp; Feeney, P. J. (2012). Experimental and computational approaches to estimate solubility and permeability in drug discovery and development settings. </w:t>
      </w:r>
      <w:r w:rsidRPr="00B711D7">
        <w:rPr>
          <w:rFonts w:ascii="Times New Roman" w:hAnsi="Times New Roman"/>
          <w:i/>
          <w:iCs/>
          <w:sz w:val="24"/>
          <w:szCs w:val="24"/>
          <w:lang w:eastAsia="en-US"/>
        </w:rPr>
        <w:t>Advanced Drug Delivery Reviews, 64</w:t>
      </w:r>
      <w:r w:rsidRPr="00B711D7">
        <w:rPr>
          <w:rFonts w:ascii="Times New Roman" w:hAnsi="Times New Roman"/>
          <w:sz w:val="24"/>
          <w:szCs w:val="24"/>
          <w:lang w:eastAsia="en-US"/>
        </w:rPr>
        <w:t xml:space="preserve">, 4–17. </w:t>
      </w:r>
      <w:hyperlink r:id="rId25" w:history="1">
        <w:r w:rsidRPr="00B711D7">
          <w:rPr>
            <w:rFonts w:ascii="Times New Roman" w:hAnsi="Times New Roman"/>
            <w:color w:val="0000FF"/>
            <w:sz w:val="24"/>
            <w:szCs w:val="24"/>
            <w:u w:val="single"/>
            <w:lang w:eastAsia="en-US"/>
          </w:rPr>
          <w:t>https://doi.org/10.1016/j.addr.2012.09.019</w:t>
        </w:r>
      </w:hyperlink>
      <w:r w:rsidRPr="00B711D7">
        <w:rPr>
          <w:rFonts w:ascii="Times New Roman" w:hAnsi="Times New Roman"/>
          <w:sz w:val="24"/>
          <w:szCs w:val="24"/>
          <w:lang w:eastAsia="en-US"/>
        </w:rPr>
        <w:t xml:space="preserve"> </w:t>
      </w:r>
    </w:p>
    <w:p w14:paraId="29F5FEB5"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Loza-Mejía, M. A., Salazar, J. R., &amp; Sánchez-Tejeda, J. F. (2018). In silico studies on compounds derived from </w:t>
      </w:r>
      <w:r w:rsidRPr="00B711D7">
        <w:rPr>
          <w:rFonts w:ascii="Times New Roman" w:hAnsi="Times New Roman"/>
          <w:i/>
          <w:iCs/>
          <w:sz w:val="24"/>
          <w:szCs w:val="24"/>
          <w:lang w:eastAsia="en-US"/>
        </w:rPr>
        <w:t>Calceolaria</w:t>
      </w:r>
      <w:r w:rsidRPr="00B711D7">
        <w:rPr>
          <w:rFonts w:ascii="Times New Roman" w:hAnsi="Times New Roman"/>
          <w:sz w:val="24"/>
          <w:szCs w:val="24"/>
          <w:lang w:eastAsia="en-US"/>
        </w:rPr>
        <w:t xml:space="preserve">: Phenylethanoid glycosides as potential multitarget inhibitors for the development of pesticides. </w:t>
      </w:r>
      <w:r w:rsidRPr="00B711D7">
        <w:rPr>
          <w:rFonts w:ascii="Times New Roman" w:hAnsi="Times New Roman"/>
          <w:i/>
          <w:iCs/>
          <w:sz w:val="24"/>
          <w:szCs w:val="24"/>
          <w:lang w:eastAsia="en-US"/>
        </w:rPr>
        <w:t>Biomolecules, 8</w:t>
      </w:r>
      <w:r w:rsidRPr="00B711D7">
        <w:rPr>
          <w:rFonts w:ascii="Times New Roman" w:hAnsi="Times New Roman"/>
          <w:sz w:val="24"/>
          <w:szCs w:val="24"/>
          <w:lang w:eastAsia="en-US"/>
        </w:rPr>
        <w:t xml:space="preserve">(4), Article 121. </w:t>
      </w:r>
      <w:hyperlink r:id="rId26" w:history="1">
        <w:r w:rsidRPr="00B711D7">
          <w:rPr>
            <w:rFonts w:ascii="Times New Roman" w:hAnsi="Times New Roman"/>
            <w:color w:val="0000FF"/>
            <w:sz w:val="24"/>
            <w:szCs w:val="24"/>
            <w:u w:val="single"/>
            <w:lang w:eastAsia="en-US"/>
          </w:rPr>
          <w:t>https://doi.org/10.3390/biom8040121</w:t>
        </w:r>
      </w:hyperlink>
    </w:p>
    <w:p w14:paraId="5D3926DD"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Malongane</w:t>
      </w:r>
      <w:proofErr w:type="spellEnd"/>
      <w:r w:rsidRPr="00B711D7">
        <w:rPr>
          <w:rFonts w:ascii="Times New Roman" w:hAnsi="Times New Roman"/>
          <w:sz w:val="24"/>
          <w:szCs w:val="24"/>
          <w:lang w:eastAsia="en-US"/>
        </w:rPr>
        <w:t xml:space="preserve">, F., McGaw, L. J., &amp; Mudau, F. N. (2017). The synergistic potential of various teas, herbs and therapeutic drugs in health improvement: A review. </w:t>
      </w:r>
      <w:r w:rsidRPr="00B711D7">
        <w:rPr>
          <w:rFonts w:ascii="Times New Roman" w:hAnsi="Times New Roman"/>
          <w:i/>
          <w:iCs/>
          <w:sz w:val="24"/>
          <w:szCs w:val="24"/>
          <w:lang w:eastAsia="en-US"/>
        </w:rPr>
        <w:t>Journal of the Science of Food and Agriculture, 97</w:t>
      </w:r>
      <w:r w:rsidRPr="00B711D7">
        <w:rPr>
          <w:rFonts w:ascii="Times New Roman" w:hAnsi="Times New Roman"/>
          <w:sz w:val="24"/>
          <w:szCs w:val="24"/>
          <w:lang w:eastAsia="en-US"/>
        </w:rPr>
        <w:t xml:space="preserve">(14), 4679–4689. </w:t>
      </w:r>
      <w:hyperlink r:id="rId27" w:history="1">
        <w:r w:rsidRPr="00B711D7">
          <w:rPr>
            <w:rFonts w:ascii="Times New Roman" w:hAnsi="Times New Roman"/>
            <w:color w:val="0000FF"/>
            <w:sz w:val="24"/>
            <w:szCs w:val="24"/>
            <w:u w:val="single"/>
            <w:lang w:eastAsia="en-US"/>
          </w:rPr>
          <w:t>https://doi.org/10.1002/jsfa.8472</w:t>
        </w:r>
      </w:hyperlink>
    </w:p>
    <w:p w14:paraId="7494E691"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Megantara</w:t>
      </w:r>
      <w:proofErr w:type="spellEnd"/>
      <w:r w:rsidRPr="00B711D7">
        <w:rPr>
          <w:rFonts w:ascii="Times New Roman" w:hAnsi="Times New Roman"/>
          <w:sz w:val="24"/>
          <w:szCs w:val="24"/>
          <w:lang w:eastAsia="en-US"/>
        </w:rPr>
        <w:t xml:space="preserve">, S., </w:t>
      </w:r>
      <w:proofErr w:type="spellStart"/>
      <w:r w:rsidRPr="00B711D7">
        <w:rPr>
          <w:rFonts w:ascii="Times New Roman" w:hAnsi="Times New Roman"/>
          <w:sz w:val="24"/>
          <w:szCs w:val="24"/>
          <w:lang w:eastAsia="en-US"/>
        </w:rPr>
        <w:t>Wathoni</w:t>
      </w:r>
      <w:proofErr w:type="spellEnd"/>
      <w:r w:rsidRPr="00B711D7">
        <w:rPr>
          <w:rFonts w:ascii="Times New Roman" w:hAnsi="Times New Roman"/>
          <w:sz w:val="24"/>
          <w:szCs w:val="24"/>
          <w:lang w:eastAsia="en-US"/>
        </w:rPr>
        <w:t xml:space="preserve">, N., Mohammed, A. F. A., </w:t>
      </w:r>
      <w:proofErr w:type="spellStart"/>
      <w:r w:rsidRPr="00B711D7">
        <w:rPr>
          <w:rFonts w:ascii="Times New Roman" w:hAnsi="Times New Roman"/>
          <w:sz w:val="24"/>
          <w:szCs w:val="24"/>
          <w:lang w:eastAsia="en-US"/>
        </w:rPr>
        <w:t>Suhandi</w:t>
      </w:r>
      <w:proofErr w:type="spellEnd"/>
      <w:r w:rsidRPr="00B711D7">
        <w:rPr>
          <w:rFonts w:ascii="Times New Roman" w:hAnsi="Times New Roman"/>
          <w:sz w:val="24"/>
          <w:szCs w:val="24"/>
          <w:lang w:eastAsia="en-US"/>
        </w:rPr>
        <w:t xml:space="preserve">, C., </w:t>
      </w:r>
      <w:proofErr w:type="spellStart"/>
      <w:r w:rsidRPr="00B711D7">
        <w:rPr>
          <w:rFonts w:ascii="Times New Roman" w:hAnsi="Times New Roman"/>
          <w:sz w:val="24"/>
          <w:szCs w:val="24"/>
          <w:lang w:eastAsia="en-US"/>
        </w:rPr>
        <w:t>Ishmatullah</w:t>
      </w:r>
      <w:proofErr w:type="spellEnd"/>
      <w:r w:rsidRPr="00B711D7">
        <w:rPr>
          <w:rFonts w:ascii="Times New Roman" w:hAnsi="Times New Roman"/>
          <w:sz w:val="24"/>
          <w:szCs w:val="24"/>
          <w:lang w:eastAsia="en-US"/>
        </w:rPr>
        <w:t>, M. H., &amp; Putri, M. F. (2022). In silico study: Combination of α-</w:t>
      </w:r>
      <w:proofErr w:type="spellStart"/>
      <w:r w:rsidRPr="00B711D7">
        <w:rPr>
          <w:rFonts w:ascii="Times New Roman" w:hAnsi="Times New Roman"/>
          <w:sz w:val="24"/>
          <w:szCs w:val="24"/>
          <w:lang w:eastAsia="en-US"/>
        </w:rPr>
        <w:t>mangostin</w:t>
      </w:r>
      <w:proofErr w:type="spellEnd"/>
      <w:r w:rsidRPr="00B711D7">
        <w:rPr>
          <w:rFonts w:ascii="Times New Roman" w:hAnsi="Times New Roman"/>
          <w:sz w:val="24"/>
          <w:szCs w:val="24"/>
          <w:lang w:eastAsia="en-US"/>
        </w:rPr>
        <w:t xml:space="preserve"> and chitosan conjugated with trastuzumab against human epidermal growth factor receptor 2. </w:t>
      </w:r>
      <w:r w:rsidRPr="00B711D7">
        <w:rPr>
          <w:rFonts w:ascii="Times New Roman" w:hAnsi="Times New Roman"/>
          <w:i/>
          <w:iCs/>
          <w:sz w:val="24"/>
          <w:szCs w:val="24"/>
          <w:lang w:eastAsia="en-US"/>
        </w:rPr>
        <w:t>Polymers, 14</w:t>
      </w:r>
      <w:r w:rsidRPr="00B711D7">
        <w:rPr>
          <w:rFonts w:ascii="Times New Roman" w:hAnsi="Times New Roman"/>
          <w:sz w:val="24"/>
          <w:szCs w:val="24"/>
          <w:lang w:eastAsia="en-US"/>
        </w:rPr>
        <w:t xml:space="preserve">(13), Article 2747. </w:t>
      </w:r>
      <w:hyperlink r:id="rId28" w:history="1">
        <w:r w:rsidRPr="00B711D7">
          <w:rPr>
            <w:rFonts w:ascii="Times New Roman" w:hAnsi="Times New Roman"/>
            <w:color w:val="0000FF"/>
            <w:sz w:val="24"/>
            <w:szCs w:val="24"/>
            <w:u w:val="single"/>
            <w:lang w:eastAsia="en-US"/>
          </w:rPr>
          <w:t>https://doi.org/10.3390/polym14132747</w:t>
        </w:r>
      </w:hyperlink>
    </w:p>
    <w:p w14:paraId="0F5E334D"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Murugan, R., Kanimozhi, G., Sathya, M., &amp; Anandharaj, B. (2022). Evaluation of preliminary phytochemical screening of five important medicinal plants in </w:t>
      </w:r>
      <w:proofErr w:type="spellStart"/>
      <w:r w:rsidRPr="00B711D7">
        <w:rPr>
          <w:rFonts w:ascii="Times New Roman" w:hAnsi="Times New Roman"/>
          <w:sz w:val="24"/>
          <w:szCs w:val="24"/>
          <w:lang w:eastAsia="en-US"/>
        </w:rPr>
        <w:t>Euphorbiaceae</w:t>
      </w:r>
      <w:proofErr w:type="spellEnd"/>
      <w:r w:rsidRPr="00B711D7">
        <w:rPr>
          <w:rFonts w:ascii="Times New Roman" w:hAnsi="Times New Roman"/>
          <w:sz w:val="24"/>
          <w:szCs w:val="24"/>
          <w:lang w:eastAsia="en-US"/>
        </w:rPr>
        <w:t xml:space="preserve"> family. </w:t>
      </w:r>
      <w:r w:rsidRPr="00B711D7">
        <w:rPr>
          <w:rFonts w:ascii="Times New Roman" w:hAnsi="Times New Roman"/>
          <w:i/>
          <w:iCs/>
          <w:sz w:val="24"/>
          <w:szCs w:val="24"/>
          <w:lang w:eastAsia="en-US"/>
        </w:rPr>
        <w:t>International Journal of Botany Studies, 7</w:t>
      </w:r>
      <w:r w:rsidRPr="00B711D7">
        <w:rPr>
          <w:rFonts w:ascii="Times New Roman" w:hAnsi="Times New Roman"/>
          <w:sz w:val="24"/>
          <w:szCs w:val="24"/>
          <w:lang w:eastAsia="en-US"/>
        </w:rPr>
        <w:t xml:space="preserve">(1), 277–280. </w:t>
      </w:r>
    </w:p>
    <w:p w14:paraId="2BE2D6BC"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Muthukrishnan, S., Raman, C., Chandrasekaran, G., </w:t>
      </w:r>
      <w:proofErr w:type="spellStart"/>
      <w:r w:rsidRPr="00B711D7">
        <w:rPr>
          <w:rFonts w:ascii="Times New Roman" w:hAnsi="Times New Roman"/>
          <w:sz w:val="24"/>
          <w:szCs w:val="24"/>
          <w:lang w:eastAsia="en-US"/>
        </w:rPr>
        <w:t>Soundhirapandi</w:t>
      </w:r>
      <w:proofErr w:type="spellEnd"/>
      <w:r w:rsidRPr="00B711D7">
        <w:rPr>
          <w:rFonts w:ascii="Times New Roman" w:hAnsi="Times New Roman"/>
          <w:sz w:val="24"/>
          <w:szCs w:val="24"/>
          <w:lang w:eastAsia="en-US"/>
        </w:rPr>
        <w:t xml:space="preserve">, P., Chinnappan, G., Prakasam, R., &amp; others. (2025). Comprehensive analysis of </w:t>
      </w:r>
      <w:r w:rsidRPr="00B711D7">
        <w:rPr>
          <w:rFonts w:ascii="Times New Roman" w:hAnsi="Times New Roman"/>
          <w:i/>
          <w:iCs/>
          <w:sz w:val="24"/>
          <w:szCs w:val="24"/>
          <w:lang w:eastAsia="en-US"/>
        </w:rPr>
        <w:t xml:space="preserve">Crotalaria </w:t>
      </w:r>
      <w:proofErr w:type="spellStart"/>
      <w:r w:rsidRPr="00B711D7">
        <w:rPr>
          <w:rFonts w:ascii="Times New Roman" w:hAnsi="Times New Roman"/>
          <w:i/>
          <w:iCs/>
          <w:sz w:val="24"/>
          <w:szCs w:val="24"/>
          <w:lang w:eastAsia="en-US"/>
        </w:rPr>
        <w:t>willdenowiana</w:t>
      </w:r>
      <w:proofErr w:type="spellEnd"/>
      <w:r w:rsidRPr="00B711D7">
        <w:rPr>
          <w:rFonts w:ascii="Times New Roman" w:hAnsi="Times New Roman"/>
          <w:sz w:val="24"/>
          <w:szCs w:val="24"/>
          <w:lang w:eastAsia="en-US"/>
        </w:rPr>
        <w:t xml:space="preserve"> DC.: GC-MS profiling, antioxidant and anticancer activities, molecular docking studies, and in silico ADME profiling. </w:t>
      </w:r>
      <w:r w:rsidRPr="00B711D7">
        <w:rPr>
          <w:rFonts w:ascii="Times New Roman" w:hAnsi="Times New Roman"/>
          <w:i/>
          <w:iCs/>
          <w:sz w:val="24"/>
          <w:szCs w:val="24"/>
          <w:lang w:eastAsia="en-US"/>
        </w:rPr>
        <w:t>3 Biotech, 15</w:t>
      </w:r>
      <w:r w:rsidRPr="00B711D7">
        <w:rPr>
          <w:rFonts w:ascii="Times New Roman" w:hAnsi="Times New Roman"/>
          <w:sz w:val="24"/>
          <w:szCs w:val="24"/>
          <w:lang w:eastAsia="en-US"/>
        </w:rPr>
        <w:t xml:space="preserve">, Article 243. </w:t>
      </w:r>
      <w:hyperlink r:id="rId29" w:history="1">
        <w:r w:rsidRPr="00B711D7">
          <w:rPr>
            <w:rFonts w:ascii="Times New Roman" w:hAnsi="Times New Roman"/>
            <w:color w:val="0000FF"/>
            <w:sz w:val="24"/>
            <w:szCs w:val="24"/>
            <w:u w:val="single"/>
            <w:lang w:eastAsia="en-US"/>
          </w:rPr>
          <w:t>https://doi.org/10.1007/s13205-025-04409-z</w:t>
        </w:r>
      </w:hyperlink>
    </w:p>
    <w:p w14:paraId="3854A1E5"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Muthukrishnan, S., Sekar, S., Raman, C., Pandiyan, J., &amp; </w:t>
      </w:r>
      <w:proofErr w:type="spellStart"/>
      <w:r w:rsidRPr="00B711D7">
        <w:rPr>
          <w:rFonts w:ascii="Times New Roman" w:hAnsi="Times New Roman"/>
          <w:sz w:val="24"/>
          <w:szCs w:val="24"/>
          <w:lang w:eastAsia="en-US"/>
        </w:rPr>
        <w:t>Ponnaiah</w:t>
      </w:r>
      <w:proofErr w:type="spellEnd"/>
      <w:r w:rsidRPr="00B711D7">
        <w:rPr>
          <w:rFonts w:ascii="Times New Roman" w:hAnsi="Times New Roman"/>
          <w:sz w:val="24"/>
          <w:szCs w:val="24"/>
          <w:lang w:eastAsia="en-US"/>
        </w:rPr>
        <w:t xml:space="preserve">, J. (2024). Phytochemical analysis, physicochemical, pharmacokinetic properties and molecular docking studies of bioactive compounds in </w:t>
      </w:r>
      <w:r w:rsidRPr="00B711D7">
        <w:rPr>
          <w:rFonts w:ascii="Times New Roman" w:hAnsi="Times New Roman"/>
          <w:i/>
          <w:iCs/>
          <w:sz w:val="24"/>
          <w:szCs w:val="24"/>
          <w:lang w:eastAsia="en-US"/>
        </w:rPr>
        <w:t xml:space="preserve">Ottelia </w:t>
      </w:r>
      <w:proofErr w:type="spellStart"/>
      <w:r w:rsidRPr="00B711D7">
        <w:rPr>
          <w:rFonts w:ascii="Times New Roman" w:hAnsi="Times New Roman"/>
          <w:i/>
          <w:iCs/>
          <w:sz w:val="24"/>
          <w:szCs w:val="24"/>
          <w:lang w:eastAsia="en-US"/>
        </w:rPr>
        <w:t>alismoides</w:t>
      </w:r>
      <w:proofErr w:type="spellEnd"/>
      <w:r w:rsidRPr="00B711D7">
        <w:rPr>
          <w:rFonts w:ascii="Times New Roman" w:hAnsi="Times New Roman"/>
          <w:sz w:val="24"/>
          <w:szCs w:val="24"/>
          <w:lang w:eastAsia="en-US"/>
        </w:rPr>
        <w:t xml:space="preserve"> (L.) Pers. against breast cancer proteins. </w:t>
      </w:r>
      <w:r w:rsidRPr="00B711D7">
        <w:rPr>
          <w:rFonts w:ascii="Times New Roman" w:hAnsi="Times New Roman"/>
          <w:i/>
          <w:iCs/>
          <w:sz w:val="24"/>
          <w:szCs w:val="24"/>
          <w:lang w:eastAsia="en-US"/>
        </w:rPr>
        <w:t>In Silico Pharmacology, 12</w:t>
      </w:r>
      <w:r w:rsidRPr="00B711D7">
        <w:rPr>
          <w:rFonts w:ascii="Times New Roman" w:hAnsi="Times New Roman"/>
          <w:sz w:val="24"/>
          <w:szCs w:val="24"/>
          <w:lang w:eastAsia="en-US"/>
        </w:rPr>
        <w:t xml:space="preserve">, Article 53. </w:t>
      </w:r>
      <w:hyperlink r:id="rId30" w:history="1">
        <w:r w:rsidRPr="00B711D7">
          <w:rPr>
            <w:rFonts w:ascii="Times New Roman" w:hAnsi="Times New Roman"/>
            <w:color w:val="0000FF"/>
            <w:sz w:val="24"/>
            <w:szCs w:val="24"/>
            <w:u w:val="single"/>
            <w:lang w:eastAsia="en-US"/>
          </w:rPr>
          <w:t>https://doi.org/10.1007/s40203-024-00227-y</w:t>
        </w:r>
      </w:hyperlink>
    </w:p>
    <w:p w14:paraId="21D39F7E"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Narayanasamy, D., &amp; Natesan, B. (2020). Endemic vascular plants from the Coromandel Coast of Tamil Nadu, Southern India. In S. Kumar (Ed.), </w:t>
      </w:r>
      <w:r w:rsidRPr="00B711D7">
        <w:rPr>
          <w:rFonts w:ascii="Times New Roman" w:hAnsi="Times New Roman"/>
          <w:i/>
          <w:iCs/>
          <w:sz w:val="24"/>
          <w:szCs w:val="24"/>
          <w:lang w:eastAsia="en-US"/>
        </w:rPr>
        <w:t>Endangered plants</w:t>
      </w:r>
      <w:r w:rsidRPr="00B711D7">
        <w:rPr>
          <w:rFonts w:ascii="Times New Roman" w:hAnsi="Times New Roman"/>
          <w:sz w:val="24"/>
          <w:szCs w:val="24"/>
          <w:lang w:eastAsia="en-US"/>
        </w:rPr>
        <w:t xml:space="preserve">. </w:t>
      </w:r>
      <w:proofErr w:type="spellStart"/>
      <w:r w:rsidRPr="00B711D7">
        <w:rPr>
          <w:rFonts w:ascii="Times New Roman" w:hAnsi="Times New Roman"/>
          <w:sz w:val="24"/>
          <w:szCs w:val="24"/>
          <w:lang w:eastAsia="en-US"/>
        </w:rPr>
        <w:t>IntechOpen</w:t>
      </w:r>
      <w:proofErr w:type="spellEnd"/>
      <w:r w:rsidRPr="00B711D7">
        <w:rPr>
          <w:rFonts w:ascii="Times New Roman" w:hAnsi="Times New Roman"/>
          <w:sz w:val="24"/>
          <w:szCs w:val="24"/>
          <w:lang w:eastAsia="en-US"/>
        </w:rPr>
        <w:t xml:space="preserve">. </w:t>
      </w:r>
      <w:hyperlink r:id="rId31" w:history="1">
        <w:r w:rsidRPr="00B711D7">
          <w:rPr>
            <w:rFonts w:ascii="Times New Roman" w:hAnsi="Times New Roman"/>
            <w:color w:val="0000FF"/>
            <w:sz w:val="24"/>
            <w:szCs w:val="24"/>
            <w:u w:val="single"/>
            <w:lang w:eastAsia="en-US"/>
          </w:rPr>
          <w:t>https://doi.org/10.5772/intechopen.94333</w:t>
        </w:r>
      </w:hyperlink>
    </w:p>
    <w:p w14:paraId="4E9A5B52"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Ningombam</w:t>
      </w:r>
      <w:proofErr w:type="spellEnd"/>
      <w:r w:rsidRPr="00B711D7">
        <w:rPr>
          <w:rFonts w:ascii="Times New Roman" w:hAnsi="Times New Roman"/>
          <w:sz w:val="24"/>
          <w:szCs w:val="24"/>
          <w:lang w:eastAsia="en-US"/>
        </w:rPr>
        <w:t xml:space="preserve">, D. S., &amp; Singh, P. K. (2014). Ethnobotanical study of </w:t>
      </w:r>
      <w:proofErr w:type="spellStart"/>
      <w:r w:rsidRPr="00B711D7">
        <w:rPr>
          <w:rFonts w:ascii="Times New Roman" w:hAnsi="Times New Roman"/>
          <w:i/>
          <w:iCs/>
          <w:sz w:val="24"/>
          <w:szCs w:val="24"/>
          <w:lang w:eastAsia="en-US"/>
        </w:rPr>
        <w:t>Phlogacanthus</w:t>
      </w:r>
      <w:proofErr w:type="spellEnd"/>
      <w:r w:rsidRPr="00B711D7">
        <w:rPr>
          <w:rFonts w:ascii="Times New Roman" w:hAnsi="Times New Roman"/>
          <w:i/>
          <w:iCs/>
          <w:sz w:val="24"/>
          <w:szCs w:val="24"/>
          <w:lang w:eastAsia="en-US"/>
        </w:rPr>
        <w:t xml:space="preserve"> </w:t>
      </w:r>
      <w:proofErr w:type="spellStart"/>
      <w:r w:rsidRPr="00B711D7">
        <w:rPr>
          <w:rFonts w:ascii="Times New Roman" w:hAnsi="Times New Roman"/>
          <w:i/>
          <w:iCs/>
          <w:sz w:val="24"/>
          <w:szCs w:val="24"/>
          <w:lang w:eastAsia="en-US"/>
        </w:rPr>
        <w:t>thyrsiformis</w:t>
      </w:r>
      <w:proofErr w:type="spellEnd"/>
      <w:r w:rsidRPr="00B711D7">
        <w:rPr>
          <w:rFonts w:ascii="Times New Roman" w:hAnsi="Times New Roman"/>
          <w:sz w:val="24"/>
          <w:szCs w:val="24"/>
          <w:lang w:eastAsia="en-US"/>
        </w:rPr>
        <w:t xml:space="preserve"> Nees: A conserved medicinal plant of Manipur, Northeast India. </w:t>
      </w:r>
      <w:r w:rsidRPr="00B711D7">
        <w:rPr>
          <w:rFonts w:ascii="Times New Roman" w:hAnsi="Times New Roman"/>
          <w:i/>
          <w:iCs/>
          <w:sz w:val="24"/>
          <w:szCs w:val="24"/>
          <w:lang w:eastAsia="en-US"/>
        </w:rPr>
        <w:t>International Journal of Herbal Medicine, 1</w:t>
      </w:r>
      <w:r w:rsidRPr="00B711D7">
        <w:rPr>
          <w:rFonts w:ascii="Times New Roman" w:hAnsi="Times New Roman"/>
          <w:sz w:val="24"/>
          <w:szCs w:val="24"/>
          <w:lang w:eastAsia="en-US"/>
        </w:rPr>
        <w:t xml:space="preserve">(5), 10–14. </w:t>
      </w:r>
    </w:p>
    <w:p w14:paraId="12AE3B9F"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Pires, D. E. V., Kaminskas, L. M., &amp; Ascher, D. B. (2018). Prediction and optimization of pharmacokinetic and toxicity properties of ligands. In </w:t>
      </w:r>
      <w:r w:rsidRPr="00B711D7">
        <w:rPr>
          <w:rFonts w:ascii="Times New Roman" w:hAnsi="Times New Roman"/>
          <w:i/>
          <w:iCs/>
          <w:sz w:val="24"/>
          <w:szCs w:val="24"/>
          <w:lang w:eastAsia="en-US"/>
        </w:rPr>
        <w:t>Computational drug discovery and design</w:t>
      </w:r>
      <w:r w:rsidRPr="00B711D7">
        <w:rPr>
          <w:rFonts w:ascii="Times New Roman" w:hAnsi="Times New Roman"/>
          <w:sz w:val="24"/>
          <w:szCs w:val="24"/>
          <w:lang w:eastAsia="en-US"/>
        </w:rPr>
        <w:t xml:space="preserve"> (pp. 271–284). Humana Press. </w:t>
      </w:r>
      <w:hyperlink r:id="rId32" w:history="1">
        <w:r w:rsidRPr="00B711D7">
          <w:rPr>
            <w:rFonts w:ascii="Times New Roman" w:hAnsi="Times New Roman"/>
            <w:color w:val="0000FF"/>
            <w:sz w:val="24"/>
            <w:szCs w:val="24"/>
            <w:u w:val="single"/>
            <w:lang w:eastAsia="en-US"/>
          </w:rPr>
          <w:t>https://doi.org/10.1007/978-1-4939-7756-7_14</w:t>
        </w:r>
      </w:hyperlink>
    </w:p>
    <w:p w14:paraId="41320CA4"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Piscopo, N., &amp; Ellul, P. (2020). Diverticular disease: A review on pathophysiology and recent evidence. </w:t>
      </w:r>
      <w:r w:rsidRPr="00B711D7">
        <w:rPr>
          <w:rFonts w:ascii="Times New Roman" w:hAnsi="Times New Roman"/>
          <w:i/>
          <w:iCs/>
          <w:sz w:val="24"/>
          <w:szCs w:val="24"/>
          <w:lang w:eastAsia="en-US"/>
        </w:rPr>
        <w:t>Ulster Medical Journal, 89</w:t>
      </w:r>
      <w:r w:rsidRPr="00B711D7">
        <w:rPr>
          <w:rFonts w:ascii="Times New Roman" w:hAnsi="Times New Roman"/>
          <w:sz w:val="24"/>
          <w:szCs w:val="24"/>
          <w:lang w:eastAsia="en-US"/>
        </w:rPr>
        <w:t xml:space="preserve">(2), 83–88. </w:t>
      </w:r>
      <w:hyperlink r:id="rId33" w:tgtFrame="_new" w:history="1">
        <w:r w:rsidRPr="00B711D7">
          <w:rPr>
            <w:rFonts w:ascii="Times New Roman" w:hAnsi="Times New Roman"/>
            <w:color w:val="0000FF"/>
            <w:sz w:val="24"/>
            <w:szCs w:val="24"/>
            <w:u w:val="single"/>
            <w:lang w:eastAsia="en-US"/>
          </w:rPr>
          <w:t>https://pmc.ncbi.nlm.nih.gov/articles/PMC7576390/</w:t>
        </w:r>
      </w:hyperlink>
    </w:p>
    <w:p w14:paraId="381BCD2A"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Raies</w:t>
      </w:r>
      <w:proofErr w:type="spellEnd"/>
      <w:r w:rsidRPr="00B711D7">
        <w:rPr>
          <w:rFonts w:ascii="Times New Roman" w:hAnsi="Times New Roman"/>
          <w:sz w:val="24"/>
          <w:szCs w:val="24"/>
          <w:lang w:eastAsia="en-US"/>
        </w:rPr>
        <w:t xml:space="preserve">, A. B., &amp; Bajic, V. B. (2016). In silico toxicology: Computational methods for the prediction of chemical toxicity. </w:t>
      </w:r>
      <w:r w:rsidRPr="00B711D7">
        <w:rPr>
          <w:rFonts w:ascii="Times New Roman" w:hAnsi="Times New Roman"/>
          <w:i/>
          <w:iCs/>
          <w:sz w:val="24"/>
          <w:szCs w:val="24"/>
          <w:lang w:eastAsia="en-US"/>
        </w:rPr>
        <w:t>Wiley Interdisciplinary Reviews: Computational Molecular Science, 6</w:t>
      </w:r>
      <w:r w:rsidRPr="00B711D7">
        <w:rPr>
          <w:rFonts w:ascii="Times New Roman" w:hAnsi="Times New Roman"/>
          <w:sz w:val="24"/>
          <w:szCs w:val="24"/>
          <w:lang w:eastAsia="en-US"/>
        </w:rPr>
        <w:t xml:space="preserve">(2), 147–172. </w:t>
      </w:r>
      <w:hyperlink r:id="rId34" w:tgtFrame="_new" w:history="1">
        <w:r w:rsidRPr="00B711D7">
          <w:rPr>
            <w:rFonts w:ascii="Times New Roman" w:hAnsi="Times New Roman"/>
            <w:color w:val="0000FF"/>
            <w:sz w:val="24"/>
            <w:szCs w:val="24"/>
            <w:u w:val="single"/>
            <w:lang w:eastAsia="en-US"/>
          </w:rPr>
          <w:t>https://doi.org/10.1002/wcms.1240</w:t>
        </w:r>
      </w:hyperlink>
    </w:p>
    <w:p w14:paraId="1D9A9914"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val="nl-BE" w:eastAsia="en-US"/>
        </w:rPr>
        <w:t xml:space="preserve">Rashid, S., Ali, S. A., Manikandan, S., &amp; Lakshmanan, G. M. A. (2022). </w:t>
      </w:r>
      <w:r w:rsidRPr="00B711D7">
        <w:rPr>
          <w:rFonts w:ascii="Times New Roman" w:hAnsi="Times New Roman"/>
          <w:sz w:val="24"/>
          <w:szCs w:val="24"/>
          <w:lang w:eastAsia="en-US"/>
        </w:rPr>
        <w:t xml:space="preserve">TLC profiling and phytochemical evaluation of </w:t>
      </w:r>
      <w:r w:rsidRPr="00B711D7">
        <w:rPr>
          <w:rFonts w:ascii="Times New Roman" w:hAnsi="Times New Roman"/>
          <w:i/>
          <w:iCs/>
          <w:sz w:val="24"/>
          <w:szCs w:val="24"/>
          <w:lang w:eastAsia="en-US"/>
        </w:rPr>
        <w:t xml:space="preserve">Bergenia </w:t>
      </w:r>
      <w:proofErr w:type="spellStart"/>
      <w:r w:rsidRPr="00B711D7">
        <w:rPr>
          <w:rFonts w:ascii="Times New Roman" w:hAnsi="Times New Roman"/>
          <w:i/>
          <w:iCs/>
          <w:sz w:val="24"/>
          <w:szCs w:val="24"/>
          <w:lang w:eastAsia="en-US"/>
        </w:rPr>
        <w:t>ligulata</w:t>
      </w:r>
      <w:proofErr w:type="spellEnd"/>
      <w:r w:rsidRPr="00B711D7">
        <w:rPr>
          <w:rFonts w:ascii="Times New Roman" w:hAnsi="Times New Roman"/>
          <w:sz w:val="24"/>
          <w:szCs w:val="24"/>
          <w:lang w:eastAsia="en-US"/>
        </w:rPr>
        <w:t xml:space="preserve"> Wall. and </w:t>
      </w:r>
      <w:r w:rsidRPr="00B711D7">
        <w:rPr>
          <w:rFonts w:ascii="Times New Roman" w:hAnsi="Times New Roman"/>
          <w:i/>
          <w:iCs/>
          <w:sz w:val="24"/>
          <w:szCs w:val="24"/>
          <w:lang w:eastAsia="en-US"/>
        </w:rPr>
        <w:t xml:space="preserve">Podophyllum </w:t>
      </w:r>
      <w:proofErr w:type="spellStart"/>
      <w:r w:rsidRPr="00B711D7">
        <w:rPr>
          <w:rFonts w:ascii="Times New Roman" w:hAnsi="Times New Roman"/>
          <w:i/>
          <w:iCs/>
          <w:sz w:val="24"/>
          <w:szCs w:val="24"/>
          <w:lang w:eastAsia="en-US"/>
        </w:rPr>
        <w:t>hexandrum</w:t>
      </w:r>
      <w:proofErr w:type="spellEnd"/>
      <w:r w:rsidRPr="00B711D7">
        <w:rPr>
          <w:rFonts w:ascii="Times New Roman" w:hAnsi="Times New Roman"/>
          <w:sz w:val="24"/>
          <w:szCs w:val="24"/>
          <w:lang w:eastAsia="en-US"/>
        </w:rPr>
        <w:t xml:space="preserve"> Royle—An endangered medicinal plant. </w:t>
      </w:r>
      <w:r w:rsidRPr="00B711D7">
        <w:rPr>
          <w:rFonts w:ascii="Times New Roman" w:hAnsi="Times New Roman"/>
          <w:i/>
          <w:iCs/>
          <w:sz w:val="24"/>
          <w:szCs w:val="24"/>
          <w:lang w:eastAsia="en-US"/>
        </w:rPr>
        <w:t>Indian Journal of Natural Sciences, 13</w:t>
      </w:r>
      <w:r w:rsidRPr="00B711D7">
        <w:rPr>
          <w:rFonts w:ascii="Times New Roman" w:hAnsi="Times New Roman"/>
          <w:sz w:val="24"/>
          <w:szCs w:val="24"/>
          <w:lang w:eastAsia="en-US"/>
        </w:rPr>
        <w:t xml:space="preserve">(73), 46111–46118. </w:t>
      </w:r>
    </w:p>
    <w:p w14:paraId="4EEF5F6B"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Rashid, S., Shah, A. F., Abas, G., Balaiyan, A., &amp; Dar, M. A. (2024). Ethnobotanical survey and traditional use of indigenous plants by shepherd, Gujjar and </w:t>
      </w:r>
      <w:proofErr w:type="spellStart"/>
      <w:r w:rsidRPr="00B711D7">
        <w:rPr>
          <w:rFonts w:ascii="Times New Roman" w:hAnsi="Times New Roman"/>
          <w:sz w:val="24"/>
          <w:szCs w:val="24"/>
          <w:lang w:eastAsia="en-US"/>
        </w:rPr>
        <w:t>Bakerwal</w:t>
      </w:r>
      <w:proofErr w:type="spellEnd"/>
      <w:r w:rsidRPr="00B711D7">
        <w:rPr>
          <w:rFonts w:ascii="Times New Roman" w:hAnsi="Times New Roman"/>
          <w:sz w:val="24"/>
          <w:szCs w:val="24"/>
          <w:lang w:eastAsia="en-US"/>
        </w:rPr>
        <w:t xml:space="preserve"> communities from Narwav forest ranges of District Baramulla, Jammu and Kashmir, India. </w:t>
      </w:r>
      <w:r w:rsidRPr="00B711D7">
        <w:rPr>
          <w:rFonts w:ascii="Times New Roman" w:hAnsi="Times New Roman"/>
          <w:i/>
          <w:iCs/>
          <w:sz w:val="24"/>
          <w:szCs w:val="24"/>
          <w:lang w:eastAsia="en-US"/>
        </w:rPr>
        <w:t xml:space="preserve">African </w:t>
      </w:r>
      <w:r w:rsidRPr="00B711D7">
        <w:rPr>
          <w:rFonts w:ascii="Times New Roman" w:hAnsi="Times New Roman"/>
          <w:i/>
          <w:iCs/>
          <w:sz w:val="24"/>
          <w:szCs w:val="24"/>
          <w:lang w:eastAsia="en-US"/>
        </w:rPr>
        <w:lastRenderedPageBreak/>
        <w:t>Journal of Biological Sciences, 6</w:t>
      </w:r>
      <w:r w:rsidRPr="00B711D7">
        <w:rPr>
          <w:rFonts w:ascii="Times New Roman" w:hAnsi="Times New Roman"/>
          <w:sz w:val="24"/>
          <w:szCs w:val="24"/>
          <w:lang w:eastAsia="en-US"/>
        </w:rPr>
        <w:t xml:space="preserve">(10), 4089–4099. </w:t>
      </w:r>
      <w:hyperlink r:id="rId35" w:history="1">
        <w:r w:rsidRPr="00B711D7">
          <w:rPr>
            <w:rFonts w:ascii="Times New Roman" w:hAnsi="Times New Roman"/>
            <w:color w:val="0000FF"/>
            <w:sz w:val="24"/>
            <w:szCs w:val="24"/>
            <w:u w:val="single"/>
            <w:lang w:eastAsia="en-US"/>
          </w:rPr>
          <w:t>https://doi.org/10.33472/AFJBS.6.10.2024.4089-4099</w:t>
        </w:r>
      </w:hyperlink>
    </w:p>
    <w:p w14:paraId="502C6CD4"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Razack, S., Hemanth Kumar, K., Nallamuthu, I., Naika, M., &amp; Khanum, F. (2015). Antioxidant and biomolecule oxidation protective activities of </w:t>
      </w:r>
      <w:proofErr w:type="spellStart"/>
      <w:r w:rsidRPr="00B711D7">
        <w:rPr>
          <w:rFonts w:ascii="Times New Roman" w:hAnsi="Times New Roman"/>
          <w:i/>
          <w:iCs/>
          <w:sz w:val="24"/>
          <w:szCs w:val="24"/>
          <w:lang w:eastAsia="en-US"/>
        </w:rPr>
        <w:t>Nardostachys</w:t>
      </w:r>
      <w:proofErr w:type="spellEnd"/>
      <w:r w:rsidRPr="00B711D7">
        <w:rPr>
          <w:rFonts w:ascii="Times New Roman" w:hAnsi="Times New Roman"/>
          <w:i/>
          <w:iCs/>
          <w:sz w:val="24"/>
          <w:szCs w:val="24"/>
          <w:lang w:eastAsia="en-US"/>
        </w:rPr>
        <w:t xml:space="preserve"> </w:t>
      </w:r>
      <w:proofErr w:type="spellStart"/>
      <w:r w:rsidRPr="00B711D7">
        <w:rPr>
          <w:rFonts w:ascii="Times New Roman" w:hAnsi="Times New Roman"/>
          <w:i/>
          <w:iCs/>
          <w:sz w:val="24"/>
          <w:szCs w:val="24"/>
          <w:lang w:eastAsia="en-US"/>
        </w:rPr>
        <w:t>jatamansi</w:t>
      </w:r>
      <w:proofErr w:type="spellEnd"/>
      <w:r w:rsidRPr="00B711D7">
        <w:rPr>
          <w:rFonts w:ascii="Times New Roman" w:hAnsi="Times New Roman"/>
          <w:sz w:val="24"/>
          <w:szCs w:val="24"/>
          <w:lang w:eastAsia="en-US"/>
        </w:rPr>
        <w:t xml:space="preserve"> DC. and its phytochemical analysis by RP-HPLC and GC-MS. </w:t>
      </w:r>
      <w:r w:rsidRPr="00B711D7">
        <w:rPr>
          <w:rFonts w:ascii="Times New Roman" w:hAnsi="Times New Roman"/>
          <w:i/>
          <w:iCs/>
          <w:sz w:val="24"/>
          <w:szCs w:val="24"/>
          <w:lang w:eastAsia="en-US"/>
        </w:rPr>
        <w:t>Antioxidants, 4</w:t>
      </w:r>
      <w:r w:rsidRPr="00B711D7">
        <w:rPr>
          <w:rFonts w:ascii="Times New Roman" w:hAnsi="Times New Roman"/>
          <w:sz w:val="24"/>
          <w:szCs w:val="24"/>
          <w:lang w:eastAsia="en-US"/>
        </w:rPr>
        <w:t xml:space="preserve">(1), 185–203. </w:t>
      </w:r>
      <w:hyperlink r:id="rId36" w:history="1">
        <w:r w:rsidRPr="00B711D7">
          <w:rPr>
            <w:rFonts w:ascii="Times New Roman" w:hAnsi="Times New Roman"/>
            <w:color w:val="0000FF"/>
            <w:sz w:val="24"/>
            <w:szCs w:val="24"/>
            <w:u w:val="single"/>
            <w:lang w:eastAsia="en-US"/>
          </w:rPr>
          <w:t>https://doi.org/10.3390/antiox4010185</w:t>
        </w:r>
      </w:hyperlink>
    </w:p>
    <w:p w14:paraId="5357DC81"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Sahoo, N., &amp; </w:t>
      </w:r>
      <w:proofErr w:type="spellStart"/>
      <w:r w:rsidRPr="00B711D7">
        <w:rPr>
          <w:rFonts w:ascii="Times New Roman" w:hAnsi="Times New Roman"/>
          <w:sz w:val="24"/>
          <w:szCs w:val="24"/>
          <w:lang w:eastAsia="en-US"/>
        </w:rPr>
        <w:t>Manchikanti</w:t>
      </w:r>
      <w:proofErr w:type="spellEnd"/>
      <w:r w:rsidRPr="00B711D7">
        <w:rPr>
          <w:rFonts w:ascii="Times New Roman" w:hAnsi="Times New Roman"/>
          <w:sz w:val="24"/>
          <w:szCs w:val="24"/>
          <w:lang w:eastAsia="en-US"/>
        </w:rPr>
        <w:t xml:space="preserve">, P. (2013). Herbal drug regulation and commercialization: An Indian industry perspective. </w:t>
      </w:r>
      <w:r w:rsidRPr="00B711D7">
        <w:rPr>
          <w:rFonts w:ascii="Times New Roman" w:hAnsi="Times New Roman"/>
          <w:i/>
          <w:iCs/>
          <w:sz w:val="24"/>
          <w:szCs w:val="24"/>
          <w:lang w:eastAsia="en-US"/>
        </w:rPr>
        <w:t>Journal of Alternative and Complementary Medicine, 19</w:t>
      </w:r>
      <w:r w:rsidRPr="00B711D7">
        <w:rPr>
          <w:rFonts w:ascii="Times New Roman" w:hAnsi="Times New Roman"/>
          <w:sz w:val="24"/>
          <w:szCs w:val="24"/>
          <w:lang w:eastAsia="en-US"/>
        </w:rPr>
        <w:t xml:space="preserve">(12), 957–963. </w:t>
      </w:r>
      <w:hyperlink r:id="rId37" w:history="1">
        <w:r w:rsidRPr="00B711D7">
          <w:rPr>
            <w:rFonts w:ascii="Times New Roman" w:hAnsi="Times New Roman"/>
            <w:color w:val="0000FF"/>
            <w:sz w:val="24"/>
            <w:szCs w:val="24"/>
            <w:u w:val="single"/>
            <w:lang w:eastAsia="en-US"/>
          </w:rPr>
          <w:t>https://doi.org/10.1089/acm.2012.0275</w:t>
        </w:r>
      </w:hyperlink>
    </w:p>
    <w:p w14:paraId="6CB31262"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Satapute</w:t>
      </w:r>
      <w:proofErr w:type="spellEnd"/>
      <w:r w:rsidRPr="00B711D7">
        <w:rPr>
          <w:rFonts w:ascii="Times New Roman" w:hAnsi="Times New Roman"/>
          <w:sz w:val="24"/>
          <w:szCs w:val="24"/>
          <w:lang w:eastAsia="en-US"/>
        </w:rPr>
        <w:t xml:space="preserve">, P., Paidi, M. K., </w:t>
      </w:r>
      <w:proofErr w:type="spellStart"/>
      <w:r w:rsidRPr="00B711D7">
        <w:rPr>
          <w:rFonts w:ascii="Times New Roman" w:hAnsi="Times New Roman"/>
          <w:sz w:val="24"/>
          <w:szCs w:val="24"/>
          <w:lang w:eastAsia="en-US"/>
        </w:rPr>
        <w:t>Kurjogi</w:t>
      </w:r>
      <w:proofErr w:type="spellEnd"/>
      <w:r w:rsidRPr="00B711D7">
        <w:rPr>
          <w:rFonts w:ascii="Times New Roman" w:hAnsi="Times New Roman"/>
          <w:sz w:val="24"/>
          <w:szCs w:val="24"/>
          <w:lang w:eastAsia="en-US"/>
        </w:rPr>
        <w:t xml:space="preserve">, M., &amp; </w:t>
      </w:r>
      <w:proofErr w:type="spellStart"/>
      <w:r w:rsidRPr="00B711D7">
        <w:rPr>
          <w:rFonts w:ascii="Times New Roman" w:hAnsi="Times New Roman"/>
          <w:sz w:val="24"/>
          <w:szCs w:val="24"/>
          <w:lang w:eastAsia="en-US"/>
        </w:rPr>
        <w:t>Jogaiah</w:t>
      </w:r>
      <w:proofErr w:type="spellEnd"/>
      <w:r w:rsidRPr="00B711D7">
        <w:rPr>
          <w:rFonts w:ascii="Times New Roman" w:hAnsi="Times New Roman"/>
          <w:sz w:val="24"/>
          <w:szCs w:val="24"/>
          <w:lang w:eastAsia="en-US"/>
        </w:rPr>
        <w:t xml:space="preserve">, S. (2019). Physiological adaptation and spectral annotation of arsenic- and cadmium-resistant and susceptible strains of </w:t>
      </w:r>
      <w:r w:rsidRPr="00B711D7">
        <w:rPr>
          <w:rFonts w:ascii="Times New Roman" w:hAnsi="Times New Roman"/>
          <w:i/>
          <w:iCs/>
          <w:sz w:val="24"/>
          <w:szCs w:val="24"/>
          <w:lang w:eastAsia="en-US"/>
        </w:rPr>
        <w:t xml:space="preserve">Pseudomonas </w:t>
      </w:r>
      <w:proofErr w:type="spellStart"/>
      <w:r w:rsidRPr="00B711D7">
        <w:rPr>
          <w:rFonts w:ascii="Times New Roman" w:hAnsi="Times New Roman"/>
          <w:i/>
          <w:iCs/>
          <w:sz w:val="24"/>
          <w:szCs w:val="24"/>
          <w:lang w:eastAsia="en-US"/>
        </w:rPr>
        <w:t>taiwanensis</w:t>
      </w:r>
      <w:proofErr w:type="spellEnd"/>
      <w:r w:rsidRPr="00B711D7">
        <w:rPr>
          <w:rFonts w:ascii="Times New Roman" w:hAnsi="Times New Roman"/>
          <w:sz w:val="24"/>
          <w:szCs w:val="24"/>
          <w:lang w:eastAsia="en-US"/>
        </w:rPr>
        <w:t xml:space="preserve">. </w:t>
      </w:r>
      <w:r w:rsidRPr="00B711D7">
        <w:rPr>
          <w:rFonts w:ascii="Times New Roman" w:hAnsi="Times New Roman"/>
          <w:i/>
          <w:iCs/>
          <w:sz w:val="24"/>
          <w:szCs w:val="24"/>
          <w:lang w:eastAsia="en-US"/>
        </w:rPr>
        <w:t>Environmental Pollution, 251</w:t>
      </w:r>
      <w:r w:rsidRPr="00B711D7">
        <w:rPr>
          <w:rFonts w:ascii="Times New Roman" w:hAnsi="Times New Roman"/>
          <w:sz w:val="24"/>
          <w:szCs w:val="24"/>
          <w:lang w:eastAsia="en-US"/>
        </w:rPr>
        <w:t xml:space="preserve">, 555–563. </w:t>
      </w:r>
      <w:hyperlink r:id="rId38" w:history="1">
        <w:r w:rsidRPr="00B711D7">
          <w:rPr>
            <w:rFonts w:ascii="Times New Roman" w:hAnsi="Times New Roman"/>
            <w:color w:val="0000FF"/>
            <w:sz w:val="24"/>
            <w:szCs w:val="24"/>
            <w:u w:val="single"/>
            <w:lang w:eastAsia="en-US"/>
          </w:rPr>
          <w:t>https://doi.org/10.1016/j.envpol.2019.05.054</w:t>
        </w:r>
      </w:hyperlink>
    </w:p>
    <w:p w14:paraId="2CD52B6B"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Schottenfeld, D., &amp; Beebe-Dimmer, J. (2006). Chronic inflammation: A common and important factor in the pathogenesis of neoplasia. </w:t>
      </w:r>
      <w:r w:rsidRPr="00B711D7">
        <w:rPr>
          <w:rFonts w:ascii="Times New Roman" w:hAnsi="Times New Roman"/>
          <w:i/>
          <w:iCs/>
          <w:sz w:val="24"/>
          <w:szCs w:val="24"/>
          <w:lang w:eastAsia="en-US"/>
        </w:rPr>
        <w:t>CA: A Cancer Journal for Clinicians, 56</w:t>
      </w:r>
      <w:r w:rsidRPr="00B711D7">
        <w:rPr>
          <w:rFonts w:ascii="Times New Roman" w:hAnsi="Times New Roman"/>
          <w:sz w:val="24"/>
          <w:szCs w:val="24"/>
          <w:lang w:eastAsia="en-US"/>
        </w:rPr>
        <w:t xml:space="preserve">(2), 69–83. </w:t>
      </w:r>
      <w:hyperlink r:id="rId39" w:tgtFrame="_new" w:history="1">
        <w:r w:rsidRPr="00B711D7">
          <w:rPr>
            <w:rFonts w:ascii="Times New Roman" w:hAnsi="Times New Roman"/>
            <w:color w:val="0000FF"/>
            <w:sz w:val="24"/>
            <w:szCs w:val="24"/>
            <w:u w:val="single"/>
            <w:lang w:eastAsia="en-US"/>
          </w:rPr>
          <w:t>https://doi.org/10.3322/canjclin.56.2.69</w:t>
        </w:r>
      </w:hyperlink>
    </w:p>
    <w:p w14:paraId="08EF7E6B" w14:textId="77777777" w:rsidR="00B711D7" w:rsidRPr="009A2A71" w:rsidRDefault="00B711D7" w:rsidP="00B711D7">
      <w:pPr>
        <w:suppressAutoHyphens w:val="0"/>
        <w:spacing w:after="0" w:line="240" w:lineRule="auto"/>
        <w:ind w:left="547" w:hanging="547"/>
        <w:jc w:val="both"/>
        <w:rPr>
          <w:rFonts w:ascii="Times New Roman" w:hAnsi="Times New Roman"/>
          <w:sz w:val="24"/>
          <w:szCs w:val="24"/>
          <w:lang w:eastAsia="en-US"/>
        </w:rPr>
      </w:pPr>
      <w:r w:rsidRPr="009A2A71">
        <w:rPr>
          <w:rFonts w:ascii="Times New Roman" w:hAnsi="Times New Roman"/>
          <w:sz w:val="24"/>
          <w:szCs w:val="24"/>
          <w:lang w:eastAsia="en-US"/>
        </w:rPr>
        <w:t xml:space="preserve">Sheeba, M. S., &amp; Asha, V. V. (2009). Cardiospermum </w:t>
      </w:r>
      <w:proofErr w:type="spellStart"/>
      <w:r w:rsidRPr="009A2A71">
        <w:rPr>
          <w:rFonts w:ascii="Times New Roman" w:hAnsi="Times New Roman"/>
          <w:sz w:val="24"/>
          <w:szCs w:val="24"/>
          <w:lang w:eastAsia="en-US"/>
        </w:rPr>
        <w:t>halicacabum</w:t>
      </w:r>
      <w:proofErr w:type="spellEnd"/>
      <w:r w:rsidRPr="009A2A71">
        <w:rPr>
          <w:rFonts w:ascii="Times New Roman" w:hAnsi="Times New Roman"/>
          <w:sz w:val="24"/>
          <w:szCs w:val="24"/>
          <w:lang w:eastAsia="en-US"/>
        </w:rPr>
        <w:t xml:space="preserve"> ethanol extract inhibits LPS-induced COX-2, TNF-α and </w:t>
      </w:r>
      <w:proofErr w:type="spellStart"/>
      <w:r w:rsidRPr="009A2A71">
        <w:rPr>
          <w:rFonts w:ascii="Times New Roman" w:hAnsi="Times New Roman"/>
          <w:sz w:val="24"/>
          <w:szCs w:val="24"/>
          <w:lang w:eastAsia="en-US"/>
        </w:rPr>
        <w:t>iNOS</w:t>
      </w:r>
      <w:proofErr w:type="spellEnd"/>
      <w:r w:rsidRPr="009A2A71">
        <w:rPr>
          <w:rFonts w:ascii="Times New Roman" w:hAnsi="Times New Roman"/>
          <w:sz w:val="24"/>
          <w:szCs w:val="24"/>
          <w:lang w:eastAsia="en-US"/>
        </w:rPr>
        <w:t xml:space="preserve"> expression, which is mediated by NF-</w:t>
      </w:r>
      <w:proofErr w:type="spellStart"/>
      <w:r w:rsidRPr="009A2A71">
        <w:rPr>
          <w:rFonts w:ascii="Times New Roman" w:hAnsi="Times New Roman"/>
          <w:sz w:val="24"/>
          <w:szCs w:val="24"/>
          <w:lang w:eastAsia="en-US"/>
        </w:rPr>
        <w:t>κB</w:t>
      </w:r>
      <w:proofErr w:type="spellEnd"/>
      <w:r w:rsidRPr="009A2A71">
        <w:rPr>
          <w:rFonts w:ascii="Times New Roman" w:hAnsi="Times New Roman"/>
          <w:sz w:val="24"/>
          <w:szCs w:val="24"/>
          <w:lang w:eastAsia="en-US"/>
        </w:rPr>
        <w:t xml:space="preserve"> regulation, in RAW264.7 cells. Journal of Ethnopharmacology, 124(1), 39–44. </w:t>
      </w:r>
      <w:hyperlink r:id="rId40" w:history="1">
        <w:r w:rsidRPr="009A2A71">
          <w:rPr>
            <w:rFonts w:ascii="Times New Roman" w:hAnsi="Times New Roman"/>
            <w:color w:val="0000FF"/>
            <w:sz w:val="24"/>
            <w:szCs w:val="24"/>
            <w:u w:val="single"/>
            <w:lang w:eastAsia="en-US"/>
          </w:rPr>
          <w:t>https://doi.org/10.1016/j.jep.2009.04.020</w:t>
        </w:r>
      </w:hyperlink>
    </w:p>
    <w:p w14:paraId="66D17A7A"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9A2A71">
        <w:rPr>
          <w:rFonts w:ascii="Times New Roman" w:hAnsi="Times New Roman"/>
          <w:sz w:val="24"/>
          <w:szCs w:val="24"/>
          <w:lang w:eastAsia="en-US"/>
        </w:rPr>
        <w:t>Sliwos</w:t>
      </w:r>
      <w:r w:rsidRPr="00B711D7">
        <w:rPr>
          <w:rFonts w:ascii="Times New Roman" w:hAnsi="Times New Roman"/>
          <w:sz w:val="24"/>
          <w:szCs w:val="24"/>
          <w:lang w:eastAsia="en-US"/>
        </w:rPr>
        <w:t xml:space="preserve">ki, G., Kothiwale, S., Meiler, J., &amp; Lowe, E. W., Jr. (2014). Computational methods in drug discovery. </w:t>
      </w:r>
      <w:r w:rsidRPr="00B711D7">
        <w:rPr>
          <w:rFonts w:ascii="Times New Roman" w:hAnsi="Times New Roman"/>
          <w:i/>
          <w:iCs/>
          <w:sz w:val="24"/>
          <w:szCs w:val="24"/>
          <w:lang w:eastAsia="en-US"/>
        </w:rPr>
        <w:t>Pharmacological Reviews, 66</w:t>
      </w:r>
      <w:r w:rsidRPr="00B711D7">
        <w:rPr>
          <w:rFonts w:ascii="Times New Roman" w:hAnsi="Times New Roman"/>
          <w:sz w:val="24"/>
          <w:szCs w:val="24"/>
          <w:lang w:eastAsia="en-US"/>
        </w:rPr>
        <w:t xml:space="preserve">(1), 334–395. </w:t>
      </w:r>
      <w:hyperlink r:id="rId41" w:tgtFrame="_new" w:history="1">
        <w:r w:rsidRPr="00B711D7">
          <w:rPr>
            <w:rFonts w:ascii="Times New Roman" w:hAnsi="Times New Roman"/>
            <w:color w:val="0000FF"/>
            <w:sz w:val="24"/>
            <w:szCs w:val="24"/>
            <w:u w:val="single"/>
            <w:lang w:eastAsia="en-US"/>
          </w:rPr>
          <w:t>https://doi.org/10.1124/pr.112.007336</w:t>
        </w:r>
      </w:hyperlink>
    </w:p>
    <w:p w14:paraId="0D548F96"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Sohilait</w:t>
      </w:r>
      <w:proofErr w:type="spellEnd"/>
      <w:r w:rsidRPr="00B711D7">
        <w:rPr>
          <w:rFonts w:ascii="Times New Roman" w:hAnsi="Times New Roman"/>
          <w:sz w:val="24"/>
          <w:szCs w:val="24"/>
          <w:lang w:eastAsia="en-US"/>
        </w:rPr>
        <w:t xml:space="preserve">, M. R., </w:t>
      </w:r>
      <w:proofErr w:type="spellStart"/>
      <w:r w:rsidRPr="00B711D7">
        <w:rPr>
          <w:rFonts w:ascii="Times New Roman" w:hAnsi="Times New Roman"/>
          <w:sz w:val="24"/>
          <w:szCs w:val="24"/>
          <w:lang w:eastAsia="en-US"/>
        </w:rPr>
        <w:t>Pranowo</w:t>
      </w:r>
      <w:proofErr w:type="spellEnd"/>
      <w:r w:rsidRPr="00B711D7">
        <w:rPr>
          <w:rFonts w:ascii="Times New Roman" w:hAnsi="Times New Roman"/>
          <w:sz w:val="24"/>
          <w:szCs w:val="24"/>
          <w:lang w:eastAsia="en-US"/>
        </w:rPr>
        <w:t xml:space="preserve">, H. D., &amp; Haryadi, W. (2017). Molecular docking analysis of curcumin analogues with COX-2. </w:t>
      </w:r>
      <w:r w:rsidRPr="00B711D7">
        <w:rPr>
          <w:rFonts w:ascii="Times New Roman" w:hAnsi="Times New Roman"/>
          <w:i/>
          <w:iCs/>
          <w:sz w:val="24"/>
          <w:szCs w:val="24"/>
          <w:lang w:eastAsia="en-US"/>
        </w:rPr>
        <w:t>Bioinformation, 13</w:t>
      </w:r>
      <w:r w:rsidRPr="00B711D7">
        <w:rPr>
          <w:rFonts w:ascii="Times New Roman" w:hAnsi="Times New Roman"/>
          <w:sz w:val="24"/>
          <w:szCs w:val="24"/>
          <w:lang w:eastAsia="en-US"/>
        </w:rPr>
        <w:t xml:space="preserve">(11), 356–359. </w:t>
      </w:r>
      <w:hyperlink r:id="rId42" w:history="1">
        <w:r w:rsidRPr="00B711D7">
          <w:rPr>
            <w:rFonts w:ascii="Times New Roman" w:hAnsi="Times New Roman"/>
            <w:color w:val="0000FF"/>
            <w:sz w:val="24"/>
            <w:szCs w:val="24"/>
            <w:u w:val="single"/>
            <w:lang w:eastAsia="en-US"/>
          </w:rPr>
          <w:t>https://doi.org/10.6026/97320630013356</w:t>
        </w:r>
      </w:hyperlink>
    </w:p>
    <w:p w14:paraId="00152B3D"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proofErr w:type="spellStart"/>
      <w:r w:rsidRPr="00B711D7">
        <w:rPr>
          <w:rFonts w:ascii="Times New Roman" w:hAnsi="Times New Roman"/>
          <w:sz w:val="24"/>
          <w:szCs w:val="24"/>
          <w:lang w:eastAsia="en-US"/>
        </w:rPr>
        <w:t>Srimai</w:t>
      </w:r>
      <w:proofErr w:type="spellEnd"/>
      <w:r w:rsidRPr="00B711D7">
        <w:rPr>
          <w:rFonts w:ascii="Times New Roman" w:hAnsi="Times New Roman"/>
          <w:sz w:val="24"/>
          <w:szCs w:val="24"/>
          <w:lang w:eastAsia="en-US"/>
        </w:rPr>
        <w:t xml:space="preserve">, V., Ramesh, M., Satya Parameshwar, K., &amp; Parthasarathy, T. (2013). Computer-aided design of selective cytochrome P450 inhibitors and docking studies of alkyl resorcinol derivatives. </w:t>
      </w:r>
      <w:r w:rsidRPr="00B711D7">
        <w:rPr>
          <w:rFonts w:ascii="Times New Roman" w:hAnsi="Times New Roman"/>
          <w:i/>
          <w:iCs/>
          <w:sz w:val="24"/>
          <w:szCs w:val="24"/>
          <w:lang w:eastAsia="en-US"/>
        </w:rPr>
        <w:t>Medicinal Chemistry Research, 22</w:t>
      </w:r>
      <w:r w:rsidRPr="00B711D7">
        <w:rPr>
          <w:rFonts w:ascii="Times New Roman" w:hAnsi="Times New Roman"/>
          <w:sz w:val="24"/>
          <w:szCs w:val="24"/>
          <w:lang w:eastAsia="en-US"/>
        </w:rPr>
        <w:t xml:space="preserve">, 5314–5323. </w:t>
      </w:r>
      <w:hyperlink r:id="rId43" w:history="1">
        <w:r w:rsidRPr="00B711D7">
          <w:rPr>
            <w:rFonts w:ascii="Times New Roman" w:hAnsi="Times New Roman"/>
            <w:color w:val="0000FF"/>
            <w:sz w:val="24"/>
            <w:szCs w:val="24"/>
            <w:u w:val="single"/>
            <w:lang w:eastAsia="en-US"/>
          </w:rPr>
          <w:t>https://doi.org/10.1007/s00044-013-0532-5</w:t>
        </w:r>
      </w:hyperlink>
    </w:p>
    <w:p w14:paraId="47286A0C"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Stegemann, S., Leveiller, F., Franchi, D., de Jong, H., &amp; Lindén, H. (2007). When poor solubility becomes an issue: From early stage to proof of concept. </w:t>
      </w:r>
      <w:r w:rsidRPr="00B711D7">
        <w:rPr>
          <w:rFonts w:ascii="Times New Roman" w:hAnsi="Times New Roman"/>
          <w:i/>
          <w:iCs/>
          <w:sz w:val="24"/>
          <w:szCs w:val="24"/>
          <w:lang w:eastAsia="en-US"/>
        </w:rPr>
        <w:t>European Journal of Pharmaceutical Sciences, 31</w:t>
      </w:r>
      <w:r w:rsidRPr="00B711D7">
        <w:rPr>
          <w:rFonts w:ascii="Times New Roman" w:hAnsi="Times New Roman"/>
          <w:sz w:val="24"/>
          <w:szCs w:val="24"/>
          <w:lang w:eastAsia="en-US"/>
        </w:rPr>
        <w:t xml:space="preserve">(5), 249–261. </w:t>
      </w:r>
      <w:hyperlink r:id="rId44" w:history="1">
        <w:r w:rsidRPr="00B711D7">
          <w:rPr>
            <w:rFonts w:ascii="Times New Roman" w:hAnsi="Times New Roman"/>
            <w:color w:val="0000FF"/>
            <w:sz w:val="24"/>
            <w:szCs w:val="24"/>
            <w:u w:val="single"/>
            <w:lang w:eastAsia="en-US"/>
          </w:rPr>
          <w:t>https://doi.org/10.1016/j.ejps.2007.05.110</w:t>
        </w:r>
      </w:hyperlink>
    </w:p>
    <w:p w14:paraId="7479329D"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val="nl-BE" w:eastAsia="en-US"/>
        </w:rPr>
        <w:t xml:space="preserve">Tiwari, P., Kumar, B., Kaur, M., Kaur, G., &amp; Kaur, H. (2011). </w:t>
      </w:r>
      <w:r w:rsidRPr="00B711D7">
        <w:rPr>
          <w:rFonts w:ascii="Times New Roman" w:hAnsi="Times New Roman"/>
          <w:sz w:val="24"/>
          <w:szCs w:val="24"/>
          <w:lang w:eastAsia="en-US"/>
        </w:rPr>
        <w:t xml:space="preserve">Phytochemical screening and extraction: A review. </w:t>
      </w:r>
      <w:proofErr w:type="spellStart"/>
      <w:r w:rsidRPr="00B711D7">
        <w:rPr>
          <w:rFonts w:ascii="Times New Roman" w:hAnsi="Times New Roman"/>
          <w:i/>
          <w:iCs/>
          <w:sz w:val="24"/>
          <w:szCs w:val="24"/>
          <w:lang w:eastAsia="en-US"/>
        </w:rPr>
        <w:t>Internationale</w:t>
      </w:r>
      <w:proofErr w:type="spellEnd"/>
      <w:r w:rsidRPr="00B711D7">
        <w:rPr>
          <w:rFonts w:ascii="Times New Roman" w:hAnsi="Times New Roman"/>
          <w:i/>
          <w:iCs/>
          <w:sz w:val="24"/>
          <w:szCs w:val="24"/>
          <w:lang w:eastAsia="en-US"/>
        </w:rPr>
        <w:t xml:space="preserve"> Pharmaceutica </w:t>
      </w:r>
      <w:proofErr w:type="spellStart"/>
      <w:r w:rsidRPr="00B711D7">
        <w:rPr>
          <w:rFonts w:ascii="Times New Roman" w:hAnsi="Times New Roman"/>
          <w:i/>
          <w:iCs/>
          <w:sz w:val="24"/>
          <w:szCs w:val="24"/>
          <w:lang w:eastAsia="en-US"/>
        </w:rPr>
        <w:t>Sciencia</w:t>
      </w:r>
      <w:proofErr w:type="spellEnd"/>
      <w:r w:rsidRPr="00B711D7">
        <w:rPr>
          <w:rFonts w:ascii="Times New Roman" w:hAnsi="Times New Roman"/>
          <w:i/>
          <w:iCs/>
          <w:sz w:val="24"/>
          <w:szCs w:val="24"/>
          <w:lang w:eastAsia="en-US"/>
        </w:rPr>
        <w:t>, 1</w:t>
      </w:r>
      <w:r w:rsidRPr="00B711D7">
        <w:rPr>
          <w:rFonts w:ascii="Times New Roman" w:hAnsi="Times New Roman"/>
          <w:sz w:val="24"/>
          <w:szCs w:val="24"/>
          <w:lang w:eastAsia="en-US"/>
        </w:rPr>
        <w:t xml:space="preserve">(1), 98–106. </w:t>
      </w:r>
    </w:p>
    <w:p w14:paraId="689799DC"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Veber, D. F., Johnson, S. R., Cheng, H.-Y., Smith, B. R., Ward, K. W., &amp; Kopple, K. D. (2002). Molecular properties that influence the oral bioavailability of drug candidates. </w:t>
      </w:r>
      <w:r w:rsidRPr="00B711D7">
        <w:rPr>
          <w:rFonts w:ascii="Times New Roman" w:hAnsi="Times New Roman"/>
          <w:i/>
          <w:iCs/>
          <w:sz w:val="24"/>
          <w:szCs w:val="24"/>
          <w:lang w:eastAsia="en-US"/>
        </w:rPr>
        <w:t>Journal of Medicinal Chemistry, 45</w:t>
      </w:r>
      <w:r w:rsidRPr="00B711D7">
        <w:rPr>
          <w:rFonts w:ascii="Times New Roman" w:hAnsi="Times New Roman"/>
          <w:sz w:val="24"/>
          <w:szCs w:val="24"/>
          <w:lang w:eastAsia="en-US"/>
        </w:rPr>
        <w:t xml:space="preserve">(12), 2615–2623. </w:t>
      </w:r>
      <w:hyperlink r:id="rId45" w:tgtFrame="_new" w:history="1">
        <w:r w:rsidRPr="00B711D7">
          <w:rPr>
            <w:rFonts w:ascii="Times New Roman" w:hAnsi="Times New Roman"/>
            <w:color w:val="0000FF"/>
            <w:sz w:val="24"/>
            <w:szCs w:val="24"/>
            <w:u w:val="single"/>
            <w:lang w:eastAsia="en-US"/>
          </w:rPr>
          <w:t>https://doi.org/10.1021/jm020017n</w:t>
        </w:r>
      </w:hyperlink>
    </w:p>
    <w:p w14:paraId="1AF66B42"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Velmurugan, G., &amp; Anand, S. P. (2017). GC-MS analysis of bioactive compounds on ethanolic leaf extract of </w:t>
      </w:r>
      <w:proofErr w:type="spellStart"/>
      <w:r w:rsidRPr="00B711D7">
        <w:rPr>
          <w:rFonts w:ascii="Times New Roman" w:hAnsi="Times New Roman"/>
          <w:i/>
          <w:iCs/>
          <w:sz w:val="24"/>
          <w:szCs w:val="24"/>
          <w:lang w:eastAsia="en-US"/>
        </w:rPr>
        <w:t>Phyllodium</w:t>
      </w:r>
      <w:proofErr w:type="spellEnd"/>
      <w:r w:rsidRPr="00B711D7">
        <w:rPr>
          <w:rFonts w:ascii="Times New Roman" w:hAnsi="Times New Roman"/>
          <w:i/>
          <w:iCs/>
          <w:sz w:val="24"/>
          <w:szCs w:val="24"/>
          <w:lang w:eastAsia="en-US"/>
        </w:rPr>
        <w:t xml:space="preserve"> </w:t>
      </w:r>
      <w:proofErr w:type="spellStart"/>
      <w:r w:rsidRPr="00B711D7">
        <w:rPr>
          <w:rFonts w:ascii="Times New Roman" w:hAnsi="Times New Roman"/>
          <w:i/>
          <w:iCs/>
          <w:sz w:val="24"/>
          <w:szCs w:val="24"/>
          <w:lang w:eastAsia="en-US"/>
        </w:rPr>
        <w:t>pulchellum</w:t>
      </w:r>
      <w:proofErr w:type="spellEnd"/>
      <w:r w:rsidRPr="00B711D7">
        <w:rPr>
          <w:rFonts w:ascii="Times New Roman" w:hAnsi="Times New Roman"/>
          <w:sz w:val="24"/>
          <w:szCs w:val="24"/>
          <w:lang w:eastAsia="en-US"/>
        </w:rPr>
        <w:t xml:space="preserve"> L. </w:t>
      </w:r>
      <w:proofErr w:type="spellStart"/>
      <w:r w:rsidRPr="00B711D7">
        <w:rPr>
          <w:rFonts w:ascii="Times New Roman" w:hAnsi="Times New Roman"/>
          <w:sz w:val="24"/>
          <w:szCs w:val="24"/>
          <w:lang w:eastAsia="en-US"/>
        </w:rPr>
        <w:t>Desv</w:t>
      </w:r>
      <w:proofErr w:type="spellEnd"/>
      <w:r w:rsidRPr="00B711D7">
        <w:rPr>
          <w:rFonts w:ascii="Times New Roman" w:hAnsi="Times New Roman"/>
          <w:sz w:val="24"/>
          <w:szCs w:val="24"/>
          <w:lang w:eastAsia="en-US"/>
        </w:rPr>
        <w:t xml:space="preserve">. </w:t>
      </w:r>
      <w:r w:rsidRPr="00B711D7">
        <w:rPr>
          <w:rFonts w:ascii="Times New Roman" w:hAnsi="Times New Roman"/>
          <w:i/>
          <w:iCs/>
          <w:sz w:val="24"/>
          <w:szCs w:val="24"/>
          <w:lang w:eastAsia="en-US"/>
        </w:rPr>
        <w:t>International Journal of Pharmacognosy and Phytochemical Research, 9</w:t>
      </w:r>
      <w:r w:rsidRPr="00B711D7">
        <w:rPr>
          <w:rFonts w:ascii="Times New Roman" w:hAnsi="Times New Roman"/>
          <w:sz w:val="24"/>
          <w:szCs w:val="24"/>
          <w:lang w:eastAsia="en-US"/>
        </w:rPr>
        <w:t xml:space="preserve">(1), 114–118. </w:t>
      </w:r>
      <w:hyperlink r:id="rId46" w:history="1">
        <w:r w:rsidRPr="00B711D7">
          <w:rPr>
            <w:rFonts w:ascii="Times New Roman" w:hAnsi="Times New Roman"/>
            <w:color w:val="0000FF"/>
            <w:sz w:val="24"/>
            <w:szCs w:val="24"/>
            <w:u w:val="single"/>
            <w:lang w:eastAsia="en-US"/>
          </w:rPr>
          <w:t>https://doi.org/10.25258/ijpapr.v9i1.8051</w:t>
        </w:r>
      </w:hyperlink>
    </w:p>
    <w:p w14:paraId="7A7D90C0"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Yadav, R., Khare, R. K., &amp; Singhal, A. (2017). Qualitative phytochemical screening of some selected medicinal plants of Shivpuri District (M.P.). </w:t>
      </w:r>
      <w:r w:rsidRPr="00B711D7">
        <w:rPr>
          <w:rFonts w:ascii="Times New Roman" w:hAnsi="Times New Roman"/>
          <w:i/>
          <w:iCs/>
          <w:sz w:val="24"/>
          <w:szCs w:val="24"/>
          <w:lang w:eastAsia="en-US"/>
        </w:rPr>
        <w:t>International Journal of Life Sciences Scientific Research, 3</w:t>
      </w:r>
      <w:r w:rsidRPr="00B711D7">
        <w:rPr>
          <w:rFonts w:ascii="Times New Roman" w:hAnsi="Times New Roman"/>
          <w:sz w:val="24"/>
          <w:szCs w:val="24"/>
          <w:lang w:eastAsia="en-US"/>
        </w:rPr>
        <w:t xml:space="preserve">(1), 844–847. </w:t>
      </w:r>
      <w:hyperlink r:id="rId47" w:history="1">
        <w:r w:rsidRPr="00B711D7">
          <w:rPr>
            <w:rFonts w:ascii="Times New Roman" w:hAnsi="Times New Roman"/>
            <w:color w:val="0000FF"/>
            <w:sz w:val="24"/>
            <w:szCs w:val="24"/>
            <w:u w:val="single"/>
            <w:lang w:eastAsia="en-US"/>
          </w:rPr>
          <w:t>https://iijls.com/currentissue/Qualitative_Phytochemical_Screening_Some_Selected_Medicinal_Plants_Shivpuri.pdf</w:t>
        </w:r>
      </w:hyperlink>
    </w:p>
    <w:p w14:paraId="3E27046B" w14:textId="77777777" w:rsidR="00B711D7" w:rsidRPr="00B711D7" w:rsidRDefault="00B711D7" w:rsidP="00B711D7">
      <w:pPr>
        <w:suppressAutoHyphens w:val="0"/>
        <w:spacing w:after="0" w:line="240" w:lineRule="auto"/>
        <w:ind w:left="547" w:hanging="547"/>
        <w:jc w:val="both"/>
        <w:rPr>
          <w:rFonts w:ascii="Times New Roman" w:hAnsi="Times New Roman"/>
          <w:sz w:val="24"/>
          <w:szCs w:val="24"/>
          <w:lang w:eastAsia="en-US"/>
        </w:rPr>
      </w:pPr>
      <w:r w:rsidRPr="00B711D7">
        <w:rPr>
          <w:rFonts w:ascii="Times New Roman" w:hAnsi="Times New Roman"/>
          <w:sz w:val="24"/>
          <w:szCs w:val="24"/>
          <w:lang w:eastAsia="en-US"/>
        </w:rPr>
        <w:t xml:space="preserve">Yuvasri, C., Dhanavel, D., </w:t>
      </w:r>
      <w:proofErr w:type="spellStart"/>
      <w:r w:rsidRPr="00B711D7">
        <w:rPr>
          <w:rFonts w:ascii="Times New Roman" w:hAnsi="Times New Roman"/>
          <w:sz w:val="24"/>
          <w:szCs w:val="24"/>
          <w:lang w:eastAsia="en-US"/>
        </w:rPr>
        <w:t>Venkatesalu</w:t>
      </w:r>
      <w:proofErr w:type="spellEnd"/>
      <w:r w:rsidRPr="00B711D7">
        <w:rPr>
          <w:rFonts w:ascii="Times New Roman" w:hAnsi="Times New Roman"/>
          <w:sz w:val="24"/>
          <w:szCs w:val="24"/>
          <w:lang w:eastAsia="en-US"/>
        </w:rPr>
        <w:t xml:space="preserve">, V., &amp; Gopalakrishnan, M. (2026). Antibacterial properties of leaf extracts of </w:t>
      </w:r>
      <w:proofErr w:type="spellStart"/>
      <w:r w:rsidRPr="00B711D7">
        <w:rPr>
          <w:rFonts w:ascii="Times New Roman" w:hAnsi="Times New Roman"/>
          <w:i/>
          <w:iCs/>
          <w:sz w:val="24"/>
          <w:szCs w:val="24"/>
          <w:lang w:eastAsia="en-US"/>
        </w:rPr>
        <w:t>Coldenia</w:t>
      </w:r>
      <w:proofErr w:type="spellEnd"/>
      <w:r w:rsidRPr="00B711D7">
        <w:rPr>
          <w:rFonts w:ascii="Times New Roman" w:hAnsi="Times New Roman"/>
          <w:i/>
          <w:iCs/>
          <w:sz w:val="24"/>
          <w:szCs w:val="24"/>
          <w:lang w:eastAsia="en-US"/>
        </w:rPr>
        <w:t xml:space="preserve"> procumbens</w:t>
      </w:r>
      <w:r w:rsidRPr="00B711D7">
        <w:rPr>
          <w:rFonts w:ascii="Times New Roman" w:hAnsi="Times New Roman"/>
          <w:sz w:val="24"/>
          <w:szCs w:val="24"/>
          <w:lang w:eastAsia="en-US"/>
        </w:rPr>
        <w:t xml:space="preserve"> L. and determination of phytochem</w:t>
      </w:r>
      <w:r w:rsidRPr="00B711D7">
        <w:rPr>
          <w:rFonts w:ascii="Times New Roman" w:hAnsi="Times New Roman"/>
          <w:sz w:val="24"/>
          <w:szCs w:val="24"/>
          <w:lang w:eastAsia="en-US"/>
        </w:rPr>
        <w:lastRenderedPageBreak/>
        <w:t xml:space="preserve">ical constituents using FT-IR and GC-MS. </w:t>
      </w:r>
      <w:r w:rsidRPr="00B711D7">
        <w:rPr>
          <w:rFonts w:ascii="Times New Roman" w:hAnsi="Times New Roman"/>
          <w:i/>
          <w:iCs/>
          <w:sz w:val="24"/>
          <w:szCs w:val="24"/>
          <w:lang w:eastAsia="en-US"/>
        </w:rPr>
        <w:t>Pharmacological Research: Natural Products</w:t>
      </w:r>
      <w:r w:rsidRPr="00B711D7">
        <w:rPr>
          <w:rFonts w:ascii="Times New Roman" w:hAnsi="Times New Roman"/>
          <w:sz w:val="24"/>
          <w:szCs w:val="24"/>
          <w:lang w:eastAsia="en-US"/>
        </w:rPr>
        <w:t xml:space="preserve">, Article 100530. </w:t>
      </w:r>
    </w:p>
    <w:p w14:paraId="33BFF286" w14:textId="77777777" w:rsidR="00B711D7" w:rsidRDefault="00B711D7">
      <w:pPr>
        <w:pStyle w:val="NormalWeb"/>
        <w:spacing w:before="0" w:after="0" w:line="360" w:lineRule="auto"/>
        <w:jc w:val="both"/>
        <w:rPr>
          <w:b/>
        </w:rPr>
      </w:pPr>
    </w:p>
    <w:p w14:paraId="22F661ED" w14:textId="1F13A9B5" w:rsidR="009467A3" w:rsidRDefault="00F63B15">
      <w:pPr>
        <w:pStyle w:val="NormalWeb"/>
        <w:numPr>
          <w:ilvl w:val="0"/>
          <w:numId w:val="3"/>
        </w:numPr>
        <w:spacing w:before="0" w:after="0" w:line="360" w:lineRule="auto"/>
        <w:ind w:left="360"/>
        <w:jc w:val="both"/>
        <w:rPr>
          <w:bCs/>
        </w:rPr>
      </w:pPr>
      <w:r>
        <w:br w:type="page"/>
      </w:r>
    </w:p>
    <w:p w14:paraId="61178189" w14:textId="32E42784" w:rsidR="009467A3" w:rsidRDefault="009A2A71">
      <w:pPr>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val="en-IN" w:eastAsia="en-US" w:bidi="ta-IN"/>
        </w:rPr>
        <w:pict w14:anchorId="52094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91.25pt;height:232.3pt;visibility:visible;mso-wrap-style:square">
            <v:imagedata r:id="rId48" o:title="" croptop="-8f" cropbottom="2173f" cropleft="-5f" cropright="-5f"/>
          </v:shape>
        </w:pict>
      </w:r>
    </w:p>
    <w:p w14:paraId="5DD146B3" w14:textId="77777777" w:rsidR="009467A3" w:rsidRDefault="00000000">
      <w:pPr>
        <w:spacing w:after="0" w:line="360" w:lineRule="auto"/>
        <w:jc w:val="center"/>
        <w:rPr>
          <w:rFonts w:ascii="Times New Roman" w:hAnsi="Times New Roman"/>
          <w:b/>
          <w:i/>
          <w:iCs/>
          <w:color w:val="000000"/>
          <w:sz w:val="24"/>
          <w:szCs w:val="24"/>
        </w:rPr>
      </w:pPr>
      <w:r>
        <w:rPr>
          <w:rFonts w:ascii="Times New Roman" w:hAnsi="Times New Roman"/>
          <w:b/>
          <w:color w:val="000000"/>
          <w:sz w:val="24"/>
          <w:szCs w:val="24"/>
        </w:rPr>
        <w:t xml:space="preserve">Figure 1 </w:t>
      </w:r>
      <w:r>
        <w:rPr>
          <w:rFonts w:ascii="Times New Roman" w:hAnsi="Times New Roman"/>
          <w:color w:val="000000"/>
          <w:sz w:val="24"/>
          <w:szCs w:val="24"/>
        </w:rPr>
        <w:t>The GC–MS chromatogram of the methanol extract of</w:t>
      </w:r>
      <w:r>
        <w:rPr>
          <w:rFonts w:ascii="Times New Roman" w:hAnsi="Times New Roman"/>
          <w:i/>
          <w:color w:val="000000"/>
          <w:sz w:val="24"/>
          <w:szCs w:val="24"/>
        </w:rPr>
        <w:t xml:space="preserve"> </w:t>
      </w:r>
      <w:r>
        <w:rPr>
          <w:rFonts w:ascii="Times New Roman" w:hAnsi="Times New Roman"/>
          <w:i/>
          <w:iCs/>
          <w:color w:val="000000"/>
          <w:sz w:val="24"/>
          <w:szCs w:val="24"/>
        </w:rPr>
        <w:t xml:space="preserve">B. </w:t>
      </w:r>
      <w:proofErr w:type="spellStart"/>
      <w:r>
        <w:rPr>
          <w:rFonts w:ascii="Times New Roman" w:hAnsi="Times New Roman"/>
          <w:i/>
          <w:iCs/>
          <w:color w:val="000000"/>
          <w:sz w:val="24"/>
          <w:szCs w:val="24"/>
        </w:rPr>
        <w:t>longiflora</w:t>
      </w:r>
      <w:proofErr w:type="spellEnd"/>
    </w:p>
    <w:p w14:paraId="40922A60" w14:textId="77777777" w:rsidR="009467A3" w:rsidRDefault="009467A3">
      <w:pPr>
        <w:rPr>
          <w:rFonts w:ascii="Times New Roman" w:hAnsi="Times New Roman"/>
          <w:b/>
          <w:i/>
          <w:iCs/>
          <w:color w:val="000000"/>
          <w:sz w:val="24"/>
          <w:szCs w:val="24"/>
        </w:rPr>
      </w:pPr>
    </w:p>
    <w:p w14:paraId="42708D8D" w14:textId="185C2D9A" w:rsidR="009467A3" w:rsidRDefault="00000000">
      <w:pPr>
        <w:spacing w:after="0" w:line="360" w:lineRule="auto"/>
        <w:jc w:val="center"/>
        <w:rPr>
          <w:rFonts w:ascii="Times New Roman" w:hAnsi="Times New Roman"/>
          <w:b/>
          <w:color w:val="000000"/>
          <w:sz w:val="24"/>
          <w:szCs w:val="24"/>
        </w:rPr>
      </w:pPr>
      <w:r>
        <w:rPr>
          <w:rFonts w:ascii="Times New Roman" w:hAnsi="Times New Roman"/>
          <w:b/>
          <w:noProof/>
          <w:color w:val="000000"/>
          <w:sz w:val="24"/>
          <w:szCs w:val="24"/>
          <w:lang w:val="en-IN" w:eastAsia="en-US" w:bidi="ta-IN"/>
        </w:rPr>
        <w:pict w14:anchorId="1F63996D">
          <v:shape id="Picture 3" o:spid="_x0000_i1026" type="#_x0000_t75" style="width:207.15pt;height:189.5pt;visibility:visible;mso-wrap-style:square">
            <v:imagedata r:id="rId49" o:title="" croptop="-10f" cropbottom="-10f" cropleft="-9f" cropright="-9f"/>
          </v:shape>
        </w:pict>
      </w:r>
    </w:p>
    <w:p w14:paraId="72F32A8B" w14:textId="77777777" w:rsidR="009467A3" w:rsidRDefault="00000000">
      <w:pPr>
        <w:spacing w:after="0" w:line="360" w:lineRule="auto"/>
        <w:ind w:left="547" w:hanging="547"/>
        <w:jc w:val="center"/>
      </w:pPr>
      <w:r>
        <w:rPr>
          <w:rFonts w:ascii="Times New Roman" w:hAnsi="Times New Roman"/>
          <w:b/>
          <w:color w:val="000000"/>
          <w:sz w:val="24"/>
          <w:szCs w:val="24"/>
        </w:rPr>
        <w:t>Figure 2</w:t>
      </w:r>
      <w:r>
        <w:rPr>
          <w:rFonts w:ascii="Times New Roman" w:hAnsi="Times New Roman"/>
          <w:b/>
          <w:i/>
          <w:color w:val="000000"/>
          <w:sz w:val="24"/>
          <w:szCs w:val="24"/>
        </w:rPr>
        <w:t xml:space="preserve"> </w:t>
      </w:r>
      <w:r>
        <w:rPr>
          <w:rFonts w:ascii="Times New Roman" w:hAnsi="Times New Roman"/>
          <w:color w:val="000000"/>
          <w:sz w:val="24"/>
          <w:szCs w:val="24"/>
        </w:rPr>
        <w:t xml:space="preserve">The 3D structure of the identified phytocompounds from </w:t>
      </w:r>
      <w:r>
        <w:rPr>
          <w:rFonts w:ascii="Times New Roman" w:hAnsi="Times New Roman"/>
          <w:i/>
          <w:color w:val="000000"/>
          <w:sz w:val="24"/>
          <w:szCs w:val="24"/>
        </w:rPr>
        <w:t xml:space="preserve">B. </w:t>
      </w:r>
      <w:proofErr w:type="spellStart"/>
      <w:r>
        <w:rPr>
          <w:rFonts w:ascii="Times New Roman" w:hAnsi="Times New Roman"/>
          <w:i/>
          <w:color w:val="000000"/>
          <w:sz w:val="24"/>
          <w:szCs w:val="24"/>
        </w:rPr>
        <w:t>longiflora</w:t>
      </w:r>
      <w:proofErr w:type="spellEnd"/>
      <w:r>
        <w:rPr>
          <w:rFonts w:ascii="Times New Roman" w:hAnsi="Times New Roman"/>
          <w:color w:val="000000"/>
          <w:sz w:val="24"/>
          <w:szCs w:val="24"/>
        </w:rPr>
        <w:t>; a) Oleic Acid b) Stearic Acid c) Palmitic Acid.</w:t>
      </w:r>
    </w:p>
    <w:p w14:paraId="75B40BE8" w14:textId="77777777" w:rsidR="009467A3" w:rsidRDefault="009467A3">
      <w:pPr>
        <w:spacing w:after="0" w:line="360" w:lineRule="auto"/>
        <w:ind w:left="547" w:hanging="547"/>
        <w:jc w:val="center"/>
        <w:rPr>
          <w:rFonts w:ascii="Times New Roman" w:hAnsi="Times New Roman"/>
          <w:i/>
          <w:color w:val="000000"/>
          <w:sz w:val="24"/>
          <w:szCs w:val="24"/>
        </w:rPr>
      </w:pPr>
    </w:p>
    <w:p w14:paraId="1739B566" w14:textId="569C160F" w:rsidR="009467A3" w:rsidRDefault="009A2A71">
      <w:pPr>
        <w:spacing w:after="0" w:line="360" w:lineRule="auto"/>
        <w:jc w:val="center"/>
        <w:rPr>
          <w:rFonts w:ascii="Times New Roman" w:hAnsi="Times New Roman"/>
          <w:b/>
          <w:color w:val="000000"/>
          <w:sz w:val="24"/>
          <w:szCs w:val="24"/>
        </w:rPr>
      </w:pPr>
      <w:r>
        <w:rPr>
          <w:rFonts w:ascii="Times New Roman" w:hAnsi="Times New Roman"/>
          <w:b/>
          <w:noProof/>
          <w:color w:val="000000"/>
          <w:sz w:val="24"/>
          <w:szCs w:val="24"/>
          <w:lang w:val="en-IN" w:eastAsia="en-US" w:bidi="ta-IN"/>
        </w:rPr>
        <w:lastRenderedPageBreak/>
        <w:pict w14:anchorId="0FD2B264">
          <v:shape id="Picture 2" o:spid="_x0000_i1027" type="#_x0000_t75" style="width:5in;height:5in;visibility:visible;mso-wrap-style:square">
            <v:imagedata r:id="rId50" o:title="" croptop="5232f" cropbottom="5835f" cropleft="7260f" cropright="3540f"/>
          </v:shape>
        </w:pict>
      </w:r>
    </w:p>
    <w:p w14:paraId="1BF0D61C" w14:textId="77777777" w:rsidR="009467A3" w:rsidRDefault="00000000">
      <w:pPr>
        <w:pStyle w:val="NormalWeb"/>
        <w:spacing w:before="0" w:after="0" w:line="360" w:lineRule="auto"/>
        <w:jc w:val="center"/>
        <w:rPr>
          <w:bCs/>
          <w:i/>
          <w:color w:val="000000"/>
        </w:rPr>
      </w:pPr>
      <w:r>
        <w:rPr>
          <w:b/>
          <w:color w:val="000000"/>
        </w:rPr>
        <w:t>Figure 3</w:t>
      </w:r>
      <w:r>
        <w:rPr>
          <w:b/>
          <w:i/>
          <w:color w:val="000000"/>
        </w:rPr>
        <w:t xml:space="preserve"> </w:t>
      </w:r>
      <w:r>
        <w:rPr>
          <w:color w:val="000000"/>
        </w:rPr>
        <w:t xml:space="preserve">3D Structure of Target Proteins a) </w:t>
      </w:r>
      <w:r>
        <w:rPr>
          <w:bCs/>
          <w:color w:val="000000"/>
        </w:rPr>
        <w:t>Aldose Reductase Enzyme, b) Crystal Structure of the Extracellular Domain of Human HER2 c) Cyclooxygenase Protein d) Sterol Carrier Protein-2.</w:t>
      </w:r>
    </w:p>
    <w:p w14:paraId="0152B1AA" w14:textId="42D0F1FD" w:rsidR="009467A3" w:rsidRDefault="009A2A71">
      <w:pPr>
        <w:spacing w:after="0" w:line="360" w:lineRule="auto"/>
        <w:jc w:val="center"/>
        <w:rPr>
          <w:rFonts w:ascii="Times New Roman" w:hAnsi="Times New Roman"/>
          <w:b/>
          <w:color w:val="000000"/>
          <w:sz w:val="24"/>
          <w:szCs w:val="24"/>
          <w:lang w:eastAsia="en-US"/>
        </w:rPr>
      </w:pPr>
      <w:r>
        <w:rPr>
          <w:rFonts w:ascii="Times New Roman" w:hAnsi="Times New Roman"/>
          <w:b/>
          <w:noProof/>
          <w:sz w:val="20"/>
          <w:szCs w:val="20"/>
          <w:lang w:eastAsia="en-US"/>
        </w:rPr>
        <w:lastRenderedPageBreak/>
        <w:pict w14:anchorId="64573257">
          <v:shape id="Image1" o:spid="_x0000_i1028" type="#_x0000_t75" style="width:462.55pt;height:561.75pt;visibility:visible;mso-wrap-style:square">
            <v:imagedata r:id="rId51" o:title="" croptop="5569f" cropbottom="5418f" cropleft="7868f" cropright="5667f"/>
          </v:shape>
        </w:pict>
      </w:r>
    </w:p>
    <w:p w14:paraId="5C7670CB" w14:textId="77777777" w:rsidR="009467A3" w:rsidRDefault="00000000">
      <w:pPr>
        <w:spacing w:after="0" w:line="360" w:lineRule="auto"/>
        <w:ind w:left="630" w:hanging="630"/>
        <w:jc w:val="both"/>
        <w:rPr>
          <w:rFonts w:ascii="Times New Roman" w:hAnsi="Times New Roman"/>
          <w:b/>
          <w:bCs/>
          <w:color w:val="000000"/>
          <w:sz w:val="24"/>
          <w:szCs w:val="24"/>
        </w:rPr>
      </w:pPr>
      <w:r>
        <w:rPr>
          <w:rFonts w:ascii="Times New Roman" w:hAnsi="Times New Roman"/>
          <w:b/>
          <w:color w:val="000000"/>
          <w:sz w:val="24"/>
          <w:szCs w:val="24"/>
        </w:rPr>
        <w:t>Figure 4</w:t>
      </w:r>
      <w:r>
        <w:rPr>
          <w:rFonts w:ascii="Times New Roman" w:hAnsi="Times New Roman"/>
          <w:b/>
          <w:i/>
          <w:color w:val="000000"/>
          <w:sz w:val="24"/>
          <w:szCs w:val="24"/>
        </w:rPr>
        <w:t xml:space="preserve"> </w:t>
      </w:r>
      <w:r>
        <w:rPr>
          <w:rFonts w:ascii="Times New Roman" w:hAnsi="Times New Roman"/>
          <w:color w:val="000000"/>
          <w:sz w:val="24"/>
          <w:szCs w:val="24"/>
        </w:rPr>
        <w:t xml:space="preserve">3D and 2D Structure of </w:t>
      </w:r>
      <w:r>
        <w:rPr>
          <w:rFonts w:ascii="Times New Roman" w:hAnsi="Times New Roman"/>
          <w:bCs/>
          <w:color w:val="000000"/>
          <w:sz w:val="24"/>
          <w:szCs w:val="24"/>
        </w:rPr>
        <w:t>Aldose Reductase Enzyme against a) Oleic acid, b) Stearic acid, c) Palmitic acid.</w:t>
      </w:r>
      <w:r>
        <w:br w:type="page"/>
      </w:r>
    </w:p>
    <w:p w14:paraId="46D1F1C4" w14:textId="608F30CC" w:rsidR="009467A3" w:rsidRDefault="009A2A71">
      <w:pPr>
        <w:spacing w:after="160" w:line="257" w:lineRule="auto"/>
        <w:rPr>
          <w:rFonts w:ascii="Times New Roman" w:hAnsi="Times New Roman"/>
          <w:b/>
          <w:color w:val="0E101A"/>
          <w:sz w:val="20"/>
          <w:szCs w:val="20"/>
          <w:lang w:eastAsia="en-US"/>
        </w:rPr>
      </w:pPr>
      <w:r>
        <w:rPr>
          <w:rFonts w:ascii="Times New Roman" w:hAnsi="Times New Roman"/>
          <w:b/>
          <w:noProof/>
          <w:color w:val="0E101A"/>
          <w:sz w:val="20"/>
          <w:szCs w:val="20"/>
          <w:lang w:eastAsia="en-US"/>
        </w:rPr>
        <w:pict w14:anchorId="68DA2EA9">
          <v:shape id="Image2" o:spid="_x0000_i1029" type="#_x0000_t75" style="width:456.45pt;height:593pt;visibility:visible;mso-wrap-style:square">
            <v:imagedata r:id="rId52" o:title="" croptop="5545f" cropbottom="5152f" cropleft="7675f" cropright="5239f"/>
          </v:shape>
        </w:pict>
      </w:r>
    </w:p>
    <w:p w14:paraId="7F34BF38" w14:textId="77777777" w:rsidR="009467A3" w:rsidRDefault="009467A3">
      <w:pPr>
        <w:spacing w:after="0" w:line="360" w:lineRule="auto"/>
        <w:ind w:left="990" w:hanging="990"/>
        <w:jc w:val="center"/>
        <w:rPr>
          <w:rFonts w:ascii="Times New Roman" w:hAnsi="Times New Roman"/>
          <w:b/>
          <w:bCs/>
          <w:color w:val="000000"/>
          <w:sz w:val="24"/>
          <w:szCs w:val="24"/>
        </w:rPr>
      </w:pPr>
    </w:p>
    <w:p w14:paraId="2598D170" w14:textId="77777777" w:rsidR="009467A3" w:rsidRDefault="00000000">
      <w:pPr>
        <w:spacing w:after="0" w:line="360" w:lineRule="auto"/>
        <w:ind w:firstLine="284"/>
        <w:jc w:val="both"/>
        <w:rPr>
          <w:rFonts w:ascii="Times New Roman" w:hAnsi="Times New Roman"/>
          <w:bCs/>
          <w:i/>
          <w:color w:val="000000"/>
          <w:sz w:val="24"/>
          <w:szCs w:val="24"/>
        </w:rPr>
      </w:pPr>
      <w:r>
        <w:rPr>
          <w:rFonts w:ascii="Times New Roman" w:hAnsi="Times New Roman"/>
          <w:b/>
          <w:color w:val="000000"/>
          <w:sz w:val="24"/>
          <w:szCs w:val="24"/>
        </w:rPr>
        <w:t>Figure 5</w:t>
      </w:r>
      <w:r>
        <w:rPr>
          <w:rFonts w:ascii="Times New Roman" w:hAnsi="Times New Roman"/>
          <w:b/>
          <w:i/>
          <w:color w:val="000000"/>
          <w:sz w:val="24"/>
          <w:szCs w:val="24"/>
        </w:rPr>
        <w:t xml:space="preserve"> </w:t>
      </w:r>
      <w:r>
        <w:rPr>
          <w:rFonts w:ascii="Times New Roman" w:hAnsi="Times New Roman"/>
          <w:color w:val="000000"/>
          <w:sz w:val="24"/>
          <w:szCs w:val="24"/>
        </w:rPr>
        <w:t xml:space="preserve">3D and 2D Crystal structure of the extracellular domain of human HER2 protein </w:t>
      </w:r>
      <w:r>
        <w:rPr>
          <w:rFonts w:ascii="Times New Roman" w:hAnsi="Times New Roman"/>
          <w:bCs/>
          <w:color w:val="000000"/>
          <w:sz w:val="24"/>
          <w:szCs w:val="24"/>
        </w:rPr>
        <w:t>against, a) Oleic acid, b) Stearic acid, c) Palmitic acid.</w:t>
      </w:r>
      <w:r>
        <w:br w:type="page"/>
      </w:r>
    </w:p>
    <w:p w14:paraId="72A78688" w14:textId="0D12E865" w:rsidR="009467A3" w:rsidRDefault="009A2A71">
      <w:pPr>
        <w:spacing w:after="160" w:line="257" w:lineRule="auto"/>
        <w:rPr>
          <w:rFonts w:ascii="Times New Roman" w:hAnsi="Times New Roman"/>
          <w:b/>
          <w:color w:val="000000"/>
          <w:sz w:val="24"/>
          <w:szCs w:val="24"/>
          <w:lang w:eastAsia="en-US"/>
        </w:rPr>
      </w:pPr>
      <w:r>
        <w:rPr>
          <w:rFonts w:ascii="Times New Roman" w:hAnsi="Times New Roman"/>
          <w:b/>
          <w:noProof/>
          <w:sz w:val="20"/>
          <w:szCs w:val="20"/>
          <w:lang w:eastAsia="en-US"/>
        </w:rPr>
        <w:pict w14:anchorId="76F7FE35">
          <v:shape id="Image3" o:spid="_x0000_i1030" type="#_x0000_t75" style="width:455.75pt;height:592.3pt;visibility:visible;mso-wrap-style:square">
            <v:imagedata r:id="rId53" o:title="" croptop="5540f" cropbottom="5413f" cropleft="7151f" cropright="5778f"/>
          </v:shape>
        </w:pict>
      </w:r>
    </w:p>
    <w:p w14:paraId="1FE10F3C" w14:textId="77777777" w:rsidR="009467A3" w:rsidRDefault="009467A3">
      <w:pPr>
        <w:spacing w:after="0" w:line="360" w:lineRule="auto"/>
        <w:ind w:left="900" w:hanging="900"/>
        <w:jc w:val="center"/>
        <w:rPr>
          <w:rFonts w:ascii="Times New Roman" w:hAnsi="Times New Roman"/>
          <w:b/>
          <w:color w:val="000000"/>
          <w:sz w:val="24"/>
          <w:szCs w:val="24"/>
          <w:lang w:eastAsia="en-US"/>
        </w:rPr>
      </w:pPr>
    </w:p>
    <w:p w14:paraId="18124625" w14:textId="77777777" w:rsidR="009467A3" w:rsidRDefault="00000000">
      <w:pPr>
        <w:spacing w:after="0" w:line="360" w:lineRule="auto"/>
        <w:jc w:val="center"/>
      </w:pPr>
      <w:r>
        <w:rPr>
          <w:rFonts w:ascii="Times New Roman" w:hAnsi="Times New Roman"/>
          <w:b/>
          <w:color w:val="000000"/>
          <w:sz w:val="24"/>
          <w:szCs w:val="24"/>
        </w:rPr>
        <w:t>Figure 6</w:t>
      </w:r>
      <w:r>
        <w:rPr>
          <w:rFonts w:ascii="Times New Roman" w:hAnsi="Times New Roman"/>
          <w:b/>
          <w:i/>
          <w:color w:val="000000"/>
          <w:sz w:val="24"/>
          <w:szCs w:val="24"/>
        </w:rPr>
        <w:t xml:space="preserve"> </w:t>
      </w:r>
      <w:r>
        <w:rPr>
          <w:rFonts w:ascii="Times New Roman" w:hAnsi="Times New Roman"/>
          <w:color w:val="000000"/>
          <w:sz w:val="24"/>
          <w:szCs w:val="24"/>
        </w:rPr>
        <w:t xml:space="preserve">3D and 2D Structure of </w:t>
      </w:r>
      <w:r>
        <w:rPr>
          <w:rFonts w:ascii="Times New Roman" w:hAnsi="Times New Roman"/>
          <w:bCs/>
          <w:color w:val="000000"/>
          <w:sz w:val="24"/>
          <w:szCs w:val="24"/>
        </w:rPr>
        <w:t>Cyclooxygenase Protein against a) Oleic acid, b) Stearic acid, c) Palmitic acid.</w:t>
      </w:r>
      <w:r>
        <w:br w:type="page"/>
      </w:r>
    </w:p>
    <w:p w14:paraId="1019A8A6" w14:textId="71D8F733" w:rsidR="009467A3" w:rsidRDefault="009A2A71">
      <w:pPr>
        <w:spacing w:after="160" w:line="257" w:lineRule="auto"/>
        <w:rPr>
          <w:rFonts w:ascii="Times New Roman" w:hAnsi="Times New Roman"/>
          <w:b/>
          <w:color w:val="000000"/>
          <w:sz w:val="24"/>
          <w:szCs w:val="24"/>
        </w:rPr>
      </w:pPr>
      <w:r>
        <w:rPr>
          <w:rFonts w:ascii="Times New Roman" w:hAnsi="Times New Roman"/>
          <w:b/>
          <w:noProof/>
          <w:sz w:val="20"/>
          <w:szCs w:val="20"/>
          <w:lang w:eastAsia="en-US"/>
        </w:rPr>
        <w:pict w14:anchorId="0DF8BE0B">
          <v:shape id="Image4" o:spid="_x0000_i1031" type="#_x0000_t75" style="width:449.65pt;height:592.3pt;visibility:visible;mso-wrap-style:square">
            <v:imagedata r:id="rId54" o:title="" croptop="5729f" cropbottom="5350f" cropleft="7540f" cropright="5441f"/>
          </v:shape>
        </w:pict>
      </w:r>
    </w:p>
    <w:p w14:paraId="4367AC6A" w14:textId="77777777" w:rsidR="009467A3" w:rsidRDefault="00000000">
      <w:pPr>
        <w:spacing w:after="0" w:line="360" w:lineRule="auto"/>
        <w:jc w:val="center"/>
        <w:rPr>
          <w:rFonts w:ascii="Times New Roman" w:hAnsi="Times New Roman"/>
          <w:b/>
          <w:i/>
          <w:color w:val="000000"/>
          <w:sz w:val="24"/>
          <w:szCs w:val="24"/>
        </w:rPr>
      </w:pPr>
      <w:r>
        <w:rPr>
          <w:rFonts w:ascii="Times New Roman" w:hAnsi="Times New Roman"/>
          <w:b/>
          <w:color w:val="000000"/>
          <w:sz w:val="24"/>
          <w:szCs w:val="24"/>
        </w:rPr>
        <w:t xml:space="preserve">Figure 7 </w:t>
      </w:r>
      <w:r>
        <w:rPr>
          <w:rFonts w:ascii="Times New Roman" w:hAnsi="Times New Roman"/>
          <w:color w:val="000000"/>
          <w:sz w:val="24"/>
          <w:szCs w:val="24"/>
        </w:rPr>
        <w:t xml:space="preserve">3D and 2D Structure of </w:t>
      </w:r>
      <w:r>
        <w:rPr>
          <w:rFonts w:ascii="Times New Roman" w:hAnsi="Times New Roman"/>
          <w:bCs/>
          <w:color w:val="000000"/>
          <w:sz w:val="24"/>
          <w:szCs w:val="24"/>
        </w:rPr>
        <w:t>Sterol Carrier Protein-2 against a) Oleic acid, b) Stearic acid, c) Palmitic acid.</w:t>
      </w:r>
      <w:r>
        <w:rPr>
          <w:rFonts w:ascii="Times New Roman" w:hAnsi="Times New Roman"/>
          <w:bCs/>
          <w:i/>
          <w:color w:val="000000"/>
          <w:sz w:val="24"/>
          <w:szCs w:val="24"/>
        </w:rPr>
        <w:softHyphen/>
      </w:r>
      <w:r>
        <w:rPr>
          <w:rFonts w:ascii="Times New Roman" w:hAnsi="Times New Roman"/>
          <w:bCs/>
          <w:i/>
          <w:color w:val="000000"/>
          <w:sz w:val="24"/>
          <w:szCs w:val="24"/>
        </w:rPr>
        <w:softHyphen/>
      </w:r>
      <w:r>
        <w:rPr>
          <w:rFonts w:ascii="Times New Roman" w:hAnsi="Times New Roman"/>
          <w:bCs/>
          <w:i/>
          <w:color w:val="000000"/>
          <w:sz w:val="24"/>
          <w:szCs w:val="24"/>
        </w:rPr>
        <w:softHyphen/>
      </w:r>
    </w:p>
    <w:p w14:paraId="7B4E3C9D" w14:textId="77777777" w:rsidR="009467A3" w:rsidRDefault="00000000">
      <w:pPr>
        <w:rPr>
          <w:rFonts w:ascii="Times New Roman" w:hAnsi="Times New Roman"/>
          <w:b/>
          <w:i/>
          <w:color w:val="000000"/>
          <w:sz w:val="24"/>
          <w:szCs w:val="24"/>
        </w:rPr>
      </w:pPr>
      <w:r>
        <w:br w:type="page"/>
      </w:r>
    </w:p>
    <w:p w14:paraId="037858A3" w14:textId="77777777" w:rsidR="009467A3" w:rsidRDefault="00000000">
      <w:pPr>
        <w:spacing w:after="0" w:line="360" w:lineRule="auto"/>
        <w:jc w:val="center"/>
        <w:rPr>
          <w:rFonts w:ascii="Times New Roman" w:hAnsi="Times New Roman"/>
          <w:i/>
          <w:color w:val="000000"/>
          <w:sz w:val="24"/>
          <w:szCs w:val="24"/>
        </w:rPr>
      </w:pPr>
      <w:r>
        <w:rPr>
          <w:rFonts w:ascii="Times New Roman" w:hAnsi="Times New Roman"/>
          <w:b/>
          <w:bCs/>
          <w:i/>
          <w:color w:val="000000"/>
          <w:sz w:val="24"/>
          <w:szCs w:val="24"/>
        </w:rPr>
        <w:t xml:space="preserve">Table 1 </w:t>
      </w:r>
      <w:r>
        <w:rPr>
          <w:rFonts w:ascii="Times New Roman" w:hAnsi="Times New Roman"/>
          <w:bCs/>
          <w:i/>
          <w:color w:val="000000"/>
          <w:sz w:val="24"/>
          <w:szCs w:val="24"/>
        </w:rPr>
        <w:t xml:space="preserve">Preliminary phytochemical analysis of methanol leaf extract of </w:t>
      </w:r>
      <w:r>
        <w:rPr>
          <w:rFonts w:ascii="Times New Roman" w:hAnsi="Times New Roman"/>
          <w:bCs/>
          <w:i/>
          <w:iCs/>
          <w:color w:val="000000"/>
          <w:sz w:val="24"/>
          <w:szCs w:val="24"/>
        </w:rPr>
        <w:t xml:space="preserve">B. </w:t>
      </w:r>
      <w:proofErr w:type="spellStart"/>
      <w:r>
        <w:rPr>
          <w:rFonts w:ascii="Times New Roman" w:hAnsi="Times New Roman"/>
          <w:bCs/>
          <w:i/>
          <w:iCs/>
          <w:color w:val="000000"/>
          <w:sz w:val="24"/>
          <w:szCs w:val="24"/>
        </w:rPr>
        <w:t>longiflora</w:t>
      </w:r>
      <w:proofErr w:type="spellEnd"/>
    </w:p>
    <w:tbl>
      <w:tblPr>
        <w:tblW w:w="5951" w:type="dxa"/>
        <w:jc w:val="center"/>
        <w:tblLayout w:type="fixed"/>
        <w:tblLook w:val="0000" w:firstRow="0" w:lastRow="0" w:firstColumn="0" w:lastColumn="0" w:noHBand="0" w:noVBand="0"/>
      </w:tblPr>
      <w:tblGrid>
        <w:gridCol w:w="1350"/>
        <w:gridCol w:w="2418"/>
        <w:gridCol w:w="2183"/>
      </w:tblGrid>
      <w:tr w:rsidR="009467A3" w14:paraId="7DB6B144"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3AED1399"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S. No</w:t>
            </w:r>
          </w:p>
        </w:tc>
        <w:tc>
          <w:tcPr>
            <w:tcW w:w="2418" w:type="dxa"/>
            <w:tcBorders>
              <w:top w:val="single" w:sz="4" w:space="0" w:color="000000"/>
              <w:left w:val="single" w:sz="4" w:space="0" w:color="000000"/>
              <w:bottom w:val="single" w:sz="4" w:space="0" w:color="000000"/>
              <w:right w:val="single" w:sz="4" w:space="0" w:color="000000"/>
            </w:tcBorders>
            <w:vAlign w:val="center"/>
          </w:tcPr>
          <w:p w14:paraId="341598C5"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Phytochemical</w:t>
            </w:r>
          </w:p>
        </w:tc>
        <w:tc>
          <w:tcPr>
            <w:tcW w:w="2183" w:type="dxa"/>
            <w:tcBorders>
              <w:top w:val="single" w:sz="4" w:space="0" w:color="000000"/>
              <w:left w:val="single" w:sz="4" w:space="0" w:color="000000"/>
              <w:bottom w:val="single" w:sz="4" w:space="0" w:color="000000"/>
              <w:right w:val="single" w:sz="4" w:space="0" w:color="000000"/>
            </w:tcBorders>
            <w:vAlign w:val="center"/>
          </w:tcPr>
          <w:p w14:paraId="3B927C48"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Methanol Extract</w:t>
            </w:r>
          </w:p>
        </w:tc>
      </w:tr>
      <w:tr w:rsidR="009467A3" w14:paraId="099E4E0C"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64BB791C"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418" w:type="dxa"/>
            <w:tcBorders>
              <w:top w:val="single" w:sz="4" w:space="0" w:color="000000"/>
              <w:left w:val="single" w:sz="4" w:space="0" w:color="000000"/>
              <w:bottom w:val="single" w:sz="4" w:space="0" w:color="000000"/>
              <w:right w:val="single" w:sz="4" w:space="0" w:color="000000"/>
            </w:tcBorders>
            <w:vAlign w:val="center"/>
          </w:tcPr>
          <w:p w14:paraId="0722074F"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Tannins</w:t>
            </w:r>
          </w:p>
        </w:tc>
        <w:tc>
          <w:tcPr>
            <w:tcW w:w="2183" w:type="dxa"/>
            <w:tcBorders>
              <w:top w:val="single" w:sz="4" w:space="0" w:color="000000"/>
              <w:left w:val="single" w:sz="4" w:space="0" w:color="000000"/>
              <w:bottom w:val="single" w:sz="4" w:space="0" w:color="000000"/>
              <w:right w:val="single" w:sz="4" w:space="0" w:color="000000"/>
            </w:tcBorders>
            <w:vAlign w:val="center"/>
          </w:tcPr>
          <w:p w14:paraId="3F7F16E6" w14:textId="77777777" w:rsidR="009467A3" w:rsidRDefault="00000000">
            <w:pPr>
              <w:spacing w:after="0" w:line="360" w:lineRule="auto"/>
              <w:jc w:val="center"/>
            </w:pPr>
            <w:r>
              <w:rPr>
                <w:rFonts w:ascii="Times New Roman" w:hAnsi="Times New Roman"/>
                <w:color w:val="000000"/>
                <w:sz w:val="24"/>
                <w:szCs w:val="24"/>
                <w:vertAlign w:val="subscript"/>
              </w:rPr>
              <w:softHyphen/>
            </w:r>
            <w:r>
              <w:rPr>
                <w:rFonts w:ascii="Times New Roman" w:hAnsi="Times New Roman"/>
                <w:color w:val="000000"/>
                <w:sz w:val="24"/>
                <w:szCs w:val="24"/>
              </w:rPr>
              <w:t>+</w:t>
            </w:r>
          </w:p>
        </w:tc>
      </w:tr>
      <w:tr w:rsidR="009467A3" w14:paraId="4C559E83"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1924E9B2"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418" w:type="dxa"/>
            <w:tcBorders>
              <w:top w:val="single" w:sz="4" w:space="0" w:color="000000"/>
              <w:left w:val="single" w:sz="4" w:space="0" w:color="000000"/>
              <w:bottom w:val="single" w:sz="4" w:space="0" w:color="000000"/>
              <w:right w:val="single" w:sz="4" w:space="0" w:color="000000"/>
            </w:tcBorders>
            <w:vAlign w:val="center"/>
          </w:tcPr>
          <w:p w14:paraId="38260225"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Alkaloids</w:t>
            </w:r>
          </w:p>
        </w:tc>
        <w:tc>
          <w:tcPr>
            <w:tcW w:w="2183" w:type="dxa"/>
            <w:tcBorders>
              <w:top w:val="single" w:sz="4" w:space="0" w:color="000000"/>
              <w:left w:val="single" w:sz="4" w:space="0" w:color="000000"/>
              <w:bottom w:val="single" w:sz="4" w:space="0" w:color="000000"/>
              <w:right w:val="single" w:sz="4" w:space="0" w:color="000000"/>
            </w:tcBorders>
            <w:vAlign w:val="center"/>
          </w:tcPr>
          <w:p w14:paraId="252D0CED"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r w:rsidR="009467A3" w14:paraId="2C2CC296"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0BAEED32"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418" w:type="dxa"/>
            <w:tcBorders>
              <w:top w:val="single" w:sz="4" w:space="0" w:color="000000"/>
              <w:left w:val="single" w:sz="4" w:space="0" w:color="000000"/>
              <w:bottom w:val="single" w:sz="4" w:space="0" w:color="000000"/>
              <w:right w:val="single" w:sz="4" w:space="0" w:color="000000"/>
            </w:tcBorders>
            <w:vAlign w:val="center"/>
          </w:tcPr>
          <w:p w14:paraId="50CE5654"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Flavonoids</w:t>
            </w:r>
          </w:p>
        </w:tc>
        <w:tc>
          <w:tcPr>
            <w:tcW w:w="2183" w:type="dxa"/>
            <w:tcBorders>
              <w:top w:val="single" w:sz="4" w:space="0" w:color="000000"/>
              <w:left w:val="single" w:sz="4" w:space="0" w:color="000000"/>
              <w:bottom w:val="single" w:sz="4" w:space="0" w:color="000000"/>
              <w:right w:val="single" w:sz="4" w:space="0" w:color="000000"/>
            </w:tcBorders>
            <w:vAlign w:val="center"/>
          </w:tcPr>
          <w:p w14:paraId="16D2B314"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r w:rsidR="009467A3" w14:paraId="2476AA5C"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4C31B06F"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418" w:type="dxa"/>
            <w:tcBorders>
              <w:top w:val="single" w:sz="4" w:space="0" w:color="000000"/>
              <w:left w:val="single" w:sz="4" w:space="0" w:color="000000"/>
              <w:bottom w:val="single" w:sz="4" w:space="0" w:color="000000"/>
              <w:right w:val="single" w:sz="4" w:space="0" w:color="000000"/>
            </w:tcBorders>
            <w:vAlign w:val="center"/>
          </w:tcPr>
          <w:p w14:paraId="294A7827"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Proteins</w:t>
            </w:r>
          </w:p>
        </w:tc>
        <w:tc>
          <w:tcPr>
            <w:tcW w:w="2183" w:type="dxa"/>
            <w:tcBorders>
              <w:top w:val="single" w:sz="4" w:space="0" w:color="000000"/>
              <w:left w:val="single" w:sz="4" w:space="0" w:color="000000"/>
              <w:bottom w:val="single" w:sz="4" w:space="0" w:color="000000"/>
              <w:right w:val="single" w:sz="4" w:space="0" w:color="000000"/>
            </w:tcBorders>
            <w:vAlign w:val="center"/>
          </w:tcPr>
          <w:p w14:paraId="28F0443D"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r w:rsidR="009467A3" w14:paraId="42C6B102"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777248DC"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2418" w:type="dxa"/>
            <w:tcBorders>
              <w:top w:val="single" w:sz="4" w:space="0" w:color="000000"/>
              <w:left w:val="single" w:sz="4" w:space="0" w:color="000000"/>
              <w:bottom w:val="single" w:sz="4" w:space="0" w:color="000000"/>
              <w:right w:val="single" w:sz="4" w:space="0" w:color="000000"/>
            </w:tcBorders>
            <w:vAlign w:val="center"/>
          </w:tcPr>
          <w:p w14:paraId="76621E06"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Carbohydrates</w:t>
            </w:r>
          </w:p>
        </w:tc>
        <w:tc>
          <w:tcPr>
            <w:tcW w:w="2183" w:type="dxa"/>
            <w:tcBorders>
              <w:top w:val="single" w:sz="4" w:space="0" w:color="000000"/>
              <w:left w:val="single" w:sz="4" w:space="0" w:color="000000"/>
              <w:bottom w:val="single" w:sz="4" w:space="0" w:color="000000"/>
              <w:right w:val="single" w:sz="4" w:space="0" w:color="000000"/>
            </w:tcBorders>
            <w:vAlign w:val="center"/>
          </w:tcPr>
          <w:p w14:paraId="2D26C0FF"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r w:rsidR="009467A3" w14:paraId="7EE44151"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5B81604F"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418" w:type="dxa"/>
            <w:tcBorders>
              <w:top w:val="single" w:sz="4" w:space="0" w:color="000000"/>
              <w:left w:val="single" w:sz="4" w:space="0" w:color="000000"/>
              <w:bottom w:val="single" w:sz="4" w:space="0" w:color="000000"/>
              <w:right w:val="single" w:sz="4" w:space="0" w:color="000000"/>
            </w:tcBorders>
            <w:vAlign w:val="center"/>
          </w:tcPr>
          <w:p w14:paraId="0D589496"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Glycosides</w:t>
            </w:r>
          </w:p>
        </w:tc>
        <w:tc>
          <w:tcPr>
            <w:tcW w:w="2183" w:type="dxa"/>
            <w:tcBorders>
              <w:top w:val="single" w:sz="4" w:space="0" w:color="000000"/>
              <w:left w:val="single" w:sz="4" w:space="0" w:color="000000"/>
              <w:bottom w:val="single" w:sz="4" w:space="0" w:color="000000"/>
              <w:right w:val="single" w:sz="4" w:space="0" w:color="000000"/>
            </w:tcBorders>
            <w:vAlign w:val="center"/>
          </w:tcPr>
          <w:p w14:paraId="1A4908D3"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r w:rsidR="009467A3" w14:paraId="5188A1D8"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15AAC93F"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2418" w:type="dxa"/>
            <w:tcBorders>
              <w:top w:val="single" w:sz="4" w:space="0" w:color="000000"/>
              <w:left w:val="single" w:sz="4" w:space="0" w:color="000000"/>
              <w:bottom w:val="single" w:sz="4" w:space="0" w:color="000000"/>
              <w:right w:val="single" w:sz="4" w:space="0" w:color="000000"/>
            </w:tcBorders>
            <w:vAlign w:val="center"/>
          </w:tcPr>
          <w:p w14:paraId="53F74370"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Saponins</w:t>
            </w:r>
          </w:p>
        </w:tc>
        <w:tc>
          <w:tcPr>
            <w:tcW w:w="2183" w:type="dxa"/>
            <w:tcBorders>
              <w:top w:val="single" w:sz="4" w:space="0" w:color="000000"/>
              <w:left w:val="single" w:sz="4" w:space="0" w:color="000000"/>
              <w:bottom w:val="single" w:sz="4" w:space="0" w:color="000000"/>
              <w:right w:val="single" w:sz="4" w:space="0" w:color="000000"/>
            </w:tcBorders>
            <w:vAlign w:val="center"/>
          </w:tcPr>
          <w:p w14:paraId="4FE2F973"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r w:rsidR="009467A3" w14:paraId="1A17EF16"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01B5B8FC"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2418" w:type="dxa"/>
            <w:tcBorders>
              <w:top w:val="single" w:sz="4" w:space="0" w:color="000000"/>
              <w:left w:val="single" w:sz="4" w:space="0" w:color="000000"/>
              <w:bottom w:val="single" w:sz="4" w:space="0" w:color="000000"/>
              <w:right w:val="single" w:sz="4" w:space="0" w:color="000000"/>
            </w:tcBorders>
            <w:vAlign w:val="center"/>
          </w:tcPr>
          <w:p w14:paraId="33864309"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Triterpenoids</w:t>
            </w:r>
          </w:p>
        </w:tc>
        <w:tc>
          <w:tcPr>
            <w:tcW w:w="2183" w:type="dxa"/>
            <w:tcBorders>
              <w:top w:val="single" w:sz="4" w:space="0" w:color="000000"/>
              <w:left w:val="single" w:sz="4" w:space="0" w:color="000000"/>
              <w:bottom w:val="single" w:sz="4" w:space="0" w:color="000000"/>
              <w:right w:val="single" w:sz="4" w:space="0" w:color="000000"/>
            </w:tcBorders>
            <w:vAlign w:val="center"/>
          </w:tcPr>
          <w:p w14:paraId="40C67F8C"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r w:rsidR="009467A3" w14:paraId="302DCD67"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233BCE93"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2418" w:type="dxa"/>
            <w:tcBorders>
              <w:top w:val="single" w:sz="4" w:space="0" w:color="000000"/>
              <w:left w:val="single" w:sz="4" w:space="0" w:color="000000"/>
              <w:bottom w:val="single" w:sz="4" w:space="0" w:color="000000"/>
              <w:right w:val="single" w:sz="4" w:space="0" w:color="000000"/>
            </w:tcBorders>
            <w:vAlign w:val="center"/>
          </w:tcPr>
          <w:p w14:paraId="48709DFE"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Steroids</w:t>
            </w:r>
          </w:p>
        </w:tc>
        <w:tc>
          <w:tcPr>
            <w:tcW w:w="2183" w:type="dxa"/>
            <w:tcBorders>
              <w:top w:val="single" w:sz="4" w:space="0" w:color="000000"/>
              <w:left w:val="single" w:sz="4" w:space="0" w:color="000000"/>
              <w:bottom w:val="single" w:sz="4" w:space="0" w:color="000000"/>
              <w:right w:val="single" w:sz="4" w:space="0" w:color="000000"/>
            </w:tcBorders>
            <w:vAlign w:val="center"/>
          </w:tcPr>
          <w:p w14:paraId="2369E2C8"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r w:rsidR="009467A3" w14:paraId="689C593F" w14:textId="77777777">
        <w:trPr>
          <w:jc w:val="center"/>
        </w:trPr>
        <w:tc>
          <w:tcPr>
            <w:tcW w:w="1350" w:type="dxa"/>
            <w:tcBorders>
              <w:top w:val="single" w:sz="4" w:space="0" w:color="000000"/>
              <w:left w:val="single" w:sz="4" w:space="0" w:color="000000"/>
              <w:bottom w:val="single" w:sz="4" w:space="0" w:color="000000"/>
              <w:right w:val="single" w:sz="4" w:space="0" w:color="000000"/>
            </w:tcBorders>
            <w:vAlign w:val="center"/>
          </w:tcPr>
          <w:p w14:paraId="682DAB7A"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2418" w:type="dxa"/>
            <w:tcBorders>
              <w:top w:val="single" w:sz="4" w:space="0" w:color="000000"/>
              <w:left w:val="single" w:sz="4" w:space="0" w:color="000000"/>
              <w:bottom w:val="single" w:sz="4" w:space="0" w:color="000000"/>
              <w:right w:val="single" w:sz="4" w:space="0" w:color="000000"/>
            </w:tcBorders>
            <w:vAlign w:val="center"/>
          </w:tcPr>
          <w:p w14:paraId="3B1856F7"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Starch</w:t>
            </w:r>
          </w:p>
        </w:tc>
        <w:tc>
          <w:tcPr>
            <w:tcW w:w="2183" w:type="dxa"/>
            <w:tcBorders>
              <w:top w:val="single" w:sz="4" w:space="0" w:color="000000"/>
              <w:left w:val="single" w:sz="4" w:space="0" w:color="000000"/>
              <w:bottom w:val="single" w:sz="4" w:space="0" w:color="000000"/>
              <w:right w:val="single" w:sz="4" w:space="0" w:color="000000"/>
            </w:tcBorders>
            <w:vAlign w:val="center"/>
          </w:tcPr>
          <w:p w14:paraId="2FCD0DEF"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tc>
      </w:tr>
    </w:tbl>
    <w:p w14:paraId="5118B468"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Presence (+)</w:t>
      </w:r>
      <w:r>
        <w:rPr>
          <w:rFonts w:ascii="Times New Roman" w:hAnsi="Times New Roman"/>
          <w:b/>
          <w:bCs/>
          <w:color w:val="000000"/>
          <w:sz w:val="24"/>
          <w:szCs w:val="24"/>
        </w:rPr>
        <w:tab/>
      </w:r>
      <w:r>
        <w:rPr>
          <w:rFonts w:ascii="Times New Roman" w:hAnsi="Times New Roman"/>
          <w:b/>
          <w:bCs/>
          <w:color w:val="000000"/>
          <w:sz w:val="24"/>
          <w:szCs w:val="24"/>
        </w:rPr>
        <w:tab/>
        <w:t>Absence (-)</w:t>
      </w:r>
    </w:p>
    <w:p w14:paraId="3BCDD08C" w14:textId="77777777" w:rsidR="009467A3" w:rsidRDefault="009467A3">
      <w:pPr>
        <w:spacing w:after="0" w:line="360" w:lineRule="auto"/>
        <w:jc w:val="center"/>
        <w:rPr>
          <w:rFonts w:ascii="Times New Roman" w:hAnsi="Times New Roman"/>
          <w:b/>
          <w:bCs/>
          <w:color w:val="000000"/>
          <w:sz w:val="24"/>
          <w:szCs w:val="24"/>
        </w:rPr>
      </w:pPr>
    </w:p>
    <w:p w14:paraId="61C671BC" w14:textId="77777777" w:rsidR="009467A3" w:rsidRDefault="00000000">
      <w:pPr>
        <w:spacing w:after="0" w:line="360" w:lineRule="auto"/>
        <w:jc w:val="center"/>
      </w:pPr>
      <w:r>
        <w:rPr>
          <w:rFonts w:ascii="Times New Roman" w:hAnsi="Times New Roman"/>
          <w:b/>
          <w:bCs/>
          <w:i/>
          <w:iCs/>
          <w:color w:val="000000"/>
          <w:sz w:val="24"/>
          <w:szCs w:val="24"/>
        </w:rPr>
        <w:t xml:space="preserve">Table 2 </w:t>
      </w:r>
      <w:r>
        <w:rPr>
          <w:rFonts w:ascii="Times New Roman" w:hAnsi="Times New Roman"/>
          <w:bCs/>
          <w:i/>
          <w:iCs/>
          <w:color w:val="000000"/>
          <w:sz w:val="24"/>
          <w:szCs w:val="24"/>
        </w:rPr>
        <w:t xml:space="preserve">GC-MS analysis from methanol extract of </w:t>
      </w:r>
      <w:r>
        <w:t xml:space="preserve">B. </w:t>
      </w:r>
      <w:proofErr w:type="spellStart"/>
      <w:r>
        <w:t>longiflora</w:t>
      </w:r>
      <w:proofErr w:type="spellEnd"/>
    </w:p>
    <w:tbl>
      <w:tblPr>
        <w:tblW w:w="8676" w:type="dxa"/>
        <w:tblInd w:w="378" w:type="dxa"/>
        <w:tblLayout w:type="fixed"/>
        <w:tblLook w:val="0000" w:firstRow="0" w:lastRow="0" w:firstColumn="0" w:lastColumn="0" w:noHBand="0" w:noVBand="0"/>
      </w:tblPr>
      <w:tblGrid>
        <w:gridCol w:w="720"/>
        <w:gridCol w:w="2214"/>
        <w:gridCol w:w="1365"/>
        <w:gridCol w:w="1269"/>
        <w:gridCol w:w="1294"/>
        <w:gridCol w:w="926"/>
        <w:gridCol w:w="888"/>
      </w:tblGrid>
      <w:tr w:rsidR="009467A3" w14:paraId="69643F6D" w14:textId="77777777">
        <w:trPr>
          <w:trHeight w:val="503"/>
        </w:trPr>
        <w:tc>
          <w:tcPr>
            <w:tcW w:w="720" w:type="dxa"/>
            <w:tcBorders>
              <w:top w:val="single" w:sz="4" w:space="0" w:color="000000"/>
              <w:left w:val="single" w:sz="4" w:space="0" w:color="000000"/>
              <w:bottom w:val="single" w:sz="4" w:space="0" w:color="000000"/>
              <w:right w:val="single" w:sz="4" w:space="0" w:color="000000"/>
            </w:tcBorders>
            <w:vAlign w:val="center"/>
          </w:tcPr>
          <w:p w14:paraId="15062233" w14:textId="77777777" w:rsidR="009467A3" w:rsidRDefault="00000000">
            <w:pPr>
              <w:spacing w:after="0" w:line="360" w:lineRule="auto"/>
              <w:ind w:left="-90"/>
              <w:jc w:val="center"/>
              <w:rPr>
                <w:rFonts w:ascii="Times New Roman" w:hAnsi="Times New Roman"/>
                <w:b/>
                <w:bCs/>
                <w:color w:val="000000"/>
                <w:sz w:val="24"/>
                <w:szCs w:val="24"/>
              </w:rPr>
            </w:pPr>
            <w:r>
              <w:rPr>
                <w:rFonts w:ascii="Times New Roman" w:hAnsi="Times New Roman"/>
                <w:b/>
                <w:bCs/>
                <w:color w:val="000000"/>
                <w:sz w:val="24"/>
                <w:szCs w:val="24"/>
              </w:rPr>
              <w:t>Peak No</w:t>
            </w:r>
          </w:p>
        </w:tc>
        <w:tc>
          <w:tcPr>
            <w:tcW w:w="2214" w:type="dxa"/>
            <w:tcBorders>
              <w:top w:val="single" w:sz="4" w:space="0" w:color="000000"/>
              <w:left w:val="single" w:sz="4" w:space="0" w:color="000000"/>
              <w:bottom w:val="single" w:sz="4" w:space="0" w:color="000000"/>
              <w:right w:val="single" w:sz="4" w:space="0" w:color="000000"/>
            </w:tcBorders>
            <w:vAlign w:val="center"/>
          </w:tcPr>
          <w:p w14:paraId="275ABD65"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b/>
                <w:bCs/>
                <w:color w:val="000000"/>
                <w:sz w:val="24"/>
                <w:szCs w:val="24"/>
              </w:rPr>
              <w:t>Peak Name</w:t>
            </w:r>
          </w:p>
        </w:tc>
        <w:tc>
          <w:tcPr>
            <w:tcW w:w="1365" w:type="dxa"/>
            <w:tcBorders>
              <w:top w:val="single" w:sz="4" w:space="0" w:color="000000"/>
              <w:left w:val="single" w:sz="4" w:space="0" w:color="000000"/>
              <w:bottom w:val="single" w:sz="4" w:space="0" w:color="000000"/>
              <w:right w:val="single" w:sz="4" w:space="0" w:color="000000"/>
            </w:tcBorders>
            <w:vAlign w:val="center"/>
          </w:tcPr>
          <w:p w14:paraId="5F208E60"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Compound</w:t>
            </w:r>
          </w:p>
          <w:p w14:paraId="7F02EC09"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Name</w:t>
            </w:r>
          </w:p>
        </w:tc>
        <w:tc>
          <w:tcPr>
            <w:tcW w:w="1269" w:type="dxa"/>
            <w:tcBorders>
              <w:top w:val="single" w:sz="4" w:space="0" w:color="000000"/>
              <w:left w:val="single" w:sz="4" w:space="0" w:color="000000"/>
              <w:bottom w:val="single" w:sz="4" w:space="0" w:color="000000"/>
              <w:right w:val="single" w:sz="4" w:space="0" w:color="000000"/>
            </w:tcBorders>
            <w:vAlign w:val="center"/>
          </w:tcPr>
          <w:p w14:paraId="2E261C71"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Molecular</w:t>
            </w:r>
          </w:p>
          <w:p w14:paraId="071DE89B"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Weight</w:t>
            </w:r>
          </w:p>
        </w:tc>
        <w:tc>
          <w:tcPr>
            <w:tcW w:w="1294" w:type="dxa"/>
            <w:tcBorders>
              <w:top w:val="single" w:sz="4" w:space="0" w:color="000000"/>
              <w:left w:val="single" w:sz="4" w:space="0" w:color="000000"/>
              <w:bottom w:val="single" w:sz="4" w:space="0" w:color="000000"/>
              <w:right w:val="single" w:sz="4" w:space="0" w:color="000000"/>
            </w:tcBorders>
            <w:vAlign w:val="center"/>
          </w:tcPr>
          <w:p w14:paraId="217135B6"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Molecular</w:t>
            </w:r>
          </w:p>
          <w:p w14:paraId="0F2651D3"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Formula</w:t>
            </w:r>
          </w:p>
        </w:tc>
        <w:tc>
          <w:tcPr>
            <w:tcW w:w="926" w:type="dxa"/>
            <w:tcBorders>
              <w:top w:val="single" w:sz="4" w:space="0" w:color="000000"/>
              <w:left w:val="single" w:sz="4" w:space="0" w:color="000000"/>
              <w:bottom w:val="single" w:sz="4" w:space="0" w:color="000000"/>
              <w:right w:val="single" w:sz="4" w:space="0" w:color="000000"/>
            </w:tcBorders>
            <w:vAlign w:val="center"/>
          </w:tcPr>
          <w:p w14:paraId="4C1DC2CD"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b/>
                <w:bCs/>
                <w:color w:val="000000"/>
                <w:sz w:val="24"/>
                <w:szCs w:val="24"/>
              </w:rPr>
              <w:t>Area %</w:t>
            </w:r>
          </w:p>
        </w:tc>
        <w:tc>
          <w:tcPr>
            <w:tcW w:w="888" w:type="dxa"/>
            <w:tcBorders>
              <w:top w:val="single" w:sz="4" w:space="0" w:color="000000"/>
              <w:left w:val="single" w:sz="4" w:space="0" w:color="000000"/>
              <w:bottom w:val="single" w:sz="4" w:space="0" w:color="000000"/>
              <w:right w:val="single" w:sz="4" w:space="0" w:color="000000"/>
            </w:tcBorders>
            <w:vAlign w:val="center"/>
          </w:tcPr>
          <w:p w14:paraId="2CC70053"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b/>
                <w:bCs/>
                <w:color w:val="000000"/>
                <w:sz w:val="24"/>
                <w:szCs w:val="24"/>
              </w:rPr>
              <w:t>RT</w:t>
            </w:r>
          </w:p>
        </w:tc>
      </w:tr>
      <w:tr w:rsidR="009467A3" w14:paraId="52F8556F" w14:textId="77777777">
        <w:trPr>
          <w:trHeight w:val="224"/>
        </w:trPr>
        <w:tc>
          <w:tcPr>
            <w:tcW w:w="720" w:type="dxa"/>
            <w:tcBorders>
              <w:top w:val="single" w:sz="4" w:space="0" w:color="000000"/>
              <w:left w:val="single" w:sz="4" w:space="0" w:color="000000"/>
              <w:bottom w:val="single" w:sz="4" w:space="0" w:color="000000"/>
              <w:right w:val="single" w:sz="4" w:space="0" w:color="000000"/>
            </w:tcBorders>
          </w:tcPr>
          <w:p w14:paraId="45E2192E" w14:textId="77777777" w:rsidR="009467A3" w:rsidRDefault="00000000">
            <w:pPr>
              <w:spacing w:after="0" w:line="360" w:lineRule="auto"/>
              <w:ind w:left="-90"/>
              <w:jc w:val="center"/>
              <w:rPr>
                <w:rFonts w:ascii="Times New Roman" w:hAnsi="Times New Roman"/>
                <w:color w:val="000000"/>
                <w:sz w:val="24"/>
                <w:szCs w:val="24"/>
              </w:rPr>
            </w:pPr>
            <w:r>
              <w:rPr>
                <w:rFonts w:ascii="Times New Roman" w:hAnsi="Times New Roman"/>
                <w:color w:val="000000"/>
                <w:sz w:val="24"/>
                <w:szCs w:val="24"/>
              </w:rPr>
              <w:t>1.</w:t>
            </w:r>
          </w:p>
        </w:tc>
        <w:tc>
          <w:tcPr>
            <w:tcW w:w="2214" w:type="dxa"/>
            <w:tcBorders>
              <w:top w:val="single" w:sz="4" w:space="0" w:color="000000"/>
              <w:left w:val="single" w:sz="4" w:space="0" w:color="000000"/>
              <w:bottom w:val="single" w:sz="4" w:space="0" w:color="000000"/>
              <w:right w:val="single" w:sz="4" w:space="0" w:color="000000"/>
            </w:tcBorders>
          </w:tcPr>
          <w:p w14:paraId="0DECD8B9"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Oleic Acid</w:t>
            </w:r>
          </w:p>
        </w:tc>
        <w:tc>
          <w:tcPr>
            <w:tcW w:w="1365" w:type="dxa"/>
            <w:tcBorders>
              <w:top w:val="single" w:sz="4" w:space="0" w:color="000000"/>
              <w:left w:val="single" w:sz="4" w:space="0" w:color="000000"/>
              <w:bottom w:val="single" w:sz="4" w:space="0" w:color="000000"/>
              <w:right w:val="single" w:sz="4" w:space="0" w:color="000000"/>
            </w:tcBorders>
          </w:tcPr>
          <w:p w14:paraId="5242F0F8"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Oleic Acid</w:t>
            </w:r>
          </w:p>
        </w:tc>
        <w:tc>
          <w:tcPr>
            <w:tcW w:w="1269" w:type="dxa"/>
            <w:tcBorders>
              <w:top w:val="single" w:sz="4" w:space="0" w:color="000000"/>
              <w:left w:val="single" w:sz="4" w:space="0" w:color="000000"/>
              <w:bottom w:val="single" w:sz="4" w:space="0" w:color="000000"/>
              <w:right w:val="single" w:sz="4" w:space="0" w:color="000000"/>
            </w:tcBorders>
          </w:tcPr>
          <w:p w14:paraId="6D234A09"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282.5</w:t>
            </w:r>
          </w:p>
        </w:tc>
        <w:tc>
          <w:tcPr>
            <w:tcW w:w="1294" w:type="dxa"/>
            <w:tcBorders>
              <w:top w:val="single" w:sz="4" w:space="0" w:color="000000"/>
              <w:left w:val="single" w:sz="4" w:space="0" w:color="000000"/>
              <w:bottom w:val="single" w:sz="4" w:space="0" w:color="000000"/>
              <w:right w:val="single" w:sz="4" w:space="0" w:color="000000"/>
            </w:tcBorders>
          </w:tcPr>
          <w:p w14:paraId="7DDC2357"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18</w:t>
            </w:r>
            <w:r>
              <w:rPr>
                <w:rFonts w:ascii="Times New Roman" w:hAnsi="Times New Roman"/>
                <w:color w:val="000000"/>
                <w:sz w:val="24"/>
                <w:szCs w:val="24"/>
              </w:rPr>
              <w:t>H</w:t>
            </w:r>
            <w:r>
              <w:rPr>
                <w:rFonts w:ascii="Times New Roman" w:hAnsi="Times New Roman"/>
                <w:color w:val="000000"/>
                <w:sz w:val="24"/>
                <w:szCs w:val="24"/>
                <w:vertAlign w:val="subscript"/>
              </w:rPr>
              <w:t>34</w:t>
            </w:r>
            <w:r>
              <w:rPr>
                <w:rFonts w:ascii="Times New Roman" w:hAnsi="Times New Roman"/>
                <w:color w:val="000000"/>
                <w:sz w:val="24"/>
                <w:szCs w:val="24"/>
              </w:rPr>
              <w:t>O</w:t>
            </w:r>
            <w:r>
              <w:rPr>
                <w:rFonts w:ascii="Times New Roman" w:hAnsi="Times New Roman"/>
                <w:color w:val="000000"/>
                <w:sz w:val="24"/>
                <w:szCs w:val="24"/>
                <w:vertAlign w:val="subscript"/>
              </w:rPr>
              <w:t>2</w:t>
            </w:r>
          </w:p>
        </w:tc>
        <w:tc>
          <w:tcPr>
            <w:tcW w:w="926" w:type="dxa"/>
            <w:tcBorders>
              <w:top w:val="single" w:sz="4" w:space="0" w:color="000000"/>
              <w:left w:val="single" w:sz="4" w:space="0" w:color="000000"/>
              <w:bottom w:val="single" w:sz="4" w:space="0" w:color="000000"/>
              <w:right w:val="single" w:sz="4" w:space="0" w:color="000000"/>
            </w:tcBorders>
          </w:tcPr>
          <w:p w14:paraId="0144CC5A"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76.15</w:t>
            </w:r>
          </w:p>
        </w:tc>
        <w:tc>
          <w:tcPr>
            <w:tcW w:w="888" w:type="dxa"/>
            <w:tcBorders>
              <w:top w:val="single" w:sz="4" w:space="0" w:color="000000"/>
              <w:left w:val="single" w:sz="4" w:space="0" w:color="000000"/>
              <w:bottom w:val="single" w:sz="4" w:space="0" w:color="000000"/>
              <w:right w:val="single" w:sz="4" w:space="0" w:color="000000"/>
            </w:tcBorders>
          </w:tcPr>
          <w:p w14:paraId="47604308"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6.465</w:t>
            </w:r>
          </w:p>
        </w:tc>
      </w:tr>
      <w:tr w:rsidR="009467A3" w14:paraId="2DE08D65" w14:textId="77777777">
        <w:trPr>
          <w:trHeight w:val="224"/>
        </w:trPr>
        <w:tc>
          <w:tcPr>
            <w:tcW w:w="720" w:type="dxa"/>
            <w:tcBorders>
              <w:top w:val="single" w:sz="4" w:space="0" w:color="000000"/>
              <w:left w:val="single" w:sz="4" w:space="0" w:color="000000"/>
              <w:bottom w:val="single" w:sz="4" w:space="0" w:color="000000"/>
              <w:right w:val="single" w:sz="4" w:space="0" w:color="000000"/>
            </w:tcBorders>
          </w:tcPr>
          <w:p w14:paraId="1BF26C3A" w14:textId="77777777" w:rsidR="009467A3" w:rsidRDefault="00000000">
            <w:pPr>
              <w:spacing w:after="0" w:line="360" w:lineRule="auto"/>
              <w:ind w:left="-90"/>
              <w:jc w:val="center"/>
              <w:rPr>
                <w:rFonts w:ascii="Times New Roman" w:hAnsi="Times New Roman"/>
                <w:color w:val="000000"/>
                <w:sz w:val="24"/>
                <w:szCs w:val="24"/>
              </w:rPr>
            </w:pPr>
            <w:r>
              <w:rPr>
                <w:rFonts w:ascii="Times New Roman" w:hAnsi="Times New Roman"/>
                <w:color w:val="000000"/>
                <w:sz w:val="24"/>
                <w:szCs w:val="24"/>
              </w:rPr>
              <w:t>2.</w:t>
            </w:r>
          </w:p>
        </w:tc>
        <w:tc>
          <w:tcPr>
            <w:tcW w:w="2214" w:type="dxa"/>
            <w:tcBorders>
              <w:top w:val="single" w:sz="4" w:space="0" w:color="000000"/>
              <w:left w:val="single" w:sz="4" w:space="0" w:color="000000"/>
              <w:bottom w:val="single" w:sz="4" w:space="0" w:color="000000"/>
              <w:right w:val="single" w:sz="4" w:space="0" w:color="000000"/>
            </w:tcBorders>
          </w:tcPr>
          <w:p w14:paraId="3E2EABF0" w14:textId="77777777" w:rsidR="009467A3" w:rsidRDefault="00000000">
            <w:pPr>
              <w:spacing w:after="0" w:line="360" w:lineRule="auto"/>
              <w:rPr>
                <w:rFonts w:ascii="Times New Roman" w:hAnsi="Times New Roman"/>
                <w:b/>
                <w:bCs/>
                <w:color w:val="000000"/>
                <w:sz w:val="24"/>
                <w:szCs w:val="24"/>
              </w:rPr>
            </w:pPr>
            <w:r>
              <w:rPr>
                <w:rFonts w:ascii="Times New Roman" w:hAnsi="Times New Roman"/>
                <w:color w:val="000000"/>
                <w:sz w:val="24"/>
                <w:szCs w:val="24"/>
              </w:rPr>
              <w:t>Octadecanoic acid</w:t>
            </w:r>
          </w:p>
        </w:tc>
        <w:tc>
          <w:tcPr>
            <w:tcW w:w="1365" w:type="dxa"/>
            <w:tcBorders>
              <w:top w:val="single" w:sz="4" w:space="0" w:color="000000"/>
              <w:left w:val="single" w:sz="4" w:space="0" w:color="000000"/>
              <w:bottom w:val="single" w:sz="4" w:space="0" w:color="000000"/>
              <w:right w:val="single" w:sz="4" w:space="0" w:color="000000"/>
            </w:tcBorders>
          </w:tcPr>
          <w:p w14:paraId="1F86D8E0"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Stearic Acid</w:t>
            </w:r>
          </w:p>
        </w:tc>
        <w:tc>
          <w:tcPr>
            <w:tcW w:w="1269" w:type="dxa"/>
            <w:tcBorders>
              <w:top w:val="single" w:sz="4" w:space="0" w:color="000000"/>
              <w:left w:val="single" w:sz="4" w:space="0" w:color="000000"/>
              <w:bottom w:val="single" w:sz="4" w:space="0" w:color="000000"/>
              <w:right w:val="single" w:sz="4" w:space="0" w:color="000000"/>
            </w:tcBorders>
          </w:tcPr>
          <w:p w14:paraId="133AD62E" w14:textId="77777777" w:rsidR="009467A3" w:rsidRDefault="00000000">
            <w:pPr>
              <w:spacing w:after="0" w:line="360" w:lineRule="auto"/>
              <w:jc w:val="center"/>
            </w:pPr>
            <w:r>
              <w:rPr>
                <w:rFonts w:ascii="Times New Roman" w:hAnsi="Times New Roman"/>
                <w:color w:val="000000"/>
                <w:sz w:val="24"/>
                <w:szCs w:val="24"/>
              </w:rPr>
              <w:t>284.5</w:t>
            </w:r>
          </w:p>
        </w:tc>
        <w:tc>
          <w:tcPr>
            <w:tcW w:w="1294" w:type="dxa"/>
            <w:tcBorders>
              <w:top w:val="single" w:sz="4" w:space="0" w:color="000000"/>
              <w:left w:val="single" w:sz="4" w:space="0" w:color="000000"/>
              <w:bottom w:val="single" w:sz="4" w:space="0" w:color="000000"/>
              <w:right w:val="single" w:sz="4" w:space="0" w:color="000000"/>
            </w:tcBorders>
          </w:tcPr>
          <w:p w14:paraId="53375D27"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18</w:t>
            </w:r>
            <w:r>
              <w:rPr>
                <w:rFonts w:ascii="Times New Roman" w:hAnsi="Times New Roman"/>
                <w:color w:val="000000"/>
                <w:sz w:val="24"/>
                <w:szCs w:val="24"/>
              </w:rPr>
              <w:t>H</w:t>
            </w:r>
            <w:r>
              <w:rPr>
                <w:rFonts w:ascii="Times New Roman" w:hAnsi="Times New Roman"/>
                <w:color w:val="000000"/>
                <w:sz w:val="24"/>
                <w:szCs w:val="24"/>
                <w:vertAlign w:val="subscript"/>
              </w:rPr>
              <w:t>36</w:t>
            </w:r>
            <w:r>
              <w:rPr>
                <w:rFonts w:ascii="Times New Roman" w:hAnsi="Times New Roman"/>
                <w:color w:val="000000"/>
                <w:sz w:val="24"/>
                <w:szCs w:val="24"/>
              </w:rPr>
              <w:t>O</w:t>
            </w:r>
            <w:r>
              <w:rPr>
                <w:rFonts w:ascii="Times New Roman" w:hAnsi="Times New Roman"/>
                <w:color w:val="000000"/>
                <w:sz w:val="24"/>
                <w:szCs w:val="24"/>
                <w:vertAlign w:val="subscript"/>
              </w:rPr>
              <w:t>2</w:t>
            </w:r>
          </w:p>
        </w:tc>
        <w:tc>
          <w:tcPr>
            <w:tcW w:w="926" w:type="dxa"/>
            <w:tcBorders>
              <w:top w:val="single" w:sz="4" w:space="0" w:color="000000"/>
              <w:left w:val="single" w:sz="4" w:space="0" w:color="000000"/>
              <w:bottom w:val="single" w:sz="4" w:space="0" w:color="000000"/>
              <w:right w:val="single" w:sz="4" w:space="0" w:color="000000"/>
            </w:tcBorders>
          </w:tcPr>
          <w:p w14:paraId="0DFD9516"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22.44</w:t>
            </w:r>
          </w:p>
        </w:tc>
        <w:tc>
          <w:tcPr>
            <w:tcW w:w="888" w:type="dxa"/>
            <w:tcBorders>
              <w:top w:val="single" w:sz="4" w:space="0" w:color="000000"/>
              <w:left w:val="single" w:sz="4" w:space="0" w:color="000000"/>
              <w:bottom w:val="single" w:sz="4" w:space="0" w:color="000000"/>
              <w:right w:val="single" w:sz="4" w:space="0" w:color="000000"/>
            </w:tcBorders>
          </w:tcPr>
          <w:p w14:paraId="544D2064"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8.242</w:t>
            </w:r>
          </w:p>
        </w:tc>
      </w:tr>
      <w:tr w:rsidR="009467A3" w14:paraId="79A6F2FE" w14:textId="77777777">
        <w:trPr>
          <w:trHeight w:val="175"/>
        </w:trPr>
        <w:tc>
          <w:tcPr>
            <w:tcW w:w="720" w:type="dxa"/>
            <w:tcBorders>
              <w:top w:val="single" w:sz="4" w:space="0" w:color="000000"/>
              <w:left w:val="single" w:sz="4" w:space="0" w:color="000000"/>
              <w:bottom w:val="single" w:sz="4" w:space="0" w:color="000000"/>
              <w:right w:val="single" w:sz="4" w:space="0" w:color="000000"/>
            </w:tcBorders>
          </w:tcPr>
          <w:p w14:paraId="1A9D3934" w14:textId="77777777" w:rsidR="009467A3" w:rsidRDefault="00000000">
            <w:pPr>
              <w:spacing w:after="0" w:line="360" w:lineRule="auto"/>
              <w:ind w:left="-90"/>
              <w:jc w:val="center"/>
              <w:rPr>
                <w:rFonts w:ascii="Times New Roman" w:hAnsi="Times New Roman"/>
                <w:color w:val="000000"/>
                <w:sz w:val="24"/>
                <w:szCs w:val="24"/>
              </w:rPr>
            </w:pPr>
            <w:r>
              <w:rPr>
                <w:rFonts w:ascii="Times New Roman" w:hAnsi="Times New Roman"/>
                <w:color w:val="000000"/>
                <w:sz w:val="24"/>
                <w:szCs w:val="24"/>
              </w:rPr>
              <w:t>3.</w:t>
            </w:r>
          </w:p>
        </w:tc>
        <w:tc>
          <w:tcPr>
            <w:tcW w:w="2214" w:type="dxa"/>
            <w:tcBorders>
              <w:top w:val="single" w:sz="4" w:space="0" w:color="000000"/>
              <w:left w:val="single" w:sz="4" w:space="0" w:color="000000"/>
              <w:bottom w:val="single" w:sz="4" w:space="0" w:color="000000"/>
              <w:right w:val="single" w:sz="4" w:space="0" w:color="000000"/>
            </w:tcBorders>
          </w:tcPr>
          <w:p w14:paraId="1CA84DBE" w14:textId="77777777" w:rsidR="009467A3" w:rsidRDefault="00000000">
            <w:pPr>
              <w:spacing w:after="0" w:line="360" w:lineRule="auto"/>
              <w:rPr>
                <w:rFonts w:ascii="Times New Roman" w:hAnsi="Times New Roman"/>
                <w:b/>
                <w:bCs/>
                <w:color w:val="000000"/>
                <w:sz w:val="24"/>
                <w:szCs w:val="24"/>
              </w:rPr>
            </w:pPr>
            <w:r>
              <w:rPr>
                <w:rFonts w:ascii="Times New Roman" w:hAnsi="Times New Roman"/>
                <w:color w:val="000000"/>
                <w:sz w:val="24"/>
                <w:szCs w:val="24"/>
              </w:rPr>
              <w:t xml:space="preserve">n </w:t>
            </w:r>
            <w:proofErr w:type="spellStart"/>
            <w:r>
              <w:rPr>
                <w:rFonts w:ascii="Times New Roman" w:hAnsi="Times New Roman"/>
                <w:color w:val="000000"/>
                <w:sz w:val="24"/>
                <w:szCs w:val="24"/>
              </w:rPr>
              <w:t>Hexadecanoic</w:t>
            </w:r>
            <w:proofErr w:type="spellEnd"/>
            <w:r>
              <w:rPr>
                <w:rFonts w:ascii="Times New Roman" w:hAnsi="Times New Roman"/>
                <w:color w:val="000000"/>
                <w:sz w:val="24"/>
                <w:szCs w:val="24"/>
              </w:rPr>
              <w:t xml:space="preserve"> acid</w:t>
            </w:r>
          </w:p>
        </w:tc>
        <w:tc>
          <w:tcPr>
            <w:tcW w:w="1365" w:type="dxa"/>
            <w:tcBorders>
              <w:top w:val="single" w:sz="4" w:space="0" w:color="000000"/>
              <w:left w:val="single" w:sz="4" w:space="0" w:color="000000"/>
              <w:bottom w:val="single" w:sz="4" w:space="0" w:color="000000"/>
              <w:right w:val="single" w:sz="4" w:space="0" w:color="000000"/>
            </w:tcBorders>
          </w:tcPr>
          <w:p w14:paraId="7FBB414B" w14:textId="77777777" w:rsidR="009467A3" w:rsidRDefault="00000000">
            <w:pPr>
              <w:spacing w:after="0" w:line="360" w:lineRule="auto"/>
              <w:rPr>
                <w:rFonts w:ascii="Times New Roman" w:hAnsi="Times New Roman"/>
                <w:color w:val="000000"/>
                <w:sz w:val="24"/>
                <w:szCs w:val="24"/>
              </w:rPr>
            </w:pPr>
            <w:r>
              <w:rPr>
                <w:rFonts w:ascii="Times New Roman" w:hAnsi="Times New Roman"/>
                <w:color w:val="000000"/>
                <w:sz w:val="24"/>
                <w:szCs w:val="24"/>
              </w:rPr>
              <w:t>Palmitic Acid</w:t>
            </w:r>
          </w:p>
        </w:tc>
        <w:tc>
          <w:tcPr>
            <w:tcW w:w="1269" w:type="dxa"/>
            <w:tcBorders>
              <w:top w:val="single" w:sz="4" w:space="0" w:color="000000"/>
              <w:left w:val="single" w:sz="4" w:space="0" w:color="000000"/>
              <w:bottom w:val="single" w:sz="4" w:space="0" w:color="000000"/>
              <w:right w:val="single" w:sz="4" w:space="0" w:color="000000"/>
            </w:tcBorders>
          </w:tcPr>
          <w:p w14:paraId="4DC4E131"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256.42</w:t>
            </w:r>
          </w:p>
        </w:tc>
        <w:tc>
          <w:tcPr>
            <w:tcW w:w="1294" w:type="dxa"/>
            <w:tcBorders>
              <w:top w:val="single" w:sz="4" w:space="0" w:color="000000"/>
              <w:left w:val="single" w:sz="4" w:space="0" w:color="000000"/>
              <w:bottom w:val="single" w:sz="4" w:space="0" w:color="000000"/>
              <w:right w:val="single" w:sz="4" w:space="0" w:color="000000"/>
            </w:tcBorders>
          </w:tcPr>
          <w:p w14:paraId="14FFF3E3"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16</w:t>
            </w:r>
            <w:r>
              <w:rPr>
                <w:rFonts w:ascii="Times New Roman" w:hAnsi="Times New Roman"/>
                <w:color w:val="000000"/>
                <w:sz w:val="24"/>
                <w:szCs w:val="24"/>
              </w:rPr>
              <w:t>H</w:t>
            </w:r>
            <w:r>
              <w:rPr>
                <w:rFonts w:ascii="Times New Roman" w:hAnsi="Times New Roman"/>
                <w:color w:val="000000"/>
                <w:sz w:val="24"/>
                <w:szCs w:val="24"/>
                <w:vertAlign w:val="subscript"/>
              </w:rPr>
              <w:t>32</w:t>
            </w:r>
            <w:r>
              <w:rPr>
                <w:rFonts w:ascii="Times New Roman" w:hAnsi="Times New Roman"/>
                <w:color w:val="000000"/>
                <w:sz w:val="24"/>
                <w:szCs w:val="24"/>
              </w:rPr>
              <w:t>O</w:t>
            </w:r>
            <w:r>
              <w:rPr>
                <w:rFonts w:ascii="Times New Roman" w:hAnsi="Times New Roman"/>
                <w:color w:val="000000"/>
                <w:sz w:val="24"/>
                <w:szCs w:val="24"/>
                <w:vertAlign w:val="subscript"/>
              </w:rPr>
              <w:t>2</w:t>
            </w:r>
          </w:p>
        </w:tc>
        <w:tc>
          <w:tcPr>
            <w:tcW w:w="926" w:type="dxa"/>
            <w:tcBorders>
              <w:top w:val="single" w:sz="4" w:space="0" w:color="000000"/>
              <w:left w:val="single" w:sz="4" w:space="0" w:color="000000"/>
              <w:bottom w:val="single" w:sz="4" w:space="0" w:color="000000"/>
              <w:right w:val="single" w:sz="4" w:space="0" w:color="000000"/>
            </w:tcBorders>
          </w:tcPr>
          <w:p w14:paraId="3A3C1233"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1.41</w:t>
            </w:r>
          </w:p>
        </w:tc>
        <w:tc>
          <w:tcPr>
            <w:tcW w:w="888" w:type="dxa"/>
            <w:tcBorders>
              <w:top w:val="single" w:sz="4" w:space="0" w:color="000000"/>
              <w:left w:val="single" w:sz="4" w:space="0" w:color="000000"/>
              <w:bottom w:val="single" w:sz="4" w:space="0" w:color="000000"/>
              <w:right w:val="single" w:sz="4" w:space="0" w:color="000000"/>
            </w:tcBorders>
          </w:tcPr>
          <w:p w14:paraId="2D92F3FD" w14:textId="77777777" w:rsidR="009467A3" w:rsidRDefault="00000000">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11.977</w:t>
            </w:r>
          </w:p>
        </w:tc>
      </w:tr>
    </w:tbl>
    <w:p w14:paraId="14C5026C" w14:textId="77777777" w:rsidR="009467A3" w:rsidRDefault="00000000">
      <w:pPr>
        <w:spacing w:after="0" w:line="360" w:lineRule="auto"/>
        <w:ind w:left="-540" w:right="-540"/>
        <w:jc w:val="center"/>
        <w:rPr>
          <w:rFonts w:ascii="Times New Roman" w:hAnsi="Times New Roman"/>
          <w:b/>
          <w:bCs/>
          <w:color w:val="000000"/>
          <w:sz w:val="24"/>
          <w:szCs w:val="24"/>
        </w:rPr>
      </w:pPr>
      <w:r>
        <w:br w:type="page"/>
      </w:r>
    </w:p>
    <w:p w14:paraId="64FA9E5B" w14:textId="77777777" w:rsidR="009467A3" w:rsidRDefault="009467A3">
      <w:pPr>
        <w:spacing w:after="160" w:line="257" w:lineRule="auto"/>
        <w:rPr>
          <w:rFonts w:ascii="Times New Roman" w:hAnsi="Times New Roman"/>
          <w:b/>
          <w:bCs/>
          <w:color w:val="000000"/>
          <w:sz w:val="24"/>
          <w:szCs w:val="24"/>
        </w:rPr>
      </w:pPr>
    </w:p>
    <w:p w14:paraId="7D9A00F1" w14:textId="77777777" w:rsidR="009467A3" w:rsidRDefault="00000000">
      <w:pPr>
        <w:spacing w:after="0" w:line="360" w:lineRule="auto"/>
        <w:ind w:right="-540"/>
        <w:jc w:val="center"/>
      </w:pPr>
      <w:r>
        <w:rPr>
          <w:rFonts w:ascii="Times New Roman" w:hAnsi="Times New Roman"/>
          <w:b/>
          <w:bCs/>
          <w:i/>
          <w:color w:val="000000"/>
          <w:sz w:val="24"/>
          <w:szCs w:val="24"/>
        </w:rPr>
        <w:t xml:space="preserve">Table 3 </w:t>
      </w:r>
      <w:r>
        <w:rPr>
          <w:rFonts w:ascii="Times New Roman" w:hAnsi="Times New Roman"/>
          <w:bCs/>
          <w:i/>
          <w:color w:val="000000"/>
          <w:sz w:val="24"/>
          <w:szCs w:val="24"/>
        </w:rPr>
        <w:t>ADMET properties of identified compounds in</w:t>
      </w:r>
      <w:r>
        <w:t xml:space="preserve"> B. </w:t>
      </w:r>
      <w:proofErr w:type="spellStart"/>
      <w:r>
        <w:t>longiflora</w:t>
      </w:r>
      <w:proofErr w:type="spellEnd"/>
    </w:p>
    <w:tbl>
      <w:tblPr>
        <w:tblW w:w="7261" w:type="dxa"/>
        <w:jc w:val="center"/>
        <w:tblLayout w:type="fixed"/>
        <w:tblLook w:val="0000" w:firstRow="0" w:lastRow="0" w:firstColumn="0" w:lastColumn="0" w:noHBand="0" w:noVBand="0"/>
      </w:tblPr>
      <w:tblGrid>
        <w:gridCol w:w="2375"/>
        <w:gridCol w:w="1421"/>
        <w:gridCol w:w="1688"/>
        <w:gridCol w:w="1777"/>
      </w:tblGrid>
      <w:tr w:rsidR="009467A3" w14:paraId="314309B2"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vAlign w:val="center"/>
          </w:tcPr>
          <w:p w14:paraId="18230F5F" w14:textId="77777777" w:rsidR="009467A3" w:rsidRDefault="00000000">
            <w:pPr>
              <w:spacing w:after="0"/>
              <w:ind w:right="-144"/>
              <w:jc w:val="center"/>
              <w:rPr>
                <w:rFonts w:ascii="Times New Roman" w:hAnsi="Times New Roman"/>
                <w:b/>
                <w:bCs/>
                <w:color w:val="000000"/>
                <w:sz w:val="24"/>
                <w:szCs w:val="24"/>
              </w:rPr>
            </w:pPr>
            <w:r>
              <w:rPr>
                <w:rFonts w:ascii="Times New Roman" w:hAnsi="Times New Roman"/>
                <w:b/>
                <w:bCs/>
                <w:color w:val="000000"/>
                <w:sz w:val="24"/>
                <w:szCs w:val="24"/>
              </w:rPr>
              <w:t>Compound Name</w:t>
            </w:r>
          </w:p>
        </w:tc>
        <w:tc>
          <w:tcPr>
            <w:tcW w:w="1421" w:type="dxa"/>
            <w:tcBorders>
              <w:top w:val="single" w:sz="4" w:space="0" w:color="000000"/>
              <w:left w:val="single" w:sz="4" w:space="0" w:color="000000"/>
              <w:bottom w:val="single" w:sz="4" w:space="0" w:color="000000"/>
              <w:right w:val="single" w:sz="4" w:space="0" w:color="000000"/>
            </w:tcBorders>
            <w:vAlign w:val="center"/>
          </w:tcPr>
          <w:p w14:paraId="14115FB2" w14:textId="77777777" w:rsidR="009467A3" w:rsidRDefault="00000000">
            <w:pPr>
              <w:spacing w:after="0"/>
              <w:ind w:right="-144"/>
              <w:jc w:val="center"/>
              <w:rPr>
                <w:rFonts w:ascii="Times New Roman" w:hAnsi="Times New Roman"/>
                <w:b/>
                <w:bCs/>
                <w:color w:val="000000"/>
                <w:sz w:val="24"/>
                <w:szCs w:val="24"/>
              </w:rPr>
            </w:pPr>
            <w:r>
              <w:rPr>
                <w:rFonts w:ascii="Times New Roman" w:hAnsi="Times New Roman"/>
                <w:b/>
                <w:color w:val="000000"/>
                <w:sz w:val="24"/>
                <w:szCs w:val="24"/>
              </w:rPr>
              <w:t>Oleic Acid</w:t>
            </w:r>
          </w:p>
        </w:tc>
        <w:tc>
          <w:tcPr>
            <w:tcW w:w="1688" w:type="dxa"/>
            <w:tcBorders>
              <w:top w:val="single" w:sz="4" w:space="0" w:color="000000"/>
              <w:left w:val="single" w:sz="4" w:space="0" w:color="000000"/>
              <w:bottom w:val="single" w:sz="4" w:space="0" w:color="000000"/>
              <w:right w:val="single" w:sz="4" w:space="0" w:color="000000"/>
            </w:tcBorders>
            <w:vAlign w:val="center"/>
          </w:tcPr>
          <w:p w14:paraId="7990DB45" w14:textId="77777777" w:rsidR="009467A3" w:rsidRDefault="00000000">
            <w:pPr>
              <w:spacing w:after="0"/>
              <w:ind w:right="-144"/>
              <w:jc w:val="center"/>
              <w:rPr>
                <w:rFonts w:ascii="Times New Roman" w:hAnsi="Times New Roman"/>
                <w:b/>
                <w:bCs/>
                <w:color w:val="000000"/>
                <w:sz w:val="24"/>
                <w:szCs w:val="24"/>
              </w:rPr>
            </w:pPr>
            <w:r>
              <w:rPr>
                <w:rFonts w:ascii="Times New Roman" w:hAnsi="Times New Roman"/>
                <w:b/>
                <w:color w:val="000000"/>
                <w:sz w:val="24"/>
                <w:szCs w:val="24"/>
              </w:rPr>
              <w:t>Stearic Acid</w:t>
            </w:r>
          </w:p>
        </w:tc>
        <w:tc>
          <w:tcPr>
            <w:tcW w:w="1777" w:type="dxa"/>
            <w:tcBorders>
              <w:top w:val="single" w:sz="4" w:space="0" w:color="000000"/>
              <w:left w:val="single" w:sz="4" w:space="0" w:color="000000"/>
              <w:bottom w:val="single" w:sz="4" w:space="0" w:color="000000"/>
              <w:right w:val="single" w:sz="4" w:space="0" w:color="000000"/>
            </w:tcBorders>
            <w:vAlign w:val="center"/>
          </w:tcPr>
          <w:p w14:paraId="4538DB54" w14:textId="77777777" w:rsidR="009467A3" w:rsidRDefault="00000000">
            <w:pPr>
              <w:spacing w:after="0"/>
              <w:ind w:right="-144"/>
              <w:jc w:val="center"/>
              <w:rPr>
                <w:rFonts w:ascii="Times New Roman" w:hAnsi="Times New Roman"/>
                <w:b/>
                <w:bCs/>
                <w:color w:val="000000"/>
                <w:sz w:val="24"/>
                <w:szCs w:val="24"/>
              </w:rPr>
            </w:pPr>
            <w:r>
              <w:rPr>
                <w:rFonts w:ascii="Times New Roman" w:hAnsi="Times New Roman"/>
                <w:b/>
                <w:color w:val="000000"/>
                <w:sz w:val="24"/>
                <w:szCs w:val="24"/>
              </w:rPr>
              <w:t>Palmitic Acid</w:t>
            </w:r>
          </w:p>
        </w:tc>
      </w:tr>
      <w:tr w:rsidR="009467A3" w14:paraId="4C29AB3B"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73D7C5E1" w14:textId="77777777" w:rsidR="009467A3" w:rsidRDefault="00000000">
            <w:pPr>
              <w:spacing w:after="0"/>
              <w:ind w:right="-540"/>
              <w:rPr>
                <w:rFonts w:ascii="Times New Roman" w:hAnsi="Times New Roman"/>
                <w:bCs/>
                <w:color w:val="000000"/>
                <w:sz w:val="24"/>
                <w:szCs w:val="24"/>
              </w:rPr>
            </w:pPr>
            <w:r>
              <w:rPr>
                <w:rFonts w:ascii="Times New Roman" w:hAnsi="Times New Roman"/>
                <w:bCs/>
                <w:color w:val="000000"/>
                <w:sz w:val="24"/>
                <w:szCs w:val="24"/>
              </w:rPr>
              <w:t>Molecular Weight</w:t>
            </w:r>
          </w:p>
        </w:tc>
        <w:tc>
          <w:tcPr>
            <w:tcW w:w="1421" w:type="dxa"/>
            <w:tcBorders>
              <w:top w:val="single" w:sz="4" w:space="0" w:color="000000"/>
              <w:left w:val="single" w:sz="4" w:space="0" w:color="000000"/>
              <w:bottom w:val="single" w:sz="4" w:space="0" w:color="000000"/>
              <w:right w:val="single" w:sz="4" w:space="0" w:color="000000"/>
            </w:tcBorders>
            <w:vAlign w:val="center"/>
          </w:tcPr>
          <w:p w14:paraId="37CF4F3C"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282.5</w:t>
            </w:r>
          </w:p>
        </w:tc>
        <w:tc>
          <w:tcPr>
            <w:tcW w:w="1688" w:type="dxa"/>
            <w:tcBorders>
              <w:top w:val="single" w:sz="4" w:space="0" w:color="000000"/>
              <w:left w:val="single" w:sz="4" w:space="0" w:color="000000"/>
              <w:bottom w:val="single" w:sz="4" w:space="0" w:color="000000"/>
              <w:right w:val="single" w:sz="4" w:space="0" w:color="000000"/>
            </w:tcBorders>
            <w:vAlign w:val="center"/>
          </w:tcPr>
          <w:p w14:paraId="271F8C70"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284.5</w:t>
            </w:r>
          </w:p>
        </w:tc>
        <w:tc>
          <w:tcPr>
            <w:tcW w:w="1777" w:type="dxa"/>
            <w:tcBorders>
              <w:top w:val="single" w:sz="4" w:space="0" w:color="000000"/>
              <w:left w:val="single" w:sz="4" w:space="0" w:color="000000"/>
              <w:bottom w:val="single" w:sz="4" w:space="0" w:color="000000"/>
              <w:right w:val="single" w:sz="4" w:space="0" w:color="000000"/>
            </w:tcBorders>
            <w:vAlign w:val="center"/>
          </w:tcPr>
          <w:p w14:paraId="005B5DC9"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256.42</w:t>
            </w:r>
          </w:p>
        </w:tc>
      </w:tr>
      <w:tr w:rsidR="009467A3" w14:paraId="28C9A0C1" w14:textId="77777777">
        <w:trPr>
          <w:trHeight w:val="364"/>
          <w:jc w:val="center"/>
        </w:trPr>
        <w:tc>
          <w:tcPr>
            <w:tcW w:w="2375" w:type="dxa"/>
            <w:tcBorders>
              <w:top w:val="single" w:sz="4" w:space="0" w:color="000000"/>
              <w:left w:val="single" w:sz="4" w:space="0" w:color="000000"/>
              <w:bottom w:val="single" w:sz="4" w:space="0" w:color="000000"/>
              <w:right w:val="single" w:sz="4" w:space="0" w:color="000000"/>
            </w:tcBorders>
          </w:tcPr>
          <w:p w14:paraId="759ACDA6" w14:textId="77777777" w:rsidR="009467A3" w:rsidRDefault="00000000">
            <w:pPr>
              <w:spacing w:after="0"/>
              <w:ind w:right="-540"/>
              <w:rPr>
                <w:rFonts w:ascii="Times New Roman" w:hAnsi="Times New Roman"/>
                <w:bCs/>
                <w:color w:val="000000"/>
                <w:sz w:val="24"/>
                <w:szCs w:val="24"/>
              </w:rPr>
            </w:pPr>
            <w:r>
              <w:rPr>
                <w:rFonts w:ascii="Times New Roman" w:hAnsi="Times New Roman"/>
                <w:bCs/>
                <w:color w:val="000000"/>
                <w:sz w:val="24"/>
                <w:szCs w:val="24"/>
              </w:rPr>
              <w:t>Log P</w:t>
            </w:r>
          </w:p>
        </w:tc>
        <w:tc>
          <w:tcPr>
            <w:tcW w:w="1421" w:type="dxa"/>
            <w:tcBorders>
              <w:top w:val="single" w:sz="4" w:space="0" w:color="000000"/>
              <w:left w:val="single" w:sz="4" w:space="0" w:color="000000"/>
              <w:bottom w:val="single" w:sz="4" w:space="0" w:color="000000"/>
              <w:right w:val="single" w:sz="4" w:space="0" w:color="000000"/>
            </w:tcBorders>
            <w:vAlign w:val="center"/>
          </w:tcPr>
          <w:p w14:paraId="4ED05203"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4.57</w:t>
            </w:r>
          </w:p>
        </w:tc>
        <w:tc>
          <w:tcPr>
            <w:tcW w:w="1688" w:type="dxa"/>
            <w:tcBorders>
              <w:top w:val="single" w:sz="4" w:space="0" w:color="000000"/>
              <w:left w:val="single" w:sz="4" w:space="0" w:color="000000"/>
              <w:bottom w:val="single" w:sz="4" w:space="0" w:color="000000"/>
              <w:right w:val="single" w:sz="4" w:space="0" w:color="000000"/>
            </w:tcBorders>
            <w:vAlign w:val="center"/>
          </w:tcPr>
          <w:p w14:paraId="28E72EE8"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4.67</w:t>
            </w:r>
          </w:p>
        </w:tc>
        <w:tc>
          <w:tcPr>
            <w:tcW w:w="1777" w:type="dxa"/>
            <w:tcBorders>
              <w:top w:val="single" w:sz="4" w:space="0" w:color="000000"/>
              <w:left w:val="single" w:sz="4" w:space="0" w:color="000000"/>
              <w:bottom w:val="single" w:sz="4" w:space="0" w:color="000000"/>
              <w:right w:val="single" w:sz="4" w:space="0" w:color="000000"/>
            </w:tcBorders>
            <w:vAlign w:val="center"/>
          </w:tcPr>
          <w:p w14:paraId="47FF50C0"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4.19</w:t>
            </w:r>
          </w:p>
        </w:tc>
      </w:tr>
      <w:tr w:rsidR="009467A3" w14:paraId="6D966823"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5A28DF22" w14:textId="77777777" w:rsidR="009467A3" w:rsidRDefault="00000000">
            <w:pPr>
              <w:spacing w:after="0"/>
              <w:ind w:right="-540"/>
              <w:rPr>
                <w:rFonts w:ascii="Times New Roman" w:hAnsi="Times New Roman"/>
                <w:color w:val="000000"/>
                <w:sz w:val="24"/>
                <w:szCs w:val="24"/>
              </w:rPr>
            </w:pPr>
            <w:r>
              <w:rPr>
                <w:rFonts w:ascii="Times New Roman" w:hAnsi="Times New Roman"/>
                <w:bCs/>
                <w:color w:val="000000"/>
                <w:sz w:val="24"/>
                <w:szCs w:val="24"/>
              </w:rPr>
              <w:t>TPSA(Å)</w:t>
            </w:r>
          </w:p>
        </w:tc>
        <w:tc>
          <w:tcPr>
            <w:tcW w:w="1421" w:type="dxa"/>
            <w:tcBorders>
              <w:top w:val="single" w:sz="4" w:space="0" w:color="000000"/>
              <w:left w:val="single" w:sz="4" w:space="0" w:color="000000"/>
              <w:bottom w:val="single" w:sz="4" w:space="0" w:color="000000"/>
              <w:right w:val="single" w:sz="4" w:space="0" w:color="000000"/>
            </w:tcBorders>
            <w:vAlign w:val="center"/>
          </w:tcPr>
          <w:p w14:paraId="6D04FF14"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 xml:space="preserve">37.30 </w:t>
            </w:r>
          </w:p>
        </w:tc>
        <w:tc>
          <w:tcPr>
            <w:tcW w:w="1688" w:type="dxa"/>
            <w:tcBorders>
              <w:top w:val="single" w:sz="4" w:space="0" w:color="000000"/>
              <w:left w:val="single" w:sz="4" w:space="0" w:color="000000"/>
              <w:bottom w:val="single" w:sz="4" w:space="0" w:color="000000"/>
              <w:right w:val="single" w:sz="4" w:space="0" w:color="000000"/>
            </w:tcBorders>
            <w:vAlign w:val="center"/>
          </w:tcPr>
          <w:p w14:paraId="73BA9966"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 xml:space="preserve">37.30 </w:t>
            </w:r>
          </w:p>
        </w:tc>
        <w:tc>
          <w:tcPr>
            <w:tcW w:w="1777" w:type="dxa"/>
            <w:tcBorders>
              <w:top w:val="single" w:sz="4" w:space="0" w:color="000000"/>
              <w:left w:val="single" w:sz="4" w:space="0" w:color="000000"/>
              <w:bottom w:val="single" w:sz="4" w:space="0" w:color="000000"/>
              <w:right w:val="single" w:sz="4" w:space="0" w:color="000000"/>
            </w:tcBorders>
            <w:vAlign w:val="center"/>
          </w:tcPr>
          <w:p w14:paraId="589BD710"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 xml:space="preserve">37.30 </w:t>
            </w:r>
          </w:p>
        </w:tc>
      </w:tr>
      <w:tr w:rsidR="009467A3" w14:paraId="2F22312D"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3E25F310" w14:textId="77777777" w:rsidR="009467A3" w:rsidRDefault="00000000">
            <w:pPr>
              <w:spacing w:after="0"/>
              <w:ind w:right="-540"/>
              <w:rPr>
                <w:rFonts w:ascii="Times New Roman" w:hAnsi="Times New Roman"/>
                <w:bCs/>
                <w:color w:val="000000"/>
                <w:sz w:val="24"/>
                <w:szCs w:val="24"/>
              </w:rPr>
            </w:pPr>
            <w:r>
              <w:rPr>
                <w:rFonts w:ascii="Times New Roman" w:hAnsi="Times New Roman"/>
                <w:bCs/>
                <w:color w:val="000000"/>
                <w:sz w:val="24"/>
                <w:szCs w:val="24"/>
              </w:rPr>
              <w:t>Log S (ESOL)</w:t>
            </w:r>
          </w:p>
        </w:tc>
        <w:tc>
          <w:tcPr>
            <w:tcW w:w="1421" w:type="dxa"/>
            <w:tcBorders>
              <w:top w:val="single" w:sz="4" w:space="0" w:color="000000"/>
              <w:left w:val="single" w:sz="4" w:space="0" w:color="000000"/>
              <w:bottom w:val="single" w:sz="4" w:space="0" w:color="000000"/>
              <w:right w:val="single" w:sz="4" w:space="0" w:color="000000"/>
            </w:tcBorders>
            <w:vAlign w:val="center"/>
          </w:tcPr>
          <w:p w14:paraId="50EA7977"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-5.41</w:t>
            </w:r>
          </w:p>
        </w:tc>
        <w:tc>
          <w:tcPr>
            <w:tcW w:w="1688" w:type="dxa"/>
            <w:tcBorders>
              <w:top w:val="single" w:sz="4" w:space="0" w:color="000000"/>
              <w:left w:val="single" w:sz="4" w:space="0" w:color="000000"/>
              <w:bottom w:val="single" w:sz="4" w:space="0" w:color="000000"/>
              <w:right w:val="single" w:sz="4" w:space="0" w:color="000000"/>
            </w:tcBorders>
            <w:vAlign w:val="center"/>
          </w:tcPr>
          <w:p w14:paraId="4E429D1A"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-5.73</w:t>
            </w:r>
          </w:p>
        </w:tc>
        <w:tc>
          <w:tcPr>
            <w:tcW w:w="1777" w:type="dxa"/>
            <w:tcBorders>
              <w:top w:val="single" w:sz="4" w:space="0" w:color="000000"/>
              <w:left w:val="single" w:sz="4" w:space="0" w:color="000000"/>
              <w:bottom w:val="single" w:sz="4" w:space="0" w:color="000000"/>
              <w:right w:val="single" w:sz="4" w:space="0" w:color="000000"/>
            </w:tcBorders>
            <w:vAlign w:val="center"/>
          </w:tcPr>
          <w:p w14:paraId="6C91C43C"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-5.02</w:t>
            </w:r>
          </w:p>
        </w:tc>
      </w:tr>
      <w:tr w:rsidR="009467A3" w14:paraId="7C575F08"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4DC55D18" w14:textId="77777777" w:rsidR="009467A3" w:rsidRDefault="00000000">
            <w:pPr>
              <w:spacing w:after="0"/>
              <w:ind w:right="-540"/>
              <w:rPr>
                <w:rFonts w:ascii="Times New Roman" w:hAnsi="Times New Roman"/>
                <w:color w:val="000000"/>
                <w:sz w:val="24"/>
                <w:szCs w:val="24"/>
              </w:rPr>
            </w:pPr>
            <w:r>
              <w:rPr>
                <w:rFonts w:ascii="Times New Roman" w:hAnsi="Times New Roman"/>
                <w:bCs/>
                <w:color w:val="000000"/>
                <w:sz w:val="24"/>
                <w:szCs w:val="24"/>
              </w:rPr>
              <w:t>Fraction Csp3</w:t>
            </w:r>
          </w:p>
        </w:tc>
        <w:tc>
          <w:tcPr>
            <w:tcW w:w="1421" w:type="dxa"/>
            <w:tcBorders>
              <w:top w:val="single" w:sz="4" w:space="0" w:color="000000"/>
              <w:left w:val="single" w:sz="4" w:space="0" w:color="000000"/>
              <w:bottom w:val="single" w:sz="4" w:space="0" w:color="000000"/>
              <w:right w:val="single" w:sz="4" w:space="0" w:color="000000"/>
            </w:tcBorders>
            <w:vAlign w:val="center"/>
          </w:tcPr>
          <w:p w14:paraId="27914214"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0.83</w:t>
            </w:r>
          </w:p>
        </w:tc>
        <w:tc>
          <w:tcPr>
            <w:tcW w:w="1688" w:type="dxa"/>
            <w:tcBorders>
              <w:top w:val="single" w:sz="4" w:space="0" w:color="000000"/>
              <w:left w:val="single" w:sz="4" w:space="0" w:color="000000"/>
              <w:bottom w:val="single" w:sz="4" w:space="0" w:color="000000"/>
              <w:right w:val="single" w:sz="4" w:space="0" w:color="000000"/>
            </w:tcBorders>
            <w:vAlign w:val="center"/>
          </w:tcPr>
          <w:p w14:paraId="0AA0C360"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0.94</w:t>
            </w:r>
          </w:p>
        </w:tc>
        <w:tc>
          <w:tcPr>
            <w:tcW w:w="1777" w:type="dxa"/>
            <w:tcBorders>
              <w:top w:val="single" w:sz="4" w:space="0" w:color="000000"/>
              <w:left w:val="single" w:sz="4" w:space="0" w:color="000000"/>
              <w:bottom w:val="single" w:sz="4" w:space="0" w:color="000000"/>
              <w:right w:val="single" w:sz="4" w:space="0" w:color="000000"/>
            </w:tcBorders>
            <w:vAlign w:val="center"/>
          </w:tcPr>
          <w:p w14:paraId="5473DFA3"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0.94</w:t>
            </w:r>
          </w:p>
        </w:tc>
      </w:tr>
      <w:tr w:rsidR="009467A3" w14:paraId="2E839A2D"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3EE5A88C" w14:textId="77777777" w:rsidR="009467A3" w:rsidRDefault="00000000">
            <w:pPr>
              <w:spacing w:after="0"/>
              <w:ind w:right="-540"/>
              <w:rPr>
                <w:rFonts w:ascii="Times New Roman" w:hAnsi="Times New Roman"/>
                <w:color w:val="000000"/>
                <w:sz w:val="24"/>
                <w:szCs w:val="24"/>
              </w:rPr>
            </w:pPr>
            <w:r>
              <w:rPr>
                <w:rFonts w:ascii="Times New Roman" w:hAnsi="Times New Roman"/>
                <w:bCs/>
                <w:color w:val="000000"/>
                <w:sz w:val="24"/>
                <w:szCs w:val="24"/>
              </w:rPr>
              <w:t xml:space="preserve">Rotatable bonds </w:t>
            </w:r>
          </w:p>
        </w:tc>
        <w:tc>
          <w:tcPr>
            <w:tcW w:w="1421" w:type="dxa"/>
            <w:tcBorders>
              <w:top w:val="single" w:sz="4" w:space="0" w:color="000000"/>
              <w:left w:val="single" w:sz="4" w:space="0" w:color="000000"/>
              <w:bottom w:val="single" w:sz="4" w:space="0" w:color="000000"/>
              <w:right w:val="single" w:sz="4" w:space="0" w:color="000000"/>
            </w:tcBorders>
            <w:vAlign w:val="center"/>
          </w:tcPr>
          <w:p w14:paraId="0B7FD968"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15</w:t>
            </w:r>
          </w:p>
        </w:tc>
        <w:tc>
          <w:tcPr>
            <w:tcW w:w="1688" w:type="dxa"/>
            <w:tcBorders>
              <w:top w:val="single" w:sz="4" w:space="0" w:color="000000"/>
              <w:left w:val="single" w:sz="4" w:space="0" w:color="000000"/>
              <w:bottom w:val="single" w:sz="4" w:space="0" w:color="000000"/>
              <w:right w:val="single" w:sz="4" w:space="0" w:color="000000"/>
            </w:tcBorders>
            <w:vAlign w:val="center"/>
          </w:tcPr>
          <w:p w14:paraId="42C41664"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16</w:t>
            </w:r>
          </w:p>
        </w:tc>
        <w:tc>
          <w:tcPr>
            <w:tcW w:w="1777" w:type="dxa"/>
            <w:tcBorders>
              <w:top w:val="single" w:sz="4" w:space="0" w:color="000000"/>
              <w:left w:val="single" w:sz="4" w:space="0" w:color="000000"/>
              <w:bottom w:val="single" w:sz="4" w:space="0" w:color="000000"/>
              <w:right w:val="single" w:sz="4" w:space="0" w:color="000000"/>
            </w:tcBorders>
            <w:vAlign w:val="center"/>
          </w:tcPr>
          <w:p w14:paraId="779BC939" w14:textId="77777777" w:rsidR="009467A3" w:rsidRDefault="00000000">
            <w:pPr>
              <w:spacing w:after="0"/>
              <w:ind w:right="-108"/>
              <w:jc w:val="center"/>
              <w:rPr>
                <w:rFonts w:ascii="Times New Roman" w:hAnsi="Times New Roman"/>
                <w:b/>
                <w:bCs/>
                <w:color w:val="000000"/>
                <w:sz w:val="24"/>
                <w:szCs w:val="24"/>
              </w:rPr>
            </w:pPr>
            <w:r>
              <w:rPr>
                <w:rFonts w:ascii="Times New Roman" w:hAnsi="Times New Roman"/>
                <w:color w:val="000000"/>
                <w:sz w:val="24"/>
                <w:szCs w:val="24"/>
              </w:rPr>
              <w:t>14</w:t>
            </w:r>
          </w:p>
        </w:tc>
      </w:tr>
      <w:tr w:rsidR="009467A3" w14:paraId="42F1F9C4"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09BE7D9A" w14:textId="77777777" w:rsidR="009467A3" w:rsidRDefault="00000000">
            <w:pPr>
              <w:spacing w:after="0"/>
              <w:ind w:right="-360"/>
              <w:rPr>
                <w:rFonts w:ascii="Times New Roman" w:hAnsi="Times New Roman"/>
                <w:bCs/>
                <w:color w:val="000000"/>
                <w:sz w:val="24"/>
                <w:szCs w:val="24"/>
              </w:rPr>
            </w:pPr>
            <w:r>
              <w:rPr>
                <w:rFonts w:ascii="Times New Roman" w:hAnsi="Times New Roman"/>
                <w:bCs/>
                <w:color w:val="000000"/>
                <w:sz w:val="24"/>
                <w:szCs w:val="24"/>
              </w:rPr>
              <w:t>Lipinski Rule of Five</w:t>
            </w:r>
          </w:p>
        </w:tc>
        <w:tc>
          <w:tcPr>
            <w:tcW w:w="1421" w:type="dxa"/>
            <w:tcBorders>
              <w:top w:val="single" w:sz="4" w:space="0" w:color="000000"/>
              <w:left w:val="single" w:sz="4" w:space="0" w:color="000000"/>
              <w:bottom w:val="single" w:sz="4" w:space="0" w:color="000000"/>
              <w:right w:val="single" w:sz="4" w:space="0" w:color="000000"/>
            </w:tcBorders>
            <w:vAlign w:val="center"/>
          </w:tcPr>
          <w:p w14:paraId="6BE53AD5"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Yes</w:t>
            </w:r>
          </w:p>
        </w:tc>
        <w:tc>
          <w:tcPr>
            <w:tcW w:w="1688" w:type="dxa"/>
            <w:tcBorders>
              <w:top w:val="single" w:sz="4" w:space="0" w:color="000000"/>
              <w:left w:val="single" w:sz="4" w:space="0" w:color="000000"/>
              <w:bottom w:val="single" w:sz="4" w:space="0" w:color="000000"/>
              <w:right w:val="single" w:sz="4" w:space="0" w:color="000000"/>
            </w:tcBorders>
            <w:vAlign w:val="center"/>
          </w:tcPr>
          <w:p w14:paraId="540EFEEE"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Yes</w:t>
            </w:r>
          </w:p>
        </w:tc>
        <w:tc>
          <w:tcPr>
            <w:tcW w:w="1777" w:type="dxa"/>
            <w:tcBorders>
              <w:top w:val="single" w:sz="4" w:space="0" w:color="000000"/>
              <w:left w:val="single" w:sz="4" w:space="0" w:color="000000"/>
              <w:bottom w:val="single" w:sz="4" w:space="0" w:color="000000"/>
              <w:right w:val="single" w:sz="4" w:space="0" w:color="000000"/>
            </w:tcBorders>
            <w:vAlign w:val="center"/>
          </w:tcPr>
          <w:p w14:paraId="5E56CC8C"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Yes</w:t>
            </w:r>
          </w:p>
        </w:tc>
      </w:tr>
      <w:tr w:rsidR="009467A3" w14:paraId="491ADE66" w14:textId="77777777">
        <w:trPr>
          <w:trHeight w:val="364"/>
          <w:jc w:val="center"/>
        </w:trPr>
        <w:tc>
          <w:tcPr>
            <w:tcW w:w="2375" w:type="dxa"/>
            <w:tcBorders>
              <w:top w:val="single" w:sz="4" w:space="0" w:color="000000"/>
              <w:left w:val="single" w:sz="4" w:space="0" w:color="000000"/>
              <w:bottom w:val="single" w:sz="4" w:space="0" w:color="000000"/>
              <w:right w:val="single" w:sz="4" w:space="0" w:color="000000"/>
            </w:tcBorders>
          </w:tcPr>
          <w:p w14:paraId="5807A50D" w14:textId="77777777" w:rsidR="009467A3" w:rsidRDefault="00000000">
            <w:pPr>
              <w:spacing w:after="0"/>
              <w:ind w:right="-360"/>
              <w:rPr>
                <w:rFonts w:ascii="Times New Roman" w:hAnsi="Times New Roman"/>
                <w:bCs/>
                <w:color w:val="000000"/>
                <w:sz w:val="24"/>
                <w:szCs w:val="24"/>
              </w:rPr>
            </w:pPr>
            <w:r>
              <w:rPr>
                <w:rFonts w:ascii="Times New Roman" w:hAnsi="Times New Roman"/>
                <w:bCs/>
                <w:color w:val="000000"/>
                <w:sz w:val="24"/>
                <w:szCs w:val="24"/>
              </w:rPr>
              <w:t>BBB</w:t>
            </w:r>
          </w:p>
        </w:tc>
        <w:tc>
          <w:tcPr>
            <w:tcW w:w="1421" w:type="dxa"/>
            <w:tcBorders>
              <w:top w:val="single" w:sz="4" w:space="0" w:color="000000"/>
              <w:left w:val="single" w:sz="4" w:space="0" w:color="000000"/>
              <w:bottom w:val="single" w:sz="4" w:space="0" w:color="000000"/>
              <w:right w:val="single" w:sz="4" w:space="0" w:color="000000"/>
            </w:tcBorders>
            <w:vAlign w:val="center"/>
          </w:tcPr>
          <w:p w14:paraId="3853BD30"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688" w:type="dxa"/>
            <w:tcBorders>
              <w:top w:val="single" w:sz="4" w:space="0" w:color="000000"/>
              <w:left w:val="single" w:sz="4" w:space="0" w:color="000000"/>
              <w:bottom w:val="single" w:sz="4" w:space="0" w:color="000000"/>
              <w:right w:val="single" w:sz="4" w:space="0" w:color="000000"/>
            </w:tcBorders>
            <w:vAlign w:val="center"/>
          </w:tcPr>
          <w:p w14:paraId="7F8DAFA1"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777" w:type="dxa"/>
            <w:tcBorders>
              <w:top w:val="single" w:sz="4" w:space="0" w:color="000000"/>
              <w:left w:val="single" w:sz="4" w:space="0" w:color="000000"/>
              <w:bottom w:val="single" w:sz="4" w:space="0" w:color="000000"/>
              <w:right w:val="single" w:sz="4" w:space="0" w:color="000000"/>
            </w:tcBorders>
            <w:vAlign w:val="center"/>
          </w:tcPr>
          <w:p w14:paraId="7997A17B"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Yes</w:t>
            </w:r>
          </w:p>
        </w:tc>
      </w:tr>
      <w:tr w:rsidR="009467A3" w14:paraId="6689B64F"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26D2CC7E" w14:textId="77777777" w:rsidR="009467A3" w:rsidRDefault="00000000">
            <w:pPr>
              <w:spacing w:after="0"/>
              <w:ind w:right="-540"/>
              <w:rPr>
                <w:rFonts w:ascii="Times New Roman" w:hAnsi="Times New Roman"/>
                <w:bCs/>
                <w:color w:val="000000"/>
                <w:sz w:val="24"/>
                <w:szCs w:val="24"/>
              </w:rPr>
            </w:pPr>
            <w:r>
              <w:rPr>
                <w:rFonts w:ascii="Times New Roman" w:hAnsi="Times New Roman"/>
                <w:bCs/>
                <w:color w:val="000000"/>
                <w:sz w:val="24"/>
                <w:szCs w:val="24"/>
              </w:rPr>
              <w:t>HIA</w:t>
            </w:r>
          </w:p>
        </w:tc>
        <w:tc>
          <w:tcPr>
            <w:tcW w:w="1421" w:type="dxa"/>
            <w:tcBorders>
              <w:top w:val="single" w:sz="4" w:space="0" w:color="000000"/>
              <w:left w:val="single" w:sz="4" w:space="0" w:color="000000"/>
              <w:bottom w:val="single" w:sz="4" w:space="0" w:color="000000"/>
              <w:right w:val="single" w:sz="4" w:space="0" w:color="000000"/>
            </w:tcBorders>
            <w:vAlign w:val="center"/>
          </w:tcPr>
          <w:p w14:paraId="7FFBC4A7"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High</w:t>
            </w:r>
          </w:p>
        </w:tc>
        <w:tc>
          <w:tcPr>
            <w:tcW w:w="1688" w:type="dxa"/>
            <w:tcBorders>
              <w:top w:val="single" w:sz="4" w:space="0" w:color="000000"/>
              <w:left w:val="single" w:sz="4" w:space="0" w:color="000000"/>
              <w:bottom w:val="single" w:sz="4" w:space="0" w:color="000000"/>
              <w:right w:val="single" w:sz="4" w:space="0" w:color="000000"/>
            </w:tcBorders>
            <w:vAlign w:val="center"/>
          </w:tcPr>
          <w:p w14:paraId="78B4346C"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High</w:t>
            </w:r>
          </w:p>
        </w:tc>
        <w:tc>
          <w:tcPr>
            <w:tcW w:w="1777" w:type="dxa"/>
            <w:tcBorders>
              <w:top w:val="single" w:sz="4" w:space="0" w:color="000000"/>
              <w:left w:val="single" w:sz="4" w:space="0" w:color="000000"/>
              <w:bottom w:val="single" w:sz="4" w:space="0" w:color="000000"/>
              <w:right w:val="single" w:sz="4" w:space="0" w:color="000000"/>
            </w:tcBorders>
            <w:vAlign w:val="center"/>
          </w:tcPr>
          <w:p w14:paraId="344C19E2"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High</w:t>
            </w:r>
          </w:p>
        </w:tc>
      </w:tr>
      <w:tr w:rsidR="009467A3" w14:paraId="119ABE60"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4C23F247" w14:textId="77777777" w:rsidR="009467A3" w:rsidRDefault="00000000">
            <w:pPr>
              <w:spacing w:after="0"/>
              <w:ind w:right="-540"/>
              <w:rPr>
                <w:rFonts w:ascii="Times New Roman" w:hAnsi="Times New Roman"/>
                <w:bCs/>
                <w:color w:val="000000"/>
                <w:sz w:val="24"/>
                <w:szCs w:val="24"/>
              </w:rPr>
            </w:pPr>
            <w:r>
              <w:rPr>
                <w:rFonts w:ascii="Times New Roman" w:hAnsi="Times New Roman"/>
                <w:bCs/>
                <w:color w:val="000000"/>
                <w:sz w:val="24"/>
                <w:szCs w:val="24"/>
              </w:rPr>
              <w:t>PGP</w:t>
            </w:r>
          </w:p>
        </w:tc>
        <w:tc>
          <w:tcPr>
            <w:tcW w:w="1421" w:type="dxa"/>
            <w:tcBorders>
              <w:top w:val="single" w:sz="4" w:space="0" w:color="000000"/>
              <w:left w:val="single" w:sz="4" w:space="0" w:color="000000"/>
              <w:bottom w:val="single" w:sz="4" w:space="0" w:color="000000"/>
              <w:right w:val="single" w:sz="4" w:space="0" w:color="000000"/>
            </w:tcBorders>
            <w:vAlign w:val="center"/>
          </w:tcPr>
          <w:p w14:paraId="1A12781E"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688" w:type="dxa"/>
            <w:tcBorders>
              <w:top w:val="single" w:sz="4" w:space="0" w:color="000000"/>
              <w:left w:val="single" w:sz="4" w:space="0" w:color="000000"/>
              <w:bottom w:val="single" w:sz="4" w:space="0" w:color="000000"/>
              <w:right w:val="single" w:sz="4" w:space="0" w:color="000000"/>
            </w:tcBorders>
            <w:vAlign w:val="center"/>
          </w:tcPr>
          <w:p w14:paraId="5196E712"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777" w:type="dxa"/>
            <w:tcBorders>
              <w:top w:val="single" w:sz="4" w:space="0" w:color="000000"/>
              <w:left w:val="single" w:sz="4" w:space="0" w:color="000000"/>
              <w:bottom w:val="single" w:sz="4" w:space="0" w:color="000000"/>
              <w:right w:val="single" w:sz="4" w:space="0" w:color="000000"/>
            </w:tcBorders>
            <w:vAlign w:val="center"/>
          </w:tcPr>
          <w:p w14:paraId="252B8504"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r>
      <w:tr w:rsidR="009467A3" w14:paraId="4CC2F09C"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78862D22" w14:textId="77777777" w:rsidR="009467A3" w:rsidRDefault="00000000">
            <w:pPr>
              <w:spacing w:after="0"/>
              <w:ind w:right="-360"/>
              <w:rPr>
                <w:rFonts w:ascii="Times New Roman" w:hAnsi="Times New Roman"/>
                <w:bCs/>
                <w:color w:val="000000"/>
                <w:sz w:val="24"/>
                <w:szCs w:val="24"/>
              </w:rPr>
            </w:pPr>
            <w:r>
              <w:rPr>
                <w:rFonts w:ascii="Times New Roman" w:hAnsi="Times New Roman"/>
                <w:bCs/>
                <w:color w:val="000000"/>
                <w:sz w:val="24"/>
                <w:szCs w:val="24"/>
              </w:rPr>
              <w:t>Bioavailability Score</w:t>
            </w:r>
          </w:p>
        </w:tc>
        <w:tc>
          <w:tcPr>
            <w:tcW w:w="1421" w:type="dxa"/>
            <w:tcBorders>
              <w:top w:val="single" w:sz="4" w:space="0" w:color="000000"/>
              <w:left w:val="single" w:sz="4" w:space="0" w:color="000000"/>
              <w:bottom w:val="single" w:sz="4" w:space="0" w:color="000000"/>
              <w:right w:val="single" w:sz="4" w:space="0" w:color="000000"/>
            </w:tcBorders>
            <w:vAlign w:val="center"/>
          </w:tcPr>
          <w:p w14:paraId="4E7E5D66"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0.85</w:t>
            </w:r>
          </w:p>
        </w:tc>
        <w:tc>
          <w:tcPr>
            <w:tcW w:w="1688" w:type="dxa"/>
            <w:tcBorders>
              <w:top w:val="single" w:sz="4" w:space="0" w:color="000000"/>
              <w:left w:val="single" w:sz="4" w:space="0" w:color="000000"/>
              <w:bottom w:val="single" w:sz="4" w:space="0" w:color="000000"/>
              <w:right w:val="single" w:sz="4" w:space="0" w:color="000000"/>
            </w:tcBorders>
            <w:vAlign w:val="center"/>
          </w:tcPr>
          <w:p w14:paraId="60D1E932"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0.85</w:t>
            </w:r>
          </w:p>
        </w:tc>
        <w:tc>
          <w:tcPr>
            <w:tcW w:w="1777" w:type="dxa"/>
            <w:tcBorders>
              <w:top w:val="single" w:sz="4" w:space="0" w:color="000000"/>
              <w:left w:val="single" w:sz="4" w:space="0" w:color="000000"/>
              <w:bottom w:val="single" w:sz="4" w:space="0" w:color="000000"/>
              <w:right w:val="single" w:sz="4" w:space="0" w:color="000000"/>
            </w:tcBorders>
            <w:vAlign w:val="center"/>
          </w:tcPr>
          <w:p w14:paraId="6FEC0684" w14:textId="77777777" w:rsidR="009467A3" w:rsidRDefault="00000000">
            <w:pPr>
              <w:spacing w:after="0"/>
              <w:ind w:right="-108"/>
              <w:jc w:val="center"/>
            </w:pPr>
            <w:r>
              <w:rPr>
                <w:rFonts w:ascii="Times New Roman" w:hAnsi="Times New Roman"/>
                <w:color w:val="000000"/>
                <w:sz w:val="24"/>
                <w:szCs w:val="24"/>
              </w:rPr>
              <w:t>0.85</w:t>
            </w:r>
          </w:p>
        </w:tc>
      </w:tr>
      <w:tr w:rsidR="009467A3" w14:paraId="2AE0B854"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6D9577D8" w14:textId="77777777" w:rsidR="009467A3" w:rsidRDefault="00000000">
            <w:pPr>
              <w:autoSpaceDE w:val="0"/>
              <w:spacing w:after="0"/>
              <w:rPr>
                <w:rFonts w:ascii="Times New Roman" w:hAnsi="Times New Roman"/>
                <w:bCs/>
                <w:color w:val="000000"/>
                <w:sz w:val="24"/>
                <w:szCs w:val="24"/>
              </w:rPr>
            </w:pPr>
            <w:r>
              <w:rPr>
                <w:rFonts w:ascii="Times New Roman" w:hAnsi="Times New Roman"/>
                <w:color w:val="000000"/>
                <w:sz w:val="24"/>
                <w:szCs w:val="24"/>
              </w:rPr>
              <w:t>CYP1A2 inhibitor</w:t>
            </w:r>
          </w:p>
        </w:tc>
        <w:tc>
          <w:tcPr>
            <w:tcW w:w="1421" w:type="dxa"/>
            <w:tcBorders>
              <w:top w:val="single" w:sz="4" w:space="0" w:color="000000"/>
              <w:left w:val="single" w:sz="4" w:space="0" w:color="000000"/>
              <w:bottom w:val="single" w:sz="4" w:space="0" w:color="000000"/>
              <w:right w:val="single" w:sz="4" w:space="0" w:color="000000"/>
            </w:tcBorders>
            <w:vAlign w:val="center"/>
          </w:tcPr>
          <w:p w14:paraId="1A239E3F"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Yes</w:t>
            </w:r>
          </w:p>
        </w:tc>
        <w:tc>
          <w:tcPr>
            <w:tcW w:w="1688" w:type="dxa"/>
            <w:tcBorders>
              <w:top w:val="single" w:sz="4" w:space="0" w:color="000000"/>
              <w:left w:val="single" w:sz="4" w:space="0" w:color="000000"/>
              <w:bottom w:val="single" w:sz="4" w:space="0" w:color="000000"/>
              <w:right w:val="single" w:sz="4" w:space="0" w:color="000000"/>
            </w:tcBorders>
            <w:vAlign w:val="center"/>
          </w:tcPr>
          <w:p w14:paraId="637A8544"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Yes</w:t>
            </w:r>
          </w:p>
        </w:tc>
        <w:tc>
          <w:tcPr>
            <w:tcW w:w="1777" w:type="dxa"/>
            <w:tcBorders>
              <w:top w:val="single" w:sz="4" w:space="0" w:color="000000"/>
              <w:left w:val="single" w:sz="4" w:space="0" w:color="000000"/>
              <w:bottom w:val="single" w:sz="4" w:space="0" w:color="000000"/>
              <w:right w:val="single" w:sz="4" w:space="0" w:color="000000"/>
            </w:tcBorders>
            <w:vAlign w:val="center"/>
          </w:tcPr>
          <w:p w14:paraId="6E576C40"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Yes</w:t>
            </w:r>
          </w:p>
        </w:tc>
      </w:tr>
      <w:tr w:rsidR="009467A3" w14:paraId="7DA722A1"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0A0C49B5" w14:textId="77777777" w:rsidR="009467A3" w:rsidRDefault="00000000">
            <w:pPr>
              <w:autoSpaceDE w:val="0"/>
              <w:spacing w:after="0"/>
              <w:rPr>
                <w:rFonts w:ascii="Times New Roman" w:hAnsi="Times New Roman"/>
                <w:bCs/>
                <w:color w:val="000000"/>
                <w:sz w:val="24"/>
                <w:szCs w:val="24"/>
              </w:rPr>
            </w:pPr>
            <w:r>
              <w:rPr>
                <w:rFonts w:ascii="Times New Roman" w:hAnsi="Times New Roman"/>
                <w:color w:val="000000"/>
                <w:sz w:val="24"/>
                <w:szCs w:val="24"/>
              </w:rPr>
              <w:t>CYP2C19 inhibitor</w:t>
            </w:r>
          </w:p>
        </w:tc>
        <w:tc>
          <w:tcPr>
            <w:tcW w:w="1421" w:type="dxa"/>
            <w:tcBorders>
              <w:top w:val="single" w:sz="4" w:space="0" w:color="000000"/>
              <w:left w:val="single" w:sz="4" w:space="0" w:color="000000"/>
              <w:bottom w:val="single" w:sz="4" w:space="0" w:color="000000"/>
              <w:right w:val="single" w:sz="4" w:space="0" w:color="000000"/>
            </w:tcBorders>
            <w:vAlign w:val="center"/>
          </w:tcPr>
          <w:p w14:paraId="14745A68"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688" w:type="dxa"/>
            <w:tcBorders>
              <w:top w:val="single" w:sz="4" w:space="0" w:color="000000"/>
              <w:left w:val="single" w:sz="4" w:space="0" w:color="000000"/>
              <w:bottom w:val="single" w:sz="4" w:space="0" w:color="000000"/>
              <w:right w:val="single" w:sz="4" w:space="0" w:color="000000"/>
            </w:tcBorders>
            <w:vAlign w:val="center"/>
          </w:tcPr>
          <w:p w14:paraId="4EBCFD5B"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777" w:type="dxa"/>
            <w:tcBorders>
              <w:top w:val="single" w:sz="4" w:space="0" w:color="000000"/>
              <w:left w:val="single" w:sz="4" w:space="0" w:color="000000"/>
              <w:bottom w:val="single" w:sz="4" w:space="0" w:color="000000"/>
              <w:right w:val="single" w:sz="4" w:space="0" w:color="000000"/>
            </w:tcBorders>
            <w:vAlign w:val="center"/>
          </w:tcPr>
          <w:p w14:paraId="43506107"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r>
      <w:tr w:rsidR="009467A3" w14:paraId="09B111BF" w14:textId="77777777">
        <w:trPr>
          <w:trHeight w:val="364"/>
          <w:jc w:val="center"/>
        </w:trPr>
        <w:tc>
          <w:tcPr>
            <w:tcW w:w="2375" w:type="dxa"/>
            <w:tcBorders>
              <w:top w:val="single" w:sz="4" w:space="0" w:color="000000"/>
              <w:left w:val="single" w:sz="4" w:space="0" w:color="000000"/>
              <w:bottom w:val="single" w:sz="4" w:space="0" w:color="000000"/>
              <w:right w:val="single" w:sz="4" w:space="0" w:color="000000"/>
            </w:tcBorders>
          </w:tcPr>
          <w:p w14:paraId="0FE87992" w14:textId="77777777" w:rsidR="009467A3" w:rsidRDefault="00000000">
            <w:pPr>
              <w:autoSpaceDE w:val="0"/>
              <w:spacing w:after="0"/>
              <w:rPr>
                <w:rFonts w:ascii="Times New Roman" w:hAnsi="Times New Roman"/>
                <w:bCs/>
                <w:color w:val="000000"/>
                <w:sz w:val="24"/>
                <w:szCs w:val="24"/>
              </w:rPr>
            </w:pPr>
            <w:r>
              <w:rPr>
                <w:rFonts w:ascii="Times New Roman" w:hAnsi="Times New Roman"/>
                <w:color w:val="000000"/>
                <w:sz w:val="24"/>
                <w:szCs w:val="24"/>
              </w:rPr>
              <w:t>CYP2C9 inhibitor</w:t>
            </w:r>
          </w:p>
        </w:tc>
        <w:tc>
          <w:tcPr>
            <w:tcW w:w="1421" w:type="dxa"/>
            <w:tcBorders>
              <w:top w:val="single" w:sz="4" w:space="0" w:color="000000"/>
              <w:left w:val="single" w:sz="4" w:space="0" w:color="000000"/>
              <w:bottom w:val="single" w:sz="4" w:space="0" w:color="000000"/>
              <w:right w:val="single" w:sz="4" w:space="0" w:color="000000"/>
            </w:tcBorders>
            <w:vAlign w:val="center"/>
          </w:tcPr>
          <w:p w14:paraId="648C8BE9"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Yes</w:t>
            </w:r>
          </w:p>
        </w:tc>
        <w:tc>
          <w:tcPr>
            <w:tcW w:w="1688" w:type="dxa"/>
            <w:tcBorders>
              <w:top w:val="single" w:sz="4" w:space="0" w:color="000000"/>
              <w:left w:val="single" w:sz="4" w:space="0" w:color="000000"/>
              <w:bottom w:val="single" w:sz="4" w:space="0" w:color="000000"/>
              <w:right w:val="single" w:sz="4" w:space="0" w:color="000000"/>
            </w:tcBorders>
            <w:vAlign w:val="center"/>
          </w:tcPr>
          <w:p w14:paraId="7EE05A7C"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777" w:type="dxa"/>
            <w:tcBorders>
              <w:top w:val="single" w:sz="4" w:space="0" w:color="000000"/>
              <w:left w:val="single" w:sz="4" w:space="0" w:color="000000"/>
              <w:bottom w:val="single" w:sz="4" w:space="0" w:color="000000"/>
              <w:right w:val="single" w:sz="4" w:space="0" w:color="000000"/>
            </w:tcBorders>
            <w:vAlign w:val="center"/>
          </w:tcPr>
          <w:p w14:paraId="7FFC3603"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Yes</w:t>
            </w:r>
          </w:p>
        </w:tc>
      </w:tr>
      <w:tr w:rsidR="009467A3" w14:paraId="63FC743E"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69027B37" w14:textId="77777777" w:rsidR="009467A3" w:rsidRDefault="00000000">
            <w:pPr>
              <w:autoSpaceDE w:val="0"/>
              <w:spacing w:after="0"/>
              <w:rPr>
                <w:rFonts w:ascii="Times New Roman" w:hAnsi="Times New Roman"/>
                <w:bCs/>
                <w:color w:val="000000"/>
                <w:sz w:val="24"/>
                <w:szCs w:val="24"/>
              </w:rPr>
            </w:pPr>
            <w:r>
              <w:rPr>
                <w:rFonts w:ascii="Times New Roman" w:hAnsi="Times New Roman"/>
                <w:color w:val="000000"/>
                <w:sz w:val="24"/>
                <w:szCs w:val="24"/>
              </w:rPr>
              <w:t>CYP2D6 inhibitor</w:t>
            </w:r>
          </w:p>
        </w:tc>
        <w:tc>
          <w:tcPr>
            <w:tcW w:w="1421" w:type="dxa"/>
            <w:tcBorders>
              <w:top w:val="single" w:sz="4" w:space="0" w:color="000000"/>
              <w:left w:val="single" w:sz="4" w:space="0" w:color="000000"/>
              <w:bottom w:val="single" w:sz="4" w:space="0" w:color="000000"/>
              <w:right w:val="single" w:sz="4" w:space="0" w:color="000000"/>
            </w:tcBorders>
            <w:vAlign w:val="center"/>
          </w:tcPr>
          <w:p w14:paraId="1F3DDAFA"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688" w:type="dxa"/>
            <w:tcBorders>
              <w:top w:val="single" w:sz="4" w:space="0" w:color="000000"/>
              <w:left w:val="single" w:sz="4" w:space="0" w:color="000000"/>
              <w:bottom w:val="single" w:sz="4" w:space="0" w:color="000000"/>
              <w:right w:val="single" w:sz="4" w:space="0" w:color="000000"/>
            </w:tcBorders>
            <w:vAlign w:val="center"/>
          </w:tcPr>
          <w:p w14:paraId="2306752D"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777" w:type="dxa"/>
            <w:tcBorders>
              <w:top w:val="single" w:sz="4" w:space="0" w:color="000000"/>
              <w:left w:val="single" w:sz="4" w:space="0" w:color="000000"/>
              <w:bottom w:val="single" w:sz="4" w:space="0" w:color="000000"/>
              <w:right w:val="single" w:sz="4" w:space="0" w:color="000000"/>
            </w:tcBorders>
            <w:vAlign w:val="center"/>
          </w:tcPr>
          <w:p w14:paraId="49C9F658"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r>
      <w:tr w:rsidR="009467A3" w14:paraId="5A45761C"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vAlign w:val="center"/>
          </w:tcPr>
          <w:p w14:paraId="67046C67" w14:textId="77777777" w:rsidR="009467A3" w:rsidRDefault="00000000">
            <w:pPr>
              <w:autoSpaceDE w:val="0"/>
              <w:spacing w:after="0"/>
              <w:rPr>
                <w:rFonts w:ascii="Times New Roman" w:hAnsi="Times New Roman"/>
                <w:color w:val="000000"/>
                <w:sz w:val="24"/>
                <w:szCs w:val="24"/>
              </w:rPr>
            </w:pPr>
            <w:r>
              <w:rPr>
                <w:rFonts w:ascii="Times New Roman" w:hAnsi="Times New Roman"/>
                <w:color w:val="000000"/>
                <w:sz w:val="24"/>
                <w:szCs w:val="24"/>
              </w:rPr>
              <w:t>CYP3A4 inhibitor</w:t>
            </w:r>
          </w:p>
        </w:tc>
        <w:tc>
          <w:tcPr>
            <w:tcW w:w="1421" w:type="dxa"/>
            <w:tcBorders>
              <w:top w:val="single" w:sz="4" w:space="0" w:color="000000"/>
              <w:left w:val="single" w:sz="4" w:space="0" w:color="000000"/>
              <w:bottom w:val="single" w:sz="4" w:space="0" w:color="000000"/>
              <w:right w:val="single" w:sz="4" w:space="0" w:color="000000"/>
            </w:tcBorders>
            <w:vAlign w:val="center"/>
          </w:tcPr>
          <w:p w14:paraId="2FBF8B41"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688" w:type="dxa"/>
            <w:tcBorders>
              <w:top w:val="single" w:sz="4" w:space="0" w:color="000000"/>
              <w:left w:val="single" w:sz="4" w:space="0" w:color="000000"/>
              <w:bottom w:val="single" w:sz="4" w:space="0" w:color="000000"/>
              <w:right w:val="single" w:sz="4" w:space="0" w:color="000000"/>
            </w:tcBorders>
            <w:vAlign w:val="center"/>
          </w:tcPr>
          <w:p w14:paraId="624DFC4D"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c>
          <w:tcPr>
            <w:tcW w:w="1777" w:type="dxa"/>
            <w:tcBorders>
              <w:top w:val="single" w:sz="4" w:space="0" w:color="000000"/>
              <w:left w:val="single" w:sz="4" w:space="0" w:color="000000"/>
              <w:bottom w:val="single" w:sz="4" w:space="0" w:color="000000"/>
              <w:right w:val="single" w:sz="4" w:space="0" w:color="000000"/>
            </w:tcBorders>
            <w:vAlign w:val="center"/>
          </w:tcPr>
          <w:p w14:paraId="64D4FEF2"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No</w:t>
            </w:r>
          </w:p>
        </w:tc>
      </w:tr>
      <w:tr w:rsidR="009467A3" w14:paraId="7CE712C1" w14:textId="77777777">
        <w:trPr>
          <w:trHeight w:val="382"/>
          <w:jc w:val="center"/>
        </w:trPr>
        <w:tc>
          <w:tcPr>
            <w:tcW w:w="2375" w:type="dxa"/>
            <w:tcBorders>
              <w:top w:val="single" w:sz="4" w:space="0" w:color="000000"/>
              <w:left w:val="single" w:sz="4" w:space="0" w:color="000000"/>
              <w:bottom w:val="single" w:sz="4" w:space="0" w:color="000000"/>
              <w:right w:val="single" w:sz="4" w:space="0" w:color="000000"/>
            </w:tcBorders>
          </w:tcPr>
          <w:p w14:paraId="35D0F51A" w14:textId="77777777" w:rsidR="009467A3" w:rsidRDefault="00000000">
            <w:pPr>
              <w:spacing w:after="0"/>
              <w:ind w:right="-540"/>
              <w:rPr>
                <w:rFonts w:ascii="Times New Roman" w:hAnsi="Times New Roman"/>
                <w:bCs/>
                <w:color w:val="000000"/>
                <w:sz w:val="24"/>
                <w:szCs w:val="24"/>
              </w:rPr>
            </w:pPr>
            <w:r>
              <w:rPr>
                <w:rFonts w:ascii="Times New Roman" w:hAnsi="Times New Roman"/>
                <w:color w:val="000000"/>
                <w:sz w:val="24"/>
                <w:szCs w:val="24"/>
              </w:rPr>
              <w:t xml:space="preserve">Log </w:t>
            </w:r>
            <w:proofErr w:type="spellStart"/>
            <w:proofErr w:type="gramStart"/>
            <w:r>
              <w:rPr>
                <w:rFonts w:ascii="Times New Roman" w:hAnsi="Times New Roman"/>
                <w:i/>
                <w:iCs/>
                <w:color w:val="000000"/>
                <w:sz w:val="24"/>
                <w:szCs w:val="24"/>
              </w:rPr>
              <w:t>K</w:t>
            </w:r>
            <w:r>
              <w:rPr>
                <w:rFonts w:ascii="Times New Roman" w:hAnsi="Times New Roman"/>
                <w:color w:val="000000"/>
                <w:sz w:val="24"/>
                <w:szCs w:val="24"/>
              </w:rPr>
              <w:t>p</w:t>
            </w:r>
            <w:proofErr w:type="spellEnd"/>
            <w:r>
              <w:rPr>
                <w:rFonts w:ascii="Times New Roman" w:hAnsi="Times New Roman"/>
                <w:color w:val="000000"/>
                <w:sz w:val="24"/>
                <w:szCs w:val="24"/>
              </w:rPr>
              <w:t xml:space="preserve">  (</w:t>
            </w:r>
            <w:proofErr w:type="gramEnd"/>
            <w:r>
              <w:rPr>
                <w:rFonts w:ascii="Times New Roman" w:hAnsi="Times New Roman"/>
                <w:color w:val="000000"/>
                <w:sz w:val="24"/>
                <w:szCs w:val="24"/>
              </w:rPr>
              <w:t>cm/s)</w:t>
            </w:r>
          </w:p>
        </w:tc>
        <w:tc>
          <w:tcPr>
            <w:tcW w:w="1421" w:type="dxa"/>
            <w:tcBorders>
              <w:top w:val="single" w:sz="4" w:space="0" w:color="000000"/>
              <w:left w:val="single" w:sz="4" w:space="0" w:color="000000"/>
              <w:bottom w:val="single" w:sz="4" w:space="0" w:color="000000"/>
              <w:right w:val="single" w:sz="4" w:space="0" w:color="000000"/>
            </w:tcBorders>
            <w:vAlign w:val="center"/>
          </w:tcPr>
          <w:p w14:paraId="2C57B39F"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-2.60</w:t>
            </w:r>
          </w:p>
        </w:tc>
        <w:tc>
          <w:tcPr>
            <w:tcW w:w="1688" w:type="dxa"/>
            <w:tcBorders>
              <w:top w:val="single" w:sz="4" w:space="0" w:color="000000"/>
              <w:left w:val="single" w:sz="4" w:space="0" w:color="000000"/>
              <w:bottom w:val="single" w:sz="4" w:space="0" w:color="000000"/>
              <w:right w:val="single" w:sz="4" w:space="0" w:color="000000"/>
            </w:tcBorders>
            <w:vAlign w:val="center"/>
          </w:tcPr>
          <w:p w14:paraId="3B92B80C"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-2.19</w:t>
            </w:r>
          </w:p>
        </w:tc>
        <w:tc>
          <w:tcPr>
            <w:tcW w:w="1777" w:type="dxa"/>
            <w:tcBorders>
              <w:top w:val="single" w:sz="4" w:space="0" w:color="000000"/>
              <w:left w:val="single" w:sz="4" w:space="0" w:color="000000"/>
              <w:bottom w:val="single" w:sz="4" w:space="0" w:color="000000"/>
              <w:right w:val="single" w:sz="4" w:space="0" w:color="000000"/>
            </w:tcBorders>
            <w:vAlign w:val="center"/>
          </w:tcPr>
          <w:p w14:paraId="06AB83AC" w14:textId="77777777" w:rsidR="009467A3" w:rsidRDefault="00000000">
            <w:pPr>
              <w:spacing w:after="0"/>
              <w:ind w:right="-108"/>
              <w:jc w:val="center"/>
              <w:rPr>
                <w:rFonts w:ascii="Times New Roman" w:hAnsi="Times New Roman"/>
                <w:color w:val="000000"/>
                <w:sz w:val="24"/>
                <w:szCs w:val="24"/>
              </w:rPr>
            </w:pPr>
            <w:r>
              <w:rPr>
                <w:rFonts w:ascii="Times New Roman" w:hAnsi="Times New Roman"/>
                <w:color w:val="000000"/>
                <w:sz w:val="24"/>
                <w:szCs w:val="24"/>
              </w:rPr>
              <w:t>-2.77</w:t>
            </w:r>
          </w:p>
        </w:tc>
      </w:tr>
    </w:tbl>
    <w:p w14:paraId="47C77BEF" w14:textId="77777777" w:rsidR="009467A3" w:rsidRDefault="009467A3">
      <w:pPr>
        <w:spacing w:after="0" w:line="360" w:lineRule="auto"/>
        <w:ind w:right="-360"/>
        <w:rPr>
          <w:rFonts w:ascii="Times New Roman" w:hAnsi="Times New Roman"/>
          <w:color w:val="000000"/>
          <w:sz w:val="24"/>
          <w:szCs w:val="24"/>
        </w:rPr>
      </w:pPr>
    </w:p>
    <w:p w14:paraId="4AEA698C" w14:textId="77777777" w:rsidR="009467A3" w:rsidRDefault="00000000">
      <w:pPr>
        <w:spacing w:after="0" w:line="360" w:lineRule="auto"/>
        <w:jc w:val="center"/>
      </w:pPr>
      <w:r>
        <w:rPr>
          <w:rFonts w:ascii="Times New Roman" w:hAnsi="Times New Roman"/>
          <w:b/>
          <w:bCs/>
          <w:color w:val="000000"/>
          <w:sz w:val="24"/>
          <w:szCs w:val="24"/>
        </w:rPr>
        <w:t>Table 4</w:t>
      </w:r>
      <w:r>
        <w:rPr>
          <w:rFonts w:ascii="Times New Roman" w:hAnsi="Times New Roman"/>
          <w:b/>
          <w:bCs/>
          <w:i/>
          <w:color w:val="000000"/>
          <w:sz w:val="24"/>
          <w:szCs w:val="24"/>
        </w:rPr>
        <w:t xml:space="preserve"> </w:t>
      </w:r>
      <w:r>
        <w:rPr>
          <w:rFonts w:ascii="Times New Roman" w:hAnsi="Times New Roman"/>
          <w:bCs/>
          <w:color w:val="000000"/>
          <w:sz w:val="24"/>
          <w:szCs w:val="24"/>
        </w:rPr>
        <w:t xml:space="preserve">Molecular Docking score for bioactive compounds in </w:t>
      </w:r>
      <w:r>
        <w:rPr>
          <w:rFonts w:ascii="Times New Roman" w:hAnsi="Times New Roman"/>
          <w:bCs/>
          <w:i/>
          <w:color w:val="000000"/>
          <w:sz w:val="24"/>
          <w:szCs w:val="24"/>
        </w:rPr>
        <w:t xml:space="preserve">B. </w:t>
      </w:r>
      <w:proofErr w:type="spellStart"/>
      <w:r>
        <w:rPr>
          <w:rFonts w:ascii="Times New Roman" w:hAnsi="Times New Roman"/>
          <w:bCs/>
          <w:i/>
          <w:color w:val="000000"/>
          <w:sz w:val="24"/>
          <w:szCs w:val="24"/>
        </w:rPr>
        <w:t>longiflora</w:t>
      </w:r>
      <w:proofErr w:type="spellEnd"/>
      <w:r>
        <w:t xml:space="preserve"> against target proteins</w:t>
      </w:r>
    </w:p>
    <w:tbl>
      <w:tblPr>
        <w:tblW w:w="7830" w:type="dxa"/>
        <w:jc w:val="center"/>
        <w:tblLayout w:type="fixed"/>
        <w:tblLook w:val="0000" w:firstRow="0" w:lastRow="0" w:firstColumn="0" w:lastColumn="0" w:noHBand="0" w:noVBand="0"/>
      </w:tblPr>
      <w:tblGrid>
        <w:gridCol w:w="3101"/>
        <w:gridCol w:w="1899"/>
        <w:gridCol w:w="1442"/>
        <w:gridCol w:w="1388"/>
      </w:tblGrid>
      <w:tr w:rsidR="009467A3" w14:paraId="6013EA76" w14:textId="77777777">
        <w:trPr>
          <w:trHeight w:val="23"/>
          <w:jc w:val="center"/>
        </w:trPr>
        <w:tc>
          <w:tcPr>
            <w:tcW w:w="3101" w:type="dxa"/>
            <w:tcBorders>
              <w:top w:val="single" w:sz="4" w:space="0" w:color="000000"/>
              <w:left w:val="single" w:sz="4" w:space="0" w:color="000000"/>
              <w:bottom w:val="single" w:sz="4" w:space="0" w:color="000000"/>
              <w:right w:val="single" w:sz="4" w:space="0" w:color="000000"/>
            </w:tcBorders>
            <w:vAlign w:val="center"/>
          </w:tcPr>
          <w:p w14:paraId="1DE00504" w14:textId="77777777" w:rsidR="009467A3" w:rsidRDefault="00000000">
            <w:pPr>
              <w:spacing w:after="0"/>
              <w:jc w:val="center"/>
              <w:rPr>
                <w:rFonts w:ascii="Times New Roman" w:hAnsi="Times New Roman"/>
                <w:b/>
                <w:bCs/>
                <w:color w:val="000000"/>
                <w:sz w:val="24"/>
                <w:szCs w:val="24"/>
              </w:rPr>
            </w:pPr>
            <w:r>
              <w:rPr>
                <w:rFonts w:ascii="Times New Roman" w:hAnsi="Times New Roman"/>
                <w:b/>
                <w:bCs/>
                <w:color w:val="000000"/>
                <w:sz w:val="24"/>
                <w:szCs w:val="24"/>
              </w:rPr>
              <w:t>Target Protein</w:t>
            </w:r>
          </w:p>
          <w:p w14:paraId="362D262C" w14:textId="77777777" w:rsidR="009467A3" w:rsidRDefault="00000000">
            <w:pPr>
              <w:spacing w:after="0"/>
              <w:jc w:val="center"/>
              <w:rPr>
                <w:rFonts w:ascii="Times New Roman" w:hAnsi="Times New Roman"/>
                <w:b/>
                <w:bCs/>
                <w:color w:val="000000"/>
                <w:sz w:val="24"/>
                <w:szCs w:val="24"/>
              </w:rPr>
            </w:pPr>
            <w:r>
              <w:rPr>
                <w:rFonts w:ascii="Times New Roman" w:hAnsi="Times New Roman"/>
                <w:b/>
                <w:bCs/>
                <w:color w:val="000000"/>
                <w:sz w:val="24"/>
                <w:szCs w:val="24"/>
              </w:rPr>
              <w:t>(PDB ID)</w:t>
            </w:r>
          </w:p>
        </w:tc>
        <w:tc>
          <w:tcPr>
            <w:tcW w:w="1899" w:type="dxa"/>
            <w:tcBorders>
              <w:top w:val="single" w:sz="4" w:space="0" w:color="000000"/>
              <w:left w:val="single" w:sz="4" w:space="0" w:color="000000"/>
              <w:bottom w:val="single" w:sz="4" w:space="0" w:color="000000"/>
              <w:right w:val="single" w:sz="4" w:space="0" w:color="000000"/>
            </w:tcBorders>
            <w:vAlign w:val="center"/>
          </w:tcPr>
          <w:p w14:paraId="7D1E36E7" w14:textId="77777777" w:rsidR="009467A3" w:rsidRDefault="00000000">
            <w:pPr>
              <w:spacing w:after="0"/>
              <w:jc w:val="center"/>
              <w:rPr>
                <w:rFonts w:ascii="Times New Roman" w:hAnsi="Times New Roman"/>
                <w:b/>
                <w:bCs/>
                <w:color w:val="000000"/>
                <w:sz w:val="24"/>
                <w:szCs w:val="24"/>
              </w:rPr>
            </w:pPr>
            <w:r>
              <w:rPr>
                <w:rFonts w:ascii="Times New Roman" w:hAnsi="Times New Roman"/>
                <w:b/>
                <w:bCs/>
                <w:color w:val="000000"/>
                <w:sz w:val="24"/>
                <w:szCs w:val="24"/>
              </w:rPr>
              <w:t xml:space="preserve">Phytocompound </w:t>
            </w:r>
          </w:p>
        </w:tc>
        <w:tc>
          <w:tcPr>
            <w:tcW w:w="1442" w:type="dxa"/>
            <w:tcBorders>
              <w:top w:val="single" w:sz="4" w:space="0" w:color="000000"/>
              <w:left w:val="single" w:sz="4" w:space="0" w:color="000000"/>
              <w:bottom w:val="single" w:sz="4" w:space="0" w:color="000000"/>
              <w:right w:val="single" w:sz="4" w:space="0" w:color="000000"/>
            </w:tcBorders>
            <w:vAlign w:val="center"/>
          </w:tcPr>
          <w:p w14:paraId="0B2D42B8" w14:textId="77777777" w:rsidR="009467A3" w:rsidRDefault="00000000">
            <w:pPr>
              <w:spacing w:after="0"/>
              <w:jc w:val="center"/>
              <w:rPr>
                <w:rFonts w:ascii="Times New Roman" w:hAnsi="Times New Roman"/>
                <w:b/>
                <w:bCs/>
                <w:color w:val="000000"/>
                <w:sz w:val="24"/>
                <w:szCs w:val="24"/>
              </w:rPr>
            </w:pPr>
            <w:r>
              <w:rPr>
                <w:rFonts w:ascii="Times New Roman" w:hAnsi="Times New Roman"/>
                <w:b/>
                <w:bCs/>
                <w:color w:val="000000"/>
                <w:sz w:val="24"/>
                <w:szCs w:val="24"/>
              </w:rPr>
              <w:t>Binding Affinity (kcal/mol)</w:t>
            </w:r>
          </w:p>
        </w:tc>
        <w:tc>
          <w:tcPr>
            <w:tcW w:w="1388" w:type="dxa"/>
            <w:tcBorders>
              <w:top w:val="single" w:sz="4" w:space="0" w:color="000000"/>
              <w:left w:val="single" w:sz="4" w:space="0" w:color="000000"/>
              <w:bottom w:val="single" w:sz="4" w:space="0" w:color="000000"/>
              <w:right w:val="single" w:sz="4" w:space="0" w:color="000000"/>
            </w:tcBorders>
            <w:vAlign w:val="center"/>
          </w:tcPr>
          <w:p w14:paraId="626537A0" w14:textId="77777777" w:rsidR="009467A3" w:rsidRDefault="00000000">
            <w:pPr>
              <w:spacing w:after="0"/>
              <w:jc w:val="center"/>
              <w:rPr>
                <w:rFonts w:ascii="Times New Roman" w:hAnsi="Times New Roman"/>
                <w:b/>
                <w:bCs/>
                <w:color w:val="000000"/>
                <w:sz w:val="24"/>
                <w:szCs w:val="24"/>
              </w:rPr>
            </w:pPr>
            <w:r>
              <w:rPr>
                <w:rFonts w:ascii="Times New Roman" w:hAnsi="Times New Roman"/>
                <w:b/>
                <w:bCs/>
                <w:color w:val="000000"/>
                <w:sz w:val="24"/>
                <w:szCs w:val="24"/>
              </w:rPr>
              <w:t>Number Hydrogen Bond</w:t>
            </w:r>
          </w:p>
        </w:tc>
      </w:tr>
      <w:tr w:rsidR="009467A3" w14:paraId="092BDE57" w14:textId="77777777">
        <w:trPr>
          <w:trHeight w:val="23"/>
          <w:jc w:val="center"/>
        </w:trPr>
        <w:tc>
          <w:tcPr>
            <w:tcW w:w="3101" w:type="dxa"/>
            <w:vMerge w:val="restart"/>
            <w:tcBorders>
              <w:top w:val="single" w:sz="4" w:space="0" w:color="000000"/>
              <w:left w:val="single" w:sz="4" w:space="0" w:color="000000"/>
              <w:bottom w:val="single" w:sz="4" w:space="0" w:color="000000"/>
              <w:right w:val="single" w:sz="4" w:space="0" w:color="000000"/>
            </w:tcBorders>
            <w:vAlign w:val="center"/>
          </w:tcPr>
          <w:p w14:paraId="77169BF0" w14:textId="77777777" w:rsidR="009467A3" w:rsidRDefault="00000000">
            <w:pPr>
              <w:spacing w:after="0"/>
              <w:rPr>
                <w:rFonts w:ascii="Times New Roman" w:hAnsi="Times New Roman"/>
                <w:bCs/>
                <w:color w:val="000000"/>
                <w:sz w:val="24"/>
                <w:szCs w:val="24"/>
              </w:rPr>
            </w:pPr>
            <w:r>
              <w:rPr>
                <w:rFonts w:ascii="Times New Roman" w:hAnsi="Times New Roman"/>
                <w:color w:val="000000"/>
                <w:sz w:val="24"/>
                <w:szCs w:val="24"/>
              </w:rPr>
              <w:t>Aldose Reductase Enzyme (2FZD)</w:t>
            </w:r>
          </w:p>
        </w:tc>
        <w:tc>
          <w:tcPr>
            <w:tcW w:w="1899" w:type="dxa"/>
            <w:tcBorders>
              <w:top w:val="single" w:sz="4" w:space="0" w:color="000000"/>
              <w:left w:val="single" w:sz="4" w:space="0" w:color="000000"/>
              <w:bottom w:val="single" w:sz="4" w:space="0" w:color="000000"/>
              <w:right w:val="single" w:sz="4" w:space="0" w:color="000000"/>
            </w:tcBorders>
            <w:vAlign w:val="center"/>
          </w:tcPr>
          <w:p w14:paraId="396935AE"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Oleic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143D38D8"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-5.6</w:t>
            </w:r>
          </w:p>
        </w:tc>
        <w:tc>
          <w:tcPr>
            <w:tcW w:w="1388" w:type="dxa"/>
            <w:tcBorders>
              <w:top w:val="single" w:sz="4" w:space="0" w:color="000000"/>
              <w:left w:val="single" w:sz="4" w:space="0" w:color="000000"/>
              <w:bottom w:val="single" w:sz="4" w:space="0" w:color="000000"/>
              <w:right w:val="single" w:sz="4" w:space="0" w:color="000000"/>
            </w:tcBorders>
            <w:vAlign w:val="center"/>
          </w:tcPr>
          <w:p w14:paraId="0BBA67C6"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3</w:t>
            </w:r>
          </w:p>
        </w:tc>
      </w:tr>
      <w:tr w:rsidR="009467A3" w14:paraId="26C5862A" w14:textId="77777777">
        <w:trPr>
          <w:trHeight w:val="23"/>
          <w:jc w:val="center"/>
        </w:trPr>
        <w:tc>
          <w:tcPr>
            <w:tcW w:w="3101" w:type="dxa"/>
            <w:vMerge/>
            <w:tcBorders>
              <w:top w:val="single" w:sz="4" w:space="0" w:color="000000"/>
              <w:left w:val="single" w:sz="4" w:space="0" w:color="000000"/>
              <w:bottom w:val="single" w:sz="4" w:space="0" w:color="000000"/>
              <w:right w:val="single" w:sz="4" w:space="0" w:color="000000"/>
            </w:tcBorders>
            <w:vAlign w:val="center"/>
          </w:tcPr>
          <w:p w14:paraId="72FD670D" w14:textId="77777777" w:rsidR="009467A3" w:rsidRDefault="009467A3">
            <w:pPr>
              <w:snapToGrid w:val="0"/>
              <w:spacing w:after="0"/>
              <w:rPr>
                <w:rFonts w:ascii="Times New Roman" w:hAnsi="Times New Roman"/>
                <w:bCs/>
                <w:color w:val="000000"/>
                <w:sz w:val="24"/>
                <w:szCs w:val="24"/>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7E674771"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Stearic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5B2CC5A4"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-7.3</w:t>
            </w:r>
          </w:p>
        </w:tc>
        <w:tc>
          <w:tcPr>
            <w:tcW w:w="1388" w:type="dxa"/>
            <w:tcBorders>
              <w:top w:val="single" w:sz="4" w:space="0" w:color="000000"/>
              <w:left w:val="single" w:sz="4" w:space="0" w:color="000000"/>
              <w:bottom w:val="single" w:sz="4" w:space="0" w:color="000000"/>
              <w:right w:val="single" w:sz="4" w:space="0" w:color="000000"/>
            </w:tcBorders>
            <w:vAlign w:val="center"/>
          </w:tcPr>
          <w:p w14:paraId="5FA70DB3"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4</w:t>
            </w:r>
          </w:p>
        </w:tc>
      </w:tr>
      <w:tr w:rsidR="009467A3" w14:paraId="3B6B3A7F" w14:textId="77777777">
        <w:trPr>
          <w:trHeight w:val="23"/>
          <w:jc w:val="center"/>
        </w:trPr>
        <w:tc>
          <w:tcPr>
            <w:tcW w:w="3101" w:type="dxa"/>
            <w:vMerge/>
            <w:tcBorders>
              <w:top w:val="single" w:sz="4" w:space="0" w:color="000000"/>
              <w:left w:val="single" w:sz="4" w:space="0" w:color="000000"/>
              <w:bottom w:val="single" w:sz="4" w:space="0" w:color="000000"/>
              <w:right w:val="single" w:sz="4" w:space="0" w:color="000000"/>
            </w:tcBorders>
            <w:vAlign w:val="center"/>
          </w:tcPr>
          <w:p w14:paraId="02B8AF96" w14:textId="77777777" w:rsidR="009467A3" w:rsidRDefault="009467A3">
            <w:pPr>
              <w:snapToGrid w:val="0"/>
              <w:spacing w:after="0"/>
              <w:rPr>
                <w:rFonts w:ascii="Times New Roman" w:hAnsi="Times New Roman"/>
                <w:bCs/>
                <w:color w:val="000000"/>
                <w:sz w:val="24"/>
                <w:szCs w:val="24"/>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0234B50F"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Palmitic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3B12B055"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-6.1</w:t>
            </w:r>
          </w:p>
        </w:tc>
        <w:tc>
          <w:tcPr>
            <w:tcW w:w="1388" w:type="dxa"/>
            <w:tcBorders>
              <w:top w:val="single" w:sz="4" w:space="0" w:color="000000"/>
              <w:left w:val="single" w:sz="4" w:space="0" w:color="000000"/>
              <w:bottom w:val="single" w:sz="4" w:space="0" w:color="000000"/>
              <w:right w:val="single" w:sz="4" w:space="0" w:color="000000"/>
            </w:tcBorders>
            <w:vAlign w:val="center"/>
          </w:tcPr>
          <w:p w14:paraId="570379F9"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1</w:t>
            </w:r>
          </w:p>
        </w:tc>
      </w:tr>
      <w:tr w:rsidR="009467A3" w14:paraId="452C9D67" w14:textId="77777777">
        <w:trPr>
          <w:trHeight w:val="23"/>
          <w:jc w:val="center"/>
        </w:trPr>
        <w:tc>
          <w:tcPr>
            <w:tcW w:w="3101" w:type="dxa"/>
            <w:vMerge w:val="restart"/>
            <w:tcBorders>
              <w:top w:val="single" w:sz="4" w:space="0" w:color="000000"/>
              <w:left w:val="single" w:sz="4" w:space="0" w:color="000000"/>
              <w:bottom w:val="single" w:sz="4" w:space="0" w:color="000000"/>
              <w:right w:val="single" w:sz="4" w:space="0" w:color="000000"/>
            </w:tcBorders>
            <w:vAlign w:val="center"/>
          </w:tcPr>
          <w:p w14:paraId="1BAFE957" w14:textId="77777777" w:rsidR="009467A3" w:rsidRDefault="00000000">
            <w:pPr>
              <w:spacing w:after="0"/>
              <w:rPr>
                <w:rFonts w:ascii="Times New Roman" w:hAnsi="Times New Roman"/>
                <w:bCs/>
                <w:color w:val="000000"/>
                <w:sz w:val="24"/>
                <w:szCs w:val="24"/>
              </w:rPr>
            </w:pPr>
            <w:r>
              <w:rPr>
                <w:rFonts w:ascii="Times New Roman" w:hAnsi="Times New Roman"/>
                <w:color w:val="000000"/>
                <w:sz w:val="24"/>
                <w:szCs w:val="24"/>
              </w:rPr>
              <w:t>Crystal structure of extracellular domain of human HER2 (1N8Z),</w:t>
            </w:r>
          </w:p>
        </w:tc>
        <w:tc>
          <w:tcPr>
            <w:tcW w:w="1899" w:type="dxa"/>
            <w:tcBorders>
              <w:top w:val="single" w:sz="4" w:space="0" w:color="000000"/>
              <w:left w:val="single" w:sz="4" w:space="0" w:color="000000"/>
              <w:bottom w:val="single" w:sz="4" w:space="0" w:color="000000"/>
              <w:right w:val="single" w:sz="4" w:space="0" w:color="000000"/>
            </w:tcBorders>
            <w:vAlign w:val="center"/>
          </w:tcPr>
          <w:p w14:paraId="469761DB"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Oleic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3891F1B1"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-5.3</w:t>
            </w:r>
          </w:p>
        </w:tc>
        <w:tc>
          <w:tcPr>
            <w:tcW w:w="1388" w:type="dxa"/>
            <w:tcBorders>
              <w:top w:val="single" w:sz="4" w:space="0" w:color="000000"/>
              <w:left w:val="single" w:sz="4" w:space="0" w:color="000000"/>
              <w:bottom w:val="single" w:sz="4" w:space="0" w:color="000000"/>
              <w:right w:val="single" w:sz="4" w:space="0" w:color="000000"/>
            </w:tcBorders>
            <w:vAlign w:val="center"/>
          </w:tcPr>
          <w:p w14:paraId="51F1D2B0"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2</w:t>
            </w:r>
          </w:p>
        </w:tc>
      </w:tr>
      <w:tr w:rsidR="009467A3" w14:paraId="69377A3C" w14:textId="77777777">
        <w:trPr>
          <w:trHeight w:val="23"/>
          <w:jc w:val="center"/>
        </w:trPr>
        <w:tc>
          <w:tcPr>
            <w:tcW w:w="3101" w:type="dxa"/>
            <w:vMerge/>
            <w:tcBorders>
              <w:top w:val="single" w:sz="4" w:space="0" w:color="000000"/>
              <w:left w:val="single" w:sz="4" w:space="0" w:color="000000"/>
              <w:bottom w:val="single" w:sz="4" w:space="0" w:color="000000"/>
              <w:right w:val="single" w:sz="4" w:space="0" w:color="000000"/>
            </w:tcBorders>
            <w:vAlign w:val="center"/>
          </w:tcPr>
          <w:p w14:paraId="5B9F4EBC" w14:textId="77777777" w:rsidR="009467A3" w:rsidRDefault="009467A3">
            <w:pPr>
              <w:snapToGrid w:val="0"/>
              <w:spacing w:after="0"/>
              <w:rPr>
                <w:rFonts w:ascii="Times New Roman" w:hAnsi="Times New Roman"/>
                <w:bCs/>
                <w:color w:val="000000"/>
                <w:sz w:val="24"/>
                <w:szCs w:val="24"/>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099C65BB"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Stearic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4FF76BD5"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-4.8</w:t>
            </w:r>
          </w:p>
        </w:tc>
        <w:tc>
          <w:tcPr>
            <w:tcW w:w="1388" w:type="dxa"/>
            <w:tcBorders>
              <w:top w:val="single" w:sz="4" w:space="0" w:color="000000"/>
              <w:left w:val="single" w:sz="4" w:space="0" w:color="000000"/>
              <w:bottom w:val="single" w:sz="4" w:space="0" w:color="000000"/>
              <w:right w:val="single" w:sz="4" w:space="0" w:color="000000"/>
            </w:tcBorders>
            <w:vAlign w:val="center"/>
          </w:tcPr>
          <w:p w14:paraId="61F0AD5C"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3</w:t>
            </w:r>
          </w:p>
        </w:tc>
      </w:tr>
      <w:tr w:rsidR="009467A3" w14:paraId="5ABC248F" w14:textId="77777777">
        <w:trPr>
          <w:trHeight w:val="23"/>
          <w:jc w:val="center"/>
        </w:trPr>
        <w:tc>
          <w:tcPr>
            <w:tcW w:w="3101" w:type="dxa"/>
            <w:vMerge/>
            <w:tcBorders>
              <w:top w:val="single" w:sz="4" w:space="0" w:color="000000"/>
              <w:left w:val="single" w:sz="4" w:space="0" w:color="000000"/>
              <w:bottom w:val="single" w:sz="4" w:space="0" w:color="000000"/>
              <w:right w:val="single" w:sz="4" w:space="0" w:color="000000"/>
            </w:tcBorders>
            <w:vAlign w:val="center"/>
          </w:tcPr>
          <w:p w14:paraId="10594B82" w14:textId="77777777" w:rsidR="009467A3" w:rsidRDefault="009467A3">
            <w:pPr>
              <w:snapToGrid w:val="0"/>
              <w:spacing w:after="0"/>
              <w:rPr>
                <w:rFonts w:ascii="Times New Roman" w:hAnsi="Times New Roman"/>
                <w:bCs/>
                <w:color w:val="000000"/>
                <w:sz w:val="24"/>
                <w:szCs w:val="24"/>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4CB2696E"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Palmitic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73838B6E"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-4.7</w:t>
            </w:r>
          </w:p>
        </w:tc>
        <w:tc>
          <w:tcPr>
            <w:tcW w:w="1388" w:type="dxa"/>
            <w:tcBorders>
              <w:top w:val="single" w:sz="4" w:space="0" w:color="000000"/>
              <w:left w:val="single" w:sz="4" w:space="0" w:color="000000"/>
              <w:bottom w:val="single" w:sz="4" w:space="0" w:color="000000"/>
              <w:right w:val="single" w:sz="4" w:space="0" w:color="000000"/>
            </w:tcBorders>
            <w:vAlign w:val="center"/>
          </w:tcPr>
          <w:p w14:paraId="1888FF70"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3</w:t>
            </w:r>
          </w:p>
        </w:tc>
      </w:tr>
      <w:tr w:rsidR="009467A3" w14:paraId="27FCE20B" w14:textId="77777777">
        <w:trPr>
          <w:trHeight w:val="23"/>
          <w:jc w:val="center"/>
        </w:trPr>
        <w:tc>
          <w:tcPr>
            <w:tcW w:w="3101" w:type="dxa"/>
            <w:vMerge w:val="restart"/>
            <w:tcBorders>
              <w:top w:val="single" w:sz="4" w:space="0" w:color="000000"/>
              <w:left w:val="single" w:sz="4" w:space="0" w:color="000000"/>
              <w:bottom w:val="single" w:sz="4" w:space="0" w:color="000000"/>
              <w:right w:val="single" w:sz="4" w:space="0" w:color="000000"/>
            </w:tcBorders>
            <w:vAlign w:val="center"/>
          </w:tcPr>
          <w:p w14:paraId="7ED3569D" w14:textId="77777777" w:rsidR="009467A3" w:rsidRDefault="00000000">
            <w:pPr>
              <w:spacing w:after="0"/>
              <w:rPr>
                <w:rFonts w:ascii="Times New Roman" w:hAnsi="Times New Roman"/>
                <w:bCs/>
                <w:color w:val="000000"/>
                <w:sz w:val="24"/>
                <w:szCs w:val="24"/>
              </w:rPr>
            </w:pPr>
            <w:r>
              <w:rPr>
                <w:rFonts w:ascii="Times New Roman" w:hAnsi="Times New Roman"/>
                <w:color w:val="000000"/>
                <w:sz w:val="24"/>
                <w:szCs w:val="24"/>
              </w:rPr>
              <w:t>Cyclooxygenase (6COX) protein</w:t>
            </w:r>
          </w:p>
        </w:tc>
        <w:tc>
          <w:tcPr>
            <w:tcW w:w="1899" w:type="dxa"/>
            <w:tcBorders>
              <w:top w:val="single" w:sz="4" w:space="0" w:color="000000"/>
              <w:left w:val="single" w:sz="4" w:space="0" w:color="000000"/>
              <w:bottom w:val="single" w:sz="4" w:space="0" w:color="000000"/>
              <w:right w:val="single" w:sz="4" w:space="0" w:color="000000"/>
            </w:tcBorders>
            <w:vAlign w:val="center"/>
          </w:tcPr>
          <w:p w14:paraId="0CAECEFB"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Oleic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29473619" w14:textId="77777777" w:rsidR="009467A3" w:rsidRDefault="00000000">
            <w:pPr>
              <w:spacing w:after="0"/>
              <w:jc w:val="center"/>
              <w:rPr>
                <w:rFonts w:ascii="Times New Roman" w:hAnsi="Times New Roman"/>
                <w:color w:val="000000"/>
                <w:sz w:val="24"/>
                <w:szCs w:val="24"/>
              </w:rPr>
            </w:pPr>
            <w:r>
              <w:rPr>
                <w:rFonts w:ascii="Times New Roman" w:hAnsi="Times New Roman"/>
                <w:color w:val="000000"/>
                <w:sz w:val="24"/>
                <w:szCs w:val="24"/>
              </w:rPr>
              <w:t>-5.3</w:t>
            </w:r>
          </w:p>
        </w:tc>
        <w:tc>
          <w:tcPr>
            <w:tcW w:w="1388" w:type="dxa"/>
            <w:tcBorders>
              <w:top w:val="single" w:sz="4" w:space="0" w:color="000000"/>
              <w:left w:val="single" w:sz="4" w:space="0" w:color="000000"/>
              <w:bottom w:val="single" w:sz="4" w:space="0" w:color="000000"/>
              <w:right w:val="single" w:sz="4" w:space="0" w:color="000000"/>
            </w:tcBorders>
            <w:vAlign w:val="center"/>
          </w:tcPr>
          <w:p w14:paraId="2BF3186D" w14:textId="77777777" w:rsidR="009467A3" w:rsidRDefault="00000000">
            <w:pPr>
              <w:spacing w:after="0"/>
              <w:jc w:val="center"/>
              <w:rPr>
                <w:rFonts w:ascii="Times New Roman" w:hAnsi="Times New Roman"/>
                <w:color w:val="000000"/>
                <w:sz w:val="24"/>
                <w:szCs w:val="24"/>
              </w:rPr>
            </w:pPr>
            <w:r>
              <w:rPr>
                <w:rFonts w:ascii="Times New Roman" w:hAnsi="Times New Roman"/>
                <w:color w:val="000000"/>
                <w:sz w:val="24"/>
                <w:szCs w:val="24"/>
              </w:rPr>
              <w:t>2</w:t>
            </w:r>
          </w:p>
        </w:tc>
      </w:tr>
      <w:tr w:rsidR="009467A3" w14:paraId="7DD1A66D" w14:textId="77777777">
        <w:trPr>
          <w:trHeight w:val="23"/>
          <w:jc w:val="center"/>
        </w:trPr>
        <w:tc>
          <w:tcPr>
            <w:tcW w:w="3101" w:type="dxa"/>
            <w:vMerge/>
            <w:tcBorders>
              <w:top w:val="single" w:sz="4" w:space="0" w:color="000000"/>
              <w:left w:val="single" w:sz="4" w:space="0" w:color="000000"/>
              <w:bottom w:val="single" w:sz="4" w:space="0" w:color="000000"/>
              <w:right w:val="single" w:sz="4" w:space="0" w:color="000000"/>
            </w:tcBorders>
            <w:vAlign w:val="center"/>
          </w:tcPr>
          <w:p w14:paraId="2B788EAC" w14:textId="77777777" w:rsidR="009467A3" w:rsidRDefault="009467A3">
            <w:pPr>
              <w:snapToGrid w:val="0"/>
              <w:spacing w:after="0"/>
              <w:rPr>
                <w:rFonts w:ascii="Times New Roman" w:hAnsi="Times New Roman"/>
                <w:bCs/>
                <w:color w:val="000000"/>
                <w:sz w:val="24"/>
                <w:szCs w:val="24"/>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4B062BAF"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Stearic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46C6B230"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-5.3</w:t>
            </w:r>
          </w:p>
        </w:tc>
        <w:tc>
          <w:tcPr>
            <w:tcW w:w="1388" w:type="dxa"/>
            <w:tcBorders>
              <w:top w:val="single" w:sz="4" w:space="0" w:color="000000"/>
              <w:left w:val="single" w:sz="4" w:space="0" w:color="000000"/>
              <w:bottom w:val="single" w:sz="4" w:space="0" w:color="000000"/>
              <w:right w:val="single" w:sz="4" w:space="0" w:color="000000"/>
            </w:tcBorders>
            <w:vAlign w:val="center"/>
          </w:tcPr>
          <w:p w14:paraId="4FAEBE91"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2</w:t>
            </w:r>
          </w:p>
        </w:tc>
      </w:tr>
      <w:tr w:rsidR="009467A3" w14:paraId="38AF396D" w14:textId="77777777">
        <w:trPr>
          <w:trHeight w:val="23"/>
          <w:jc w:val="center"/>
        </w:trPr>
        <w:tc>
          <w:tcPr>
            <w:tcW w:w="3101" w:type="dxa"/>
            <w:vMerge/>
            <w:tcBorders>
              <w:top w:val="single" w:sz="4" w:space="0" w:color="000000"/>
              <w:left w:val="single" w:sz="4" w:space="0" w:color="000000"/>
              <w:bottom w:val="single" w:sz="4" w:space="0" w:color="000000"/>
              <w:right w:val="single" w:sz="4" w:space="0" w:color="000000"/>
            </w:tcBorders>
            <w:vAlign w:val="center"/>
          </w:tcPr>
          <w:p w14:paraId="6EEA970F" w14:textId="77777777" w:rsidR="009467A3" w:rsidRDefault="009467A3">
            <w:pPr>
              <w:snapToGrid w:val="0"/>
              <w:spacing w:after="0"/>
              <w:rPr>
                <w:rFonts w:ascii="Times New Roman" w:hAnsi="Times New Roman"/>
                <w:bCs/>
                <w:color w:val="000000"/>
                <w:sz w:val="24"/>
                <w:szCs w:val="24"/>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38B21735"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Palmitic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2331105E"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-5.4</w:t>
            </w:r>
          </w:p>
        </w:tc>
        <w:tc>
          <w:tcPr>
            <w:tcW w:w="1388" w:type="dxa"/>
            <w:tcBorders>
              <w:top w:val="single" w:sz="4" w:space="0" w:color="000000"/>
              <w:left w:val="single" w:sz="4" w:space="0" w:color="000000"/>
              <w:bottom w:val="single" w:sz="4" w:space="0" w:color="000000"/>
              <w:right w:val="single" w:sz="4" w:space="0" w:color="000000"/>
            </w:tcBorders>
            <w:vAlign w:val="center"/>
          </w:tcPr>
          <w:p w14:paraId="2C4D9DE6"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1</w:t>
            </w:r>
          </w:p>
        </w:tc>
      </w:tr>
      <w:tr w:rsidR="009467A3" w14:paraId="43F7D1AD" w14:textId="77777777">
        <w:trPr>
          <w:trHeight w:val="23"/>
          <w:jc w:val="center"/>
        </w:trPr>
        <w:tc>
          <w:tcPr>
            <w:tcW w:w="3101" w:type="dxa"/>
            <w:vMerge w:val="restart"/>
            <w:tcBorders>
              <w:top w:val="single" w:sz="4" w:space="0" w:color="000000"/>
              <w:left w:val="single" w:sz="4" w:space="0" w:color="000000"/>
              <w:bottom w:val="single" w:sz="4" w:space="0" w:color="000000"/>
              <w:right w:val="single" w:sz="4" w:space="0" w:color="000000"/>
            </w:tcBorders>
            <w:vAlign w:val="center"/>
          </w:tcPr>
          <w:p w14:paraId="353ADF45" w14:textId="77777777" w:rsidR="009467A3" w:rsidRDefault="00000000">
            <w:pPr>
              <w:spacing w:after="0"/>
              <w:rPr>
                <w:rFonts w:ascii="Times New Roman" w:hAnsi="Times New Roman"/>
                <w:bCs/>
                <w:color w:val="000000"/>
                <w:sz w:val="24"/>
                <w:szCs w:val="24"/>
              </w:rPr>
            </w:pPr>
            <w:r>
              <w:rPr>
                <w:rFonts w:ascii="Times New Roman" w:hAnsi="Times New Roman"/>
                <w:color w:val="000000"/>
                <w:sz w:val="24"/>
                <w:szCs w:val="24"/>
              </w:rPr>
              <w:t xml:space="preserve">Sterol Carrier Protein-2 </w:t>
            </w:r>
            <w:r>
              <w:rPr>
                <w:rFonts w:ascii="Times New Roman" w:hAnsi="Times New Roman"/>
                <w:color w:val="000000"/>
                <w:sz w:val="24"/>
                <w:szCs w:val="24"/>
              </w:rPr>
              <w:lastRenderedPageBreak/>
              <w:t>(1PZ4).</w:t>
            </w:r>
          </w:p>
        </w:tc>
        <w:tc>
          <w:tcPr>
            <w:tcW w:w="1899" w:type="dxa"/>
            <w:tcBorders>
              <w:top w:val="single" w:sz="4" w:space="0" w:color="000000"/>
              <w:left w:val="single" w:sz="4" w:space="0" w:color="000000"/>
              <w:bottom w:val="single" w:sz="4" w:space="0" w:color="000000"/>
              <w:right w:val="single" w:sz="4" w:space="0" w:color="000000"/>
            </w:tcBorders>
            <w:vAlign w:val="center"/>
          </w:tcPr>
          <w:p w14:paraId="2E941749"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lastRenderedPageBreak/>
              <w:t>Oleic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024E0E5C" w14:textId="77777777" w:rsidR="009467A3" w:rsidRDefault="00000000">
            <w:pPr>
              <w:spacing w:after="0"/>
              <w:jc w:val="center"/>
              <w:rPr>
                <w:rFonts w:ascii="Times New Roman" w:hAnsi="Times New Roman"/>
                <w:color w:val="000000"/>
                <w:sz w:val="24"/>
                <w:szCs w:val="24"/>
              </w:rPr>
            </w:pPr>
            <w:r>
              <w:rPr>
                <w:rFonts w:ascii="Times New Roman" w:hAnsi="Times New Roman"/>
                <w:color w:val="000000"/>
                <w:sz w:val="24"/>
                <w:szCs w:val="24"/>
              </w:rPr>
              <w:t>-3.5</w:t>
            </w:r>
          </w:p>
        </w:tc>
        <w:tc>
          <w:tcPr>
            <w:tcW w:w="1388" w:type="dxa"/>
            <w:tcBorders>
              <w:top w:val="single" w:sz="4" w:space="0" w:color="000000"/>
              <w:left w:val="single" w:sz="4" w:space="0" w:color="000000"/>
              <w:bottom w:val="single" w:sz="4" w:space="0" w:color="000000"/>
              <w:right w:val="single" w:sz="4" w:space="0" w:color="000000"/>
            </w:tcBorders>
            <w:vAlign w:val="center"/>
          </w:tcPr>
          <w:p w14:paraId="078993CD" w14:textId="77777777" w:rsidR="009467A3" w:rsidRDefault="00000000">
            <w:pPr>
              <w:spacing w:after="0"/>
              <w:jc w:val="center"/>
              <w:rPr>
                <w:rFonts w:ascii="Times New Roman" w:hAnsi="Times New Roman"/>
                <w:color w:val="000000"/>
                <w:sz w:val="24"/>
                <w:szCs w:val="24"/>
              </w:rPr>
            </w:pPr>
            <w:r>
              <w:rPr>
                <w:rFonts w:ascii="Times New Roman" w:hAnsi="Times New Roman"/>
                <w:color w:val="000000"/>
                <w:sz w:val="24"/>
                <w:szCs w:val="24"/>
              </w:rPr>
              <w:t>2</w:t>
            </w:r>
          </w:p>
        </w:tc>
      </w:tr>
      <w:tr w:rsidR="009467A3" w14:paraId="2EEB8F97" w14:textId="77777777">
        <w:trPr>
          <w:trHeight w:val="23"/>
          <w:jc w:val="center"/>
        </w:trPr>
        <w:tc>
          <w:tcPr>
            <w:tcW w:w="3101" w:type="dxa"/>
            <w:vMerge/>
            <w:tcBorders>
              <w:top w:val="single" w:sz="4" w:space="0" w:color="000000"/>
              <w:left w:val="single" w:sz="4" w:space="0" w:color="000000"/>
              <w:bottom w:val="single" w:sz="4" w:space="0" w:color="000000"/>
              <w:right w:val="single" w:sz="4" w:space="0" w:color="000000"/>
            </w:tcBorders>
            <w:vAlign w:val="center"/>
          </w:tcPr>
          <w:p w14:paraId="1533BF25" w14:textId="77777777" w:rsidR="009467A3" w:rsidRDefault="009467A3">
            <w:pPr>
              <w:snapToGrid w:val="0"/>
              <w:spacing w:after="0"/>
              <w:rPr>
                <w:rFonts w:ascii="Times New Roman" w:hAnsi="Times New Roman"/>
                <w:bCs/>
                <w:color w:val="000000"/>
                <w:sz w:val="24"/>
                <w:szCs w:val="24"/>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7D38A8CF"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Stearic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01B0FA26" w14:textId="77777777" w:rsidR="009467A3" w:rsidRDefault="00000000">
            <w:pPr>
              <w:spacing w:after="0"/>
              <w:jc w:val="center"/>
              <w:rPr>
                <w:rFonts w:ascii="Times New Roman" w:hAnsi="Times New Roman"/>
                <w:color w:val="000000"/>
                <w:sz w:val="24"/>
                <w:szCs w:val="24"/>
              </w:rPr>
            </w:pPr>
            <w:r>
              <w:rPr>
                <w:rFonts w:ascii="Times New Roman" w:hAnsi="Times New Roman"/>
                <w:color w:val="000000"/>
                <w:sz w:val="24"/>
                <w:szCs w:val="24"/>
              </w:rPr>
              <w:t>-3.2</w:t>
            </w:r>
          </w:p>
        </w:tc>
        <w:tc>
          <w:tcPr>
            <w:tcW w:w="1388" w:type="dxa"/>
            <w:tcBorders>
              <w:top w:val="single" w:sz="4" w:space="0" w:color="000000"/>
              <w:left w:val="single" w:sz="4" w:space="0" w:color="000000"/>
              <w:bottom w:val="single" w:sz="4" w:space="0" w:color="000000"/>
              <w:right w:val="single" w:sz="4" w:space="0" w:color="000000"/>
            </w:tcBorders>
            <w:vAlign w:val="center"/>
          </w:tcPr>
          <w:p w14:paraId="7D793B79"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w:t>
            </w:r>
          </w:p>
        </w:tc>
      </w:tr>
      <w:tr w:rsidR="009467A3" w14:paraId="68091493" w14:textId="77777777">
        <w:trPr>
          <w:trHeight w:val="23"/>
          <w:jc w:val="center"/>
        </w:trPr>
        <w:tc>
          <w:tcPr>
            <w:tcW w:w="3101" w:type="dxa"/>
            <w:vMerge/>
            <w:tcBorders>
              <w:top w:val="single" w:sz="4" w:space="0" w:color="000000"/>
              <w:left w:val="single" w:sz="4" w:space="0" w:color="000000"/>
              <w:bottom w:val="single" w:sz="4" w:space="0" w:color="000000"/>
              <w:right w:val="single" w:sz="4" w:space="0" w:color="000000"/>
            </w:tcBorders>
            <w:vAlign w:val="center"/>
          </w:tcPr>
          <w:p w14:paraId="1DF05D5D" w14:textId="77777777" w:rsidR="009467A3" w:rsidRDefault="009467A3">
            <w:pPr>
              <w:snapToGrid w:val="0"/>
              <w:spacing w:after="0"/>
              <w:rPr>
                <w:rFonts w:ascii="Times New Roman" w:hAnsi="Times New Roman"/>
                <w:bCs/>
                <w:color w:val="000000"/>
                <w:sz w:val="24"/>
                <w:szCs w:val="24"/>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293A7388" w14:textId="77777777" w:rsidR="009467A3" w:rsidRDefault="00000000">
            <w:pPr>
              <w:spacing w:after="0"/>
              <w:jc w:val="center"/>
              <w:rPr>
                <w:rFonts w:ascii="Times New Roman" w:hAnsi="Times New Roman"/>
                <w:bCs/>
                <w:color w:val="000000"/>
                <w:sz w:val="24"/>
                <w:szCs w:val="24"/>
              </w:rPr>
            </w:pPr>
            <w:r>
              <w:rPr>
                <w:rFonts w:ascii="Times New Roman" w:hAnsi="Times New Roman"/>
                <w:color w:val="000000"/>
                <w:sz w:val="24"/>
                <w:szCs w:val="24"/>
              </w:rPr>
              <w:t>Palmitic Acid</w:t>
            </w:r>
          </w:p>
        </w:tc>
        <w:tc>
          <w:tcPr>
            <w:tcW w:w="1442" w:type="dxa"/>
            <w:tcBorders>
              <w:top w:val="single" w:sz="4" w:space="0" w:color="000000"/>
              <w:left w:val="single" w:sz="4" w:space="0" w:color="000000"/>
              <w:bottom w:val="single" w:sz="4" w:space="0" w:color="000000"/>
              <w:right w:val="single" w:sz="4" w:space="0" w:color="000000"/>
            </w:tcBorders>
            <w:vAlign w:val="center"/>
          </w:tcPr>
          <w:p w14:paraId="426EEB78" w14:textId="77777777" w:rsidR="009467A3" w:rsidRDefault="00000000">
            <w:pPr>
              <w:spacing w:after="0"/>
              <w:jc w:val="center"/>
              <w:rPr>
                <w:rFonts w:ascii="Times New Roman" w:hAnsi="Times New Roman"/>
                <w:color w:val="000000"/>
                <w:sz w:val="24"/>
                <w:szCs w:val="24"/>
              </w:rPr>
            </w:pPr>
            <w:r>
              <w:rPr>
                <w:rFonts w:ascii="Times New Roman" w:hAnsi="Times New Roman"/>
                <w:color w:val="000000"/>
                <w:sz w:val="24"/>
                <w:szCs w:val="24"/>
              </w:rPr>
              <w:t>-3.3</w:t>
            </w:r>
          </w:p>
        </w:tc>
        <w:tc>
          <w:tcPr>
            <w:tcW w:w="1388" w:type="dxa"/>
            <w:tcBorders>
              <w:top w:val="single" w:sz="4" w:space="0" w:color="000000"/>
              <w:left w:val="single" w:sz="4" w:space="0" w:color="000000"/>
              <w:bottom w:val="single" w:sz="4" w:space="0" w:color="000000"/>
              <w:right w:val="single" w:sz="4" w:space="0" w:color="000000"/>
            </w:tcBorders>
            <w:vAlign w:val="center"/>
          </w:tcPr>
          <w:p w14:paraId="344C23E0" w14:textId="77777777" w:rsidR="009467A3" w:rsidRDefault="00000000">
            <w:pPr>
              <w:spacing w:after="0"/>
              <w:jc w:val="center"/>
              <w:rPr>
                <w:rFonts w:ascii="Times New Roman" w:hAnsi="Times New Roman"/>
                <w:bCs/>
                <w:color w:val="000000"/>
                <w:sz w:val="24"/>
                <w:szCs w:val="24"/>
              </w:rPr>
            </w:pPr>
            <w:r>
              <w:rPr>
                <w:rFonts w:ascii="Times New Roman" w:hAnsi="Times New Roman"/>
                <w:bCs/>
                <w:color w:val="000000"/>
                <w:sz w:val="24"/>
                <w:szCs w:val="24"/>
              </w:rPr>
              <w:t>-</w:t>
            </w:r>
          </w:p>
        </w:tc>
      </w:tr>
    </w:tbl>
    <w:p w14:paraId="3F674131" w14:textId="77777777" w:rsidR="009467A3" w:rsidRDefault="009467A3">
      <w:pPr>
        <w:spacing w:after="0" w:line="360" w:lineRule="auto"/>
        <w:ind w:firstLine="284"/>
        <w:jc w:val="both"/>
        <w:rPr>
          <w:rFonts w:ascii="Times New Roman" w:hAnsi="Times New Roman"/>
          <w:color w:val="000000"/>
          <w:sz w:val="24"/>
          <w:szCs w:val="24"/>
        </w:rPr>
      </w:pPr>
    </w:p>
    <w:p w14:paraId="773CBCF4" w14:textId="77777777" w:rsidR="009467A3" w:rsidRDefault="00000000">
      <w:pPr>
        <w:spacing w:after="0" w:line="360" w:lineRule="auto"/>
        <w:jc w:val="center"/>
        <w:rPr>
          <w:rFonts w:ascii="Times New Roman" w:hAnsi="Times New Roman"/>
          <w:b/>
          <w:bCs/>
          <w:i/>
          <w:color w:val="000000"/>
          <w:sz w:val="24"/>
          <w:szCs w:val="24"/>
        </w:rPr>
      </w:pPr>
      <w:r>
        <w:rPr>
          <w:rFonts w:ascii="Times New Roman" w:hAnsi="Times New Roman"/>
          <w:b/>
          <w:bCs/>
          <w:i/>
          <w:color w:val="000000"/>
          <w:sz w:val="24"/>
          <w:szCs w:val="24"/>
        </w:rPr>
        <w:t xml:space="preserve">Table 5 Molecular Docking score for bioactive compounds in B. </w:t>
      </w:r>
      <w:proofErr w:type="spellStart"/>
      <w:r>
        <w:rPr>
          <w:rFonts w:ascii="Times New Roman" w:hAnsi="Times New Roman"/>
          <w:b/>
          <w:bCs/>
          <w:i/>
          <w:color w:val="000000"/>
          <w:sz w:val="24"/>
          <w:szCs w:val="24"/>
        </w:rPr>
        <w:t>longiflora</w:t>
      </w:r>
      <w:proofErr w:type="spellEnd"/>
      <w:r>
        <w:rPr>
          <w:rFonts w:ascii="Times New Roman" w:hAnsi="Times New Roman"/>
          <w:b/>
          <w:bCs/>
          <w:i/>
          <w:color w:val="000000"/>
          <w:sz w:val="24"/>
          <w:szCs w:val="24"/>
        </w:rPr>
        <w:t xml:space="preserve"> against Aldose Reductase Enzyme (2FZD)</w:t>
      </w:r>
    </w:p>
    <w:tbl>
      <w:tblPr>
        <w:tblW w:w="8257" w:type="dxa"/>
        <w:jc w:val="center"/>
        <w:tblLayout w:type="fixed"/>
        <w:tblLook w:val="0000" w:firstRow="0" w:lastRow="0" w:firstColumn="0" w:lastColumn="0" w:noHBand="0" w:noVBand="0"/>
      </w:tblPr>
      <w:tblGrid>
        <w:gridCol w:w="510"/>
        <w:gridCol w:w="1364"/>
        <w:gridCol w:w="1256"/>
        <w:gridCol w:w="1363"/>
        <w:gridCol w:w="1096"/>
        <w:gridCol w:w="1572"/>
        <w:gridCol w:w="1096"/>
      </w:tblGrid>
      <w:tr w:rsidR="009467A3" w14:paraId="3B8B24ED" w14:textId="77777777">
        <w:trPr>
          <w:trHeight w:val="23"/>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029D9C5"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S. No</w:t>
            </w:r>
          </w:p>
        </w:tc>
        <w:tc>
          <w:tcPr>
            <w:tcW w:w="1364" w:type="dxa"/>
            <w:tcBorders>
              <w:top w:val="single" w:sz="4" w:space="0" w:color="000000"/>
              <w:left w:val="single" w:sz="4" w:space="0" w:color="000000"/>
              <w:bottom w:val="single" w:sz="4" w:space="0" w:color="000000"/>
              <w:right w:val="single" w:sz="4" w:space="0" w:color="000000"/>
            </w:tcBorders>
            <w:vAlign w:val="center"/>
          </w:tcPr>
          <w:p w14:paraId="10944199"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Compound Name </w:t>
            </w:r>
          </w:p>
        </w:tc>
        <w:tc>
          <w:tcPr>
            <w:tcW w:w="1256" w:type="dxa"/>
            <w:tcBorders>
              <w:top w:val="single" w:sz="4" w:space="0" w:color="000000"/>
              <w:left w:val="single" w:sz="4" w:space="0" w:color="000000"/>
              <w:bottom w:val="single" w:sz="4" w:space="0" w:color="000000"/>
              <w:right w:val="single" w:sz="4" w:space="0" w:color="000000"/>
            </w:tcBorders>
            <w:vAlign w:val="center"/>
          </w:tcPr>
          <w:p w14:paraId="22A534C5"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Binding Affinity</w:t>
            </w:r>
          </w:p>
          <w:p w14:paraId="36E62729" w14:textId="77777777" w:rsidR="009467A3" w:rsidRDefault="00000000">
            <w:pPr>
              <w:spacing w:after="0" w:line="240" w:lineRule="auto"/>
              <w:jc w:val="center"/>
            </w:pPr>
            <w:r>
              <w:rPr>
                <w:rFonts w:ascii="Times New Roman" w:hAnsi="Times New Roman"/>
                <w:b/>
                <w:color w:val="000000"/>
                <w:kern w:val="2"/>
                <w:sz w:val="24"/>
                <w:szCs w:val="24"/>
                <w:lang w:bidi="th-TH"/>
              </w:rPr>
              <w:t>(kcal/mol)</w:t>
            </w:r>
            <w:r>
              <w:rPr>
                <w:rFonts w:ascii="Times New Roman" w:eastAsia="Calibri" w:hAnsi="Times New Roman"/>
                <w:b/>
                <w:color w:val="000000"/>
                <w:kern w:val="2"/>
                <w:sz w:val="24"/>
                <w:szCs w:val="24"/>
                <w:lang w:bidi="th-TH"/>
              </w:rPr>
              <w:t xml:space="preserve"> </w:t>
            </w:r>
          </w:p>
        </w:tc>
        <w:tc>
          <w:tcPr>
            <w:tcW w:w="1363" w:type="dxa"/>
            <w:tcBorders>
              <w:top w:val="single" w:sz="4" w:space="0" w:color="000000"/>
              <w:left w:val="single" w:sz="4" w:space="0" w:color="000000"/>
              <w:bottom w:val="single" w:sz="4" w:space="0" w:color="000000"/>
              <w:right w:val="single" w:sz="4" w:space="0" w:color="000000"/>
            </w:tcBorders>
            <w:vAlign w:val="center"/>
          </w:tcPr>
          <w:p w14:paraId="36790F36"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Hydrogen Bond Interaction </w:t>
            </w:r>
          </w:p>
        </w:tc>
        <w:tc>
          <w:tcPr>
            <w:tcW w:w="1096" w:type="dxa"/>
            <w:tcBorders>
              <w:top w:val="single" w:sz="4" w:space="0" w:color="000000"/>
              <w:left w:val="single" w:sz="4" w:space="0" w:color="000000"/>
              <w:bottom w:val="single" w:sz="4" w:space="0" w:color="000000"/>
              <w:right w:val="single" w:sz="4" w:space="0" w:color="000000"/>
            </w:tcBorders>
            <w:vAlign w:val="center"/>
          </w:tcPr>
          <w:p w14:paraId="5D4950C0"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Distance </w:t>
            </w:r>
          </w:p>
          <w:p w14:paraId="60ABB030"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Å</w:t>
            </w:r>
          </w:p>
        </w:tc>
        <w:tc>
          <w:tcPr>
            <w:tcW w:w="1572" w:type="dxa"/>
            <w:tcBorders>
              <w:top w:val="single" w:sz="4" w:space="0" w:color="000000"/>
              <w:left w:val="single" w:sz="4" w:space="0" w:color="000000"/>
              <w:bottom w:val="single" w:sz="4" w:space="0" w:color="000000"/>
              <w:right w:val="single" w:sz="4" w:space="0" w:color="000000"/>
            </w:tcBorders>
            <w:vAlign w:val="center"/>
          </w:tcPr>
          <w:p w14:paraId="3593047E"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Hydrophobic Interaction </w:t>
            </w:r>
          </w:p>
        </w:tc>
        <w:tc>
          <w:tcPr>
            <w:tcW w:w="1096" w:type="dxa"/>
            <w:tcBorders>
              <w:top w:val="single" w:sz="4" w:space="0" w:color="000000"/>
              <w:left w:val="single" w:sz="4" w:space="0" w:color="000000"/>
              <w:bottom w:val="single" w:sz="4" w:space="0" w:color="000000"/>
              <w:right w:val="single" w:sz="4" w:space="0" w:color="000000"/>
            </w:tcBorders>
            <w:vAlign w:val="center"/>
          </w:tcPr>
          <w:p w14:paraId="6420348E"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Distance </w:t>
            </w:r>
          </w:p>
          <w:p w14:paraId="428D232C"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Å</w:t>
            </w:r>
          </w:p>
        </w:tc>
      </w:tr>
      <w:tr w:rsidR="009467A3" w14:paraId="1A9318DE" w14:textId="77777777">
        <w:trPr>
          <w:trHeight w:val="23"/>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64147F0C"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1.</w:t>
            </w:r>
          </w:p>
        </w:tc>
        <w:tc>
          <w:tcPr>
            <w:tcW w:w="1364" w:type="dxa"/>
            <w:tcBorders>
              <w:top w:val="single" w:sz="4" w:space="0" w:color="000000"/>
              <w:left w:val="single" w:sz="4" w:space="0" w:color="000000"/>
              <w:bottom w:val="single" w:sz="4" w:space="0" w:color="000000"/>
              <w:right w:val="single" w:sz="4" w:space="0" w:color="000000"/>
            </w:tcBorders>
            <w:vAlign w:val="center"/>
          </w:tcPr>
          <w:p w14:paraId="015ADF3B"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 xml:space="preserve">Oleic Acid </w:t>
            </w:r>
          </w:p>
        </w:tc>
        <w:tc>
          <w:tcPr>
            <w:tcW w:w="1256" w:type="dxa"/>
            <w:tcBorders>
              <w:top w:val="single" w:sz="4" w:space="0" w:color="000000"/>
              <w:left w:val="single" w:sz="4" w:space="0" w:color="000000"/>
              <w:bottom w:val="single" w:sz="4" w:space="0" w:color="000000"/>
              <w:right w:val="single" w:sz="4" w:space="0" w:color="000000"/>
            </w:tcBorders>
            <w:vAlign w:val="center"/>
          </w:tcPr>
          <w:p w14:paraId="1632952E"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-5.6</w:t>
            </w:r>
          </w:p>
        </w:tc>
        <w:tc>
          <w:tcPr>
            <w:tcW w:w="1363" w:type="dxa"/>
            <w:tcBorders>
              <w:top w:val="single" w:sz="4" w:space="0" w:color="000000"/>
              <w:left w:val="single" w:sz="4" w:space="0" w:color="000000"/>
              <w:bottom w:val="single" w:sz="4" w:space="0" w:color="000000"/>
              <w:right w:val="single" w:sz="4" w:space="0" w:color="000000"/>
            </w:tcBorders>
            <w:vAlign w:val="center"/>
          </w:tcPr>
          <w:p w14:paraId="2D91C8C6"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TRP219</w:t>
            </w:r>
          </w:p>
          <w:p w14:paraId="4CD028B6"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TRP295</w:t>
            </w:r>
          </w:p>
          <w:p w14:paraId="68B6A8F7"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ARG296</w:t>
            </w:r>
          </w:p>
        </w:tc>
        <w:tc>
          <w:tcPr>
            <w:tcW w:w="1096" w:type="dxa"/>
            <w:tcBorders>
              <w:top w:val="single" w:sz="4" w:space="0" w:color="000000"/>
              <w:left w:val="single" w:sz="4" w:space="0" w:color="000000"/>
              <w:bottom w:val="single" w:sz="4" w:space="0" w:color="000000"/>
              <w:right w:val="single" w:sz="4" w:space="0" w:color="000000"/>
            </w:tcBorders>
            <w:vAlign w:val="center"/>
          </w:tcPr>
          <w:p w14:paraId="427D01F8"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3.35</w:t>
            </w:r>
          </w:p>
          <w:p w14:paraId="50C152B2"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3.10</w:t>
            </w:r>
          </w:p>
          <w:p w14:paraId="238E5B12"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2.87</w:t>
            </w:r>
          </w:p>
        </w:tc>
        <w:tc>
          <w:tcPr>
            <w:tcW w:w="1572" w:type="dxa"/>
            <w:tcBorders>
              <w:top w:val="single" w:sz="4" w:space="0" w:color="000000"/>
              <w:left w:val="single" w:sz="4" w:space="0" w:color="000000"/>
              <w:bottom w:val="single" w:sz="4" w:space="0" w:color="000000"/>
              <w:right w:val="single" w:sz="4" w:space="0" w:color="000000"/>
            </w:tcBorders>
            <w:vAlign w:val="center"/>
          </w:tcPr>
          <w:p w14:paraId="2748844D"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TRP79</w:t>
            </w:r>
          </w:p>
          <w:p w14:paraId="240851BF"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TRP111</w:t>
            </w:r>
          </w:p>
          <w:p w14:paraId="6E34C2B5"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PHE115</w:t>
            </w:r>
          </w:p>
          <w:p w14:paraId="791E8E0A"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PHE122</w:t>
            </w:r>
          </w:p>
          <w:p w14:paraId="243C123E"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PHE122</w:t>
            </w:r>
          </w:p>
          <w:p w14:paraId="2F948AB3"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TRP219</w:t>
            </w:r>
          </w:p>
          <w:p w14:paraId="7099B503" w14:textId="77777777" w:rsidR="009467A3" w:rsidRDefault="00000000">
            <w:pPr>
              <w:spacing w:after="0" w:line="24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TRP219</w:t>
            </w:r>
          </w:p>
          <w:p w14:paraId="53C238F0" w14:textId="77777777" w:rsidR="009467A3" w:rsidRDefault="00000000">
            <w:pPr>
              <w:spacing w:after="0" w:line="24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ALA299</w:t>
            </w:r>
          </w:p>
          <w:p w14:paraId="5D0F2AF9" w14:textId="77777777" w:rsidR="009467A3" w:rsidRDefault="00000000">
            <w:pPr>
              <w:spacing w:after="0" w:line="24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LEU300</w:t>
            </w:r>
          </w:p>
          <w:p w14:paraId="29F07FDB" w14:textId="77777777" w:rsidR="009467A3" w:rsidRDefault="00000000">
            <w:pPr>
              <w:spacing w:after="0" w:line="24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LEU300</w:t>
            </w:r>
          </w:p>
          <w:p w14:paraId="0A65AF88" w14:textId="77777777" w:rsidR="009467A3" w:rsidRDefault="00000000">
            <w:pPr>
              <w:spacing w:after="0" w:line="24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ARG217</w:t>
            </w:r>
          </w:p>
        </w:tc>
        <w:tc>
          <w:tcPr>
            <w:tcW w:w="1096" w:type="dxa"/>
            <w:tcBorders>
              <w:top w:val="single" w:sz="4" w:space="0" w:color="000000"/>
              <w:left w:val="single" w:sz="4" w:space="0" w:color="000000"/>
              <w:bottom w:val="single" w:sz="4" w:space="0" w:color="000000"/>
              <w:right w:val="single" w:sz="4" w:space="0" w:color="000000"/>
            </w:tcBorders>
            <w:vAlign w:val="center"/>
          </w:tcPr>
          <w:p w14:paraId="7A0BA601"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3.79</w:t>
            </w:r>
          </w:p>
          <w:p w14:paraId="2BEC7E02"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3.77</w:t>
            </w:r>
          </w:p>
          <w:p w14:paraId="2AAAE021"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3.64</w:t>
            </w:r>
          </w:p>
          <w:p w14:paraId="78651DD0"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3.79</w:t>
            </w:r>
          </w:p>
          <w:p w14:paraId="5A35ADDF"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3.73</w:t>
            </w:r>
          </w:p>
          <w:p w14:paraId="585C20D9"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3.81</w:t>
            </w:r>
          </w:p>
          <w:p w14:paraId="616500B1"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3.64</w:t>
            </w:r>
          </w:p>
          <w:p w14:paraId="7AD87AA9"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3.74</w:t>
            </w:r>
          </w:p>
          <w:p w14:paraId="5DE6A8F8"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3.60</w:t>
            </w:r>
          </w:p>
          <w:p w14:paraId="74ED0A6E"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3.67</w:t>
            </w:r>
          </w:p>
          <w:p w14:paraId="44B62415"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5.36</w:t>
            </w:r>
          </w:p>
        </w:tc>
      </w:tr>
      <w:tr w:rsidR="009467A3" w14:paraId="04C667F9" w14:textId="77777777">
        <w:trPr>
          <w:trHeight w:val="23"/>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182DAAF5"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2.</w:t>
            </w:r>
          </w:p>
        </w:tc>
        <w:tc>
          <w:tcPr>
            <w:tcW w:w="1364" w:type="dxa"/>
            <w:tcBorders>
              <w:top w:val="single" w:sz="4" w:space="0" w:color="000000"/>
              <w:left w:val="single" w:sz="4" w:space="0" w:color="000000"/>
              <w:bottom w:val="single" w:sz="4" w:space="0" w:color="000000"/>
              <w:right w:val="single" w:sz="4" w:space="0" w:color="000000"/>
            </w:tcBorders>
            <w:vAlign w:val="center"/>
          </w:tcPr>
          <w:p w14:paraId="2B043639"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Stearic Acid</w:t>
            </w:r>
          </w:p>
        </w:tc>
        <w:tc>
          <w:tcPr>
            <w:tcW w:w="1256" w:type="dxa"/>
            <w:tcBorders>
              <w:top w:val="single" w:sz="4" w:space="0" w:color="000000"/>
              <w:left w:val="single" w:sz="4" w:space="0" w:color="000000"/>
              <w:bottom w:val="single" w:sz="4" w:space="0" w:color="000000"/>
              <w:right w:val="single" w:sz="4" w:space="0" w:color="000000"/>
            </w:tcBorders>
            <w:vAlign w:val="center"/>
          </w:tcPr>
          <w:p w14:paraId="5BA0EB8B"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-7.3</w:t>
            </w:r>
          </w:p>
        </w:tc>
        <w:tc>
          <w:tcPr>
            <w:tcW w:w="1363" w:type="dxa"/>
            <w:tcBorders>
              <w:top w:val="single" w:sz="4" w:space="0" w:color="000000"/>
              <w:left w:val="single" w:sz="4" w:space="0" w:color="000000"/>
              <w:bottom w:val="single" w:sz="4" w:space="0" w:color="000000"/>
              <w:right w:val="single" w:sz="4" w:space="0" w:color="000000"/>
            </w:tcBorders>
            <w:vAlign w:val="center"/>
          </w:tcPr>
          <w:p w14:paraId="47790E3C"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THR19</w:t>
            </w:r>
          </w:p>
          <w:p w14:paraId="0A23EC5E"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TRP20</w:t>
            </w:r>
          </w:p>
          <w:p w14:paraId="1F2F7A16"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TYR48</w:t>
            </w:r>
          </w:p>
          <w:p w14:paraId="7B6B70B6"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TYR48</w:t>
            </w:r>
          </w:p>
        </w:tc>
        <w:tc>
          <w:tcPr>
            <w:tcW w:w="1096" w:type="dxa"/>
            <w:tcBorders>
              <w:top w:val="single" w:sz="4" w:space="0" w:color="000000"/>
              <w:left w:val="single" w:sz="4" w:space="0" w:color="000000"/>
              <w:bottom w:val="single" w:sz="4" w:space="0" w:color="000000"/>
              <w:right w:val="single" w:sz="4" w:space="0" w:color="000000"/>
            </w:tcBorders>
            <w:vAlign w:val="center"/>
          </w:tcPr>
          <w:p w14:paraId="63CFE456"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3.25</w:t>
            </w:r>
          </w:p>
          <w:p w14:paraId="39779893"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3.07</w:t>
            </w:r>
          </w:p>
          <w:p w14:paraId="3C25175E"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4.10</w:t>
            </w:r>
          </w:p>
          <w:p w14:paraId="75FE546D"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4.10</w:t>
            </w:r>
          </w:p>
        </w:tc>
        <w:tc>
          <w:tcPr>
            <w:tcW w:w="1572" w:type="dxa"/>
            <w:tcBorders>
              <w:top w:val="single" w:sz="4" w:space="0" w:color="000000"/>
              <w:left w:val="single" w:sz="4" w:space="0" w:color="000000"/>
              <w:bottom w:val="single" w:sz="4" w:space="0" w:color="000000"/>
              <w:right w:val="single" w:sz="4" w:space="0" w:color="000000"/>
            </w:tcBorders>
            <w:vAlign w:val="center"/>
          </w:tcPr>
          <w:p w14:paraId="38F9CD4A"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TRP20</w:t>
            </w:r>
          </w:p>
          <w:p w14:paraId="624554BD"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TRP20</w:t>
            </w:r>
          </w:p>
          <w:p w14:paraId="18D0D418" w14:textId="77777777" w:rsidR="009467A3" w:rsidRDefault="00000000">
            <w:pPr>
              <w:spacing w:after="0" w:line="240" w:lineRule="auto"/>
              <w:jc w:val="center"/>
            </w:pPr>
            <w:r>
              <w:rPr>
                <w:rFonts w:ascii="Times New Roman" w:eastAsia="Calibri" w:hAnsi="Times New Roman"/>
                <w:color w:val="000000"/>
                <w:kern w:val="2"/>
                <w:sz w:val="24"/>
                <w:szCs w:val="24"/>
                <w:lang w:bidi="th-TH"/>
              </w:rPr>
              <w:t>TYR48</w:t>
            </w:r>
          </w:p>
          <w:p w14:paraId="1E6552BF"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TRP79</w:t>
            </w:r>
          </w:p>
          <w:p w14:paraId="30241B71"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TRP111</w:t>
            </w:r>
          </w:p>
          <w:p w14:paraId="743D7E69"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TRP111</w:t>
            </w:r>
          </w:p>
          <w:p w14:paraId="76278378"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TRP111</w:t>
            </w:r>
          </w:p>
          <w:p w14:paraId="64EB8036"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TYR209</w:t>
            </w:r>
          </w:p>
          <w:p w14:paraId="39A28DEE" w14:textId="77777777" w:rsidR="009467A3" w:rsidRDefault="00000000">
            <w:pPr>
              <w:spacing w:after="0" w:line="240" w:lineRule="auto"/>
              <w:jc w:val="center"/>
            </w:pPr>
            <w:r>
              <w:rPr>
                <w:rFonts w:ascii="Times New Roman" w:eastAsia="Calibri" w:hAnsi="Times New Roman"/>
                <w:color w:val="000000"/>
                <w:kern w:val="2"/>
                <w:sz w:val="24"/>
                <w:szCs w:val="24"/>
                <w:lang w:bidi="th-TH"/>
              </w:rPr>
              <w:t>TYR209</w:t>
            </w:r>
          </w:p>
          <w:p w14:paraId="2C2BB609" w14:textId="77777777" w:rsidR="009467A3" w:rsidRDefault="00000000">
            <w:pPr>
              <w:spacing w:after="0" w:line="240" w:lineRule="auto"/>
              <w:jc w:val="center"/>
            </w:pPr>
            <w:r>
              <w:rPr>
                <w:rFonts w:ascii="Times New Roman" w:eastAsia="Calibri" w:hAnsi="Times New Roman"/>
                <w:color w:val="000000"/>
                <w:kern w:val="2"/>
                <w:sz w:val="24"/>
                <w:szCs w:val="24"/>
                <w:lang w:bidi="th-TH"/>
              </w:rPr>
              <w:t>TYR209</w:t>
            </w:r>
          </w:p>
          <w:p w14:paraId="23F33131"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LEU300</w:t>
            </w:r>
          </w:p>
          <w:p w14:paraId="43B2E7F0"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LYS77</w:t>
            </w:r>
          </w:p>
        </w:tc>
        <w:tc>
          <w:tcPr>
            <w:tcW w:w="1096" w:type="dxa"/>
            <w:tcBorders>
              <w:top w:val="single" w:sz="4" w:space="0" w:color="000000"/>
              <w:left w:val="single" w:sz="4" w:space="0" w:color="000000"/>
              <w:bottom w:val="single" w:sz="4" w:space="0" w:color="000000"/>
              <w:right w:val="single" w:sz="4" w:space="0" w:color="000000"/>
            </w:tcBorders>
            <w:vAlign w:val="center"/>
          </w:tcPr>
          <w:p w14:paraId="4178B270"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3.81</w:t>
            </w:r>
          </w:p>
          <w:p w14:paraId="4E623AC5"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3.77</w:t>
            </w:r>
          </w:p>
          <w:p w14:paraId="2975675E"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3.71</w:t>
            </w:r>
          </w:p>
          <w:p w14:paraId="180B45C9"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3.50</w:t>
            </w:r>
          </w:p>
          <w:p w14:paraId="0380F22F"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3.93</w:t>
            </w:r>
          </w:p>
          <w:p w14:paraId="04D7B777"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3.72</w:t>
            </w:r>
          </w:p>
          <w:p w14:paraId="62A60128"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3.96</w:t>
            </w:r>
          </w:p>
          <w:p w14:paraId="15874CD3"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3.77</w:t>
            </w:r>
          </w:p>
          <w:p w14:paraId="029B06B5"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3.90</w:t>
            </w:r>
          </w:p>
          <w:p w14:paraId="105D0F3F"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3.71</w:t>
            </w:r>
          </w:p>
          <w:p w14:paraId="5D1E8DEC"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3.58</w:t>
            </w:r>
          </w:p>
          <w:p w14:paraId="783783C0"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5.45</w:t>
            </w:r>
          </w:p>
        </w:tc>
      </w:tr>
      <w:tr w:rsidR="009467A3" w14:paraId="5279FD7C" w14:textId="77777777">
        <w:trPr>
          <w:trHeight w:val="23"/>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4A8F5B73"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w:t>
            </w:r>
          </w:p>
        </w:tc>
        <w:tc>
          <w:tcPr>
            <w:tcW w:w="1364" w:type="dxa"/>
            <w:tcBorders>
              <w:top w:val="single" w:sz="4" w:space="0" w:color="000000"/>
              <w:left w:val="single" w:sz="4" w:space="0" w:color="000000"/>
              <w:bottom w:val="single" w:sz="4" w:space="0" w:color="000000"/>
              <w:right w:val="single" w:sz="4" w:space="0" w:color="000000"/>
            </w:tcBorders>
            <w:vAlign w:val="center"/>
          </w:tcPr>
          <w:p w14:paraId="78B43A1E"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Palmitic Acid</w:t>
            </w:r>
          </w:p>
        </w:tc>
        <w:tc>
          <w:tcPr>
            <w:tcW w:w="1256" w:type="dxa"/>
            <w:tcBorders>
              <w:top w:val="single" w:sz="4" w:space="0" w:color="000000"/>
              <w:left w:val="single" w:sz="4" w:space="0" w:color="000000"/>
              <w:bottom w:val="single" w:sz="4" w:space="0" w:color="000000"/>
              <w:right w:val="single" w:sz="4" w:space="0" w:color="000000"/>
            </w:tcBorders>
            <w:vAlign w:val="center"/>
          </w:tcPr>
          <w:p w14:paraId="35268DF4"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-6.1</w:t>
            </w:r>
          </w:p>
        </w:tc>
        <w:tc>
          <w:tcPr>
            <w:tcW w:w="1363" w:type="dxa"/>
            <w:tcBorders>
              <w:top w:val="single" w:sz="4" w:space="0" w:color="000000"/>
              <w:left w:val="single" w:sz="4" w:space="0" w:color="000000"/>
              <w:bottom w:val="single" w:sz="4" w:space="0" w:color="000000"/>
              <w:right w:val="single" w:sz="4" w:space="0" w:color="000000"/>
            </w:tcBorders>
            <w:vAlign w:val="center"/>
          </w:tcPr>
          <w:p w14:paraId="2320A9A0"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LYS77</w:t>
            </w:r>
          </w:p>
          <w:p w14:paraId="37182CC0"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TYR48</w:t>
            </w:r>
          </w:p>
        </w:tc>
        <w:tc>
          <w:tcPr>
            <w:tcW w:w="1096" w:type="dxa"/>
            <w:tcBorders>
              <w:top w:val="single" w:sz="4" w:space="0" w:color="000000"/>
              <w:left w:val="single" w:sz="4" w:space="0" w:color="000000"/>
              <w:bottom w:val="single" w:sz="4" w:space="0" w:color="000000"/>
              <w:right w:val="single" w:sz="4" w:space="0" w:color="000000"/>
            </w:tcBorders>
            <w:vAlign w:val="center"/>
          </w:tcPr>
          <w:p w14:paraId="3579A27C"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3.07</w:t>
            </w:r>
          </w:p>
          <w:p w14:paraId="165B35A2"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3.55</w:t>
            </w:r>
          </w:p>
        </w:tc>
        <w:tc>
          <w:tcPr>
            <w:tcW w:w="1572" w:type="dxa"/>
            <w:tcBorders>
              <w:top w:val="single" w:sz="4" w:space="0" w:color="000000"/>
              <w:left w:val="single" w:sz="4" w:space="0" w:color="000000"/>
              <w:bottom w:val="single" w:sz="4" w:space="0" w:color="000000"/>
              <w:right w:val="single" w:sz="4" w:space="0" w:color="000000"/>
            </w:tcBorders>
            <w:vAlign w:val="center"/>
          </w:tcPr>
          <w:p w14:paraId="44253F60"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TRP20</w:t>
            </w:r>
          </w:p>
          <w:p w14:paraId="63FD1034"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TRP20</w:t>
            </w:r>
          </w:p>
          <w:p w14:paraId="7E637BEB"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TRP20</w:t>
            </w:r>
          </w:p>
          <w:p w14:paraId="4995EF31"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TRP79</w:t>
            </w:r>
          </w:p>
          <w:p w14:paraId="1805F85B"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TRP111</w:t>
            </w:r>
          </w:p>
          <w:p w14:paraId="38156E76"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PHE115</w:t>
            </w:r>
          </w:p>
          <w:p w14:paraId="293B6F93"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PHE122</w:t>
            </w:r>
          </w:p>
          <w:p w14:paraId="6834118C"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TRP219</w:t>
            </w:r>
          </w:p>
          <w:p w14:paraId="30921C13"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LEU300</w:t>
            </w:r>
          </w:p>
          <w:p w14:paraId="704BD42D"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LEU300</w:t>
            </w:r>
          </w:p>
          <w:p w14:paraId="2817A2EF"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HIS110</w:t>
            </w:r>
          </w:p>
        </w:tc>
        <w:tc>
          <w:tcPr>
            <w:tcW w:w="1096" w:type="dxa"/>
            <w:tcBorders>
              <w:top w:val="single" w:sz="4" w:space="0" w:color="000000"/>
              <w:left w:val="single" w:sz="4" w:space="0" w:color="000000"/>
              <w:bottom w:val="single" w:sz="4" w:space="0" w:color="000000"/>
              <w:right w:val="single" w:sz="4" w:space="0" w:color="000000"/>
            </w:tcBorders>
            <w:vAlign w:val="center"/>
          </w:tcPr>
          <w:p w14:paraId="2DD2638C"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3.81</w:t>
            </w:r>
          </w:p>
          <w:p w14:paraId="7B41B897"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3.74</w:t>
            </w:r>
          </w:p>
          <w:p w14:paraId="235364AE"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3.62</w:t>
            </w:r>
          </w:p>
          <w:p w14:paraId="514A295F"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3.57</w:t>
            </w:r>
          </w:p>
          <w:p w14:paraId="25220A43"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3.93</w:t>
            </w:r>
          </w:p>
          <w:p w14:paraId="25F083A2"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3.97</w:t>
            </w:r>
          </w:p>
          <w:p w14:paraId="16F6A8C8"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3.70</w:t>
            </w:r>
          </w:p>
          <w:p w14:paraId="0FB5CCB6"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3.68</w:t>
            </w:r>
          </w:p>
          <w:p w14:paraId="4C7B239B"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3.94</w:t>
            </w:r>
          </w:p>
          <w:p w14:paraId="2B11C1B5"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3.33</w:t>
            </w:r>
          </w:p>
          <w:p w14:paraId="634112C5"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5.13</w:t>
            </w:r>
          </w:p>
        </w:tc>
      </w:tr>
    </w:tbl>
    <w:p w14:paraId="2CFE69CC" w14:textId="77777777" w:rsidR="009467A3" w:rsidRDefault="00000000">
      <w:pPr>
        <w:spacing w:after="0" w:line="360" w:lineRule="auto"/>
        <w:jc w:val="center"/>
        <w:rPr>
          <w:rFonts w:ascii="Times New Roman" w:hAnsi="Times New Roman"/>
          <w:color w:val="000000"/>
          <w:sz w:val="24"/>
          <w:szCs w:val="24"/>
        </w:rPr>
      </w:pPr>
      <w:r>
        <w:br w:type="page"/>
      </w:r>
    </w:p>
    <w:p w14:paraId="372D723B" w14:textId="77777777" w:rsidR="009467A3" w:rsidRDefault="009467A3">
      <w:pPr>
        <w:spacing w:after="160" w:line="257" w:lineRule="auto"/>
        <w:rPr>
          <w:rFonts w:ascii="Times New Roman" w:hAnsi="Times New Roman"/>
          <w:color w:val="000000"/>
          <w:sz w:val="24"/>
          <w:szCs w:val="24"/>
        </w:rPr>
      </w:pPr>
    </w:p>
    <w:p w14:paraId="658400F9" w14:textId="77777777" w:rsidR="009467A3" w:rsidRDefault="00000000">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Table 6 Molecular Docking score for bioactive compounds in </w:t>
      </w:r>
      <w:r>
        <w:rPr>
          <w:rFonts w:ascii="Times New Roman" w:hAnsi="Times New Roman"/>
          <w:b/>
          <w:bCs/>
          <w:i/>
          <w:color w:val="000000"/>
          <w:sz w:val="24"/>
          <w:szCs w:val="24"/>
        </w:rPr>
        <w:t xml:space="preserve">B. </w:t>
      </w:r>
      <w:proofErr w:type="spellStart"/>
      <w:r>
        <w:rPr>
          <w:rFonts w:ascii="Times New Roman" w:hAnsi="Times New Roman"/>
          <w:b/>
          <w:bCs/>
          <w:i/>
          <w:color w:val="000000"/>
          <w:sz w:val="24"/>
          <w:szCs w:val="24"/>
        </w:rPr>
        <w:t>longiflora</w:t>
      </w:r>
      <w:proofErr w:type="spellEnd"/>
      <w:r>
        <w:rPr>
          <w:rFonts w:ascii="Times New Roman" w:hAnsi="Times New Roman"/>
          <w:b/>
          <w:bCs/>
          <w:color w:val="000000"/>
          <w:sz w:val="24"/>
          <w:szCs w:val="24"/>
        </w:rPr>
        <w:t xml:space="preserve"> Against Crystal structure of the extracellular domain of human HER2 (1N8Z)</w:t>
      </w:r>
    </w:p>
    <w:tbl>
      <w:tblPr>
        <w:tblW w:w="9243" w:type="dxa"/>
        <w:tblLayout w:type="fixed"/>
        <w:tblLook w:val="0000" w:firstRow="0" w:lastRow="0" w:firstColumn="0" w:lastColumn="0" w:noHBand="0" w:noVBand="0"/>
      </w:tblPr>
      <w:tblGrid>
        <w:gridCol w:w="598"/>
        <w:gridCol w:w="2262"/>
        <w:gridCol w:w="1256"/>
        <w:gridCol w:w="1363"/>
        <w:gridCol w:w="1096"/>
        <w:gridCol w:w="1572"/>
        <w:gridCol w:w="1096"/>
      </w:tblGrid>
      <w:tr w:rsidR="009467A3" w14:paraId="3EC6581B" w14:textId="77777777">
        <w:trPr>
          <w:trHeight w:val="620"/>
        </w:trPr>
        <w:tc>
          <w:tcPr>
            <w:tcW w:w="598" w:type="dxa"/>
            <w:tcBorders>
              <w:top w:val="single" w:sz="4" w:space="0" w:color="000000"/>
              <w:left w:val="single" w:sz="4" w:space="0" w:color="000000"/>
              <w:bottom w:val="single" w:sz="4" w:space="0" w:color="000000"/>
              <w:right w:val="single" w:sz="4" w:space="0" w:color="000000"/>
            </w:tcBorders>
            <w:vAlign w:val="center"/>
          </w:tcPr>
          <w:p w14:paraId="14262B7F" w14:textId="77777777" w:rsidR="009467A3" w:rsidRDefault="00000000">
            <w:pPr>
              <w:spacing w:after="0"/>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S. No</w:t>
            </w:r>
          </w:p>
        </w:tc>
        <w:tc>
          <w:tcPr>
            <w:tcW w:w="2262" w:type="dxa"/>
            <w:tcBorders>
              <w:top w:val="single" w:sz="4" w:space="0" w:color="000000"/>
              <w:left w:val="single" w:sz="4" w:space="0" w:color="000000"/>
              <w:bottom w:val="single" w:sz="4" w:space="0" w:color="000000"/>
              <w:right w:val="single" w:sz="4" w:space="0" w:color="000000"/>
            </w:tcBorders>
            <w:vAlign w:val="center"/>
          </w:tcPr>
          <w:p w14:paraId="175F7537" w14:textId="77777777" w:rsidR="009467A3" w:rsidRDefault="00000000">
            <w:pPr>
              <w:spacing w:after="0"/>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Compound Name </w:t>
            </w:r>
          </w:p>
        </w:tc>
        <w:tc>
          <w:tcPr>
            <w:tcW w:w="1256" w:type="dxa"/>
            <w:tcBorders>
              <w:top w:val="single" w:sz="4" w:space="0" w:color="000000"/>
              <w:left w:val="single" w:sz="4" w:space="0" w:color="000000"/>
              <w:bottom w:val="single" w:sz="4" w:space="0" w:color="000000"/>
              <w:right w:val="single" w:sz="4" w:space="0" w:color="000000"/>
            </w:tcBorders>
            <w:vAlign w:val="center"/>
          </w:tcPr>
          <w:p w14:paraId="44207CCC" w14:textId="77777777" w:rsidR="009467A3" w:rsidRDefault="00000000">
            <w:pPr>
              <w:spacing w:after="0"/>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Binding Affinity</w:t>
            </w:r>
          </w:p>
          <w:p w14:paraId="2D607255" w14:textId="77777777" w:rsidR="009467A3" w:rsidRDefault="00000000">
            <w:pPr>
              <w:spacing w:after="0"/>
              <w:jc w:val="center"/>
            </w:pPr>
            <w:r>
              <w:rPr>
                <w:rFonts w:ascii="Times New Roman" w:hAnsi="Times New Roman"/>
                <w:b/>
                <w:color w:val="000000"/>
                <w:kern w:val="2"/>
                <w:sz w:val="24"/>
                <w:szCs w:val="24"/>
                <w:lang w:bidi="th-TH"/>
              </w:rPr>
              <w:t>(kcal/mol)</w:t>
            </w:r>
            <w:r>
              <w:rPr>
                <w:rFonts w:ascii="Times New Roman" w:eastAsia="Calibri" w:hAnsi="Times New Roman"/>
                <w:b/>
                <w:color w:val="000000"/>
                <w:kern w:val="2"/>
                <w:sz w:val="24"/>
                <w:szCs w:val="24"/>
                <w:lang w:bidi="th-TH"/>
              </w:rPr>
              <w:t xml:space="preserve"> </w:t>
            </w:r>
          </w:p>
        </w:tc>
        <w:tc>
          <w:tcPr>
            <w:tcW w:w="1363" w:type="dxa"/>
            <w:tcBorders>
              <w:top w:val="single" w:sz="4" w:space="0" w:color="000000"/>
              <w:left w:val="single" w:sz="4" w:space="0" w:color="000000"/>
              <w:bottom w:val="single" w:sz="4" w:space="0" w:color="000000"/>
              <w:right w:val="single" w:sz="4" w:space="0" w:color="000000"/>
            </w:tcBorders>
            <w:vAlign w:val="center"/>
          </w:tcPr>
          <w:p w14:paraId="680EE0A6" w14:textId="77777777" w:rsidR="009467A3" w:rsidRDefault="00000000">
            <w:pPr>
              <w:spacing w:after="0"/>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Hydrogen Bond Interaction </w:t>
            </w:r>
          </w:p>
        </w:tc>
        <w:tc>
          <w:tcPr>
            <w:tcW w:w="1096" w:type="dxa"/>
            <w:tcBorders>
              <w:top w:val="single" w:sz="4" w:space="0" w:color="000000"/>
              <w:left w:val="single" w:sz="4" w:space="0" w:color="000000"/>
              <w:bottom w:val="single" w:sz="4" w:space="0" w:color="000000"/>
              <w:right w:val="single" w:sz="4" w:space="0" w:color="000000"/>
            </w:tcBorders>
            <w:vAlign w:val="center"/>
          </w:tcPr>
          <w:p w14:paraId="1DCD1BDF" w14:textId="77777777" w:rsidR="009467A3" w:rsidRDefault="00000000">
            <w:pPr>
              <w:spacing w:after="0"/>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Distance </w:t>
            </w:r>
          </w:p>
          <w:p w14:paraId="60B2EC23" w14:textId="77777777" w:rsidR="009467A3" w:rsidRDefault="00000000">
            <w:pPr>
              <w:spacing w:after="0"/>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Å</w:t>
            </w:r>
          </w:p>
        </w:tc>
        <w:tc>
          <w:tcPr>
            <w:tcW w:w="1572" w:type="dxa"/>
            <w:tcBorders>
              <w:top w:val="single" w:sz="4" w:space="0" w:color="000000"/>
              <w:left w:val="single" w:sz="4" w:space="0" w:color="000000"/>
              <w:bottom w:val="single" w:sz="4" w:space="0" w:color="000000"/>
              <w:right w:val="single" w:sz="4" w:space="0" w:color="000000"/>
            </w:tcBorders>
            <w:vAlign w:val="center"/>
          </w:tcPr>
          <w:p w14:paraId="4B19E869" w14:textId="77777777" w:rsidR="009467A3" w:rsidRDefault="00000000">
            <w:pPr>
              <w:spacing w:after="0"/>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Hydrophobic Interaction </w:t>
            </w:r>
          </w:p>
        </w:tc>
        <w:tc>
          <w:tcPr>
            <w:tcW w:w="1096" w:type="dxa"/>
            <w:tcBorders>
              <w:top w:val="single" w:sz="4" w:space="0" w:color="000000"/>
              <w:left w:val="single" w:sz="4" w:space="0" w:color="000000"/>
              <w:bottom w:val="single" w:sz="4" w:space="0" w:color="000000"/>
              <w:right w:val="single" w:sz="4" w:space="0" w:color="000000"/>
            </w:tcBorders>
            <w:vAlign w:val="center"/>
          </w:tcPr>
          <w:p w14:paraId="3BF5DAFD" w14:textId="77777777" w:rsidR="009467A3" w:rsidRDefault="00000000">
            <w:pPr>
              <w:spacing w:after="0"/>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Distance </w:t>
            </w:r>
          </w:p>
          <w:p w14:paraId="61DEE364" w14:textId="77777777" w:rsidR="009467A3" w:rsidRDefault="00000000">
            <w:pPr>
              <w:spacing w:after="0"/>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Å</w:t>
            </w:r>
          </w:p>
        </w:tc>
      </w:tr>
      <w:tr w:rsidR="009467A3" w14:paraId="39FA53E3" w14:textId="77777777">
        <w:trPr>
          <w:trHeight w:val="1601"/>
        </w:trPr>
        <w:tc>
          <w:tcPr>
            <w:tcW w:w="598" w:type="dxa"/>
            <w:tcBorders>
              <w:top w:val="single" w:sz="4" w:space="0" w:color="000000"/>
              <w:left w:val="single" w:sz="4" w:space="0" w:color="000000"/>
              <w:bottom w:val="single" w:sz="4" w:space="0" w:color="000000"/>
              <w:right w:val="single" w:sz="4" w:space="0" w:color="000000"/>
            </w:tcBorders>
            <w:vAlign w:val="center"/>
          </w:tcPr>
          <w:p w14:paraId="5A2EE969"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1.</w:t>
            </w:r>
          </w:p>
        </w:tc>
        <w:tc>
          <w:tcPr>
            <w:tcW w:w="2262" w:type="dxa"/>
            <w:tcBorders>
              <w:top w:val="single" w:sz="4" w:space="0" w:color="000000"/>
              <w:left w:val="single" w:sz="4" w:space="0" w:color="000000"/>
              <w:bottom w:val="single" w:sz="4" w:space="0" w:color="000000"/>
              <w:right w:val="single" w:sz="4" w:space="0" w:color="000000"/>
            </w:tcBorders>
            <w:vAlign w:val="center"/>
          </w:tcPr>
          <w:p w14:paraId="54BD46AC" w14:textId="77777777" w:rsidR="009467A3" w:rsidRDefault="00000000">
            <w:pPr>
              <w:spacing w:after="0"/>
              <w:jc w:val="center"/>
              <w:rPr>
                <w:rFonts w:ascii="Times New Roman" w:eastAsia="Calibri" w:hAnsi="Times New Roman"/>
                <w:b/>
                <w:bCs/>
                <w:color w:val="000000"/>
                <w:kern w:val="2"/>
                <w:sz w:val="24"/>
                <w:szCs w:val="24"/>
                <w:lang w:bidi="th-TH"/>
              </w:rPr>
            </w:pPr>
            <w:r>
              <w:rPr>
                <w:rFonts w:ascii="Times New Roman" w:eastAsia="Calibri" w:hAnsi="Times New Roman"/>
                <w:color w:val="000000"/>
                <w:kern w:val="2"/>
                <w:sz w:val="24"/>
                <w:szCs w:val="24"/>
                <w:lang w:bidi="th-TH"/>
              </w:rPr>
              <w:t xml:space="preserve">Oleic Acid </w:t>
            </w:r>
          </w:p>
          <w:p w14:paraId="7C4D130A" w14:textId="77777777" w:rsidR="009467A3" w:rsidRDefault="009467A3">
            <w:pPr>
              <w:tabs>
                <w:tab w:val="left" w:pos="639"/>
              </w:tabs>
              <w:spacing w:after="0"/>
              <w:jc w:val="center"/>
              <w:rPr>
                <w:rFonts w:ascii="Times New Roman" w:eastAsia="Calibri" w:hAnsi="Times New Roman"/>
                <w:b/>
                <w:bCs/>
                <w:color w:val="000000"/>
                <w:kern w:val="2"/>
                <w:sz w:val="24"/>
                <w:szCs w:val="24"/>
                <w:lang w:bidi="th-TH"/>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33E06FAD" w14:textId="77777777" w:rsidR="009467A3" w:rsidRDefault="00000000">
            <w:pPr>
              <w:spacing w:after="0"/>
              <w:jc w:val="center"/>
            </w:pPr>
            <w:r>
              <w:rPr>
                <w:rFonts w:ascii="Times New Roman" w:eastAsia="Calibri" w:hAnsi="Times New Roman"/>
                <w:b/>
                <w:bCs/>
                <w:color w:val="000000"/>
                <w:kern w:val="2"/>
                <w:sz w:val="24"/>
                <w:szCs w:val="24"/>
                <w:lang w:bidi="th-TH"/>
              </w:rPr>
              <w:t>-</w:t>
            </w:r>
            <w:r>
              <w:rPr>
                <w:rFonts w:ascii="Times New Roman" w:eastAsia="Calibri" w:hAnsi="Times New Roman"/>
                <w:color w:val="000000"/>
                <w:kern w:val="2"/>
                <w:sz w:val="24"/>
                <w:szCs w:val="24"/>
                <w:lang w:bidi="th-TH"/>
              </w:rPr>
              <w:t>5.3</w:t>
            </w:r>
          </w:p>
        </w:tc>
        <w:tc>
          <w:tcPr>
            <w:tcW w:w="1363" w:type="dxa"/>
            <w:tcBorders>
              <w:top w:val="single" w:sz="4" w:space="0" w:color="000000"/>
              <w:left w:val="single" w:sz="4" w:space="0" w:color="000000"/>
              <w:bottom w:val="single" w:sz="4" w:space="0" w:color="000000"/>
              <w:right w:val="single" w:sz="4" w:space="0" w:color="000000"/>
            </w:tcBorders>
            <w:vAlign w:val="center"/>
          </w:tcPr>
          <w:p w14:paraId="4429223B"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ALA43</w:t>
            </w:r>
          </w:p>
          <w:p w14:paraId="7912F7DD"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GLY111</w:t>
            </w:r>
          </w:p>
        </w:tc>
        <w:tc>
          <w:tcPr>
            <w:tcW w:w="1096" w:type="dxa"/>
            <w:tcBorders>
              <w:top w:val="single" w:sz="4" w:space="0" w:color="000000"/>
              <w:left w:val="single" w:sz="4" w:space="0" w:color="000000"/>
              <w:bottom w:val="single" w:sz="4" w:space="0" w:color="000000"/>
              <w:right w:val="single" w:sz="4" w:space="0" w:color="000000"/>
            </w:tcBorders>
            <w:vAlign w:val="center"/>
          </w:tcPr>
          <w:p w14:paraId="67BBCF9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3.71</w:t>
            </w:r>
          </w:p>
          <w:p w14:paraId="2B17F33B"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3.09</w:t>
            </w:r>
          </w:p>
        </w:tc>
        <w:tc>
          <w:tcPr>
            <w:tcW w:w="1572" w:type="dxa"/>
            <w:tcBorders>
              <w:top w:val="single" w:sz="4" w:space="0" w:color="000000"/>
              <w:left w:val="single" w:sz="4" w:space="0" w:color="000000"/>
              <w:bottom w:val="single" w:sz="4" w:space="0" w:color="000000"/>
              <w:right w:val="single" w:sz="4" w:space="0" w:color="000000"/>
            </w:tcBorders>
            <w:vAlign w:val="center"/>
          </w:tcPr>
          <w:p w14:paraId="50DADF52" w14:textId="77777777" w:rsidR="009467A3" w:rsidRDefault="00000000">
            <w:pPr>
              <w:spacing w:after="0"/>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LYS45</w:t>
            </w:r>
          </w:p>
          <w:p w14:paraId="77B6322A" w14:textId="77777777" w:rsidR="009467A3" w:rsidRDefault="00000000">
            <w:pPr>
              <w:spacing w:after="0"/>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LEU47</w:t>
            </w:r>
          </w:p>
          <w:p w14:paraId="23AF6C3F" w14:textId="77777777" w:rsidR="009467A3" w:rsidRPr="00F63B15" w:rsidRDefault="00000000">
            <w:pPr>
              <w:spacing w:after="0"/>
              <w:jc w:val="center"/>
              <w:rPr>
                <w:lang w:val="nl-BE"/>
              </w:rPr>
            </w:pPr>
            <w:r>
              <w:rPr>
                <w:rFonts w:ascii="Times New Roman" w:eastAsia="Calibri" w:hAnsi="Times New Roman"/>
                <w:color w:val="000000"/>
                <w:kern w:val="2"/>
                <w:sz w:val="24"/>
                <w:szCs w:val="24"/>
                <w:lang w:val="nl-BE" w:bidi="th-TH"/>
              </w:rPr>
              <w:t>TYR55</w:t>
            </w:r>
          </w:p>
          <w:p w14:paraId="1BD87173" w14:textId="77777777" w:rsidR="009467A3" w:rsidRPr="00F63B15" w:rsidRDefault="00000000">
            <w:pPr>
              <w:spacing w:after="0"/>
              <w:jc w:val="center"/>
              <w:rPr>
                <w:lang w:val="nl-BE"/>
              </w:rPr>
            </w:pPr>
            <w:r>
              <w:rPr>
                <w:rFonts w:ascii="Times New Roman" w:eastAsia="Calibri" w:hAnsi="Times New Roman"/>
                <w:color w:val="000000"/>
                <w:kern w:val="2"/>
                <w:sz w:val="24"/>
                <w:szCs w:val="24"/>
                <w:lang w:val="nl-BE" w:bidi="th-TH"/>
              </w:rPr>
              <w:t>TYR55</w:t>
            </w:r>
          </w:p>
          <w:p w14:paraId="598503F8" w14:textId="77777777" w:rsidR="009467A3" w:rsidRDefault="00000000">
            <w:pPr>
              <w:spacing w:after="0"/>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VAL58</w:t>
            </w:r>
          </w:p>
          <w:p w14:paraId="5EF62DF7" w14:textId="77777777" w:rsidR="009467A3" w:rsidRDefault="00000000">
            <w:pPr>
              <w:spacing w:after="0"/>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VAL58</w:t>
            </w:r>
          </w:p>
          <w:p w14:paraId="254E33A6"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PHE62</w:t>
            </w:r>
          </w:p>
          <w:p w14:paraId="442035C1"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TRP110</w:t>
            </w:r>
          </w:p>
        </w:tc>
        <w:tc>
          <w:tcPr>
            <w:tcW w:w="1096" w:type="dxa"/>
            <w:tcBorders>
              <w:top w:val="single" w:sz="4" w:space="0" w:color="000000"/>
              <w:left w:val="single" w:sz="4" w:space="0" w:color="000000"/>
              <w:bottom w:val="single" w:sz="4" w:space="0" w:color="000000"/>
              <w:right w:val="single" w:sz="4" w:space="0" w:color="000000"/>
            </w:tcBorders>
            <w:vAlign w:val="center"/>
          </w:tcPr>
          <w:p w14:paraId="22BB0DC6"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3.67</w:t>
            </w:r>
          </w:p>
          <w:p w14:paraId="7D0C248A"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3.77</w:t>
            </w:r>
          </w:p>
          <w:p w14:paraId="55E2CA80"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3.95</w:t>
            </w:r>
          </w:p>
          <w:p w14:paraId="787F80D0"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3.65</w:t>
            </w:r>
          </w:p>
          <w:p w14:paraId="4E7DB67B"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3.79</w:t>
            </w:r>
          </w:p>
          <w:p w14:paraId="47CE5D8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3.81</w:t>
            </w:r>
          </w:p>
          <w:p w14:paraId="52E703DF"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3.53</w:t>
            </w:r>
          </w:p>
          <w:p w14:paraId="038C5736"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3.93</w:t>
            </w:r>
          </w:p>
        </w:tc>
      </w:tr>
      <w:tr w:rsidR="009467A3" w14:paraId="0AFC675B" w14:textId="77777777">
        <w:trPr>
          <w:trHeight w:val="1714"/>
        </w:trPr>
        <w:tc>
          <w:tcPr>
            <w:tcW w:w="598" w:type="dxa"/>
            <w:tcBorders>
              <w:top w:val="single" w:sz="4" w:space="0" w:color="000000"/>
              <w:left w:val="single" w:sz="4" w:space="0" w:color="000000"/>
              <w:bottom w:val="single" w:sz="4" w:space="0" w:color="000000"/>
              <w:right w:val="single" w:sz="4" w:space="0" w:color="000000"/>
            </w:tcBorders>
            <w:vAlign w:val="center"/>
          </w:tcPr>
          <w:p w14:paraId="5370F7D1" w14:textId="77777777" w:rsidR="009467A3" w:rsidRDefault="00000000">
            <w:pPr>
              <w:spacing w:after="0"/>
              <w:jc w:val="center"/>
              <w:rPr>
                <w:rFonts w:ascii="Times New Roman" w:eastAsia="Calibri" w:hAnsi="Times New Roman"/>
                <w:bCs/>
                <w:color w:val="000000"/>
                <w:kern w:val="2"/>
                <w:sz w:val="24"/>
                <w:szCs w:val="24"/>
                <w:lang w:bidi="th-TH"/>
              </w:rPr>
            </w:pPr>
            <w:r>
              <w:rPr>
                <w:rFonts w:ascii="Times New Roman" w:eastAsia="Calibri" w:hAnsi="Times New Roman"/>
                <w:bCs/>
                <w:color w:val="000000"/>
                <w:kern w:val="2"/>
                <w:sz w:val="24"/>
                <w:szCs w:val="24"/>
                <w:lang w:bidi="th-TH"/>
              </w:rPr>
              <w:t>2.</w:t>
            </w:r>
          </w:p>
        </w:tc>
        <w:tc>
          <w:tcPr>
            <w:tcW w:w="2262" w:type="dxa"/>
            <w:tcBorders>
              <w:top w:val="single" w:sz="4" w:space="0" w:color="000000"/>
              <w:left w:val="single" w:sz="4" w:space="0" w:color="000000"/>
              <w:bottom w:val="single" w:sz="4" w:space="0" w:color="000000"/>
              <w:right w:val="single" w:sz="4" w:space="0" w:color="000000"/>
            </w:tcBorders>
            <w:vAlign w:val="center"/>
          </w:tcPr>
          <w:p w14:paraId="2FDFEA4A" w14:textId="77777777" w:rsidR="009467A3" w:rsidRDefault="00000000">
            <w:pPr>
              <w:spacing w:after="0"/>
              <w:jc w:val="center"/>
              <w:rPr>
                <w:rFonts w:ascii="Times New Roman" w:eastAsia="Calibri" w:hAnsi="Times New Roman"/>
                <w:b/>
                <w:bCs/>
                <w:color w:val="000000"/>
                <w:kern w:val="2"/>
                <w:sz w:val="24"/>
                <w:szCs w:val="24"/>
                <w:lang w:bidi="th-TH"/>
              </w:rPr>
            </w:pPr>
            <w:r>
              <w:rPr>
                <w:rFonts w:ascii="Times New Roman" w:eastAsia="Calibri" w:hAnsi="Times New Roman"/>
                <w:color w:val="000000"/>
                <w:kern w:val="2"/>
                <w:sz w:val="24"/>
                <w:szCs w:val="24"/>
                <w:lang w:bidi="th-TH"/>
              </w:rPr>
              <w:t>Stearic Acid</w:t>
            </w:r>
          </w:p>
        </w:tc>
        <w:tc>
          <w:tcPr>
            <w:tcW w:w="1256" w:type="dxa"/>
            <w:tcBorders>
              <w:top w:val="single" w:sz="4" w:space="0" w:color="000000"/>
              <w:left w:val="single" w:sz="4" w:space="0" w:color="000000"/>
              <w:bottom w:val="single" w:sz="4" w:space="0" w:color="000000"/>
              <w:right w:val="single" w:sz="4" w:space="0" w:color="000000"/>
            </w:tcBorders>
            <w:vAlign w:val="center"/>
          </w:tcPr>
          <w:p w14:paraId="3C2BD8CC"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-4.8</w:t>
            </w:r>
          </w:p>
        </w:tc>
        <w:tc>
          <w:tcPr>
            <w:tcW w:w="1363" w:type="dxa"/>
            <w:tcBorders>
              <w:top w:val="single" w:sz="4" w:space="0" w:color="000000"/>
              <w:left w:val="single" w:sz="4" w:space="0" w:color="000000"/>
              <w:bottom w:val="single" w:sz="4" w:space="0" w:color="000000"/>
              <w:right w:val="single" w:sz="4" w:space="0" w:color="000000"/>
            </w:tcBorders>
            <w:vAlign w:val="center"/>
          </w:tcPr>
          <w:p w14:paraId="7928E19F"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VAL3</w:t>
            </w:r>
          </w:p>
          <w:p w14:paraId="306496F6"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THR5</w:t>
            </w:r>
          </w:p>
          <w:p w14:paraId="1E001B22"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THR5</w:t>
            </w:r>
          </w:p>
        </w:tc>
        <w:tc>
          <w:tcPr>
            <w:tcW w:w="1096" w:type="dxa"/>
            <w:tcBorders>
              <w:top w:val="single" w:sz="4" w:space="0" w:color="000000"/>
              <w:left w:val="single" w:sz="4" w:space="0" w:color="000000"/>
              <w:bottom w:val="single" w:sz="4" w:space="0" w:color="000000"/>
              <w:right w:val="single" w:sz="4" w:space="0" w:color="000000"/>
            </w:tcBorders>
            <w:vAlign w:val="center"/>
          </w:tcPr>
          <w:p w14:paraId="051DB0EF"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2.94</w:t>
            </w:r>
          </w:p>
          <w:p w14:paraId="5F198289"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3.00</w:t>
            </w:r>
          </w:p>
          <w:p w14:paraId="70B1A712"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2.91</w:t>
            </w:r>
          </w:p>
        </w:tc>
        <w:tc>
          <w:tcPr>
            <w:tcW w:w="1572" w:type="dxa"/>
            <w:tcBorders>
              <w:top w:val="single" w:sz="4" w:space="0" w:color="000000"/>
              <w:left w:val="single" w:sz="4" w:space="0" w:color="000000"/>
              <w:bottom w:val="single" w:sz="4" w:space="0" w:color="000000"/>
              <w:right w:val="single" w:sz="4" w:space="0" w:color="000000"/>
            </w:tcBorders>
            <w:vAlign w:val="center"/>
          </w:tcPr>
          <w:p w14:paraId="6A634D8E"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THR1</w:t>
            </w:r>
          </w:p>
          <w:p w14:paraId="7EA32FB3"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VAL3</w:t>
            </w:r>
          </w:p>
          <w:p w14:paraId="5569F48A"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VAL3</w:t>
            </w:r>
          </w:p>
          <w:p w14:paraId="5CD73E8D"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PHE269</w:t>
            </w:r>
          </w:p>
          <w:p w14:paraId="4887A10E"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PHE269</w:t>
            </w:r>
          </w:p>
          <w:p w14:paraId="163A7D44"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VAL274</w:t>
            </w:r>
          </w:p>
          <w:p w14:paraId="5CE451C0"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PRO278</w:t>
            </w:r>
          </w:p>
          <w:p w14:paraId="3E21077F"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PRO278</w:t>
            </w:r>
          </w:p>
          <w:p w14:paraId="14295753" w14:textId="77777777" w:rsidR="009467A3" w:rsidRDefault="00000000">
            <w:pPr>
              <w:spacing w:after="0"/>
              <w:jc w:val="center"/>
            </w:pPr>
            <w:r>
              <w:rPr>
                <w:rFonts w:ascii="Times New Roman" w:eastAsia="Calibri" w:hAnsi="Times New Roman"/>
                <w:color w:val="000000"/>
                <w:kern w:val="2"/>
                <w:sz w:val="24"/>
                <w:szCs w:val="24"/>
                <w:lang w:bidi="th-TH"/>
              </w:rPr>
              <w:t>TYR279</w:t>
            </w:r>
          </w:p>
          <w:p w14:paraId="1107C9DF" w14:textId="77777777" w:rsidR="009467A3" w:rsidRDefault="00000000">
            <w:pPr>
              <w:spacing w:after="0"/>
              <w:jc w:val="center"/>
            </w:pPr>
            <w:r>
              <w:rPr>
                <w:rFonts w:ascii="Times New Roman" w:eastAsia="Calibri" w:hAnsi="Times New Roman"/>
                <w:color w:val="000000"/>
                <w:kern w:val="2"/>
                <w:sz w:val="24"/>
                <w:szCs w:val="24"/>
                <w:lang w:bidi="th-TH"/>
              </w:rPr>
              <w:t>TYR281</w:t>
            </w:r>
          </w:p>
          <w:p w14:paraId="72D824C2"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HIS468</w:t>
            </w:r>
          </w:p>
        </w:tc>
        <w:tc>
          <w:tcPr>
            <w:tcW w:w="1096" w:type="dxa"/>
            <w:tcBorders>
              <w:top w:val="single" w:sz="4" w:space="0" w:color="000000"/>
              <w:left w:val="single" w:sz="4" w:space="0" w:color="000000"/>
              <w:bottom w:val="single" w:sz="4" w:space="0" w:color="000000"/>
              <w:right w:val="single" w:sz="4" w:space="0" w:color="000000"/>
            </w:tcBorders>
            <w:vAlign w:val="center"/>
          </w:tcPr>
          <w:p w14:paraId="690721E2"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3.48</w:t>
            </w:r>
          </w:p>
          <w:p w14:paraId="51ABBB3C"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3.70</w:t>
            </w:r>
          </w:p>
          <w:p w14:paraId="443AC85C"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3.88</w:t>
            </w:r>
          </w:p>
          <w:p w14:paraId="1E2549EA"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3.72</w:t>
            </w:r>
          </w:p>
          <w:p w14:paraId="17915D5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3.51</w:t>
            </w:r>
          </w:p>
          <w:p w14:paraId="3EB6A973"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3.70</w:t>
            </w:r>
          </w:p>
          <w:p w14:paraId="008F6843"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3.80</w:t>
            </w:r>
          </w:p>
          <w:p w14:paraId="189F90C2"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3.60</w:t>
            </w:r>
          </w:p>
          <w:p w14:paraId="3C8121B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3.95</w:t>
            </w:r>
          </w:p>
          <w:p w14:paraId="40F75A83"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3.50</w:t>
            </w:r>
          </w:p>
          <w:p w14:paraId="6C581A7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5.42</w:t>
            </w:r>
          </w:p>
        </w:tc>
      </w:tr>
      <w:tr w:rsidR="009467A3" w14:paraId="225A38F2" w14:textId="77777777">
        <w:trPr>
          <w:trHeight w:val="571"/>
        </w:trPr>
        <w:tc>
          <w:tcPr>
            <w:tcW w:w="598" w:type="dxa"/>
            <w:tcBorders>
              <w:top w:val="single" w:sz="4" w:space="0" w:color="000000"/>
              <w:left w:val="single" w:sz="4" w:space="0" w:color="000000"/>
              <w:bottom w:val="single" w:sz="4" w:space="0" w:color="000000"/>
              <w:right w:val="single" w:sz="4" w:space="0" w:color="000000"/>
            </w:tcBorders>
            <w:vAlign w:val="center"/>
          </w:tcPr>
          <w:p w14:paraId="1015C7FB"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w:t>
            </w:r>
          </w:p>
        </w:tc>
        <w:tc>
          <w:tcPr>
            <w:tcW w:w="2262" w:type="dxa"/>
            <w:tcBorders>
              <w:top w:val="single" w:sz="4" w:space="0" w:color="000000"/>
              <w:left w:val="single" w:sz="4" w:space="0" w:color="000000"/>
              <w:bottom w:val="single" w:sz="4" w:space="0" w:color="000000"/>
              <w:right w:val="single" w:sz="4" w:space="0" w:color="000000"/>
            </w:tcBorders>
            <w:vAlign w:val="center"/>
          </w:tcPr>
          <w:p w14:paraId="2EA5AB52" w14:textId="77777777" w:rsidR="009467A3" w:rsidRDefault="00000000">
            <w:pPr>
              <w:spacing w:after="0"/>
              <w:jc w:val="center"/>
              <w:rPr>
                <w:rFonts w:ascii="Times New Roman" w:eastAsia="Calibri" w:hAnsi="Times New Roman"/>
                <w:b/>
                <w:bCs/>
                <w:color w:val="000000"/>
                <w:kern w:val="2"/>
                <w:sz w:val="24"/>
                <w:szCs w:val="24"/>
                <w:lang w:bidi="th-TH"/>
              </w:rPr>
            </w:pPr>
            <w:r>
              <w:rPr>
                <w:rFonts w:ascii="Times New Roman" w:eastAsia="Calibri" w:hAnsi="Times New Roman"/>
                <w:color w:val="000000"/>
                <w:kern w:val="2"/>
                <w:sz w:val="24"/>
                <w:szCs w:val="24"/>
                <w:lang w:bidi="th-TH"/>
              </w:rPr>
              <w:t>Palmitic Acid</w:t>
            </w:r>
          </w:p>
        </w:tc>
        <w:tc>
          <w:tcPr>
            <w:tcW w:w="1256" w:type="dxa"/>
            <w:tcBorders>
              <w:top w:val="single" w:sz="4" w:space="0" w:color="000000"/>
              <w:left w:val="single" w:sz="4" w:space="0" w:color="000000"/>
              <w:bottom w:val="single" w:sz="4" w:space="0" w:color="000000"/>
              <w:right w:val="single" w:sz="4" w:space="0" w:color="000000"/>
            </w:tcBorders>
            <w:vAlign w:val="center"/>
          </w:tcPr>
          <w:p w14:paraId="24AA390A" w14:textId="77777777" w:rsidR="009467A3" w:rsidRDefault="00000000">
            <w:pPr>
              <w:spacing w:after="0"/>
              <w:jc w:val="center"/>
              <w:rPr>
                <w:rFonts w:ascii="Times New Roman" w:eastAsia="Calibri" w:hAnsi="Times New Roman"/>
                <w:b/>
                <w:bCs/>
                <w:color w:val="000000"/>
                <w:kern w:val="2"/>
                <w:sz w:val="24"/>
                <w:szCs w:val="24"/>
                <w:lang w:bidi="th-TH"/>
              </w:rPr>
            </w:pPr>
            <w:r>
              <w:rPr>
                <w:rFonts w:ascii="Times New Roman" w:eastAsia="Calibri" w:hAnsi="Times New Roman"/>
                <w:b/>
                <w:bCs/>
                <w:color w:val="000000"/>
                <w:kern w:val="2"/>
                <w:sz w:val="24"/>
                <w:szCs w:val="24"/>
                <w:lang w:bidi="th-TH"/>
              </w:rPr>
              <w:t>-</w:t>
            </w:r>
            <w:r>
              <w:rPr>
                <w:rFonts w:ascii="Times New Roman" w:eastAsia="Calibri" w:hAnsi="Times New Roman"/>
                <w:color w:val="000000"/>
                <w:kern w:val="2"/>
                <w:sz w:val="24"/>
                <w:szCs w:val="24"/>
                <w:lang w:bidi="th-TH"/>
              </w:rPr>
              <w:t>4.7</w:t>
            </w:r>
          </w:p>
        </w:tc>
        <w:tc>
          <w:tcPr>
            <w:tcW w:w="1363" w:type="dxa"/>
            <w:tcBorders>
              <w:top w:val="single" w:sz="4" w:space="0" w:color="000000"/>
              <w:left w:val="single" w:sz="4" w:space="0" w:color="000000"/>
              <w:bottom w:val="single" w:sz="4" w:space="0" w:color="000000"/>
              <w:right w:val="single" w:sz="4" w:space="0" w:color="000000"/>
            </w:tcBorders>
            <w:vAlign w:val="center"/>
          </w:tcPr>
          <w:p w14:paraId="315AFCB7"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GLY41</w:t>
            </w:r>
          </w:p>
          <w:p w14:paraId="0A9DC84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LYS42</w:t>
            </w:r>
          </w:p>
          <w:p w14:paraId="621936CA"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TYR95</w:t>
            </w:r>
          </w:p>
        </w:tc>
        <w:tc>
          <w:tcPr>
            <w:tcW w:w="1096" w:type="dxa"/>
            <w:tcBorders>
              <w:top w:val="single" w:sz="4" w:space="0" w:color="000000"/>
              <w:left w:val="single" w:sz="4" w:space="0" w:color="000000"/>
              <w:bottom w:val="single" w:sz="4" w:space="0" w:color="000000"/>
              <w:right w:val="single" w:sz="4" w:space="0" w:color="000000"/>
            </w:tcBorders>
            <w:vAlign w:val="center"/>
          </w:tcPr>
          <w:p w14:paraId="7C57CBE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3.04</w:t>
            </w:r>
          </w:p>
          <w:p w14:paraId="4F366C0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3.09</w:t>
            </w:r>
          </w:p>
          <w:p w14:paraId="75DB465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4.03</w:t>
            </w:r>
          </w:p>
        </w:tc>
        <w:tc>
          <w:tcPr>
            <w:tcW w:w="1572" w:type="dxa"/>
            <w:tcBorders>
              <w:top w:val="single" w:sz="4" w:space="0" w:color="000000"/>
              <w:left w:val="single" w:sz="4" w:space="0" w:color="000000"/>
              <w:bottom w:val="single" w:sz="4" w:space="0" w:color="000000"/>
              <w:right w:val="single" w:sz="4" w:space="0" w:color="000000"/>
            </w:tcBorders>
            <w:vAlign w:val="center"/>
          </w:tcPr>
          <w:p w14:paraId="78269D32"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PRO41</w:t>
            </w:r>
          </w:p>
          <w:p w14:paraId="7C69717C"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VAL93</w:t>
            </w:r>
          </w:p>
          <w:p w14:paraId="743398A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LEU115</w:t>
            </w:r>
          </w:p>
          <w:p w14:paraId="7A74538C"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LEU115</w:t>
            </w:r>
          </w:p>
          <w:p w14:paraId="5BB61F10"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PRO156</w:t>
            </w:r>
          </w:p>
        </w:tc>
        <w:tc>
          <w:tcPr>
            <w:tcW w:w="1096" w:type="dxa"/>
            <w:tcBorders>
              <w:top w:val="single" w:sz="4" w:space="0" w:color="000000"/>
              <w:left w:val="single" w:sz="4" w:space="0" w:color="000000"/>
              <w:bottom w:val="single" w:sz="4" w:space="0" w:color="000000"/>
              <w:right w:val="single" w:sz="4" w:space="0" w:color="000000"/>
            </w:tcBorders>
            <w:vAlign w:val="center"/>
          </w:tcPr>
          <w:p w14:paraId="74D296BB"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3.90</w:t>
            </w:r>
          </w:p>
          <w:p w14:paraId="4DED6FAE"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3.49</w:t>
            </w:r>
          </w:p>
          <w:p w14:paraId="28E247D8"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3.61</w:t>
            </w:r>
          </w:p>
          <w:p w14:paraId="0BEAF6F3"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3.70</w:t>
            </w:r>
          </w:p>
          <w:p w14:paraId="501074B6" w14:textId="77777777" w:rsidR="009467A3" w:rsidRDefault="00000000">
            <w:pPr>
              <w:spacing w:after="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3.88</w:t>
            </w:r>
          </w:p>
        </w:tc>
      </w:tr>
    </w:tbl>
    <w:p w14:paraId="7A4752AF" w14:textId="77777777" w:rsidR="009467A3" w:rsidRDefault="00000000">
      <w:pPr>
        <w:spacing w:after="0" w:line="360" w:lineRule="auto"/>
        <w:ind w:firstLine="284"/>
        <w:jc w:val="both"/>
        <w:rPr>
          <w:rFonts w:ascii="Times New Roman" w:hAnsi="Times New Roman"/>
          <w:color w:val="000000"/>
          <w:sz w:val="24"/>
          <w:szCs w:val="24"/>
        </w:rPr>
      </w:pPr>
      <w:r>
        <w:br w:type="page"/>
      </w:r>
    </w:p>
    <w:p w14:paraId="1D3BFB50" w14:textId="77777777" w:rsidR="009467A3" w:rsidRDefault="009467A3">
      <w:pPr>
        <w:spacing w:after="160" w:line="257" w:lineRule="auto"/>
        <w:rPr>
          <w:rFonts w:ascii="Times New Roman" w:hAnsi="Times New Roman"/>
          <w:color w:val="000000"/>
          <w:sz w:val="24"/>
          <w:szCs w:val="24"/>
        </w:rPr>
      </w:pPr>
    </w:p>
    <w:p w14:paraId="2124E9BB" w14:textId="77777777" w:rsidR="009467A3" w:rsidRDefault="00000000">
      <w:pPr>
        <w:spacing w:after="0" w:line="360" w:lineRule="auto"/>
        <w:jc w:val="center"/>
        <w:rPr>
          <w:rFonts w:ascii="Times New Roman" w:hAnsi="Times New Roman"/>
          <w:b/>
          <w:bCs/>
          <w:i/>
          <w:color w:val="000000"/>
          <w:sz w:val="24"/>
          <w:szCs w:val="24"/>
        </w:rPr>
      </w:pPr>
      <w:r>
        <w:rPr>
          <w:rFonts w:ascii="Times New Roman" w:hAnsi="Times New Roman"/>
          <w:b/>
          <w:bCs/>
          <w:color w:val="000000"/>
          <w:sz w:val="24"/>
          <w:szCs w:val="24"/>
        </w:rPr>
        <w:t>Table 7</w:t>
      </w:r>
      <w:r>
        <w:rPr>
          <w:rFonts w:ascii="Times New Roman" w:hAnsi="Times New Roman"/>
          <w:b/>
          <w:bCs/>
          <w:i/>
          <w:color w:val="000000"/>
          <w:sz w:val="24"/>
          <w:szCs w:val="24"/>
        </w:rPr>
        <w:t xml:space="preserve"> </w:t>
      </w:r>
      <w:r>
        <w:rPr>
          <w:rFonts w:ascii="Times New Roman" w:hAnsi="Times New Roman"/>
          <w:bCs/>
          <w:color w:val="000000"/>
          <w:sz w:val="24"/>
          <w:szCs w:val="24"/>
        </w:rPr>
        <w:t>Molecular Docking score for bioactive compounds in</w:t>
      </w:r>
      <w:r>
        <w:rPr>
          <w:rFonts w:ascii="Times New Roman" w:hAnsi="Times New Roman"/>
          <w:bCs/>
          <w:i/>
          <w:color w:val="000000"/>
          <w:sz w:val="24"/>
          <w:szCs w:val="24"/>
        </w:rPr>
        <w:t xml:space="preserve"> B. </w:t>
      </w:r>
      <w:proofErr w:type="spellStart"/>
      <w:r>
        <w:rPr>
          <w:rFonts w:ascii="Times New Roman" w:hAnsi="Times New Roman"/>
          <w:bCs/>
          <w:i/>
          <w:color w:val="000000"/>
          <w:sz w:val="24"/>
          <w:szCs w:val="24"/>
        </w:rPr>
        <w:t>longiflora</w:t>
      </w:r>
      <w:proofErr w:type="spellEnd"/>
      <w:r>
        <w:rPr>
          <w:rFonts w:ascii="Times New Roman" w:hAnsi="Times New Roman"/>
          <w:bCs/>
          <w:i/>
          <w:color w:val="000000"/>
          <w:sz w:val="24"/>
          <w:szCs w:val="24"/>
        </w:rPr>
        <w:t xml:space="preserve"> </w:t>
      </w:r>
      <w:r>
        <w:rPr>
          <w:rFonts w:ascii="Times New Roman" w:hAnsi="Times New Roman"/>
          <w:bCs/>
          <w:color w:val="000000"/>
          <w:sz w:val="24"/>
          <w:szCs w:val="24"/>
        </w:rPr>
        <w:t>against Cyclooxygenase (6COX) protein</w:t>
      </w:r>
    </w:p>
    <w:p w14:paraId="20277138" w14:textId="77777777" w:rsidR="009467A3" w:rsidRDefault="009467A3">
      <w:pPr>
        <w:spacing w:after="0" w:line="360" w:lineRule="auto"/>
        <w:rPr>
          <w:rFonts w:ascii="Times New Roman" w:hAnsi="Times New Roman"/>
          <w:b/>
          <w:bCs/>
          <w:i/>
          <w:color w:val="000000"/>
          <w:sz w:val="24"/>
          <w:szCs w:val="24"/>
        </w:rPr>
      </w:pPr>
    </w:p>
    <w:tbl>
      <w:tblPr>
        <w:tblW w:w="9243" w:type="dxa"/>
        <w:tblLayout w:type="fixed"/>
        <w:tblLook w:val="0000" w:firstRow="0" w:lastRow="0" w:firstColumn="0" w:lastColumn="0" w:noHBand="0" w:noVBand="0"/>
      </w:tblPr>
      <w:tblGrid>
        <w:gridCol w:w="656"/>
        <w:gridCol w:w="2159"/>
        <w:gridCol w:w="1256"/>
        <w:gridCol w:w="1366"/>
        <w:gridCol w:w="1138"/>
        <w:gridCol w:w="1572"/>
        <w:gridCol w:w="1096"/>
      </w:tblGrid>
      <w:tr w:rsidR="009467A3" w14:paraId="23862E2A" w14:textId="77777777">
        <w:tc>
          <w:tcPr>
            <w:tcW w:w="656" w:type="dxa"/>
            <w:tcBorders>
              <w:top w:val="single" w:sz="4" w:space="0" w:color="000000"/>
              <w:left w:val="single" w:sz="4" w:space="0" w:color="000000"/>
              <w:bottom w:val="single" w:sz="4" w:space="0" w:color="000000"/>
              <w:right w:val="single" w:sz="4" w:space="0" w:color="000000"/>
            </w:tcBorders>
            <w:vAlign w:val="center"/>
          </w:tcPr>
          <w:p w14:paraId="242F335C" w14:textId="77777777" w:rsidR="009467A3" w:rsidRDefault="00000000">
            <w:pPr>
              <w:spacing w:after="0" w:line="36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S. No</w:t>
            </w:r>
          </w:p>
        </w:tc>
        <w:tc>
          <w:tcPr>
            <w:tcW w:w="2159" w:type="dxa"/>
            <w:tcBorders>
              <w:top w:val="single" w:sz="4" w:space="0" w:color="000000"/>
              <w:left w:val="single" w:sz="4" w:space="0" w:color="000000"/>
              <w:bottom w:val="single" w:sz="4" w:space="0" w:color="000000"/>
              <w:right w:val="single" w:sz="4" w:space="0" w:color="000000"/>
            </w:tcBorders>
            <w:vAlign w:val="center"/>
          </w:tcPr>
          <w:p w14:paraId="41D204DF" w14:textId="77777777" w:rsidR="009467A3" w:rsidRDefault="00000000">
            <w:pPr>
              <w:spacing w:after="0" w:line="36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Compound Name </w:t>
            </w:r>
          </w:p>
        </w:tc>
        <w:tc>
          <w:tcPr>
            <w:tcW w:w="1256" w:type="dxa"/>
            <w:tcBorders>
              <w:top w:val="single" w:sz="4" w:space="0" w:color="000000"/>
              <w:left w:val="single" w:sz="4" w:space="0" w:color="000000"/>
              <w:bottom w:val="single" w:sz="4" w:space="0" w:color="000000"/>
              <w:right w:val="single" w:sz="4" w:space="0" w:color="000000"/>
            </w:tcBorders>
            <w:vAlign w:val="center"/>
          </w:tcPr>
          <w:p w14:paraId="3111BE8C" w14:textId="77777777" w:rsidR="009467A3" w:rsidRDefault="00000000">
            <w:pPr>
              <w:spacing w:after="0" w:line="36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Binding Affinity</w:t>
            </w:r>
          </w:p>
          <w:p w14:paraId="10C7CB0B" w14:textId="77777777" w:rsidR="009467A3" w:rsidRDefault="00000000">
            <w:pPr>
              <w:spacing w:after="0" w:line="360" w:lineRule="auto"/>
              <w:jc w:val="center"/>
            </w:pPr>
            <w:r>
              <w:rPr>
                <w:rFonts w:ascii="Times New Roman" w:hAnsi="Times New Roman"/>
                <w:b/>
                <w:color w:val="000000"/>
                <w:kern w:val="2"/>
                <w:sz w:val="24"/>
                <w:szCs w:val="24"/>
                <w:lang w:bidi="th-TH"/>
              </w:rPr>
              <w:t>(kcal/mol)</w:t>
            </w:r>
            <w:r>
              <w:rPr>
                <w:rFonts w:ascii="Times New Roman" w:eastAsia="Calibri" w:hAnsi="Times New Roman"/>
                <w:b/>
                <w:color w:val="000000"/>
                <w:kern w:val="2"/>
                <w:sz w:val="24"/>
                <w:szCs w:val="24"/>
                <w:lang w:bidi="th-TH"/>
              </w:rPr>
              <w:t xml:space="preserve"> </w:t>
            </w:r>
          </w:p>
        </w:tc>
        <w:tc>
          <w:tcPr>
            <w:tcW w:w="1366" w:type="dxa"/>
            <w:tcBorders>
              <w:top w:val="single" w:sz="4" w:space="0" w:color="000000"/>
              <w:left w:val="single" w:sz="4" w:space="0" w:color="000000"/>
              <w:bottom w:val="single" w:sz="4" w:space="0" w:color="000000"/>
              <w:right w:val="single" w:sz="4" w:space="0" w:color="000000"/>
            </w:tcBorders>
            <w:vAlign w:val="center"/>
          </w:tcPr>
          <w:p w14:paraId="5BC511BA" w14:textId="77777777" w:rsidR="009467A3" w:rsidRDefault="00000000">
            <w:pPr>
              <w:spacing w:after="0" w:line="360" w:lineRule="auto"/>
              <w:jc w:val="center"/>
            </w:pPr>
            <w:r>
              <w:rPr>
                <w:rFonts w:ascii="Times New Roman" w:eastAsia="Calibri" w:hAnsi="Times New Roman"/>
                <w:b/>
                <w:color w:val="000000"/>
                <w:kern w:val="2"/>
                <w:sz w:val="24"/>
                <w:szCs w:val="24"/>
                <w:lang w:bidi="th-TH"/>
              </w:rPr>
              <w:t xml:space="preserve">Hydrogen Bond Interaction </w:t>
            </w:r>
          </w:p>
        </w:tc>
        <w:tc>
          <w:tcPr>
            <w:tcW w:w="1138" w:type="dxa"/>
            <w:tcBorders>
              <w:top w:val="single" w:sz="4" w:space="0" w:color="000000"/>
              <w:left w:val="single" w:sz="4" w:space="0" w:color="000000"/>
              <w:bottom w:val="single" w:sz="4" w:space="0" w:color="000000"/>
              <w:right w:val="single" w:sz="4" w:space="0" w:color="000000"/>
            </w:tcBorders>
            <w:vAlign w:val="center"/>
          </w:tcPr>
          <w:p w14:paraId="3245F745" w14:textId="77777777" w:rsidR="009467A3" w:rsidRDefault="00000000">
            <w:pPr>
              <w:spacing w:after="0" w:line="36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Distance </w:t>
            </w:r>
          </w:p>
          <w:p w14:paraId="412BDEB8" w14:textId="77777777" w:rsidR="009467A3" w:rsidRDefault="00000000">
            <w:pPr>
              <w:spacing w:after="0" w:line="36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Å</w:t>
            </w:r>
          </w:p>
        </w:tc>
        <w:tc>
          <w:tcPr>
            <w:tcW w:w="1572" w:type="dxa"/>
            <w:tcBorders>
              <w:top w:val="single" w:sz="4" w:space="0" w:color="000000"/>
              <w:left w:val="single" w:sz="4" w:space="0" w:color="000000"/>
              <w:bottom w:val="single" w:sz="4" w:space="0" w:color="000000"/>
              <w:right w:val="single" w:sz="4" w:space="0" w:color="000000"/>
            </w:tcBorders>
            <w:vAlign w:val="center"/>
          </w:tcPr>
          <w:p w14:paraId="4B0C0BB7" w14:textId="77777777" w:rsidR="009467A3" w:rsidRDefault="00000000">
            <w:pPr>
              <w:spacing w:after="0" w:line="36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Hydrophobic Interaction </w:t>
            </w:r>
          </w:p>
        </w:tc>
        <w:tc>
          <w:tcPr>
            <w:tcW w:w="1096" w:type="dxa"/>
            <w:tcBorders>
              <w:top w:val="single" w:sz="4" w:space="0" w:color="000000"/>
              <w:left w:val="single" w:sz="4" w:space="0" w:color="000000"/>
              <w:bottom w:val="single" w:sz="4" w:space="0" w:color="000000"/>
              <w:right w:val="single" w:sz="4" w:space="0" w:color="000000"/>
            </w:tcBorders>
            <w:vAlign w:val="center"/>
          </w:tcPr>
          <w:p w14:paraId="282A4146" w14:textId="77777777" w:rsidR="009467A3" w:rsidRDefault="00000000">
            <w:pPr>
              <w:spacing w:after="0" w:line="36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Distance </w:t>
            </w:r>
          </w:p>
          <w:p w14:paraId="7816F371" w14:textId="77777777" w:rsidR="009467A3" w:rsidRDefault="00000000">
            <w:pPr>
              <w:spacing w:after="0" w:line="36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Å</w:t>
            </w:r>
          </w:p>
        </w:tc>
      </w:tr>
      <w:tr w:rsidR="009467A3" w14:paraId="6548E4B3" w14:textId="77777777">
        <w:trPr>
          <w:trHeight w:val="950"/>
        </w:trPr>
        <w:tc>
          <w:tcPr>
            <w:tcW w:w="656" w:type="dxa"/>
            <w:tcBorders>
              <w:top w:val="single" w:sz="4" w:space="0" w:color="000000"/>
              <w:left w:val="single" w:sz="4" w:space="0" w:color="000000"/>
              <w:bottom w:val="single" w:sz="4" w:space="0" w:color="000000"/>
              <w:right w:val="single" w:sz="4" w:space="0" w:color="000000"/>
            </w:tcBorders>
            <w:vAlign w:val="center"/>
          </w:tcPr>
          <w:p w14:paraId="6DA5BB53"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1.</w:t>
            </w:r>
          </w:p>
        </w:tc>
        <w:tc>
          <w:tcPr>
            <w:tcW w:w="2159" w:type="dxa"/>
            <w:tcBorders>
              <w:top w:val="single" w:sz="4" w:space="0" w:color="000000"/>
              <w:left w:val="single" w:sz="4" w:space="0" w:color="000000"/>
              <w:bottom w:val="single" w:sz="4" w:space="0" w:color="000000"/>
              <w:right w:val="single" w:sz="4" w:space="0" w:color="000000"/>
            </w:tcBorders>
            <w:vAlign w:val="center"/>
          </w:tcPr>
          <w:p w14:paraId="0A105697"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 xml:space="preserve">Oleic Acid </w:t>
            </w:r>
          </w:p>
        </w:tc>
        <w:tc>
          <w:tcPr>
            <w:tcW w:w="1256" w:type="dxa"/>
            <w:tcBorders>
              <w:top w:val="single" w:sz="4" w:space="0" w:color="000000"/>
              <w:left w:val="single" w:sz="4" w:space="0" w:color="000000"/>
              <w:bottom w:val="single" w:sz="4" w:space="0" w:color="000000"/>
              <w:right w:val="single" w:sz="4" w:space="0" w:color="000000"/>
            </w:tcBorders>
            <w:vAlign w:val="center"/>
          </w:tcPr>
          <w:p w14:paraId="2FD6A703"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-5.3</w:t>
            </w:r>
          </w:p>
        </w:tc>
        <w:tc>
          <w:tcPr>
            <w:tcW w:w="1366" w:type="dxa"/>
            <w:tcBorders>
              <w:top w:val="single" w:sz="4" w:space="0" w:color="000000"/>
              <w:left w:val="single" w:sz="4" w:space="0" w:color="000000"/>
              <w:bottom w:val="single" w:sz="4" w:space="0" w:color="000000"/>
              <w:right w:val="single" w:sz="4" w:space="0" w:color="000000"/>
            </w:tcBorders>
            <w:vAlign w:val="center"/>
          </w:tcPr>
          <w:p w14:paraId="58D1F4DB"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GLY225</w:t>
            </w:r>
          </w:p>
          <w:p w14:paraId="09AB5C70"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ASN375</w:t>
            </w:r>
          </w:p>
        </w:tc>
        <w:tc>
          <w:tcPr>
            <w:tcW w:w="1138" w:type="dxa"/>
            <w:tcBorders>
              <w:top w:val="single" w:sz="4" w:space="0" w:color="000000"/>
              <w:left w:val="single" w:sz="4" w:space="0" w:color="000000"/>
              <w:bottom w:val="single" w:sz="4" w:space="0" w:color="000000"/>
              <w:right w:val="single" w:sz="4" w:space="0" w:color="000000"/>
            </w:tcBorders>
            <w:vAlign w:val="center"/>
          </w:tcPr>
          <w:p w14:paraId="0E05F73A"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2.92</w:t>
            </w:r>
          </w:p>
          <w:p w14:paraId="15EA2AF0"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3.90</w:t>
            </w:r>
          </w:p>
        </w:tc>
        <w:tc>
          <w:tcPr>
            <w:tcW w:w="1572" w:type="dxa"/>
            <w:tcBorders>
              <w:top w:val="single" w:sz="4" w:space="0" w:color="000000"/>
              <w:left w:val="single" w:sz="4" w:space="0" w:color="000000"/>
              <w:bottom w:val="single" w:sz="4" w:space="0" w:color="000000"/>
              <w:right w:val="single" w:sz="4" w:space="0" w:color="000000"/>
            </w:tcBorders>
            <w:vAlign w:val="center"/>
          </w:tcPr>
          <w:p w14:paraId="537DFBDF"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PHE142</w:t>
            </w:r>
          </w:p>
          <w:p w14:paraId="23348D2E"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LEU145</w:t>
            </w:r>
          </w:p>
          <w:p w14:paraId="3218D828"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LEU145</w:t>
            </w:r>
          </w:p>
          <w:p w14:paraId="7E294414"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GLN374</w:t>
            </w:r>
          </w:p>
        </w:tc>
        <w:tc>
          <w:tcPr>
            <w:tcW w:w="1096" w:type="dxa"/>
            <w:tcBorders>
              <w:top w:val="single" w:sz="4" w:space="0" w:color="000000"/>
              <w:left w:val="single" w:sz="4" w:space="0" w:color="000000"/>
              <w:bottom w:val="single" w:sz="4" w:space="0" w:color="000000"/>
              <w:right w:val="single" w:sz="4" w:space="0" w:color="000000"/>
            </w:tcBorders>
            <w:vAlign w:val="center"/>
          </w:tcPr>
          <w:p w14:paraId="1025B365"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3.50</w:t>
            </w:r>
          </w:p>
          <w:p w14:paraId="115FF48C"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3.60</w:t>
            </w:r>
          </w:p>
          <w:p w14:paraId="293563F2"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3.64</w:t>
            </w:r>
          </w:p>
          <w:p w14:paraId="00480087"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3.78</w:t>
            </w:r>
          </w:p>
        </w:tc>
      </w:tr>
      <w:tr w:rsidR="009467A3" w14:paraId="5BA84A50" w14:textId="77777777">
        <w:trPr>
          <w:trHeight w:val="1880"/>
        </w:trPr>
        <w:tc>
          <w:tcPr>
            <w:tcW w:w="656" w:type="dxa"/>
            <w:tcBorders>
              <w:top w:val="single" w:sz="4" w:space="0" w:color="000000"/>
              <w:left w:val="single" w:sz="4" w:space="0" w:color="000000"/>
              <w:bottom w:val="single" w:sz="4" w:space="0" w:color="000000"/>
              <w:right w:val="single" w:sz="4" w:space="0" w:color="000000"/>
            </w:tcBorders>
            <w:vAlign w:val="center"/>
          </w:tcPr>
          <w:p w14:paraId="387AA6EF"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2.</w:t>
            </w:r>
          </w:p>
        </w:tc>
        <w:tc>
          <w:tcPr>
            <w:tcW w:w="2159" w:type="dxa"/>
            <w:tcBorders>
              <w:top w:val="single" w:sz="4" w:space="0" w:color="000000"/>
              <w:left w:val="single" w:sz="4" w:space="0" w:color="000000"/>
              <w:bottom w:val="single" w:sz="4" w:space="0" w:color="000000"/>
              <w:right w:val="single" w:sz="4" w:space="0" w:color="000000"/>
            </w:tcBorders>
            <w:vAlign w:val="center"/>
          </w:tcPr>
          <w:p w14:paraId="5462E302"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Stearic Acid</w:t>
            </w:r>
          </w:p>
        </w:tc>
        <w:tc>
          <w:tcPr>
            <w:tcW w:w="1256" w:type="dxa"/>
            <w:tcBorders>
              <w:top w:val="single" w:sz="4" w:space="0" w:color="000000"/>
              <w:left w:val="single" w:sz="4" w:space="0" w:color="000000"/>
              <w:bottom w:val="single" w:sz="4" w:space="0" w:color="000000"/>
              <w:right w:val="single" w:sz="4" w:space="0" w:color="000000"/>
            </w:tcBorders>
            <w:vAlign w:val="center"/>
          </w:tcPr>
          <w:p w14:paraId="70ABA8CD"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-5.3</w:t>
            </w:r>
          </w:p>
        </w:tc>
        <w:tc>
          <w:tcPr>
            <w:tcW w:w="1366" w:type="dxa"/>
            <w:tcBorders>
              <w:top w:val="single" w:sz="4" w:space="0" w:color="000000"/>
              <w:left w:val="single" w:sz="4" w:space="0" w:color="000000"/>
              <w:bottom w:val="single" w:sz="4" w:space="0" w:color="000000"/>
              <w:right w:val="single" w:sz="4" w:space="0" w:color="000000"/>
            </w:tcBorders>
            <w:vAlign w:val="center"/>
          </w:tcPr>
          <w:p w14:paraId="0477C1F4"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GLN192</w:t>
            </w:r>
          </w:p>
          <w:p w14:paraId="01585C53"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SER353</w:t>
            </w:r>
          </w:p>
        </w:tc>
        <w:tc>
          <w:tcPr>
            <w:tcW w:w="1138" w:type="dxa"/>
            <w:tcBorders>
              <w:top w:val="single" w:sz="4" w:space="0" w:color="000000"/>
              <w:left w:val="single" w:sz="4" w:space="0" w:color="000000"/>
              <w:bottom w:val="single" w:sz="4" w:space="0" w:color="000000"/>
              <w:right w:val="single" w:sz="4" w:space="0" w:color="000000"/>
            </w:tcBorders>
            <w:vAlign w:val="center"/>
          </w:tcPr>
          <w:p w14:paraId="35DA95D9"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3.77</w:t>
            </w:r>
          </w:p>
          <w:p w14:paraId="1DB37A6E"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3.25</w:t>
            </w:r>
          </w:p>
        </w:tc>
        <w:tc>
          <w:tcPr>
            <w:tcW w:w="1572" w:type="dxa"/>
            <w:tcBorders>
              <w:top w:val="single" w:sz="4" w:space="0" w:color="000000"/>
              <w:left w:val="single" w:sz="4" w:space="0" w:color="000000"/>
              <w:bottom w:val="single" w:sz="4" w:space="0" w:color="000000"/>
              <w:right w:val="single" w:sz="4" w:space="0" w:color="000000"/>
            </w:tcBorders>
            <w:vAlign w:val="center"/>
          </w:tcPr>
          <w:p w14:paraId="096C8FAD"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LEU352</w:t>
            </w:r>
          </w:p>
          <w:p w14:paraId="24D09ECA"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LEU352</w:t>
            </w:r>
          </w:p>
          <w:p w14:paraId="72687509"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TYR385</w:t>
            </w:r>
          </w:p>
          <w:p w14:paraId="2C5EC951"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TRP387</w:t>
            </w:r>
          </w:p>
          <w:p w14:paraId="4B5DE365"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PHE518</w:t>
            </w:r>
          </w:p>
          <w:p w14:paraId="6BE971A8"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PHE518</w:t>
            </w:r>
          </w:p>
          <w:p w14:paraId="75BA1D4F"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VAL523</w:t>
            </w:r>
          </w:p>
          <w:p w14:paraId="00035378"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VAL523</w:t>
            </w:r>
          </w:p>
          <w:p w14:paraId="1AA5C823"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HIS90</w:t>
            </w:r>
          </w:p>
        </w:tc>
        <w:tc>
          <w:tcPr>
            <w:tcW w:w="1096" w:type="dxa"/>
            <w:tcBorders>
              <w:top w:val="single" w:sz="4" w:space="0" w:color="000000"/>
              <w:left w:val="single" w:sz="4" w:space="0" w:color="000000"/>
              <w:bottom w:val="single" w:sz="4" w:space="0" w:color="000000"/>
              <w:right w:val="single" w:sz="4" w:space="0" w:color="000000"/>
            </w:tcBorders>
            <w:vAlign w:val="center"/>
          </w:tcPr>
          <w:p w14:paraId="64FB9A44"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3.83</w:t>
            </w:r>
          </w:p>
          <w:p w14:paraId="235A092B"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3.94</w:t>
            </w:r>
          </w:p>
          <w:p w14:paraId="501E8C57"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3.73</w:t>
            </w:r>
          </w:p>
          <w:p w14:paraId="3EFAB7A7"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3.70</w:t>
            </w:r>
          </w:p>
          <w:p w14:paraId="33645789"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3.84</w:t>
            </w:r>
          </w:p>
          <w:p w14:paraId="2B7F02C1"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3.62</w:t>
            </w:r>
          </w:p>
          <w:p w14:paraId="429973BD"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3.72</w:t>
            </w:r>
          </w:p>
          <w:p w14:paraId="13F9FA65"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3.61</w:t>
            </w:r>
          </w:p>
          <w:p w14:paraId="7807BB45"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4.18</w:t>
            </w:r>
          </w:p>
        </w:tc>
      </w:tr>
      <w:tr w:rsidR="009467A3" w14:paraId="7F3DB6AB" w14:textId="77777777">
        <w:trPr>
          <w:trHeight w:val="1430"/>
        </w:trPr>
        <w:tc>
          <w:tcPr>
            <w:tcW w:w="656" w:type="dxa"/>
            <w:tcBorders>
              <w:top w:val="single" w:sz="4" w:space="0" w:color="000000"/>
              <w:left w:val="single" w:sz="4" w:space="0" w:color="000000"/>
              <w:bottom w:val="single" w:sz="4" w:space="0" w:color="000000"/>
              <w:right w:val="single" w:sz="4" w:space="0" w:color="000000"/>
            </w:tcBorders>
            <w:vAlign w:val="center"/>
          </w:tcPr>
          <w:p w14:paraId="6237CFD4"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w:t>
            </w:r>
          </w:p>
        </w:tc>
        <w:tc>
          <w:tcPr>
            <w:tcW w:w="2159" w:type="dxa"/>
            <w:tcBorders>
              <w:top w:val="single" w:sz="4" w:space="0" w:color="000000"/>
              <w:left w:val="single" w:sz="4" w:space="0" w:color="000000"/>
              <w:bottom w:val="single" w:sz="4" w:space="0" w:color="000000"/>
              <w:right w:val="single" w:sz="4" w:space="0" w:color="000000"/>
            </w:tcBorders>
            <w:vAlign w:val="center"/>
          </w:tcPr>
          <w:p w14:paraId="122CE005"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Palmitic Acid</w:t>
            </w:r>
          </w:p>
        </w:tc>
        <w:tc>
          <w:tcPr>
            <w:tcW w:w="1256" w:type="dxa"/>
            <w:tcBorders>
              <w:top w:val="single" w:sz="4" w:space="0" w:color="000000"/>
              <w:left w:val="single" w:sz="4" w:space="0" w:color="000000"/>
              <w:bottom w:val="single" w:sz="4" w:space="0" w:color="000000"/>
              <w:right w:val="single" w:sz="4" w:space="0" w:color="000000"/>
            </w:tcBorders>
            <w:vAlign w:val="center"/>
          </w:tcPr>
          <w:p w14:paraId="5E9AD7C9"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-5.4</w:t>
            </w:r>
          </w:p>
          <w:p w14:paraId="75552E28" w14:textId="77777777" w:rsidR="009467A3" w:rsidRDefault="009467A3">
            <w:pPr>
              <w:spacing w:after="0" w:line="360" w:lineRule="auto"/>
              <w:jc w:val="center"/>
              <w:rPr>
                <w:rFonts w:ascii="Times New Roman" w:eastAsia="Calibri" w:hAnsi="Times New Roman"/>
                <w:color w:val="000000"/>
                <w:kern w:val="2"/>
                <w:sz w:val="24"/>
                <w:szCs w:val="24"/>
                <w:lang w:bidi="th-TH"/>
              </w:rPr>
            </w:pPr>
          </w:p>
        </w:tc>
        <w:tc>
          <w:tcPr>
            <w:tcW w:w="1366" w:type="dxa"/>
            <w:tcBorders>
              <w:top w:val="single" w:sz="4" w:space="0" w:color="000000"/>
              <w:left w:val="single" w:sz="4" w:space="0" w:color="000000"/>
              <w:bottom w:val="single" w:sz="4" w:space="0" w:color="000000"/>
              <w:right w:val="single" w:sz="4" w:space="0" w:color="000000"/>
            </w:tcBorders>
            <w:vAlign w:val="center"/>
          </w:tcPr>
          <w:p w14:paraId="5FD8A333"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VAL523</w:t>
            </w:r>
          </w:p>
        </w:tc>
        <w:tc>
          <w:tcPr>
            <w:tcW w:w="1138" w:type="dxa"/>
            <w:tcBorders>
              <w:top w:val="single" w:sz="4" w:space="0" w:color="000000"/>
              <w:left w:val="single" w:sz="4" w:space="0" w:color="000000"/>
              <w:bottom w:val="single" w:sz="4" w:space="0" w:color="000000"/>
              <w:right w:val="single" w:sz="4" w:space="0" w:color="000000"/>
            </w:tcBorders>
            <w:vAlign w:val="center"/>
          </w:tcPr>
          <w:p w14:paraId="14F9C04F"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3.16</w:t>
            </w:r>
          </w:p>
        </w:tc>
        <w:tc>
          <w:tcPr>
            <w:tcW w:w="1572" w:type="dxa"/>
            <w:tcBorders>
              <w:top w:val="single" w:sz="4" w:space="0" w:color="000000"/>
              <w:left w:val="single" w:sz="4" w:space="0" w:color="000000"/>
              <w:bottom w:val="single" w:sz="4" w:space="0" w:color="000000"/>
              <w:right w:val="single" w:sz="4" w:space="0" w:color="000000"/>
            </w:tcBorders>
            <w:vAlign w:val="center"/>
          </w:tcPr>
          <w:p w14:paraId="4C5355F0"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LEU352</w:t>
            </w:r>
          </w:p>
          <w:p w14:paraId="3414BDB7"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LEU352</w:t>
            </w:r>
          </w:p>
          <w:p w14:paraId="1ABEF40B"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LEU384</w:t>
            </w:r>
          </w:p>
          <w:p w14:paraId="2AA50651"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TYR385</w:t>
            </w:r>
          </w:p>
          <w:p w14:paraId="17F00D5F"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TRP387</w:t>
            </w:r>
          </w:p>
          <w:p w14:paraId="6F3DB4F9" w14:textId="77777777" w:rsidR="009467A3" w:rsidRDefault="00000000">
            <w:pPr>
              <w:spacing w:after="0" w:line="360" w:lineRule="auto"/>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PHE518</w:t>
            </w:r>
          </w:p>
        </w:tc>
        <w:tc>
          <w:tcPr>
            <w:tcW w:w="1096" w:type="dxa"/>
            <w:tcBorders>
              <w:top w:val="single" w:sz="4" w:space="0" w:color="000000"/>
              <w:left w:val="single" w:sz="4" w:space="0" w:color="000000"/>
              <w:bottom w:val="single" w:sz="4" w:space="0" w:color="000000"/>
              <w:right w:val="single" w:sz="4" w:space="0" w:color="000000"/>
            </w:tcBorders>
            <w:vAlign w:val="center"/>
          </w:tcPr>
          <w:p w14:paraId="2D54AEE4"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3.69</w:t>
            </w:r>
          </w:p>
          <w:p w14:paraId="24C6332D"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3.61</w:t>
            </w:r>
          </w:p>
          <w:p w14:paraId="62A610B9"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3.76</w:t>
            </w:r>
          </w:p>
          <w:p w14:paraId="17DC7F12"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3.30</w:t>
            </w:r>
          </w:p>
          <w:p w14:paraId="0103A4AB"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3.67</w:t>
            </w:r>
          </w:p>
          <w:p w14:paraId="03D0E068" w14:textId="77777777" w:rsidR="009467A3" w:rsidRDefault="00000000">
            <w:pPr>
              <w:spacing w:after="0" w:line="36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3.88</w:t>
            </w:r>
          </w:p>
        </w:tc>
      </w:tr>
    </w:tbl>
    <w:p w14:paraId="7D95AEFE" w14:textId="77777777" w:rsidR="009467A3" w:rsidRDefault="00000000">
      <w:r>
        <w:br w:type="page"/>
      </w:r>
    </w:p>
    <w:p w14:paraId="72674460" w14:textId="77777777" w:rsidR="009467A3" w:rsidRDefault="009467A3">
      <w:pPr>
        <w:spacing w:after="160" w:line="257" w:lineRule="auto"/>
      </w:pPr>
    </w:p>
    <w:p w14:paraId="7EB70BAF" w14:textId="77777777" w:rsidR="009467A3" w:rsidRDefault="00000000">
      <w:pPr>
        <w:spacing w:after="0" w:line="360" w:lineRule="auto"/>
        <w:jc w:val="center"/>
        <w:rPr>
          <w:rFonts w:ascii="Times New Roman" w:hAnsi="Times New Roman"/>
          <w:b/>
          <w:bCs/>
          <w:i/>
          <w:color w:val="000000"/>
          <w:sz w:val="24"/>
          <w:szCs w:val="24"/>
        </w:rPr>
      </w:pPr>
      <w:r>
        <w:rPr>
          <w:rFonts w:ascii="Times New Roman" w:hAnsi="Times New Roman"/>
          <w:b/>
          <w:bCs/>
          <w:i/>
          <w:color w:val="000000"/>
          <w:sz w:val="24"/>
          <w:szCs w:val="24"/>
        </w:rPr>
        <w:t xml:space="preserve">Table 8 Molecular Docking Value of bioactive compounds in B. </w:t>
      </w:r>
      <w:proofErr w:type="spellStart"/>
      <w:r>
        <w:rPr>
          <w:rFonts w:ascii="Times New Roman" w:hAnsi="Times New Roman"/>
          <w:b/>
          <w:bCs/>
          <w:i/>
          <w:color w:val="000000"/>
          <w:sz w:val="24"/>
          <w:szCs w:val="24"/>
        </w:rPr>
        <w:t>longiflora</w:t>
      </w:r>
      <w:proofErr w:type="spellEnd"/>
      <w:r>
        <w:rPr>
          <w:rFonts w:ascii="Times New Roman" w:hAnsi="Times New Roman"/>
          <w:b/>
          <w:bCs/>
          <w:i/>
          <w:color w:val="000000"/>
          <w:sz w:val="24"/>
          <w:szCs w:val="24"/>
        </w:rPr>
        <w:t xml:space="preserve"> against sterol carrier protein-2 (1PZ4)</w:t>
      </w:r>
    </w:p>
    <w:tbl>
      <w:tblPr>
        <w:tblW w:w="9738" w:type="dxa"/>
        <w:tblInd w:w="-162" w:type="dxa"/>
        <w:tblLayout w:type="fixed"/>
        <w:tblLook w:val="0000" w:firstRow="0" w:lastRow="0" w:firstColumn="0" w:lastColumn="0" w:noHBand="0" w:noVBand="0"/>
      </w:tblPr>
      <w:tblGrid>
        <w:gridCol w:w="810"/>
        <w:gridCol w:w="1350"/>
        <w:gridCol w:w="1980"/>
        <w:gridCol w:w="1620"/>
        <w:gridCol w:w="1170"/>
        <w:gridCol w:w="1710"/>
        <w:gridCol w:w="1098"/>
      </w:tblGrid>
      <w:tr w:rsidR="009467A3" w14:paraId="2A8C6A12" w14:textId="77777777">
        <w:trPr>
          <w:trHeight w:val="566"/>
        </w:trPr>
        <w:tc>
          <w:tcPr>
            <w:tcW w:w="810" w:type="dxa"/>
            <w:tcBorders>
              <w:top w:val="single" w:sz="4" w:space="0" w:color="000000"/>
              <w:left w:val="single" w:sz="4" w:space="0" w:color="000000"/>
              <w:bottom w:val="single" w:sz="4" w:space="0" w:color="000000"/>
              <w:right w:val="single" w:sz="4" w:space="0" w:color="000000"/>
            </w:tcBorders>
            <w:vAlign w:val="center"/>
          </w:tcPr>
          <w:p w14:paraId="4F483FAB"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S. No</w:t>
            </w:r>
          </w:p>
        </w:tc>
        <w:tc>
          <w:tcPr>
            <w:tcW w:w="1350" w:type="dxa"/>
            <w:tcBorders>
              <w:top w:val="single" w:sz="4" w:space="0" w:color="000000"/>
              <w:left w:val="single" w:sz="4" w:space="0" w:color="000000"/>
              <w:bottom w:val="single" w:sz="4" w:space="0" w:color="000000"/>
              <w:right w:val="single" w:sz="4" w:space="0" w:color="000000"/>
            </w:tcBorders>
            <w:vAlign w:val="center"/>
          </w:tcPr>
          <w:p w14:paraId="21BF7025"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Compound Name </w:t>
            </w:r>
          </w:p>
        </w:tc>
        <w:tc>
          <w:tcPr>
            <w:tcW w:w="1980" w:type="dxa"/>
            <w:tcBorders>
              <w:top w:val="single" w:sz="4" w:space="0" w:color="000000"/>
              <w:left w:val="single" w:sz="4" w:space="0" w:color="000000"/>
              <w:bottom w:val="single" w:sz="4" w:space="0" w:color="000000"/>
              <w:right w:val="single" w:sz="4" w:space="0" w:color="000000"/>
            </w:tcBorders>
            <w:vAlign w:val="center"/>
          </w:tcPr>
          <w:p w14:paraId="483DF9EE"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Binding Affinity</w:t>
            </w:r>
          </w:p>
          <w:p w14:paraId="0CAA0C09" w14:textId="77777777" w:rsidR="009467A3" w:rsidRDefault="00000000">
            <w:pPr>
              <w:spacing w:after="0" w:line="240" w:lineRule="auto"/>
              <w:jc w:val="center"/>
            </w:pPr>
            <w:r>
              <w:rPr>
                <w:rFonts w:ascii="Times New Roman" w:hAnsi="Times New Roman"/>
                <w:b/>
                <w:color w:val="000000"/>
                <w:kern w:val="2"/>
                <w:sz w:val="24"/>
                <w:szCs w:val="24"/>
                <w:lang w:bidi="th-TH"/>
              </w:rPr>
              <w:t>(kcal/mol)</w:t>
            </w:r>
            <w:r>
              <w:rPr>
                <w:rFonts w:ascii="Times New Roman" w:eastAsia="Calibri" w:hAnsi="Times New Roman"/>
                <w:b/>
                <w:color w:val="000000"/>
                <w:kern w:val="2"/>
                <w:sz w:val="24"/>
                <w:szCs w:val="24"/>
                <w:lang w:bidi="th-TH"/>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729C704F"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Hydrogen Bond Interaction </w:t>
            </w:r>
          </w:p>
        </w:tc>
        <w:tc>
          <w:tcPr>
            <w:tcW w:w="1170" w:type="dxa"/>
            <w:tcBorders>
              <w:top w:val="single" w:sz="4" w:space="0" w:color="000000"/>
              <w:left w:val="single" w:sz="4" w:space="0" w:color="000000"/>
              <w:bottom w:val="single" w:sz="4" w:space="0" w:color="000000"/>
              <w:right w:val="single" w:sz="4" w:space="0" w:color="000000"/>
            </w:tcBorders>
            <w:vAlign w:val="center"/>
          </w:tcPr>
          <w:p w14:paraId="768D8BFE"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Distance </w:t>
            </w:r>
          </w:p>
          <w:p w14:paraId="2F4094DF"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Å</w:t>
            </w:r>
          </w:p>
        </w:tc>
        <w:tc>
          <w:tcPr>
            <w:tcW w:w="1710" w:type="dxa"/>
            <w:tcBorders>
              <w:top w:val="single" w:sz="4" w:space="0" w:color="000000"/>
              <w:left w:val="single" w:sz="4" w:space="0" w:color="000000"/>
              <w:bottom w:val="single" w:sz="4" w:space="0" w:color="000000"/>
              <w:right w:val="single" w:sz="4" w:space="0" w:color="000000"/>
            </w:tcBorders>
            <w:vAlign w:val="center"/>
          </w:tcPr>
          <w:p w14:paraId="5B9C03C1"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Hydrophobic Interaction </w:t>
            </w:r>
          </w:p>
        </w:tc>
        <w:tc>
          <w:tcPr>
            <w:tcW w:w="1098" w:type="dxa"/>
            <w:tcBorders>
              <w:top w:val="single" w:sz="4" w:space="0" w:color="000000"/>
              <w:left w:val="single" w:sz="4" w:space="0" w:color="000000"/>
              <w:bottom w:val="single" w:sz="4" w:space="0" w:color="000000"/>
              <w:right w:val="single" w:sz="4" w:space="0" w:color="000000"/>
            </w:tcBorders>
            <w:vAlign w:val="center"/>
          </w:tcPr>
          <w:p w14:paraId="0B48EDAA"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 xml:space="preserve">Distance </w:t>
            </w:r>
          </w:p>
          <w:p w14:paraId="07D2517A" w14:textId="77777777" w:rsidR="009467A3" w:rsidRDefault="00000000">
            <w:pPr>
              <w:spacing w:after="0" w:line="240" w:lineRule="auto"/>
              <w:jc w:val="center"/>
              <w:rPr>
                <w:rFonts w:ascii="Times New Roman" w:eastAsia="Calibri" w:hAnsi="Times New Roman"/>
                <w:b/>
                <w:color w:val="000000"/>
                <w:kern w:val="2"/>
                <w:sz w:val="24"/>
                <w:szCs w:val="24"/>
                <w:lang w:bidi="th-TH"/>
              </w:rPr>
            </w:pPr>
            <w:r>
              <w:rPr>
                <w:rFonts w:ascii="Times New Roman" w:eastAsia="Calibri" w:hAnsi="Times New Roman"/>
                <w:b/>
                <w:color w:val="000000"/>
                <w:kern w:val="2"/>
                <w:sz w:val="24"/>
                <w:szCs w:val="24"/>
                <w:lang w:bidi="th-TH"/>
              </w:rPr>
              <w:t>Å</w:t>
            </w:r>
          </w:p>
        </w:tc>
      </w:tr>
      <w:tr w:rsidR="009467A3" w14:paraId="025DEA72" w14:textId="77777777">
        <w:trPr>
          <w:trHeight w:val="710"/>
        </w:trPr>
        <w:tc>
          <w:tcPr>
            <w:tcW w:w="810" w:type="dxa"/>
            <w:tcBorders>
              <w:top w:val="single" w:sz="4" w:space="0" w:color="000000"/>
              <w:left w:val="single" w:sz="4" w:space="0" w:color="000000"/>
              <w:bottom w:val="single" w:sz="4" w:space="0" w:color="000000"/>
              <w:right w:val="single" w:sz="4" w:space="0" w:color="000000"/>
            </w:tcBorders>
            <w:vAlign w:val="center"/>
          </w:tcPr>
          <w:p w14:paraId="67CE0995" w14:textId="77777777" w:rsidR="009467A3" w:rsidRDefault="00000000">
            <w:pPr>
              <w:spacing w:after="0" w:line="240" w:lineRule="auto"/>
              <w:ind w:right="-208"/>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1.</w:t>
            </w:r>
          </w:p>
        </w:tc>
        <w:tc>
          <w:tcPr>
            <w:tcW w:w="1350" w:type="dxa"/>
            <w:tcBorders>
              <w:top w:val="single" w:sz="4" w:space="0" w:color="000000"/>
              <w:left w:val="single" w:sz="4" w:space="0" w:color="000000"/>
              <w:bottom w:val="single" w:sz="4" w:space="0" w:color="000000"/>
              <w:right w:val="single" w:sz="4" w:space="0" w:color="000000"/>
            </w:tcBorders>
            <w:vAlign w:val="center"/>
          </w:tcPr>
          <w:p w14:paraId="6652792F" w14:textId="77777777" w:rsidR="009467A3" w:rsidRDefault="00000000">
            <w:pPr>
              <w:spacing w:after="0" w:line="240" w:lineRule="auto"/>
              <w:ind w:right="72"/>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Oleic Acid</w:t>
            </w:r>
          </w:p>
        </w:tc>
        <w:tc>
          <w:tcPr>
            <w:tcW w:w="1980" w:type="dxa"/>
            <w:tcBorders>
              <w:top w:val="single" w:sz="4" w:space="0" w:color="000000"/>
              <w:left w:val="single" w:sz="4" w:space="0" w:color="000000"/>
              <w:bottom w:val="single" w:sz="4" w:space="0" w:color="000000"/>
              <w:right w:val="single" w:sz="4" w:space="0" w:color="000000"/>
            </w:tcBorders>
            <w:vAlign w:val="center"/>
          </w:tcPr>
          <w:p w14:paraId="04FFFB09"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w:t>
            </w:r>
          </w:p>
        </w:tc>
        <w:tc>
          <w:tcPr>
            <w:tcW w:w="1620" w:type="dxa"/>
            <w:tcBorders>
              <w:top w:val="single" w:sz="4" w:space="0" w:color="000000"/>
              <w:left w:val="single" w:sz="4" w:space="0" w:color="000000"/>
              <w:bottom w:val="single" w:sz="4" w:space="0" w:color="000000"/>
              <w:right w:val="single" w:sz="4" w:space="0" w:color="000000"/>
            </w:tcBorders>
            <w:vAlign w:val="center"/>
          </w:tcPr>
          <w:p w14:paraId="6B4E3E84" w14:textId="77777777" w:rsidR="009467A3" w:rsidRDefault="00000000">
            <w:pPr>
              <w:spacing w:after="0" w:line="240" w:lineRule="auto"/>
              <w:ind w:right="24"/>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ALA13</w:t>
            </w:r>
          </w:p>
          <w:p w14:paraId="33C13B46" w14:textId="77777777" w:rsidR="009467A3" w:rsidRDefault="00000000">
            <w:pPr>
              <w:spacing w:after="0" w:line="240" w:lineRule="auto"/>
              <w:ind w:right="24"/>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GLU17</w:t>
            </w:r>
          </w:p>
        </w:tc>
        <w:tc>
          <w:tcPr>
            <w:tcW w:w="1170" w:type="dxa"/>
            <w:tcBorders>
              <w:top w:val="single" w:sz="4" w:space="0" w:color="000000"/>
              <w:left w:val="single" w:sz="4" w:space="0" w:color="000000"/>
              <w:bottom w:val="single" w:sz="4" w:space="0" w:color="000000"/>
              <w:right w:val="single" w:sz="4" w:space="0" w:color="000000"/>
            </w:tcBorders>
            <w:vAlign w:val="center"/>
          </w:tcPr>
          <w:p w14:paraId="170BC6DF" w14:textId="77777777" w:rsidR="009467A3" w:rsidRDefault="00000000">
            <w:pPr>
              <w:spacing w:after="0" w:line="240" w:lineRule="auto"/>
              <w:ind w:right="59"/>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3.02</w:t>
            </w:r>
          </w:p>
          <w:p w14:paraId="39D915B4" w14:textId="77777777" w:rsidR="009467A3" w:rsidRDefault="00000000">
            <w:pPr>
              <w:spacing w:after="0" w:line="240" w:lineRule="auto"/>
              <w:ind w:right="59"/>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3.08</w:t>
            </w:r>
          </w:p>
        </w:tc>
        <w:tc>
          <w:tcPr>
            <w:tcW w:w="1710" w:type="dxa"/>
            <w:tcBorders>
              <w:top w:val="single" w:sz="4" w:space="0" w:color="000000"/>
              <w:left w:val="single" w:sz="4" w:space="0" w:color="000000"/>
              <w:bottom w:val="single" w:sz="4" w:space="0" w:color="000000"/>
              <w:right w:val="single" w:sz="4" w:space="0" w:color="000000"/>
            </w:tcBorders>
            <w:vAlign w:val="center"/>
          </w:tcPr>
          <w:p w14:paraId="5822792C"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ALA13</w:t>
            </w:r>
          </w:p>
          <w:p w14:paraId="3D8F8492"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LEU16</w:t>
            </w:r>
          </w:p>
          <w:p w14:paraId="45DDAAFB"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LEU16</w:t>
            </w:r>
          </w:p>
          <w:p w14:paraId="63F54622"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VAL51</w:t>
            </w:r>
          </w:p>
          <w:p w14:paraId="53907638"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LEU53</w:t>
            </w:r>
          </w:p>
        </w:tc>
        <w:tc>
          <w:tcPr>
            <w:tcW w:w="1098" w:type="dxa"/>
            <w:tcBorders>
              <w:top w:val="single" w:sz="4" w:space="0" w:color="000000"/>
              <w:left w:val="single" w:sz="4" w:space="0" w:color="000000"/>
              <w:bottom w:val="single" w:sz="4" w:space="0" w:color="000000"/>
              <w:right w:val="single" w:sz="4" w:space="0" w:color="000000"/>
            </w:tcBorders>
            <w:vAlign w:val="center"/>
          </w:tcPr>
          <w:p w14:paraId="68142373"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3.76</w:t>
            </w:r>
          </w:p>
          <w:p w14:paraId="67A0DC33"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3.51</w:t>
            </w:r>
          </w:p>
          <w:p w14:paraId="212C802C"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3.73</w:t>
            </w:r>
          </w:p>
          <w:p w14:paraId="433DE430"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3.71</w:t>
            </w:r>
          </w:p>
          <w:p w14:paraId="3867D4DD"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3.76</w:t>
            </w:r>
          </w:p>
        </w:tc>
      </w:tr>
      <w:tr w:rsidR="009467A3" w14:paraId="25A8E8BD" w14:textId="77777777">
        <w:trPr>
          <w:trHeight w:val="188"/>
        </w:trPr>
        <w:tc>
          <w:tcPr>
            <w:tcW w:w="810" w:type="dxa"/>
            <w:tcBorders>
              <w:top w:val="single" w:sz="4" w:space="0" w:color="000000"/>
              <w:left w:val="single" w:sz="4" w:space="0" w:color="000000"/>
              <w:bottom w:val="single" w:sz="4" w:space="0" w:color="000000"/>
              <w:right w:val="single" w:sz="4" w:space="0" w:color="000000"/>
            </w:tcBorders>
            <w:vAlign w:val="center"/>
          </w:tcPr>
          <w:p w14:paraId="67F7C7D1" w14:textId="77777777" w:rsidR="009467A3" w:rsidRDefault="00000000">
            <w:pPr>
              <w:spacing w:after="0" w:line="240" w:lineRule="auto"/>
              <w:ind w:right="-208"/>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2.</w:t>
            </w:r>
          </w:p>
        </w:tc>
        <w:tc>
          <w:tcPr>
            <w:tcW w:w="1350" w:type="dxa"/>
            <w:tcBorders>
              <w:top w:val="single" w:sz="4" w:space="0" w:color="000000"/>
              <w:left w:val="single" w:sz="4" w:space="0" w:color="000000"/>
              <w:bottom w:val="single" w:sz="4" w:space="0" w:color="000000"/>
              <w:right w:val="single" w:sz="4" w:space="0" w:color="000000"/>
            </w:tcBorders>
            <w:vAlign w:val="center"/>
          </w:tcPr>
          <w:p w14:paraId="27B983CE" w14:textId="77777777" w:rsidR="009467A3" w:rsidRDefault="00000000">
            <w:pPr>
              <w:spacing w:after="0" w:line="240" w:lineRule="auto"/>
              <w:ind w:right="72"/>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Stearic Acid</w:t>
            </w:r>
          </w:p>
        </w:tc>
        <w:tc>
          <w:tcPr>
            <w:tcW w:w="1980" w:type="dxa"/>
            <w:tcBorders>
              <w:top w:val="single" w:sz="4" w:space="0" w:color="000000"/>
              <w:left w:val="single" w:sz="4" w:space="0" w:color="000000"/>
              <w:bottom w:val="single" w:sz="4" w:space="0" w:color="000000"/>
              <w:right w:val="single" w:sz="4" w:space="0" w:color="000000"/>
            </w:tcBorders>
            <w:vAlign w:val="center"/>
          </w:tcPr>
          <w:p w14:paraId="13024F61"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-3.2</w:t>
            </w:r>
          </w:p>
        </w:tc>
        <w:tc>
          <w:tcPr>
            <w:tcW w:w="1620" w:type="dxa"/>
            <w:tcBorders>
              <w:top w:val="single" w:sz="4" w:space="0" w:color="000000"/>
              <w:left w:val="single" w:sz="4" w:space="0" w:color="000000"/>
              <w:bottom w:val="single" w:sz="4" w:space="0" w:color="000000"/>
              <w:right w:val="single" w:sz="4" w:space="0" w:color="000000"/>
            </w:tcBorders>
            <w:vAlign w:val="center"/>
          </w:tcPr>
          <w:p w14:paraId="5AABF209" w14:textId="77777777" w:rsidR="009467A3" w:rsidRDefault="00000000">
            <w:pPr>
              <w:spacing w:after="0" w:line="240" w:lineRule="auto"/>
              <w:ind w:right="24"/>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11712D25" w14:textId="77777777" w:rsidR="009467A3" w:rsidRDefault="00000000">
            <w:pPr>
              <w:spacing w:after="0" w:line="240" w:lineRule="auto"/>
              <w:ind w:right="59"/>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3DDDB12B" w14:textId="77777777" w:rsidR="009467A3" w:rsidRDefault="00000000">
            <w:pPr>
              <w:spacing w:after="0" w:line="240" w:lineRule="auto"/>
              <w:ind w:right="-3"/>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ASP6</w:t>
            </w:r>
          </w:p>
          <w:p w14:paraId="7CE29875" w14:textId="77777777" w:rsidR="009467A3" w:rsidRDefault="00000000">
            <w:pPr>
              <w:spacing w:after="0" w:line="240" w:lineRule="auto"/>
              <w:ind w:right="-3"/>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ALA10</w:t>
            </w:r>
          </w:p>
          <w:p w14:paraId="1BFFB88B" w14:textId="77777777" w:rsidR="009467A3" w:rsidRDefault="00000000">
            <w:pPr>
              <w:spacing w:after="0" w:line="240" w:lineRule="auto"/>
              <w:ind w:right="-3"/>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TRP44</w:t>
            </w:r>
          </w:p>
          <w:p w14:paraId="3C575FAC" w14:textId="77777777" w:rsidR="009467A3" w:rsidRDefault="00000000">
            <w:pPr>
              <w:spacing w:after="0" w:line="240" w:lineRule="auto"/>
              <w:ind w:right="-3"/>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TRP44</w:t>
            </w:r>
          </w:p>
        </w:tc>
        <w:tc>
          <w:tcPr>
            <w:tcW w:w="1098" w:type="dxa"/>
            <w:tcBorders>
              <w:top w:val="single" w:sz="4" w:space="0" w:color="000000"/>
              <w:left w:val="single" w:sz="4" w:space="0" w:color="000000"/>
              <w:bottom w:val="single" w:sz="4" w:space="0" w:color="000000"/>
              <w:right w:val="single" w:sz="4" w:space="0" w:color="000000"/>
            </w:tcBorders>
            <w:vAlign w:val="center"/>
          </w:tcPr>
          <w:p w14:paraId="7EFE25A5"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3.72</w:t>
            </w:r>
          </w:p>
          <w:p w14:paraId="76F714D0"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3.67</w:t>
            </w:r>
          </w:p>
          <w:p w14:paraId="7FE662B9"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3.64</w:t>
            </w:r>
          </w:p>
          <w:p w14:paraId="44665A74"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3.73</w:t>
            </w:r>
          </w:p>
        </w:tc>
      </w:tr>
      <w:tr w:rsidR="009467A3" w14:paraId="6A5DDD92" w14:textId="77777777">
        <w:trPr>
          <w:trHeight w:val="1340"/>
        </w:trPr>
        <w:tc>
          <w:tcPr>
            <w:tcW w:w="810" w:type="dxa"/>
            <w:tcBorders>
              <w:top w:val="single" w:sz="4" w:space="0" w:color="000000"/>
              <w:left w:val="single" w:sz="4" w:space="0" w:color="000000"/>
              <w:bottom w:val="single" w:sz="4" w:space="0" w:color="000000"/>
              <w:right w:val="single" w:sz="4" w:space="0" w:color="000000"/>
            </w:tcBorders>
            <w:vAlign w:val="center"/>
          </w:tcPr>
          <w:p w14:paraId="5BF550E8" w14:textId="77777777" w:rsidR="009467A3" w:rsidRDefault="00000000">
            <w:pPr>
              <w:spacing w:after="0" w:line="240" w:lineRule="auto"/>
              <w:ind w:right="-208"/>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w:t>
            </w:r>
          </w:p>
        </w:tc>
        <w:tc>
          <w:tcPr>
            <w:tcW w:w="1350" w:type="dxa"/>
            <w:tcBorders>
              <w:top w:val="single" w:sz="4" w:space="0" w:color="000000"/>
              <w:left w:val="single" w:sz="4" w:space="0" w:color="000000"/>
              <w:bottom w:val="single" w:sz="4" w:space="0" w:color="000000"/>
              <w:right w:val="single" w:sz="4" w:space="0" w:color="000000"/>
            </w:tcBorders>
            <w:vAlign w:val="center"/>
          </w:tcPr>
          <w:p w14:paraId="6D2DC199" w14:textId="77777777" w:rsidR="009467A3" w:rsidRDefault="00000000">
            <w:pPr>
              <w:spacing w:after="0" w:line="240" w:lineRule="auto"/>
              <w:ind w:right="72"/>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Palmitic Acid</w:t>
            </w:r>
          </w:p>
        </w:tc>
        <w:tc>
          <w:tcPr>
            <w:tcW w:w="1980" w:type="dxa"/>
            <w:tcBorders>
              <w:top w:val="single" w:sz="4" w:space="0" w:color="000000"/>
              <w:left w:val="single" w:sz="4" w:space="0" w:color="000000"/>
              <w:bottom w:val="single" w:sz="4" w:space="0" w:color="000000"/>
              <w:right w:val="single" w:sz="4" w:space="0" w:color="000000"/>
            </w:tcBorders>
            <w:vAlign w:val="center"/>
          </w:tcPr>
          <w:p w14:paraId="0F690B50" w14:textId="77777777" w:rsidR="009467A3" w:rsidRDefault="00000000">
            <w:pPr>
              <w:spacing w:after="0" w:line="240" w:lineRule="auto"/>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-3.3</w:t>
            </w:r>
          </w:p>
        </w:tc>
        <w:tc>
          <w:tcPr>
            <w:tcW w:w="1620" w:type="dxa"/>
            <w:tcBorders>
              <w:top w:val="single" w:sz="4" w:space="0" w:color="000000"/>
              <w:left w:val="single" w:sz="4" w:space="0" w:color="000000"/>
              <w:bottom w:val="single" w:sz="4" w:space="0" w:color="000000"/>
              <w:right w:val="single" w:sz="4" w:space="0" w:color="000000"/>
            </w:tcBorders>
            <w:vAlign w:val="center"/>
          </w:tcPr>
          <w:p w14:paraId="4BE3B1EF" w14:textId="77777777" w:rsidR="009467A3" w:rsidRDefault="00000000">
            <w:pPr>
              <w:spacing w:after="0" w:line="240" w:lineRule="auto"/>
              <w:ind w:right="24"/>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792E0EAA" w14:textId="77777777" w:rsidR="009467A3" w:rsidRDefault="00000000">
            <w:pPr>
              <w:spacing w:after="0" w:line="240" w:lineRule="auto"/>
              <w:ind w:right="59"/>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76F57EB9"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ASP6</w:t>
            </w:r>
          </w:p>
          <w:p w14:paraId="430B7FDC"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ALA13</w:t>
            </w:r>
          </w:p>
          <w:p w14:paraId="2B34F01E"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TRP44</w:t>
            </w:r>
          </w:p>
          <w:p w14:paraId="28EC7688"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TRP44</w:t>
            </w:r>
          </w:p>
          <w:p w14:paraId="128C0BC3"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TRP44</w:t>
            </w:r>
          </w:p>
          <w:p w14:paraId="21ABEED7" w14:textId="77777777" w:rsidR="009467A3" w:rsidRDefault="00000000">
            <w:pPr>
              <w:spacing w:after="0" w:line="240" w:lineRule="auto"/>
              <w:ind w:right="-3"/>
              <w:jc w:val="center"/>
              <w:rPr>
                <w:rFonts w:ascii="Times New Roman" w:eastAsia="Calibri" w:hAnsi="Times New Roman"/>
                <w:color w:val="000000"/>
                <w:kern w:val="2"/>
                <w:sz w:val="24"/>
                <w:szCs w:val="24"/>
                <w:lang w:val="nl-BE" w:bidi="th-TH"/>
              </w:rPr>
            </w:pPr>
            <w:r>
              <w:rPr>
                <w:rFonts w:ascii="Times New Roman" w:eastAsia="Calibri" w:hAnsi="Times New Roman"/>
                <w:color w:val="000000"/>
                <w:kern w:val="2"/>
                <w:sz w:val="24"/>
                <w:szCs w:val="24"/>
                <w:lang w:val="nl-BE" w:bidi="th-TH"/>
              </w:rPr>
              <w:t>LEU53</w:t>
            </w:r>
          </w:p>
          <w:p w14:paraId="5BF66E05" w14:textId="77777777" w:rsidR="009467A3" w:rsidRDefault="00000000">
            <w:pPr>
              <w:spacing w:after="0" w:line="240" w:lineRule="auto"/>
              <w:ind w:right="-3"/>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VAL54</w:t>
            </w:r>
          </w:p>
        </w:tc>
        <w:tc>
          <w:tcPr>
            <w:tcW w:w="1098" w:type="dxa"/>
            <w:tcBorders>
              <w:top w:val="single" w:sz="4" w:space="0" w:color="000000"/>
              <w:left w:val="single" w:sz="4" w:space="0" w:color="000000"/>
              <w:bottom w:val="single" w:sz="4" w:space="0" w:color="000000"/>
              <w:right w:val="single" w:sz="4" w:space="0" w:color="000000"/>
            </w:tcBorders>
            <w:vAlign w:val="center"/>
          </w:tcPr>
          <w:p w14:paraId="17E78D56"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3.66</w:t>
            </w:r>
          </w:p>
          <w:p w14:paraId="2925D5B7"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3.49</w:t>
            </w:r>
          </w:p>
          <w:p w14:paraId="2B848D2C"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3.56</w:t>
            </w:r>
          </w:p>
          <w:p w14:paraId="17289399"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3.53</w:t>
            </w:r>
          </w:p>
          <w:p w14:paraId="0AB31A6B"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3.41</w:t>
            </w:r>
          </w:p>
          <w:p w14:paraId="14093970"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3.60</w:t>
            </w:r>
          </w:p>
          <w:p w14:paraId="40ED4ADD" w14:textId="77777777" w:rsidR="009467A3" w:rsidRDefault="00000000">
            <w:pPr>
              <w:spacing w:after="0" w:line="240" w:lineRule="auto"/>
              <w:ind w:right="-90"/>
              <w:jc w:val="center"/>
              <w:rPr>
                <w:rFonts w:ascii="Times New Roman" w:eastAsia="Calibri" w:hAnsi="Times New Roman"/>
                <w:color w:val="000000"/>
                <w:kern w:val="2"/>
                <w:sz w:val="24"/>
                <w:szCs w:val="24"/>
                <w:lang w:bidi="th-TH"/>
              </w:rPr>
            </w:pPr>
            <w:r>
              <w:rPr>
                <w:rFonts w:ascii="Times New Roman" w:eastAsia="Calibri" w:hAnsi="Times New Roman"/>
                <w:color w:val="000000"/>
                <w:kern w:val="2"/>
                <w:sz w:val="24"/>
                <w:szCs w:val="24"/>
                <w:lang w:bidi="th-TH"/>
              </w:rPr>
              <w:t>3.76</w:t>
            </w:r>
          </w:p>
        </w:tc>
      </w:tr>
    </w:tbl>
    <w:p w14:paraId="2E0A0959" w14:textId="77777777" w:rsidR="009467A3" w:rsidRDefault="009467A3">
      <w:pPr>
        <w:spacing w:after="0" w:line="360" w:lineRule="auto"/>
        <w:rPr>
          <w:rFonts w:ascii="Times New Roman" w:hAnsi="Times New Roman"/>
          <w:color w:val="000000"/>
          <w:sz w:val="24"/>
          <w:szCs w:val="24"/>
        </w:rPr>
      </w:pPr>
    </w:p>
    <w:p w14:paraId="521576F8" w14:textId="77777777" w:rsidR="009467A3" w:rsidRDefault="009467A3">
      <w:pPr>
        <w:rPr>
          <w:rFonts w:ascii="Times New Roman" w:hAnsi="Times New Roman"/>
          <w:color w:val="000000"/>
          <w:sz w:val="24"/>
          <w:szCs w:val="24"/>
        </w:rPr>
      </w:pPr>
    </w:p>
    <w:p w14:paraId="1C81E78E" w14:textId="77777777" w:rsidR="009467A3" w:rsidRDefault="009467A3">
      <w:pPr>
        <w:pStyle w:val="NormalWeb"/>
        <w:spacing w:before="0" w:after="0" w:line="360" w:lineRule="auto"/>
        <w:jc w:val="both"/>
        <w:rPr>
          <w:b/>
          <w:lang w:val="en-IN"/>
        </w:rPr>
      </w:pPr>
    </w:p>
    <w:p w14:paraId="3E9CF5CC" w14:textId="77777777" w:rsidR="009467A3" w:rsidRDefault="009467A3">
      <w:pPr>
        <w:pStyle w:val="NormalWeb"/>
        <w:spacing w:before="0" w:after="0" w:line="360" w:lineRule="auto"/>
        <w:ind w:left="720" w:hanging="720"/>
        <w:jc w:val="both"/>
        <w:rPr>
          <w:b/>
          <w:color w:val="000000"/>
          <w:lang w:val="en-IN"/>
        </w:rPr>
      </w:pPr>
    </w:p>
    <w:sectPr w:rsidR="009467A3">
      <w:headerReference w:type="default" r:id="rId55"/>
      <w:footerReference w:type="default" r:id="rId56"/>
      <w:pgSz w:w="11906" w:h="16838"/>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6609C" w14:textId="77777777" w:rsidR="005D673F" w:rsidRDefault="005D673F">
      <w:pPr>
        <w:spacing w:after="0" w:line="240" w:lineRule="auto"/>
      </w:pPr>
      <w:r>
        <w:separator/>
      </w:r>
    </w:p>
  </w:endnote>
  <w:endnote w:type="continuationSeparator" w:id="0">
    <w:p w14:paraId="4472AB36" w14:textId="77777777" w:rsidR="005D673F" w:rsidRDefault="005D6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1979" w14:textId="77777777" w:rsidR="009467A3" w:rsidRDefault="00946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10B7C" w14:textId="77777777" w:rsidR="005D673F" w:rsidRDefault="005D673F">
      <w:pPr>
        <w:spacing w:after="0" w:line="240" w:lineRule="auto"/>
      </w:pPr>
      <w:r>
        <w:separator/>
      </w:r>
    </w:p>
  </w:footnote>
  <w:footnote w:type="continuationSeparator" w:id="0">
    <w:p w14:paraId="2C0611BE" w14:textId="77777777" w:rsidR="005D673F" w:rsidRDefault="005D6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B377" w14:textId="77777777" w:rsidR="009467A3" w:rsidRDefault="00000000">
    <w:pPr>
      <w:pStyle w:val="Header"/>
      <w:rPr>
        <w:lang w:eastAsia="en-US"/>
      </w:rPr>
    </w:pPr>
    <w:r>
      <w:rPr>
        <w:lang w:eastAsia="en-US"/>
      </w:rPr>
      <w:pict w14:anchorId="7E769C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97220" o:spid="_x0000_s1025" type="#_x0000_t136" style="position:absolute;margin-left:0;margin-top:0;width:535.25pt;height:81.8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214F"/>
    <w:multiLevelType w:val="multilevel"/>
    <w:tmpl w:val="10781922"/>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FB0FC3"/>
    <w:multiLevelType w:val="multilevel"/>
    <w:tmpl w:val="B484C0A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AC527B"/>
    <w:multiLevelType w:val="multilevel"/>
    <w:tmpl w:val="0FAA71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44077415">
    <w:abstractNumId w:val="2"/>
  </w:num>
  <w:num w:numId="2" w16cid:durableId="1498568110">
    <w:abstractNumId w:val="0"/>
  </w:num>
  <w:num w:numId="3" w16cid:durableId="1125343431">
    <w:abstractNumId w:val="1"/>
  </w:num>
  <w:num w:numId="4" w16cid:durableId="66093205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67A3"/>
    <w:rsid w:val="00434E21"/>
    <w:rsid w:val="00506861"/>
    <w:rsid w:val="005D673F"/>
    <w:rsid w:val="009467A3"/>
    <w:rsid w:val="009A2A71"/>
    <w:rsid w:val="00B711D7"/>
    <w:rsid w:val="00F12DA5"/>
    <w:rsid w:val="00F63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BB82E"/>
  <w15:docId w15:val="{77B2EE53-B27D-4FA4-9864-361E2858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Times New Roman" w:hAnsi="Calibri" w:cs="Times New Roman"/>
      <w:sz w:val="22"/>
      <w:szCs w:val="22"/>
      <w:lang w:eastAsia="zh-CN"/>
    </w:rPr>
  </w:style>
  <w:style w:type="paragraph" w:styleId="Heading4">
    <w:name w:val="heading 4"/>
    <w:basedOn w:val="Normal"/>
    <w:next w:val="BodyText"/>
    <w:uiPriority w:val="9"/>
    <w:semiHidden/>
    <w:unhideWhenUsed/>
    <w:qFormat/>
    <w:pPr>
      <w:numPr>
        <w:ilvl w:val="3"/>
        <w:numId w:val="1"/>
      </w:numPr>
      <w:spacing w:before="280" w:after="280" w:line="240" w:lineRule="auto"/>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3z0">
    <w:name w:val="WW8Num3z0"/>
    <w:qFormat/>
    <w:rPr>
      <w:i w:val="0"/>
      <w:color w:val="000000"/>
    </w:rPr>
  </w:style>
  <w:style w:type="character" w:styleId="Emphasis">
    <w:name w:val="Emphasis"/>
    <w:uiPriority w:val="20"/>
    <w:qFormat/>
    <w:rPr>
      <w:i/>
      <w:iCs/>
    </w:rPr>
  </w:style>
  <w:style w:type="character" w:styleId="Hyperlink">
    <w:name w:val="Hyperlink"/>
    <w:rPr>
      <w:color w:val="0000FF"/>
      <w:u w:val="single"/>
    </w:rPr>
  </w:style>
  <w:style w:type="character" w:customStyle="1" w:styleId="Heading4Char">
    <w:name w:val="Heading 4 Char"/>
    <w:qFormat/>
    <w:rPr>
      <w:rFonts w:ascii="Times New Roman" w:eastAsia="Times New Roman" w:hAnsi="Times New Roman" w:cs="Times New Roman"/>
      <w:b/>
      <w:bCs/>
      <w:sz w:val="24"/>
      <w:szCs w:val="24"/>
    </w:rPr>
  </w:style>
  <w:style w:type="character" w:customStyle="1" w:styleId="z-TopofFormChar">
    <w:name w:val="z-Top of Form Char"/>
    <w:qFormat/>
    <w:rPr>
      <w:rFonts w:ascii="Arial" w:eastAsia="Times New Roman" w:hAnsi="Arial" w:cs="Arial"/>
      <w:vanish/>
      <w:sz w:val="16"/>
      <w:szCs w:val="16"/>
    </w:rPr>
  </w:style>
  <w:style w:type="character" w:customStyle="1" w:styleId="z-BottomofFormChar">
    <w:name w:val="z-Bottom of Form Char"/>
    <w:qFormat/>
    <w:rPr>
      <w:rFonts w:ascii="Arial" w:eastAsia="Times New Roman" w:hAnsi="Arial" w:cs="Arial"/>
      <w:vanish/>
      <w:sz w:val="16"/>
      <w:szCs w:val="16"/>
    </w:rPr>
  </w:style>
  <w:style w:type="character" w:styleId="LineNumber">
    <w:name w:val="line number"/>
    <w:basedOn w:val="DefaultParagraphFont"/>
  </w:style>
  <w:style w:type="character" w:styleId="Strong">
    <w:name w:val="Strong"/>
    <w:uiPriority w:val="22"/>
    <w:qFormat/>
    <w:rPr>
      <w:b/>
      <w:bCs/>
    </w:rPr>
  </w:style>
  <w:style w:type="character" w:customStyle="1" w:styleId="anchor-text">
    <w:name w:val="anchor-text"/>
    <w:basedOn w:val="DefaultParagraphFont"/>
    <w:qFormat/>
  </w:style>
  <w:style w:type="character" w:customStyle="1" w:styleId="BalloonTextChar">
    <w:name w:val="Balloon Text Char"/>
    <w:qFormat/>
    <w:rPr>
      <w:rFonts w:ascii="Tahoma" w:hAnsi="Tahoma" w:cs="Tahoma"/>
      <w:sz w:val="16"/>
      <w:szCs w:val="16"/>
    </w:rPr>
  </w:style>
  <w:style w:type="character" w:styleId="UnresolvedMention">
    <w:name w:val="Unresolved Mention"/>
    <w:qFormat/>
    <w:rPr>
      <w:color w:val="605E5C"/>
      <w:shd w:val="clear" w:color="auto" w:fill="E1DFDD"/>
    </w:rPr>
  </w:style>
  <w:style w:type="character" w:customStyle="1" w:styleId="HeaderChar">
    <w:name w:val="Header Char"/>
    <w:qFormat/>
    <w:rPr>
      <w:sz w:val="22"/>
      <w:szCs w:val="22"/>
    </w:rPr>
  </w:style>
  <w:style w:type="character" w:customStyle="1" w:styleId="FooterChar">
    <w:name w:val="Footer Char"/>
    <w:qFormat/>
    <w:rPr>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NormalWeb">
    <w:name w:val="Normal (Web)"/>
    <w:basedOn w:val="Normal"/>
    <w:uiPriority w:val="99"/>
    <w:qFormat/>
    <w:pPr>
      <w:spacing w:before="280" w:after="280" w:line="240" w:lineRule="auto"/>
    </w:pPr>
    <w:rPr>
      <w:rFonts w:ascii="Times New Roman" w:hAnsi="Times New Roman"/>
      <w:sz w:val="24"/>
      <w:szCs w:val="24"/>
    </w:rPr>
  </w:style>
  <w:style w:type="paragraph" w:styleId="z-TopofForm">
    <w:name w:val="HTML Top of Form"/>
    <w:basedOn w:val="Normal"/>
    <w:next w:val="Normal"/>
    <w:qFormat/>
    <w:pPr>
      <w:pBdr>
        <w:bottom w:val="single" w:sz="6" w:space="1" w:color="000000"/>
      </w:pBdr>
      <w:spacing w:after="0" w:line="240" w:lineRule="auto"/>
      <w:jc w:val="center"/>
    </w:pPr>
    <w:rPr>
      <w:rFonts w:ascii="Arial" w:hAnsi="Arial" w:cs="Arial"/>
      <w:vanish/>
      <w:sz w:val="16"/>
      <w:szCs w:val="16"/>
    </w:rPr>
  </w:style>
  <w:style w:type="paragraph" w:styleId="z-BottomofForm">
    <w:name w:val="HTML Bottom of Form"/>
    <w:basedOn w:val="Normal"/>
    <w:next w:val="Normal"/>
    <w:qFormat/>
    <w:pPr>
      <w:pBdr>
        <w:top w:val="single" w:sz="6" w:space="1" w:color="000000"/>
      </w:pBdr>
      <w:spacing w:after="0" w:line="240" w:lineRule="auto"/>
      <w:jc w:val="center"/>
    </w:pPr>
    <w:rPr>
      <w:rFonts w:ascii="Arial" w:hAnsi="Arial" w:cs="Arial"/>
      <w:vanish/>
      <w:sz w:val="16"/>
      <w:szCs w:val="16"/>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rPr>
  </w:style>
  <w:style w:type="paragraph" w:styleId="BalloonText">
    <w:name w:val="Balloon Text"/>
    <w:basedOn w:val="Normal"/>
    <w:qFormat/>
    <w:pPr>
      <w:spacing w:after="0" w:line="240" w:lineRule="auto"/>
    </w:pPr>
    <w:rPr>
      <w:rFonts w:ascii="Tahoma" w:hAnsi="Tahoma" w:cs="Tahoma"/>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NoSpacing">
    <w:name w:val="No Spacing"/>
    <w:qFormat/>
    <w:pPr>
      <w:suppressAutoHyphens/>
    </w:pPr>
    <w:rPr>
      <w:rFonts w:ascii="Calibri" w:eastAsia="Calibri" w:hAnsi="Calibri" w:cs="Times New Roman"/>
      <w:sz w:val="22"/>
      <w:szCs w:val="22"/>
      <w:lang w:val="en-GB"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80/21691401.2019.1626407" TargetMode="External"/><Relationship Id="rId18" Type="http://schemas.openxmlformats.org/officeDocument/2006/relationships/hyperlink" Target="https://doi.org/10.1038/90761" TargetMode="External"/><Relationship Id="rId26" Type="http://schemas.openxmlformats.org/officeDocument/2006/relationships/hyperlink" Target="https://doi.org/10.3390/biom8040121" TargetMode="External"/><Relationship Id="rId39" Type="http://schemas.openxmlformats.org/officeDocument/2006/relationships/hyperlink" Target="https://doi.org/10.3322/canjclin.56.2.69" TargetMode="External"/><Relationship Id="rId21" Type="http://schemas.openxmlformats.org/officeDocument/2006/relationships/hyperlink" Target="https://doi.org/10.32571/ijct.944049" TargetMode="External"/><Relationship Id="rId34" Type="http://schemas.openxmlformats.org/officeDocument/2006/relationships/hyperlink" Target="https://doi.org/10.1002/wcms.1240" TargetMode="External"/><Relationship Id="rId42" Type="http://schemas.openxmlformats.org/officeDocument/2006/relationships/hyperlink" Target="https://doi.org/10.6026/97320630013356" TargetMode="External"/><Relationship Id="rId47" Type="http://schemas.openxmlformats.org/officeDocument/2006/relationships/hyperlink" Target="https://iijls.com/currentissue/Qualitative_Phytochemical_Screening_Some_Selected_Medicinal_Plants_Shivpuri.pdf" TargetMode="External"/><Relationship Id="rId50" Type="http://schemas.openxmlformats.org/officeDocument/2006/relationships/image" Target="media/image3.jpeg"/><Relationship Id="rId55" Type="http://schemas.openxmlformats.org/officeDocument/2006/relationships/header" Target="header1.xml"/><Relationship Id="rId7" Type="http://schemas.openxmlformats.org/officeDocument/2006/relationships/hyperlink" Target="https://doi.org/10.1517/17460441.2012.714363" TargetMode="External"/><Relationship Id="rId2" Type="http://schemas.openxmlformats.org/officeDocument/2006/relationships/styles" Target="styles.xml"/><Relationship Id="rId16" Type="http://schemas.openxmlformats.org/officeDocument/2006/relationships/hyperlink" Target="https://doi.org/10.2174/9789815322910125010014" TargetMode="External"/><Relationship Id="rId29" Type="http://schemas.openxmlformats.org/officeDocument/2006/relationships/hyperlink" Target="https://doi.org/10.1007/s13205-025-04409-z" TargetMode="External"/><Relationship Id="rId11" Type="http://schemas.openxmlformats.org/officeDocument/2006/relationships/hyperlink" Target="https://doi.org/10.9734/ARRB/2016/23691" TargetMode="External"/><Relationship Id="rId24" Type="http://schemas.openxmlformats.org/officeDocument/2006/relationships/hyperlink" Target="https://doi.org/10.3390/genes10110906" TargetMode="External"/><Relationship Id="rId32" Type="http://schemas.openxmlformats.org/officeDocument/2006/relationships/hyperlink" Target="https://doi.org/10.1007/978-1-4939-7756-7_14" TargetMode="External"/><Relationship Id="rId37" Type="http://schemas.openxmlformats.org/officeDocument/2006/relationships/hyperlink" Target="https://doi.org/10.1089/acm.2012.0275" TargetMode="External"/><Relationship Id="rId40" Type="http://schemas.openxmlformats.org/officeDocument/2006/relationships/hyperlink" Target="https://doi.org/10.1016/j.jep.2009.04.020" TargetMode="External"/><Relationship Id="rId45" Type="http://schemas.openxmlformats.org/officeDocument/2006/relationships/hyperlink" Target="https://doi.org/10.1021/jm020017n" TargetMode="External"/><Relationship Id="rId53" Type="http://schemas.openxmlformats.org/officeDocument/2006/relationships/image" Target="media/image6.jpe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doi.org/10.5281/zenodo.886262" TargetMode="External"/><Relationship Id="rId4" Type="http://schemas.openxmlformats.org/officeDocument/2006/relationships/webSettings" Target="webSettings.xml"/><Relationship Id="rId9" Type="http://schemas.openxmlformats.org/officeDocument/2006/relationships/hyperlink" Target="https://www.wjpps.com/wjpps_controller/abstract_id/4896?utm_source=chatgpt.com" TargetMode="External"/><Relationship Id="rId14" Type="http://schemas.openxmlformats.org/officeDocument/2006/relationships/hyperlink" Target="https://doi.org/10.1016/S2542-5196(21)00132-7" TargetMode="External"/><Relationship Id="rId22" Type="http://schemas.openxmlformats.org/officeDocument/2006/relationships/hyperlink" Target="https://doi.org/10.1038/nrd1549" TargetMode="External"/><Relationship Id="rId27" Type="http://schemas.openxmlformats.org/officeDocument/2006/relationships/hyperlink" Target="https://doi.org/10.1002/jsfa.8472" TargetMode="External"/><Relationship Id="rId30" Type="http://schemas.openxmlformats.org/officeDocument/2006/relationships/hyperlink" Target="https://doi.org/10.1007/s40203-024-00227-y" TargetMode="External"/><Relationship Id="rId35" Type="http://schemas.openxmlformats.org/officeDocument/2006/relationships/hyperlink" Target="https://doi.org/10.33472/AFJBS.6.10.2024.4089-4099" TargetMode="External"/><Relationship Id="rId43" Type="http://schemas.openxmlformats.org/officeDocument/2006/relationships/hyperlink" Target="https://doi.org/10.1007/s00044-013-0532-5" TargetMode="External"/><Relationship Id="rId48" Type="http://schemas.openxmlformats.org/officeDocument/2006/relationships/image" Target="media/image1.png"/><Relationship Id="rId56" Type="http://schemas.openxmlformats.org/officeDocument/2006/relationships/footer" Target="footer1.xml"/><Relationship Id="rId8" Type="http://schemas.openxmlformats.org/officeDocument/2006/relationships/hyperlink" Target="https://doi.org/10.18311/jnr/2024/36369" TargetMode="External"/><Relationship Id="rId51"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hyperlink" Target="https://doi.org/10.1186/1476-0711-10-25" TargetMode="External"/><Relationship Id="rId17" Type="http://schemas.openxmlformats.org/officeDocument/2006/relationships/hyperlink" Target="https://doi.org/10.2174/1573399816666201103142957" TargetMode="External"/><Relationship Id="rId25" Type="http://schemas.openxmlformats.org/officeDocument/2006/relationships/hyperlink" Target="https://doi.org/10.1016/j.addr.2012.09.019%20" TargetMode="External"/><Relationship Id="rId33" Type="http://schemas.openxmlformats.org/officeDocument/2006/relationships/hyperlink" Target="https://pmc.ncbi.nlm.nih.gov/articles/PMC7576390/?utm_source=chatgpt.com" TargetMode="External"/><Relationship Id="rId38" Type="http://schemas.openxmlformats.org/officeDocument/2006/relationships/hyperlink" Target="https://doi.org/10.1016/j.envpol.2019.05.054" TargetMode="External"/><Relationship Id="rId46" Type="http://schemas.openxmlformats.org/officeDocument/2006/relationships/hyperlink" Target="https://doi.org/10.25258/ijpapr.v9i1.8051" TargetMode="External"/><Relationship Id="rId20" Type="http://schemas.openxmlformats.org/officeDocument/2006/relationships/hyperlink" Target="https://doi.org/10.4314/tjpr.v15i9.30" TargetMode="External"/><Relationship Id="rId41" Type="http://schemas.openxmlformats.org/officeDocument/2006/relationships/hyperlink" Target="https://doi.org/10.1124/pr.112.007336" TargetMode="External"/><Relationship Id="rId54"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5772/31087" TargetMode="External"/><Relationship Id="rId23" Type="http://schemas.openxmlformats.org/officeDocument/2006/relationships/hyperlink" Target="https://doi.org/10.1016/S0955-2863(02)00234-1" TargetMode="External"/><Relationship Id="rId28" Type="http://schemas.openxmlformats.org/officeDocument/2006/relationships/hyperlink" Target="https://doi.org/10.3390/polym14132747" TargetMode="External"/><Relationship Id="rId36" Type="http://schemas.openxmlformats.org/officeDocument/2006/relationships/hyperlink" Target="https://doi.org/10.3390/antiox4010185"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hyperlink" Target="https://doi.org/10.3322/caac.21492" TargetMode="External"/><Relationship Id="rId31" Type="http://schemas.openxmlformats.org/officeDocument/2006/relationships/hyperlink" Target="https://doi.org/10.5772/intechopen.94333" TargetMode="External"/><Relationship Id="rId44" Type="http://schemas.openxmlformats.org/officeDocument/2006/relationships/hyperlink" Target="https://doi.org/10.1016/j.ejps.2007.05.110" TargetMode="External"/><Relationship Id="rId52" Type="http://schemas.openxmlformats.org/officeDocument/2006/relationships/image" Target="media/image5.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840</TotalTime>
  <Pages>27</Pages>
  <Words>7342</Words>
  <Characters>41854</Characters>
  <Application>Microsoft Office Word</Application>
  <DocSecurity>0</DocSecurity>
  <Lines>348</Lines>
  <Paragraphs>98</Paragraphs>
  <ScaleCrop>false</ScaleCrop>
  <Company/>
  <LinksUpToDate>false</LinksUpToDate>
  <CharactersWithSpaces>49098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sathish</dc:creator>
  <cp:keywords/>
  <dc:description/>
  <cp:lastModifiedBy>Editor-90</cp:lastModifiedBy>
  <cp:revision>247</cp:revision>
  <dcterms:created xsi:type="dcterms:W3CDTF">2026-03-03T09:33:00Z</dcterms:created>
  <dcterms:modified xsi:type="dcterms:W3CDTF">2026-06-17T13:39:00Z</dcterms:modified>
  <dc:language>en-US</dc:language>
</cp:coreProperties>
</file>